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670F" w14:textId="77777777" w:rsidR="00E446D1" w:rsidRPr="00E446D1" w:rsidRDefault="00E446D1">
      <w:pPr>
        <w:rPr>
          <w:sz w:val="40"/>
          <w:szCs w:val="48"/>
        </w:rPr>
      </w:pPr>
      <w:r w:rsidRPr="00E446D1">
        <w:rPr>
          <w:sz w:val="40"/>
          <w:szCs w:val="48"/>
        </w:rPr>
        <w:t>資源有効利用促進法改定について</w:t>
      </w:r>
    </w:p>
    <w:p w14:paraId="162A5EAD" w14:textId="77777777" w:rsidR="00E446D1" w:rsidRDefault="00E446D1"/>
    <w:p w14:paraId="727EDD79" w14:textId="77777777" w:rsidR="00E446D1" w:rsidRDefault="00E446D1"/>
    <w:p w14:paraId="080367DE" w14:textId="44189316" w:rsidR="00E446D1" w:rsidRPr="00E446D1" w:rsidRDefault="003F274B" w:rsidP="00E446D1">
      <w:pPr>
        <w:rPr>
          <w:rFonts w:hint="eastAsia"/>
          <w:b/>
          <w:bCs/>
        </w:rPr>
      </w:pPr>
      <w:r>
        <w:rPr>
          <w:rFonts w:hint="eastAsia"/>
          <w:b/>
          <w:bCs/>
        </w:rPr>
        <w:t>はじめに</w:t>
      </w:r>
    </w:p>
    <w:p w14:paraId="05B45B56" w14:textId="064632C2" w:rsidR="00E446D1" w:rsidRPr="00E446D1" w:rsidRDefault="00E446D1" w:rsidP="00E446D1">
      <w:r w:rsidRPr="00E446D1">
        <w:t>我が国の資源循環政策は、2000年代以降、循環型社会形成推進基本法を礎とし、個別リサイクル法の整備とともに、製品ライフサイクル全体を俯瞰した制度的枠組みの構築が進められてきた。その中でも、</w:t>
      </w:r>
      <w:r w:rsidR="00B16B1D">
        <w:rPr>
          <w:rFonts w:hint="eastAsia"/>
        </w:rPr>
        <w:t>2024年の</w:t>
      </w:r>
      <w:r w:rsidRPr="00E446D1">
        <w:t>「再資源化高度化法（正式名称：再生資源の利用の促進等に関する法律）」は、回収・再資源化に係る許認可制度の壁を乗り越える挑戦的な試みであり、従来の廃棄物処理法との交錯点に新たな可能性を示した。</w:t>
      </w:r>
    </w:p>
    <w:p w14:paraId="7320A1BE" w14:textId="7299DA89" w:rsidR="00E446D1" w:rsidRPr="00E446D1" w:rsidRDefault="00E446D1" w:rsidP="00E446D1">
      <w:pPr>
        <w:ind w:firstLineChars="100" w:firstLine="210"/>
      </w:pPr>
      <w:r w:rsidRPr="00E446D1">
        <w:t>このたび</w:t>
      </w:r>
      <w:r w:rsidR="00664E35">
        <w:rPr>
          <w:rFonts w:hint="eastAsia"/>
        </w:rPr>
        <w:t>2025年2月</w:t>
      </w:r>
      <w:r w:rsidR="00B16B1D">
        <w:rPr>
          <w:rFonts w:hint="eastAsia"/>
        </w:rPr>
        <w:t>25日に閣議決定で</w:t>
      </w:r>
      <w:r w:rsidRPr="00E446D1">
        <w:t>改定</w:t>
      </w:r>
      <w:r>
        <w:rPr>
          <w:rFonts w:hint="eastAsia"/>
        </w:rPr>
        <w:t>案が出された</w:t>
      </w:r>
      <w:r w:rsidRPr="00E446D1">
        <w:t>資源有効利用促進法は、その流れをさらに推し進めるものであり、循環経済への実装的転換を進める上で画期的な節目とな</w:t>
      </w:r>
      <w:r>
        <w:rPr>
          <w:rFonts w:hint="eastAsia"/>
        </w:rPr>
        <w:t>りう</w:t>
      </w:r>
      <w:r w:rsidRPr="00E446D1">
        <w:t>る。特筆すべきは、従来の廃棄物処理法による制約を大幅に見直し、国による認定を受けた事業者に対しては、一定の条件のもとで</w:t>
      </w:r>
      <w:r w:rsidRPr="00E446D1">
        <w:rPr>
          <w:b/>
          <w:bCs/>
        </w:rPr>
        <w:t>廃掃法上の許可を不要とし、「廃棄物ではない流通」</w:t>
      </w:r>
      <w:r w:rsidRPr="00E446D1">
        <w:t>を正式に認めた点にある。これは、従来境界の曖昧さによって事業化の妨げとなっていた中古品、修理品、再資源化原料等の取扱いに明確な道を開くものであり、特に再利用・再販・部品化・マテリアル化といった資源循環型ビジネスの広がりに直結するものである。</w:t>
      </w:r>
    </w:p>
    <w:p w14:paraId="45E9FC5F" w14:textId="77777777" w:rsidR="00E446D1" w:rsidRPr="00E446D1" w:rsidRDefault="00E446D1" w:rsidP="00E446D1">
      <w:pPr>
        <w:ind w:firstLineChars="100" w:firstLine="210"/>
      </w:pPr>
      <w:r w:rsidRPr="00E446D1">
        <w:t>また、本法改定では、脱炭素社会の形成を視野に入れ、再資源化に取り組む企業・事業者に対して、国が制度的かつ財政的な支援を行う仕組みも整理された。GX推進機構等との連携の下、計画の認定を受けた事業には財政支援、設備投資支援、指導・助言等の包括的な後押しが可能となりつつある。この点は、資源循環の取り組みを単なる環境対応から、脱炭素成長戦略の一翼として位置づけ直す意味でも極めて重要である。</w:t>
      </w:r>
    </w:p>
    <w:p w14:paraId="3C839637" w14:textId="77777777" w:rsidR="00E446D1" w:rsidRPr="00E446D1" w:rsidRDefault="00E446D1" w:rsidP="00E446D1">
      <w:pPr>
        <w:ind w:firstLineChars="100" w:firstLine="210"/>
      </w:pPr>
      <w:r w:rsidRPr="00E446D1">
        <w:t>加えて、CE（サーキュラーエコノミー）型のコマースやシェアリングといった新たな経済モデルに対しても、制度的な位置づけと基準整備がなされ、資源の販売・賃貸を伴う新事業への扉も開かれた。これにより、これまで法的な不明確性が障壁となっていた新規ベンチャーやサービス事業者の参入が現実的なものとなる。</w:t>
      </w:r>
    </w:p>
    <w:p w14:paraId="1F267D52" w14:textId="77777777" w:rsidR="00E446D1" w:rsidRPr="00E446D1" w:rsidRDefault="00E446D1" w:rsidP="00E446D1">
      <w:r w:rsidRPr="00E446D1">
        <w:t>本報告は、以上の改定の要点を整理し、各主体にとっての制度活用の可能性と方向性を明らかにするものである。</w:t>
      </w:r>
    </w:p>
    <w:p w14:paraId="22A27541" w14:textId="77777777" w:rsidR="00E446D1" w:rsidRPr="00E446D1" w:rsidRDefault="00E446D1"/>
    <w:p w14:paraId="4D78F682" w14:textId="77777777" w:rsidR="00E446D1" w:rsidRDefault="00E446D1" w:rsidP="00E446D1">
      <w:pPr>
        <w:pStyle w:val="a9"/>
        <w:numPr>
          <w:ilvl w:val="0"/>
          <w:numId w:val="1"/>
        </w:numPr>
      </w:pPr>
      <w:r>
        <w:rPr>
          <w:rFonts w:hint="eastAsia"/>
        </w:rPr>
        <w:t>注目点</w:t>
      </w:r>
    </w:p>
    <w:p w14:paraId="3495C666" w14:textId="77777777" w:rsidR="00AD5EBC" w:rsidRPr="00AD5EBC" w:rsidRDefault="00E446D1" w:rsidP="00AD5EBC">
      <w:pPr>
        <w:rPr>
          <w:b/>
          <w:bCs/>
        </w:rPr>
      </w:pPr>
      <w:r>
        <w:rPr>
          <w:rFonts w:hint="eastAsia"/>
        </w:rPr>
        <w:t xml:space="preserve">　</w:t>
      </w:r>
      <w:r w:rsidR="00AD5EBC" w:rsidRPr="00AD5EBC">
        <w:rPr>
          <w:b/>
          <w:bCs/>
        </w:rPr>
        <w:t>― 廃棄物以外の流通の制度化と、脱炭素と結びついた財源措置 ―</w:t>
      </w:r>
    </w:p>
    <w:p w14:paraId="70E9037B" w14:textId="77777777" w:rsidR="00AD5EBC" w:rsidRPr="00AD5EBC" w:rsidRDefault="00AD5EBC" w:rsidP="00AD5EBC">
      <w:pPr>
        <w:ind w:firstLineChars="100" w:firstLine="210"/>
      </w:pPr>
      <w:r w:rsidRPr="00AD5EBC">
        <w:t>資源有効利用促進法の改正は、循環経済実現に向けた制度的転換点と位置づけられる。特に注目すべきは、第一に「廃棄物ではない資源の流通」が制度的に明確化されたことであり、第二に脱炭素化と資源循環とを統合的に位置づけたうえで、財源措置を制度的に裏付けた点である。</w:t>
      </w:r>
    </w:p>
    <w:p w14:paraId="36376A03" w14:textId="77777777" w:rsidR="00AD5EBC" w:rsidRPr="00AD5EBC" w:rsidRDefault="00AD5EBC" w:rsidP="00AD5EBC">
      <w:pPr>
        <w:ind w:firstLineChars="100" w:firstLine="210"/>
      </w:pPr>
      <w:r w:rsidRPr="00AD5EBC">
        <w:t>まず、「廃棄物ではない流通」の法的承認について述べる。本改正において新たに追加さ</w:t>
      </w:r>
      <w:r w:rsidRPr="00AD5EBC">
        <w:lastRenderedPageBreak/>
        <w:t>れた条項（第57条）は、国による認定を受けた「認定自主回収・再資源化事業者」について、「廃棄物処理法第7条第1項若しくは第6項又は第14条第1項若しくは第6項の規定にかかわらず、許可を受けないで使用済製品の回収および再資源化を行うことができる」旨を定めている。これは従来、使用済製品が「廃棄物」と判断された場合には処理・運搬等にあたって自治体あるいは産廃業の許可を要した構造から脱却し、再流通や再資源化を前提とした製品が、法的には「資源」として位置づけられる可能性を開いたものである。</w:t>
      </w:r>
    </w:p>
    <w:p w14:paraId="06EAD753" w14:textId="77777777" w:rsidR="00AD5EBC" w:rsidRPr="00AD5EBC" w:rsidRDefault="00AD5EBC" w:rsidP="00AD5EBC">
      <w:pPr>
        <w:ind w:firstLineChars="100" w:firstLine="210"/>
      </w:pPr>
      <w:r w:rsidRPr="00AD5EBC">
        <w:t>本条の意義は、廃棄物処理法の運用において、しばしば「廃棄物か否か」の判断が不明瞭であり、企業による再資源化や再流通への取り組みが、廃棄物処理法違反のリスクを回避するために過度に慎重なものとなっていたという制度的背景と不可分である。すなわち、資源循環型ビジネスを制度的に進展させるうえで、製品の再販売や再整備、あるいは部品単位での回収・再利用などを「廃棄物処理ではない」として行えるか否かが根本的な論点となっていた。今回の改正により、国の認定を受けた事業計画に基づくものであれば、これらの行為が「廃棄物の処理」ではなく、「資源の循環的利用」として明確に制度のもとに位置づけられた点は、事業化にとって決定的な前進である。</w:t>
      </w:r>
    </w:p>
    <w:p w14:paraId="7A5343A5" w14:textId="77777777" w:rsidR="00AD5EBC" w:rsidRPr="00AD5EBC" w:rsidRDefault="00AD5EBC" w:rsidP="00AD5EBC">
      <w:pPr>
        <w:ind w:firstLineChars="100" w:firstLine="210"/>
      </w:pPr>
      <w:r w:rsidRPr="00AD5EBC">
        <w:t>次に、脱炭素との統合的な制度設計と、それに伴う財政措置の明文化である。改正法第3条第3項では、「資源の循環的な利用の促進に関する施策は、温室効果ガスの排出の抑制に資することを旨として講ぜられなければならない」と規定され、脱炭素と資源循環の整合的推進が理念レベルで位置づけられた。さらに第46条では、「国は、資源循環利用等事業を円滑に実施するため、関係行政機関、地方公共団体及び独立行政法人と連携し、資金の供給、技術的助言、情報提供その他の必要な支援を行うよう努めるものとする」と明記された。</w:t>
      </w:r>
    </w:p>
    <w:p w14:paraId="67570F7E" w14:textId="77777777" w:rsidR="00AD5EBC" w:rsidRPr="00AD5EBC" w:rsidRDefault="00AD5EBC" w:rsidP="00AD5EBC">
      <w:pPr>
        <w:ind w:firstLineChars="100" w:firstLine="210"/>
      </w:pPr>
      <w:r w:rsidRPr="00AD5EBC">
        <w:t>この条文によって、再資源化あるいは使用済製品の回収・再利用といった事業が、GX（グリーントランスフォーメーション）の文脈の中で政策支援の対象となり得る根拠が制度的に与えられたことになる。これまで、資源循環に関わる取り組みは「環境負荷低減」の文脈で語られることが多く、脱炭素との直接的なリンクは制度上は曖昧であったが、本改正により、その接続が明文化された点は大きい。</w:t>
      </w:r>
    </w:p>
    <w:p w14:paraId="11FA4D09" w14:textId="77777777" w:rsidR="00AD5EBC" w:rsidRPr="00AD5EBC" w:rsidRDefault="00AD5EBC" w:rsidP="00AD5EBC">
      <w:r w:rsidRPr="00AD5EBC">
        <w:t>実際、GX推進機構のような資金供給主体と連動することで、再資源化設備への投資、製品設計の高度化（長寿命設計・モジュール化）、さらには再生資源の安定供給体制の構築などについて、実効性のある財政支援が期待される。特に、今回の改正において創設された「指定脱炭素化再資源利用促進事業者」制度（第58条以下）に基づき、国が指定した事業者については、脱炭素目標と整合的な再資源化計画のもと、より大胆な制度的支援が可能となると解される。</w:t>
      </w:r>
    </w:p>
    <w:p w14:paraId="4A6A1A33" w14:textId="77777777" w:rsidR="00AD5EBC" w:rsidRPr="00AD5EBC" w:rsidRDefault="00AD5EBC" w:rsidP="00AD5EBC">
      <w:pPr>
        <w:ind w:firstLineChars="100" w:firstLine="210"/>
      </w:pPr>
      <w:r w:rsidRPr="00AD5EBC">
        <w:t>以上のように、本改正は、単なる資源の再利用促進にとどまらず、「流通の法的位置づけを転換」し、「脱炭素の国家戦略と循環経済を制度的に融合」させるという二重の革新を伴っている。その意味で、循環型経済の実現に向けた政策的構造の基盤が整いつつあると</w:t>
      </w:r>
      <w:r w:rsidRPr="00AD5EBC">
        <w:lastRenderedPageBreak/>
        <w:t>いえる。今後は、政令・省令レベルでの基準整備、認定の透明性と迅速性、自治体との役割分担、消費者保護との整合など、運用面での制度化を進めることで、本制度のポテンシャルが十分に発揮されることが期待される。</w:t>
      </w:r>
    </w:p>
    <w:p w14:paraId="637BFEC0" w14:textId="77777777" w:rsidR="00E446D1" w:rsidRDefault="00E446D1" w:rsidP="00E446D1"/>
    <w:p w14:paraId="26E8FEFE" w14:textId="77777777" w:rsidR="00E446D1" w:rsidRDefault="00AD5EBC" w:rsidP="00E446D1">
      <w:pPr>
        <w:pStyle w:val="a9"/>
        <w:numPr>
          <w:ilvl w:val="0"/>
          <w:numId w:val="1"/>
        </w:numPr>
      </w:pPr>
      <w:r>
        <w:rPr>
          <w:rFonts w:hint="eastAsia"/>
        </w:rPr>
        <w:t>全体像</w:t>
      </w:r>
    </w:p>
    <w:p w14:paraId="34430678" w14:textId="4827432E" w:rsidR="00A2554B" w:rsidRPr="00BD46F5" w:rsidRDefault="00A2554B" w:rsidP="001C337B">
      <w:pPr>
        <w:ind w:firstLineChars="100" w:firstLine="210"/>
      </w:pPr>
      <w:r w:rsidRPr="00BD46F5">
        <w:t>資源有効利用促進法の改正は、単なる法技術的な調整にとどまらず、脱炭素社会と循環経済（サーキュラーエコノミー）との融合を制度的に示す、日本の環境・産業政策の転換点と位置付けられる。特に注目すべきは、今回の改正がGX関連法制と同時に閣議決定されたという政治的タイミングである。これは、もはや資源問題と気候問題とを別個の政策課題として扱う段階を脱し、相互に統合された戦略的対応が要請されていることを示している。</w:t>
      </w:r>
      <w:r w:rsidR="000A0A94">
        <w:rPr>
          <w:rFonts w:hint="eastAsia"/>
        </w:rPr>
        <w:t>ここで条文にもとづいてその特長的な部分をみていこう。</w:t>
      </w:r>
    </w:p>
    <w:p w14:paraId="751E577F" w14:textId="664B7866" w:rsidR="00886F19" w:rsidRPr="00886F19" w:rsidRDefault="00886F19" w:rsidP="00886F19">
      <w:pPr>
        <w:rPr>
          <w:b/>
          <w:bCs/>
        </w:rPr>
      </w:pPr>
      <w:r>
        <w:br/>
      </w:r>
      <w:r w:rsidRPr="00886F19">
        <w:rPr>
          <w:b/>
          <w:bCs/>
        </w:rPr>
        <w:t>設計段階から資源効率と脱炭素性を考慮した製品設計の推進</w:t>
      </w:r>
    </w:p>
    <w:p w14:paraId="220ED7C5" w14:textId="77777777" w:rsidR="00886F19" w:rsidRDefault="00A2554B" w:rsidP="00886F19">
      <w:pPr>
        <w:ind w:firstLineChars="100" w:firstLine="210"/>
      </w:pPr>
      <w:r w:rsidRPr="00BD46F5">
        <w:t>本改正において導入された条文群は、資源の効率的利用と温室効果ガス排出削減とを同時に追求することを前提として構成されている。たとえば、第30条および第31条に新設された「設計認定制度」は、製品のライフサイクル初期段階において、資源効率性および脱炭素性の両立を要請する制度設計となっている。すなわち、対象指定製品の設計に関して、主務大臣の認定を受けた設計は、「資源有効利用・脱炭素化促進設計指針」に適合していると認められた場合に限り、認定される（第31条）。これは従来の制度が、設計段階への介入を避けてきたのとは対照的であり、設計そのものを環境政策の対象とした点で画期的である。</w:t>
      </w:r>
    </w:p>
    <w:p w14:paraId="0A5C0A7B" w14:textId="2B0E9660" w:rsidR="00A2554B" w:rsidRPr="0013090C" w:rsidRDefault="00886F19" w:rsidP="00886F19">
      <w:pPr>
        <w:rPr>
          <w:b/>
          <w:bCs/>
        </w:rPr>
      </w:pPr>
      <w:r>
        <w:br/>
      </w:r>
      <w:r w:rsidR="0013090C" w:rsidRPr="0013090C">
        <w:rPr>
          <w:b/>
          <w:bCs/>
        </w:rPr>
        <w:t>製品ライフサイクル全体にわたる資源効率化を設計認定制度で誘導</w:t>
      </w:r>
    </w:p>
    <w:p w14:paraId="1187EFFE" w14:textId="359719A9" w:rsidR="00F21C5A" w:rsidRPr="00F21C5A" w:rsidRDefault="00A2554B" w:rsidP="00F21C5A">
      <w:pPr>
        <w:ind w:firstLineChars="100" w:firstLine="210"/>
        <w:rPr>
          <w:b/>
          <w:bCs/>
        </w:rPr>
      </w:pPr>
      <w:r w:rsidRPr="001455D4">
        <w:t>さらに、第32条においては、この設計認定を受けた製品に関するライフサイクル全体の資源効率性について継続的なチェックと是正措置の枠組みが規定されている。たとえば、設計認定に係る設計内容に変更があった場合、認定事業者は速やかに主務大臣に届け出ねばならず、仮にその設計が指針に適合しないと判断された場合、改善指示または認定の取消がなされうる（第32条）。このように、単なる認定制度ではなく、PDCAサイクルに類する動的な運用を志向していることが</w:t>
      </w:r>
      <w:r w:rsidR="0013090C">
        <w:rPr>
          <w:rFonts w:hint="eastAsia"/>
        </w:rPr>
        <w:t>うかがえる</w:t>
      </w:r>
      <w:r w:rsidRPr="001455D4">
        <w:t>。</w:t>
      </w:r>
      <w:r w:rsidR="0013090C">
        <w:br/>
      </w:r>
      <w:r w:rsidR="00F21C5A">
        <w:br/>
      </w:r>
      <w:r w:rsidR="00F21C5A" w:rsidRPr="00F21C5A">
        <w:rPr>
          <w:b/>
          <w:bCs/>
        </w:rPr>
        <w:t>自主回収・再資源化の計画認定制度の導入</w:t>
      </w:r>
    </w:p>
    <w:p w14:paraId="1F4813C0" w14:textId="2A72B394" w:rsidR="00A2554B" w:rsidRDefault="00A2554B" w:rsidP="00F21C5A">
      <w:pPr>
        <w:ind w:firstLineChars="100" w:firstLine="210"/>
      </w:pPr>
      <w:r w:rsidRPr="00814F3A">
        <w:t>また、製品の使用後段階においても革新的な制度が導入された。第54条には、「使用済指定再資源化製品」の自主回収および再資源化のための「計画認定制度」が新設された。これにより、事業者は法的拘束力をもって自社製品の回収・資源化を実施できるだけでなく、廃棄物処理法に基づく許可なく、いわば"資源としての流通"を合法的に行えるようになる。さらに、第55条においては、この計画認定の内容変更に関する詳細な要件が明示されており、制度運用の透明性と柔軟性が確保されている。</w:t>
      </w:r>
      <w:r w:rsidR="00C46359">
        <w:br/>
      </w:r>
    </w:p>
    <w:p w14:paraId="36B5FDA8" w14:textId="038EDA28" w:rsidR="00C46359" w:rsidRPr="00A9312D" w:rsidRDefault="00A9312D" w:rsidP="00F21C5A">
      <w:pPr>
        <w:ind w:firstLineChars="100" w:firstLine="210"/>
        <w:rPr>
          <w:b/>
          <w:bCs/>
        </w:rPr>
      </w:pPr>
      <w:r w:rsidRPr="00A9312D">
        <w:rPr>
          <w:b/>
          <w:bCs/>
        </w:rPr>
        <w:t>認定事業に対する罰則や行政対応の新設</w:t>
      </w:r>
    </w:p>
    <w:p w14:paraId="2B2A77D4" w14:textId="77777777" w:rsidR="00A2554B" w:rsidRDefault="00A2554B" w:rsidP="009C40D1">
      <w:r w:rsidRPr="00814F3A">
        <w:t>こうした制度を運用する上で、行政措置・罰則の明文化も行われている。たとえば第29条の改正では、主務大臣が認定に適合しないと判断した場合、認定を取り消す権限があることが明示されており、制度の実効性確保が図られている。</w:t>
      </w:r>
    </w:p>
    <w:p w14:paraId="37487A44" w14:textId="77777777" w:rsidR="00A9312D" w:rsidRPr="00814F3A" w:rsidRDefault="00A9312D" w:rsidP="009C40D1"/>
    <w:p w14:paraId="210F37F9" w14:textId="11445122" w:rsidR="00A2554B" w:rsidRDefault="00A2554B" w:rsidP="00A734CA">
      <w:pPr>
        <w:ind w:firstLineChars="100" w:firstLine="210"/>
      </w:pPr>
      <w:r w:rsidRPr="009C40D1">
        <w:t>以下に、制度の変化を明確に示すため、改正前と改正後の主な対応を表として示す。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6"/>
        <w:gridCol w:w="1553"/>
        <w:gridCol w:w="2346"/>
        <w:gridCol w:w="815"/>
        <w:gridCol w:w="2594"/>
      </w:tblGrid>
      <w:tr w:rsidR="00913AA2" w:rsidRPr="00913AA2" w14:paraId="48D99C59" w14:textId="77777777" w:rsidTr="00913AA2">
        <w:trPr>
          <w:tblCellSpacing w:w="15" w:type="dxa"/>
        </w:trPr>
        <w:tc>
          <w:tcPr>
            <w:tcW w:w="0" w:type="auto"/>
            <w:vAlign w:val="center"/>
            <w:hideMark/>
          </w:tcPr>
          <w:p w14:paraId="219BB988" w14:textId="77777777" w:rsidR="00913AA2" w:rsidRPr="00913AA2" w:rsidRDefault="00913AA2" w:rsidP="00913AA2">
            <w:pPr>
              <w:ind w:firstLineChars="100" w:firstLine="210"/>
              <w:rPr>
                <w:b/>
                <w:bCs/>
              </w:rPr>
            </w:pPr>
            <w:r w:rsidRPr="00913AA2">
              <w:rPr>
                <w:b/>
                <w:bCs/>
              </w:rPr>
              <w:t>改正ポイント</w:t>
            </w:r>
          </w:p>
        </w:tc>
        <w:tc>
          <w:tcPr>
            <w:tcW w:w="0" w:type="auto"/>
            <w:vAlign w:val="center"/>
            <w:hideMark/>
          </w:tcPr>
          <w:p w14:paraId="6E296AA0" w14:textId="77777777" w:rsidR="00913AA2" w:rsidRPr="00913AA2" w:rsidRDefault="00913AA2" w:rsidP="00913AA2">
            <w:pPr>
              <w:ind w:firstLineChars="100" w:firstLine="210"/>
              <w:rPr>
                <w:b/>
                <w:bCs/>
              </w:rPr>
            </w:pPr>
            <w:r w:rsidRPr="00913AA2">
              <w:rPr>
                <w:b/>
                <w:bCs/>
              </w:rPr>
              <w:t>改正前の内容</w:t>
            </w:r>
          </w:p>
        </w:tc>
        <w:tc>
          <w:tcPr>
            <w:tcW w:w="0" w:type="auto"/>
            <w:vAlign w:val="center"/>
            <w:hideMark/>
          </w:tcPr>
          <w:p w14:paraId="45EC5C42" w14:textId="77777777" w:rsidR="00913AA2" w:rsidRPr="00913AA2" w:rsidRDefault="00913AA2" w:rsidP="00913AA2">
            <w:pPr>
              <w:ind w:firstLineChars="100" w:firstLine="210"/>
              <w:rPr>
                <w:b/>
                <w:bCs/>
              </w:rPr>
            </w:pPr>
            <w:r w:rsidRPr="00913AA2">
              <w:rPr>
                <w:b/>
                <w:bCs/>
              </w:rPr>
              <w:t>改正後の内容</w:t>
            </w:r>
          </w:p>
        </w:tc>
        <w:tc>
          <w:tcPr>
            <w:tcW w:w="0" w:type="auto"/>
            <w:vAlign w:val="center"/>
            <w:hideMark/>
          </w:tcPr>
          <w:p w14:paraId="179C2B9E" w14:textId="77777777" w:rsidR="00913AA2" w:rsidRPr="00913AA2" w:rsidRDefault="00913AA2" w:rsidP="00913AA2">
            <w:pPr>
              <w:ind w:firstLineChars="100" w:firstLine="210"/>
              <w:rPr>
                <w:b/>
                <w:bCs/>
              </w:rPr>
            </w:pPr>
            <w:r w:rsidRPr="00913AA2">
              <w:rPr>
                <w:b/>
                <w:bCs/>
              </w:rPr>
              <w:t>該当条文</w:t>
            </w:r>
          </w:p>
        </w:tc>
        <w:tc>
          <w:tcPr>
            <w:tcW w:w="0" w:type="auto"/>
            <w:vAlign w:val="center"/>
            <w:hideMark/>
          </w:tcPr>
          <w:p w14:paraId="5D42057E" w14:textId="77777777" w:rsidR="00913AA2" w:rsidRPr="00913AA2" w:rsidRDefault="00913AA2" w:rsidP="00913AA2">
            <w:pPr>
              <w:ind w:firstLineChars="100" w:firstLine="210"/>
              <w:rPr>
                <w:b/>
                <w:bCs/>
              </w:rPr>
            </w:pPr>
            <w:r w:rsidRPr="00913AA2">
              <w:rPr>
                <w:b/>
                <w:bCs/>
              </w:rPr>
              <w:t>主な文言（抜粋）</w:t>
            </w:r>
          </w:p>
        </w:tc>
      </w:tr>
      <w:tr w:rsidR="00913AA2" w:rsidRPr="00913AA2" w14:paraId="2BE7F404" w14:textId="77777777" w:rsidTr="00913AA2">
        <w:trPr>
          <w:tblCellSpacing w:w="15" w:type="dxa"/>
        </w:trPr>
        <w:tc>
          <w:tcPr>
            <w:tcW w:w="0" w:type="auto"/>
            <w:vAlign w:val="center"/>
            <w:hideMark/>
          </w:tcPr>
          <w:p w14:paraId="5F4FD98C" w14:textId="77777777" w:rsidR="00913AA2" w:rsidRPr="00913AA2" w:rsidRDefault="00913AA2" w:rsidP="00913AA2">
            <w:pPr>
              <w:ind w:firstLineChars="100" w:firstLine="210"/>
            </w:pPr>
            <w:r w:rsidRPr="00913AA2">
              <w:t>設計段階での環境配慮</w:t>
            </w:r>
          </w:p>
        </w:tc>
        <w:tc>
          <w:tcPr>
            <w:tcW w:w="0" w:type="auto"/>
            <w:vAlign w:val="center"/>
            <w:hideMark/>
          </w:tcPr>
          <w:p w14:paraId="1559BA30" w14:textId="77777777" w:rsidR="00913AA2" w:rsidRPr="00913AA2" w:rsidRDefault="00913AA2" w:rsidP="00913AA2">
            <w:pPr>
              <w:ind w:firstLineChars="100" w:firstLine="210"/>
            </w:pPr>
            <w:r w:rsidRPr="00913AA2">
              <w:t>努力義務レベル、制度化なし</w:t>
            </w:r>
          </w:p>
        </w:tc>
        <w:tc>
          <w:tcPr>
            <w:tcW w:w="0" w:type="auto"/>
            <w:vAlign w:val="center"/>
            <w:hideMark/>
          </w:tcPr>
          <w:p w14:paraId="2E486D40" w14:textId="77777777" w:rsidR="00913AA2" w:rsidRPr="00913AA2" w:rsidRDefault="00913AA2" w:rsidP="00913AA2">
            <w:pPr>
              <w:ind w:firstLineChars="100" w:firstLine="210"/>
            </w:pPr>
            <w:r w:rsidRPr="00913AA2">
              <w:t>設計認定制度を新設。設計が資源・脱炭素設計指針に適合すれば認定される</w:t>
            </w:r>
          </w:p>
        </w:tc>
        <w:tc>
          <w:tcPr>
            <w:tcW w:w="0" w:type="auto"/>
            <w:vAlign w:val="center"/>
            <w:hideMark/>
          </w:tcPr>
          <w:p w14:paraId="2B93F15D" w14:textId="77777777" w:rsidR="00913AA2" w:rsidRPr="00913AA2" w:rsidRDefault="00913AA2" w:rsidP="00913AA2">
            <w:pPr>
              <w:ind w:firstLineChars="100" w:firstLine="210"/>
            </w:pPr>
            <w:r w:rsidRPr="00913AA2">
              <w:t>第30条・第31条</w:t>
            </w:r>
          </w:p>
        </w:tc>
        <w:tc>
          <w:tcPr>
            <w:tcW w:w="0" w:type="auto"/>
            <w:vAlign w:val="center"/>
            <w:hideMark/>
          </w:tcPr>
          <w:p w14:paraId="659F50B4" w14:textId="77777777" w:rsidR="00913AA2" w:rsidRPr="00913AA2" w:rsidRDefault="00913AA2" w:rsidP="00913AA2">
            <w:pPr>
              <w:ind w:firstLineChars="100" w:firstLine="210"/>
            </w:pPr>
            <w:r w:rsidRPr="00913AA2">
              <w:t>「主務大臣の認定を受けることができる」「適合していると認めるときは、設計認定をする」</w:t>
            </w:r>
          </w:p>
        </w:tc>
      </w:tr>
      <w:tr w:rsidR="00913AA2" w:rsidRPr="00913AA2" w14:paraId="25339BCF" w14:textId="77777777" w:rsidTr="00913AA2">
        <w:trPr>
          <w:tblCellSpacing w:w="15" w:type="dxa"/>
        </w:trPr>
        <w:tc>
          <w:tcPr>
            <w:tcW w:w="0" w:type="auto"/>
            <w:vAlign w:val="center"/>
            <w:hideMark/>
          </w:tcPr>
          <w:p w14:paraId="7C890322" w14:textId="77777777" w:rsidR="00913AA2" w:rsidRPr="00913AA2" w:rsidRDefault="00913AA2" w:rsidP="00913AA2">
            <w:pPr>
              <w:ind w:firstLineChars="100" w:firstLine="210"/>
            </w:pPr>
            <w:r w:rsidRPr="00913AA2">
              <w:t>ライフサイクル全体での資源効率化</w:t>
            </w:r>
          </w:p>
        </w:tc>
        <w:tc>
          <w:tcPr>
            <w:tcW w:w="0" w:type="auto"/>
            <w:vAlign w:val="center"/>
            <w:hideMark/>
          </w:tcPr>
          <w:p w14:paraId="2F4A2CB5" w14:textId="77777777" w:rsidR="00913AA2" w:rsidRPr="00913AA2" w:rsidRDefault="00913AA2" w:rsidP="00913AA2">
            <w:pPr>
              <w:ind w:firstLineChars="100" w:firstLine="210"/>
            </w:pPr>
            <w:r w:rsidRPr="00913AA2">
              <w:t>規制・監視の仕組みは存在しなかった</w:t>
            </w:r>
          </w:p>
        </w:tc>
        <w:tc>
          <w:tcPr>
            <w:tcW w:w="0" w:type="auto"/>
            <w:vAlign w:val="center"/>
            <w:hideMark/>
          </w:tcPr>
          <w:p w14:paraId="4BA1F13F" w14:textId="77777777" w:rsidR="00913AA2" w:rsidRPr="00913AA2" w:rsidRDefault="00913AA2" w:rsidP="00913AA2">
            <w:pPr>
              <w:ind w:firstLineChars="100" w:firstLine="210"/>
            </w:pPr>
            <w:r w:rsidRPr="00913AA2">
              <w:t>設計変更の届け出義務化、認定の取消も可能。ライフサイクル全体での制度的誘導が明確化</w:t>
            </w:r>
          </w:p>
        </w:tc>
        <w:tc>
          <w:tcPr>
            <w:tcW w:w="0" w:type="auto"/>
            <w:vAlign w:val="center"/>
            <w:hideMark/>
          </w:tcPr>
          <w:p w14:paraId="1EB0E165" w14:textId="77777777" w:rsidR="00913AA2" w:rsidRPr="00913AA2" w:rsidRDefault="00913AA2" w:rsidP="00913AA2">
            <w:pPr>
              <w:ind w:firstLineChars="100" w:firstLine="210"/>
            </w:pPr>
            <w:r w:rsidRPr="00913AA2">
              <w:t>第32条</w:t>
            </w:r>
          </w:p>
        </w:tc>
        <w:tc>
          <w:tcPr>
            <w:tcW w:w="0" w:type="auto"/>
            <w:vAlign w:val="center"/>
            <w:hideMark/>
          </w:tcPr>
          <w:p w14:paraId="02C39B90" w14:textId="77777777" w:rsidR="00913AA2" w:rsidRPr="00913AA2" w:rsidRDefault="00913AA2" w:rsidP="00913AA2">
            <w:pPr>
              <w:ind w:firstLineChars="100" w:firstLine="210"/>
            </w:pPr>
            <w:r w:rsidRPr="00913AA2">
              <w:t>「変更があったときは、遅滞なく…」「改善を指示し、又は…認定を取り消すことができる」</w:t>
            </w:r>
          </w:p>
        </w:tc>
      </w:tr>
      <w:tr w:rsidR="00913AA2" w:rsidRPr="00913AA2" w14:paraId="0D332642" w14:textId="77777777" w:rsidTr="00913AA2">
        <w:trPr>
          <w:tblCellSpacing w:w="15" w:type="dxa"/>
        </w:trPr>
        <w:tc>
          <w:tcPr>
            <w:tcW w:w="0" w:type="auto"/>
            <w:vAlign w:val="center"/>
            <w:hideMark/>
          </w:tcPr>
          <w:p w14:paraId="47ED2C64" w14:textId="77777777" w:rsidR="00913AA2" w:rsidRPr="00913AA2" w:rsidRDefault="00913AA2" w:rsidP="00913AA2">
            <w:pPr>
              <w:ind w:firstLineChars="100" w:firstLine="210"/>
            </w:pPr>
            <w:r w:rsidRPr="00913AA2">
              <w:t>自主回収・再資源化の制度化</w:t>
            </w:r>
          </w:p>
        </w:tc>
        <w:tc>
          <w:tcPr>
            <w:tcW w:w="0" w:type="auto"/>
            <w:vAlign w:val="center"/>
            <w:hideMark/>
          </w:tcPr>
          <w:p w14:paraId="70CCE126" w14:textId="77777777" w:rsidR="00913AA2" w:rsidRPr="00913AA2" w:rsidRDefault="00913AA2" w:rsidP="00913AA2">
            <w:pPr>
              <w:ind w:firstLineChars="100" w:firstLine="210"/>
            </w:pPr>
            <w:r w:rsidRPr="00913AA2">
              <w:t>一部業界自主取組があったが、制度的な根拠は限定的</w:t>
            </w:r>
          </w:p>
        </w:tc>
        <w:tc>
          <w:tcPr>
            <w:tcW w:w="0" w:type="auto"/>
            <w:vAlign w:val="center"/>
            <w:hideMark/>
          </w:tcPr>
          <w:p w14:paraId="7EE6736D" w14:textId="77777777" w:rsidR="00913AA2" w:rsidRPr="00913AA2" w:rsidRDefault="00913AA2" w:rsidP="00913AA2">
            <w:pPr>
              <w:ind w:firstLineChars="100" w:firstLine="210"/>
            </w:pPr>
            <w:r w:rsidRPr="00913AA2">
              <w:t>認定制度の下、廃棄物処理法の許可を要せずに製品回収・再資源化が可能</w:t>
            </w:r>
          </w:p>
        </w:tc>
        <w:tc>
          <w:tcPr>
            <w:tcW w:w="0" w:type="auto"/>
            <w:vAlign w:val="center"/>
            <w:hideMark/>
          </w:tcPr>
          <w:p w14:paraId="69E709EA" w14:textId="77777777" w:rsidR="00913AA2" w:rsidRPr="00913AA2" w:rsidRDefault="00913AA2" w:rsidP="00913AA2">
            <w:pPr>
              <w:ind w:firstLineChars="100" w:firstLine="210"/>
            </w:pPr>
            <w:r w:rsidRPr="00913AA2">
              <w:t>第54条・第55条</w:t>
            </w:r>
          </w:p>
        </w:tc>
        <w:tc>
          <w:tcPr>
            <w:tcW w:w="0" w:type="auto"/>
            <w:vAlign w:val="center"/>
            <w:hideMark/>
          </w:tcPr>
          <w:p w14:paraId="5F7456CF" w14:textId="77777777" w:rsidR="00913AA2" w:rsidRPr="00913AA2" w:rsidRDefault="00913AA2" w:rsidP="00913AA2">
            <w:pPr>
              <w:ind w:firstLineChars="100" w:firstLine="210"/>
            </w:pPr>
            <w:r w:rsidRPr="00913AA2">
              <w:t>「計画を作成し、主務大臣の認定を申請することができる」「…種類の増加に係るものに限る」</w:t>
            </w:r>
          </w:p>
        </w:tc>
      </w:tr>
      <w:tr w:rsidR="00913AA2" w:rsidRPr="00913AA2" w14:paraId="2E935139" w14:textId="77777777" w:rsidTr="00913AA2">
        <w:trPr>
          <w:tblCellSpacing w:w="15" w:type="dxa"/>
        </w:trPr>
        <w:tc>
          <w:tcPr>
            <w:tcW w:w="0" w:type="auto"/>
            <w:vAlign w:val="center"/>
            <w:hideMark/>
          </w:tcPr>
          <w:p w14:paraId="7E4F6A65" w14:textId="77777777" w:rsidR="00913AA2" w:rsidRPr="00913AA2" w:rsidRDefault="00913AA2" w:rsidP="00913AA2">
            <w:pPr>
              <w:ind w:firstLineChars="100" w:firstLine="210"/>
            </w:pPr>
            <w:r w:rsidRPr="00913AA2">
              <w:t>行政措置・罰則の新設</w:t>
            </w:r>
          </w:p>
        </w:tc>
        <w:tc>
          <w:tcPr>
            <w:tcW w:w="0" w:type="auto"/>
            <w:vAlign w:val="center"/>
            <w:hideMark/>
          </w:tcPr>
          <w:p w14:paraId="47B19C47" w14:textId="77777777" w:rsidR="00913AA2" w:rsidRPr="00913AA2" w:rsidRDefault="00913AA2" w:rsidP="00913AA2">
            <w:pPr>
              <w:ind w:firstLineChars="100" w:firstLine="210"/>
            </w:pPr>
            <w:r w:rsidRPr="00913AA2">
              <w:t>実効性ある是正措置・取消手段は不十分</w:t>
            </w:r>
          </w:p>
        </w:tc>
        <w:tc>
          <w:tcPr>
            <w:tcW w:w="0" w:type="auto"/>
            <w:vAlign w:val="center"/>
            <w:hideMark/>
          </w:tcPr>
          <w:p w14:paraId="03C525BD" w14:textId="77777777" w:rsidR="00913AA2" w:rsidRPr="00913AA2" w:rsidRDefault="00913AA2" w:rsidP="00913AA2">
            <w:pPr>
              <w:ind w:firstLineChars="100" w:firstLine="210"/>
            </w:pPr>
            <w:r w:rsidRPr="00913AA2">
              <w:t>認定に不適合な場合、改善指示・認定取消が可能に</w:t>
            </w:r>
          </w:p>
        </w:tc>
        <w:tc>
          <w:tcPr>
            <w:tcW w:w="0" w:type="auto"/>
            <w:vAlign w:val="center"/>
            <w:hideMark/>
          </w:tcPr>
          <w:p w14:paraId="3D458440" w14:textId="77777777" w:rsidR="00913AA2" w:rsidRPr="00913AA2" w:rsidRDefault="00913AA2" w:rsidP="00913AA2">
            <w:pPr>
              <w:ind w:firstLineChars="100" w:firstLine="210"/>
            </w:pPr>
            <w:r w:rsidRPr="00913AA2">
              <w:t>第29条</w:t>
            </w:r>
          </w:p>
        </w:tc>
        <w:tc>
          <w:tcPr>
            <w:tcW w:w="0" w:type="auto"/>
            <w:vAlign w:val="center"/>
            <w:hideMark/>
          </w:tcPr>
          <w:p w14:paraId="2EEF54C2" w14:textId="77777777" w:rsidR="00913AA2" w:rsidRPr="00913AA2" w:rsidRDefault="00913AA2" w:rsidP="00913AA2">
            <w:pPr>
              <w:ind w:firstLineChars="100" w:firstLine="210"/>
            </w:pPr>
            <w:r w:rsidRPr="00913AA2">
              <w:t>「適合しなくなったと認めるときは、当該認定を取り消すことができる」</w:t>
            </w:r>
          </w:p>
        </w:tc>
      </w:tr>
      <w:tr w:rsidR="00913AA2" w:rsidRPr="00913AA2" w14:paraId="62EC500E" w14:textId="77777777" w:rsidTr="00913AA2">
        <w:trPr>
          <w:tblCellSpacing w:w="15" w:type="dxa"/>
        </w:trPr>
        <w:tc>
          <w:tcPr>
            <w:tcW w:w="0" w:type="auto"/>
            <w:vAlign w:val="center"/>
            <w:hideMark/>
          </w:tcPr>
          <w:p w14:paraId="649FBAC4" w14:textId="77777777" w:rsidR="00913AA2" w:rsidRPr="00913AA2" w:rsidRDefault="00913AA2" w:rsidP="00913AA2">
            <w:pPr>
              <w:ind w:firstLineChars="100" w:firstLine="210"/>
            </w:pPr>
            <w:r w:rsidRPr="00913AA2">
              <w:t>脱炭素と資源循環の統合的推進</w:t>
            </w:r>
          </w:p>
        </w:tc>
        <w:tc>
          <w:tcPr>
            <w:tcW w:w="0" w:type="auto"/>
            <w:vAlign w:val="center"/>
            <w:hideMark/>
          </w:tcPr>
          <w:p w14:paraId="5ECCE0D8" w14:textId="77777777" w:rsidR="00913AA2" w:rsidRPr="00913AA2" w:rsidRDefault="00913AA2" w:rsidP="00913AA2">
            <w:pPr>
              <w:ind w:firstLineChars="100" w:firstLine="210"/>
            </w:pPr>
            <w:r w:rsidRPr="00913AA2">
              <w:t>両者の連携は理念・制度設計上不明確</w:t>
            </w:r>
          </w:p>
        </w:tc>
        <w:tc>
          <w:tcPr>
            <w:tcW w:w="0" w:type="auto"/>
            <w:vAlign w:val="center"/>
            <w:hideMark/>
          </w:tcPr>
          <w:p w14:paraId="74DAB108" w14:textId="77777777" w:rsidR="00913AA2" w:rsidRPr="00913AA2" w:rsidRDefault="00913AA2" w:rsidP="00913AA2">
            <w:pPr>
              <w:ind w:firstLineChars="100" w:firstLine="210"/>
            </w:pPr>
            <w:r w:rsidRPr="00913AA2">
              <w:t>脱炭素に資することが理念として明文化され、制度的な整合推進が義務化</w:t>
            </w:r>
          </w:p>
        </w:tc>
        <w:tc>
          <w:tcPr>
            <w:tcW w:w="0" w:type="auto"/>
            <w:vAlign w:val="center"/>
            <w:hideMark/>
          </w:tcPr>
          <w:p w14:paraId="04C675B3" w14:textId="77777777" w:rsidR="00913AA2" w:rsidRPr="00913AA2" w:rsidRDefault="00913AA2" w:rsidP="00913AA2">
            <w:pPr>
              <w:ind w:firstLineChars="100" w:firstLine="210"/>
            </w:pPr>
            <w:r w:rsidRPr="00913AA2">
              <w:t>第3条第3項</w:t>
            </w:r>
          </w:p>
        </w:tc>
        <w:tc>
          <w:tcPr>
            <w:tcW w:w="0" w:type="auto"/>
            <w:vAlign w:val="center"/>
            <w:hideMark/>
          </w:tcPr>
          <w:p w14:paraId="4C9DF5D2" w14:textId="77777777" w:rsidR="00913AA2" w:rsidRPr="00913AA2" w:rsidRDefault="00913AA2" w:rsidP="00913AA2">
            <w:pPr>
              <w:ind w:firstLineChars="100" w:firstLine="210"/>
            </w:pPr>
            <w:r w:rsidRPr="00913AA2">
              <w:t>「温室効果ガスの排出の抑制に資することを旨として…」</w:t>
            </w:r>
          </w:p>
        </w:tc>
      </w:tr>
      <w:tr w:rsidR="00913AA2" w:rsidRPr="00913AA2" w14:paraId="0C8D79FA" w14:textId="77777777" w:rsidTr="00913AA2">
        <w:trPr>
          <w:tblCellSpacing w:w="15" w:type="dxa"/>
        </w:trPr>
        <w:tc>
          <w:tcPr>
            <w:tcW w:w="0" w:type="auto"/>
            <w:vAlign w:val="center"/>
            <w:hideMark/>
          </w:tcPr>
          <w:p w14:paraId="1EC80FF7" w14:textId="77777777" w:rsidR="00913AA2" w:rsidRPr="00913AA2" w:rsidRDefault="00913AA2" w:rsidP="00913AA2">
            <w:pPr>
              <w:ind w:firstLineChars="100" w:firstLine="210"/>
            </w:pPr>
            <w:r w:rsidRPr="00913AA2">
              <w:t>脱炭素型資源循環への財政支援</w:t>
            </w:r>
          </w:p>
        </w:tc>
        <w:tc>
          <w:tcPr>
            <w:tcW w:w="0" w:type="auto"/>
            <w:vAlign w:val="center"/>
            <w:hideMark/>
          </w:tcPr>
          <w:p w14:paraId="7C193943" w14:textId="77777777" w:rsidR="00913AA2" w:rsidRPr="00913AA2" w:rsidRDefault="00913AA2" w:rsidP="00913AA2">
            <w:pPr>
              <w:ind w:firstLineChars="100" w:firstLine="210"/>
            </w:pPr>
            <w:r w:rsidRPr="00913AA2">
              <w:t>補助制度は個別かつ分断されていた</w:t>
            </w:r>
          </w:p>
        </w:tc>
        <w:tc>
          <w:tcPr>
            <w:tcW w:w="0" w:type="auto"/>
            <w:vAlign w:val="center"/>
            <w:hideMark/>
          </w:tcPr>
          <w:p w14:paraId="6EB6CAEE" w14:textId="77777777" w:rsidR="00913AA2" w:rsidRPr="00913AA2" w:rsidRDefault="00913AA2" w:rsidP="00913AA2">
            <w:pPr>
              <w:ind w:firstLineChars="100" w:firstLine="210"/>
            </w:pPr>
            <w:r w:rsidRPr="00913AA2">
              <w:t>関係機関と連携して資金・技術支援を行う旨を明記</w:t>
            </w:r>
          </w:p>
        </w:tc>
        <w:tc>
          <w:tcPr>
            <w:tcW w:w="0" w:type="auto"/>
            <w:vAlign w:val="center"/>
            <w:hideMark/>
          </w:tcPr>
          <w:p w14:paraId="7593F595" w14:textId="77777777" w:rsidR="00913AA2" w:rsidRPr="00913AA2" w:rsidRDefault="00913AA2" w:rsidP="00913AA2">
            <w:pPr>
              <w:ind w:firstLineChars="100" w:firstLine="210"/>
            </w:pPr>
            <w:r w:rsidRPr="00913AA2">
              <w:t>第46条</w:t>
            </w:r>
          </w:p>
        </w:tc>
        <w:tc>
          <w:tcPr>
            <w:tcW w:w="0" w:type="auto"/>
            <w:vAlign w:val="center"/>
            <w:hideMark/>
          </w:tcPr>
          <w:p w14:paraId="48414F56" w14:textId="77777777" w:rsidR="00913AA2" w:rsidRPr="00913AA2" w:rsidRDefault="00913AA2" w:rsidP="00913AA2">
            <w:pPr>
              <w:ind w:firstLineChars="100" w:firstLine="210"/>
            </w:pPr>
            <w:r w:rsidRPr="00913AA2">
              <w:t>「資金の供給、技術的助言、情報提供その他の必要な支援を行うよう努めるものとする」</w:t>
            </w:r>
          </w:p>
        </w:tc>
      </w:tr>
    </w:tbl>
    <w:p w14:paraId="566C4349" w14:textId="77777777" w:rsidR="001A6CD1" w:rsidRDefault="001A6CD1" w:rsidP="009C40D1"/>
    <w:p w14:paraId="7E0F9C78" w14:textId="262022F1" w:rsidR="001A6CD1" w:rsidRDefault="0096077E" w:rsidP="0006365E">
      <w:pPr>
        <w:pStyle w:val="a9"/>
        <w:numPr>
          <w:ilvl w:val="0"/>
          <w:numId w:val="1"/>
        </w:numPr>
      </w:pPr>
      <w:r>
        <w:rPr>
          <w:rFonts w:hint="eastAsia"/>
        </w:rPr>
        <w:t>廃掃法の例外</w:t>
      </w:r>
    </w:p>
    <w:p w14:paraId="1495E046" w14:textId="77777777" w:rsidR="007F23E8" w:rsidRDefault="007F23E8" w:rsidP="001B7F73">
      <w:pPr>
        <w:rPr>
          <w:rFonts w:hint="eastAsia"/>
        </w:rPr>
      </w:pPr>
    </w:p>
    <w:p w14:paraId="49B6C03B" w14:textId="6E1087C2" w:rsidR="0096077E" w:rsidRDefault="004C7820" w:rsidP="004C7820">
      <w:pPr>
        <w:ind w:firstLineChars="100" w:firstLine="210"/>
      </w:pPr>
      <w:r>
        <w:rPr>
          <w:rFonts w:hint="eastAsia"/>
        </w:rPr>
        <w:t>「</w:t>
      </w:r>
      <w:r w:rsidR="0096077E">
        <w:rPr>
          <w:rFonts w:hint="eastAsia"/>
        </w:rPr>
        <w:t>廃掃法の</w:t>
      </w:r>
      <w:r>
        <w:rPr>
          <w:rFonts w:hint="eastAsia"/>
        </w:rPr>
        <w:t>例外」については、昨年制定された「</w:t>
      </w:r>
      <w:r w:rsidR="00571F91">
        <w:rPr>
          <w:rFonts w:hint="eastAsia"/>
        </w:rPr>
        <w:t>再生資源高度化法</w:t>
      </w:r>
      <w:r>
        <w:rPr>
          <w:rFonts w:hint="eastAsia"/>
        </w:rPr>
        <w:t>」</w:t>
      </w:r>
      <w:r w:rsidR="00571F91">
        <w:rPr>
          <w:rFonts w:hint="eastAsia"/>
        </w:rPr>
        <w:t>においても講じられ現在運用のための調整に</w:t>
      </w:r>
      <w:r w:rsidR="0035484D">
        <w:rPr>
          <w:rFonts w:hint="eastAsia"/>
        </w:rPr>
        <w:t>入っているはずの項目であるが、この改正がそれからさらに踏み込んだものになっているかを</w:t>
      </w:r>
      <w:r w:rsidR="005B761F">
        <w:rPr>
          <w:rFonts w:hint="eastAsia"/>
        </w:rPr>
        <w:t>見ておこう。</w:t>
      </w:r>
    </w:p>
    <w:p w14:paraId="75116EC8" w14:textId="422B4030" w:rsidR="00630CF6" w:rsidRPr="00630CF6" w:rsidRDefault="005B7E3A" w:rsidP="005B7E3A">
      <w:pPr>
        <w:ind w:firstLineChars="100" w:firstLine="210"/>
      </w:pPr>
      <w:r>
        <w:rPr>
          <w:rFonts w:hint="eastAsia"/>
        </w:rPr>
        <w:t>2024年</w:t>
      </w:r>
      <w:r w:rsidR="00630CF6" w:rsidRPr="00630CF6">
        <w:t>に成立した「再生資源の利用の促進等に関する法律」（通称：再資源化高度化法）は、我が国における資源循環政策に新たな制度的転換点を刻むものであった。なかでも注目すべきは、「特別認定事業者」制度の導入である。この制度は、資源循環の担い手として一定の資質と責任を備えた事業者を国が認定し、その上で、従来は廃棄物処理法に基づく厳格な許認可を要していた再資源化活動について、一定の条件の下に特例を設け、許可を不要とするものであった。</w:t>
      </w:r>
    </w:p>
    <w:p w14:paraId="38D3D54F" w14:textId="77777777" w:rsidR="00630CF6" w:rsidRPr="00630CF6" w:rsidRDefault="00630CF6" w:rsidP="005B7E3A">
      <w:pPr>
        <w:ind w:firstLineChars="100" w:firstLine="210"/>
      </w:pPr>
      <w:r w:rsidRPr="00630CF6">
        <w:t>具体的には、主務大臣の認定を受けた「特別認定事業者」が、自ら策定した「認定自主回収・再資源化事業計画」に基づいて、使用済製品の自主回収および再資源化を行う場合、廃棄物処理法第7条および第14条に定められた収集運搬・処分の許可を受けることなく、当該事業を営むことができるという制度設計がなされていた。この措置は、制度に裏打ちされた信頼性と透明性を備えた回収・再資源化の取り組みを後押しするものであり、廃棄物と非廃棄物との境界に制度的明確性を与える画期的な内容を含んでいた。</w:t>
      </w:r>
    </w:p>
    <w:p w14:paraId="31AB0BD8" w14:textId="286D12C8" w:rsidR="008546F0" w:rsidRPr="00630CF6" w:rsidRDefault="005C4CE1" w:rsidP="008546F0">
      <w:pPr>
        <w:ind w:firstLineChars="100" w:firstLine="210"/>
      </w:pPr>
      <w:r>
        <w:rPr>
          <w:rFonts w:hint="eastAsia"/>
        </w:rPr>
        <w:t>そして2025年</w:t>
      </w:r>
      <w:r w:rsidR="00630CF6" w:rsidRPr="00630CF6">
        <w:t>に至り、「資源の有効な利用の促進に関する法律」（資源有効利用促進法）の改正が</w:t>
      </w:r>
      <w:r w:rsidR="007D7DF6">
        <w:rPr>
          <w:rFonts w:hint="eastAsia"/>
        </w:rPr>
        <w:t>閣議決定</w:t>
      </w:r>
      <w:r w:rsidR="00630CF6" w:rsidRPr="00630CF6">
        <w:t>されるにあたり、この特例制度は一層の整備と汎用化を経て、より簡潔かつ制度的に運用しやすい形で再提示されることとなった。</w:t>
      </w:r>
    </w:p>
    <w:p w14:paraId="6206134F" w14:textId="6C8502DA" w:rsidR="00630CF6" w:rsidRPr="00630CF6" w:rsidRDefault="00630CF6" w:rsidP="008546F0">
      <w:pPr>
        <w:ind w:firstLineChars="100" w:firstLine="210"/>
      </w:pPr>
      <w:r w:rsidRPr="00630CF6">
        <w:t>「再資源化高度化法」として制度化されていた「特別認定事業者」に関する特例措置は、その法制度上の構造を一層の簡素化と汎用化を経て、より一般的で柔軟な枠組みとして再構築された。これは、わが国の資源循環政策の実装段階が一段階深化しつつあることを示すものである。</w:t>
      </w:r>
    </w:p>
    <w:p w14:paraId="1E1FAFE4" w14:textId="77777777" w:rsidR="00630CF6" w:rsidRPr="00630CF6" w:rsidRDefault="00630CF6" w:rsidP="008546F0">
      <w:pPr>
        <w:ind w:firstLineChars="100" w:firstLine="210"/>
      </w:pPr>
      <w:r w:rsidRPr="00630CF6">
        <w:t>今回新設された第57条においては、以下の通り明記されている。</w:t>
      </w:r>
    </w:p>
    <w:p w14:paraId="40AB90C6" w14:textId="77777777" w:rsidR="00630CF6" w:rsidRPr="00630CF6" w:rsidRDefault="00630CF6" w:rsidP="00630CF6">
      <w:r w:rsidRPr="00630CF6">
        <w:t>「</w:t>
      </w:r>
      <w:r w:rsidRPr="00630CF6">
        <w:rPr>
          <w:b/>
          <w:bCs/>
        </w:rPr>
        <w:t>認定自主回収・再資源化事業者は、廃棄物の処理及び清掃に関する法律第七条第一項又は第六項若しくは第十四条第一項又は第六項の規定にかかわらず、これらの規定による許可を受けないで、認定自主回収・再資源化事業計画に従って使用済製品の再資源化を業として行うことができる。</w:t>
      </w:r>
      <w:r w:rsidRPr="00630CF6">
        <w:t>」</w:t>
      </w:r>
    </w:p>
    <w:p w14:paraId="10DDD8B2" w14:textId="04B85978" w:rsidR="00630CF6" w:rsidRPr="00630CF6" w:rsidRDefault="00630CF6" w:rsidP="00630CF6">
      <w:r w:rsidRPr="00630CF6">
        <w:t>この条文は、</w:t>
      </w:r>
      <w:r w:rsidR="008546F0">
        <w:rPr>
          <w:rFonts w:hint="eastAsia"/>
        </w:rPr>
        <w:t>2024年</w:t>
      </w:r>
      <w:r w:rsidR="00F15427">
        <w:rPr>
          <w:rFonts w:hint="eastAsia"/>
        </w:rPr>
        <w:t>の</w:t>
      </w:r>
      <w:r w:rsidRPr="00630CF6">
        <w:t>再資源化高度化法において設けられた「特別認定事業者」制度の根幹を成していた法的特例措置を、その本旨を保持したまま、より広範な用途や事業形態に対応し得る形で再定義したものである。かつては、「認定自主回収・再資源化事業計画に基づく事業者の特例」という形で設けられていた廃棄物処理法の適用除外が、今回の改正により明確に条文化され、汎用的に適用可能な制度枠として整備されたのである。</w:t>
      </w:r>
    </w:p>
    <w:p w14:paraId="29CED332" w14:textId="50A56875" w:rsidR="00630CF6" w:rsidRPr="00630CF6" w:rsidRDefault="00F15427" w:rsidP="00F15427">
      <w:pPr>
        <w:ind w:firstLineChars="50" w:firstLine="105"/>
      </w:pPr>
      <w:r>
        <w:rPr>
          <w:rFonts w:hint="eastAsia"/>
        </w:rPr>
        <w:t>特筆すべきは</w:t>
      </w:r>
      <w:r w:rsidR="00630CF6" w:rsidRPr="00630CF6">
        <w:t>、かつての制度で使用されていた「特別認定事業者」という限定的な表現が、今回の法改正においては「認定自主回収・再資源化事業者」という一般化された語に置き換えられたことである。この表現の転換は、従来のように高度な再資源化技術や管理体制を有する一部の先進企業のみならず、多様な事業主体が制度活用の可能性を得られることを意味し、制度としての普遍性と柔軟性を高める重要な契機となっている。</w:t>
      </w:r>
    </w:p>
    <w:p w14:paraId="7E88F748" w14:textId="1BD01F17" w:rsidR="00630CF6" w:rsidRPr="00630CF6" w:rsidRDefault="00920A6D" w:rsidP="00920A6D">
      <w:pPr>
        <w:ind w:firstLineChars="100" w:firstLine="210"/>
      </w:pPr>
      <w:r>
        <w:rPr>
          <w:rFonts w:hint="eastAsia"/>
        </w:rPr>
        <w:t>また</w:t>
      </w:r>
      <w:r w:rsidR="00630CF6" w:rsidRPr="00630CF6">
        <w:t>、この特例規定の位置づけは、単に手続上の合理化というにとどまらず、廃棄物と非廃棄物の境界線を法的に明確化する効果も有している。廃棄物処理法は、その成り立ちにおいて、生活環境の保全と公衆衛生の確保を目的とする法体系であり、廃棄物に該当する物品の処理については厳格な許認可制を設けてきた。これに対して、資源有効利用促進法は、物質の循環的利用と持続可能な資源供給体制の構築を主眼とするものであり、同じ「使用済物品」であっても、その取扱いをいかに法的に規定するかについて、両法体系の間に交差と齟齬が存在していた。</w:t>
      </w:r>
    </w:p>
    <w:p w14:paraId="6783885B" w14:textId="1E988DFE" w:rsidR="00630CF6" w:rsidRPr="00630CF6" w:rsidRDefault="00630CF6" w:rsidP="00920A6D">
      <w:pPr>
        <w:ind w:firstLineChars="100" w:firstLine="210"/>
      </w:pPr>
      <w:r w:rsidRPr="00630CF6">
        <w:t>このような法的構造のもと、</w:t>
      </w:r>
      <w:r w:rsidRPr="00630CF6">
        <w:rPr>
          <w:b/>
          <w:bCs/>
        </w:rPr>
        <w:t>従来は「廃棄物」とされていた物品を、あらかじめ策定された再資源化事業計画のもとで適正に管理・処理することで、「資源」として取り扱うことを可能とする制度が整備された</w:t>
      </w:r>
      <w:r w:rsidRPr="00630CF6">
        <w:t>ことは、まさに</w:t>
      </w:r>
      <w:r w:rsidR="00131458">
        <w:rPr>
          <w:rFonts w:hint="eastAsia"/>
        </w:rPr>
        <w:t>サーキュラー・エコノミー</w:t>
      </w:r>
      <w:r w:rsidRPr="00630CF6">
        <w:t>への移行に不可欠な基盤整備と評価することができよう。</w:t>
      </w:r>
    </w:p>
    <w:p w14:paraId="3C12E6FF" w14:textId="77777777" w:rsidR="00630CF6" w:rsidRPr="00630CF6" w:rsidRDefault="00630CF6" w:rsidP="00131458">
      <w:pPr>
        <w:ind w:firstLineChars="100" w:firstLine="210"/>
      </w:pPr>
      <w:r w:rsidRPr="00630CF6">
        <w:t>さらに、改正法第54条においては、「使用済製品の自主回収及び再資源化のための事業を行おうとする者は、自主回収・再資源化事業の実施に関する計画を作成し、主務大臣の認定を申請することができる」と規定されており、第55条では、その認定計画において再資源化対象製品の種類が追加された場合の扱いについても明記されている。</w:t>
      </w:r>
    </w:p>
    <w:p w14:paraId="3C34999B" w14:textId="77777777" w:rsidR="00630CF6" w:rsidRPr="00630CF6" w:rsidRDefault="00630CF6" w:rsidP="00343A10">
      <w:pPr>
        <w:ind w:firstLineChars="100" w:firstLine="210"/>
      </w:pPr>
      <w:r w:rsidRPr="00630CF6">
        <w:t>このように、今回の法改正は、制度の表層的な用語の変更や簡素化にとどまらず、資源循環に関わる事業を実効的に推進するための法制度としての骨格を、より強固に整備するものである。特に、廃棄物処理法との関係において、再資源化を業として行う場合の例外的取扱いが、条文化され制度の中核に据えられた意義は極めて大きい。これは単なる制度改編ではなく、制度思想の変化をも内包するものであり、今後の循環型社会の実装に資する法的インフラとして広く活用されることが期待されるのである。</w:t>
      </w:r>
    </w:p>
    <w:p w14:paraId="189F7DB4" w14:textId="77777777" w:rsidR="0096077E" w:rsidRDefault="0096077E" w:rsidP="0096077E"/>
    <w:p w14:paraId="5643B5A2" w14:textId="49813D0B" w:rsidR="009A1690" w:rsidRDefault="001B7790" w:rsidP="0006365E">
      <w:pPr>
        <w:pStyle w:val="a9"/>
        <w:numPr>
          <w:ilvl w:val="0"/>
          <w:numId w:val="1"/>
        </w:numPr>
      </w:pPr>
      <w:r>
        <w:rPr>
          <w:rFonts w:hint="eastAsia"/>
        </w:rPr>
        <w:t>改定</w:t>
      </w:r>
      <w:r w:rsidR="009A1690">
        <w:rPr>
          <w:rFonts w:hint="eastAsia"/>
        </w:rPr>
        <w:t>により拡大しうる可能性</w:t>
      </w:r>
    </w:p>
    <w:p w14:paraId="471B984B" w14:textId="5721983A" w:rsidR="008B036A" w:rsidRDefault="00DE5C46" w:rsidP="001B7F73">
      <w:pPr>
        <w:ind w:firstLineChars="100" w:firstLine="210"/>
      </w:pPr>
      <w:r>
        <w:rPr>
          <w:rFonts w:hint="eastAsia"/>
        </w:rPr>
        <w:t>この</w:t>
      </w:r>
      <w:r w:rsidR="001B7F73">
        <w:rPr>
          <w:rFonts w:hint="eastAsia"/>
        </w:rPr>
        <w:t>改定</w:t>
      </w:r>
      <w:r>
        <w:rPr>
          <w:rFonts w:hint="eastAsia"/>
        </w:rPr>
        <w:t>によって</w:t>
      </w:r>
      <w:r w:rsidR="007524EA">
        <w:rPr>
          <w:rFonts w:hint="eastAsia"/>
        </w:rPr>
        <w:t>さまざまな</w:t>
      </w:r>
      <w:r w:rsidR="008F50A3">
        <w:rPr>
          <w:rFonts w:hint="eastAsia"/>
        </w:rPr>
        <w:t>経済主体にとってどんな可能性があるのかを概観してみる。</w:t>
      </w:r>
    </w:p>
    <w:p w14:paraId="32B2D1D4" w14:textId="77777777" w:rsidR="00E71D3C" w:rsidRDefault="00E71D3C" w:rsidP="008B036A"/>
    <w:p w14:paraId="27584671" w14:textId="77777777" w:rsidR="00DC240B" w:rsidRPr="00DC240B" w:rsidRDefault="00DC240B" w:rsidP="008B036A"/>
    <w:p w14:paraId="40D9E033" w14:textId="77777777" w:rsidR="00B514A9" w:rsidRPr="00B514A9" w:rsidRDefault="00B514A9" w:rsidP="00B514A9">
      <w:pPr>
        <w:rPr>
          <w:b/>
          <w:bCs/>
        </w:rPr>
      </w:pPr>
      <w:r w:rsidRPr="00B514A9">
        <w:rPr>
          <w:b/>
          <w:bCs/>
        </w:rPr>
        <w:t>1. 製造業（家電・自動車・機械など）</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6"/>
        <w:gridCol w:w="3184"/>
        <w:gridCol w:w="4354"/>
      </w:tblGrid>
      <w:tr w:rsidR="00B514A9" w:rsidRPr="00B514A9" w14:paraId="22A8B0E5" w14:textId="77777777" w:rsidTr="00B514A9">
        <w:trPr>
          <w:tblHeader/>
          <w:tblCellSpacing w:w="15" w:type="dxa"/>
        </w:trPr>
        <w:tc>
          <w:tcPr>
            <w:tcW w:w="0" w:type="auto"/>
            <w:vAlign w:val="center"/>
            <w:hideMark/>
          </w:tcPr>
          <w:p w14:paraId="017AD348" w14:textId="77777777" w:rsidR="00B514A9" w:rsidRPr="00B514A9" w:rsidRDefault="00B514A9" w:rsidP="00B514A9">
            <w:pPr>
              <w:rPr>
                <w:b/>
                <w:bCs/>
              </w:rPr>
            </w:pPr>
            <w:r w:rsidRPr="00B514A9">
              <w:rPr>
                <w:b/>
                <w:bCs/>
              </w:rPr>
              <w:t>観点</w:t>
            </w:r>
          </w:p>
        </w:tc>
        <w:tc>
          <w:tcPr>
            <w:tcW w:w="0" w:type="auto"/>
            <w:vAlign w:val="center"/>
            <w:hideMark/>
          </w:tcPr>
          <w:p w14:paraId="600820F5" w14:textId="77777777" w:rsidR="00B514A9" w:rsidRPr="00B514A9" w:rsidRDefault="00B514A9" w:rsidP="00B514A9">
            <w:pPr>
              <w:rPr>
                <w:b/>
                <w:bCs/>
              </w:rPr>
            </w:pPr>
            <w:r w:rsidRPr="00B514A9">
              <w:rPr>
                <w:b/>
                <w:bCs/>
              </w:rPr>
              <w:t>旧制度</w:t>
            </w:r>
          </w:p>
        </w:tc>
        <w:tc>
          <w:tcPr>
            <w:tcW w:w="0" w:type="auto"/>
            <w:vAlign w:val="center"/>
            <w:hideMark/>
          </w:tcPr>
          <w:p w14:paraId="32E552DD" w14:textId="77777777" w:rsidR="00B514A9" w:rsidRPr="00B514A9" w:rsidRDefault="00B514A9" w:rsidP="00B514A9">
            <w:pPr>
              <w:rPr>
                <w:b/>
                <w:bCs/>
              </w:rPr>
            </w:pPr>
            <w:r w:rsidRPr="00B514A9">
              <w:rPr>
                <w:b/>
                <w:bCs/>
              </w:rPr>
              <w:t>今回の改正後</w:t>
            </w:r>
          </w:p>
        </w:tc>
      </w:tr>
      <w:tr w:rsidR="00B514A9" w:rsidRPr="00B514A9" w14:paraId="31B42BF4" w14:textId="77777777" w:rsidTr="00B514A9">
        <w:trPr>
          <w:tblCellSpacing w:w="15" w:type="dxa"/>
        </w:trPr>
        <w:tc>
          <w:tcPr>
            <w:tcW w:w="0" w:type="auto"/>
            <w:vAlign w:val="center"/>
            <w:hideMark/>
          </w:tcPr>
          <w:p w14:paraId="3C96F50B" w14:textId="77777777" w:rsidR="00B514A9" w:rsidRPr="00B514A9" w:rsidRDefault="00B514A9" w:rsidP="00B514A9">
            <w:r w:rsidRPr="00B514A9">
              <w:t>認定の煩雑さ</w:t>
            </w:r>
          </w:p>
        </w:tc>
        <w:tc>
          <w:tcPr>
            <w:tcW w:w="0" w:type="auto"/>
            <w:vAlign w:val="center"/>
            <w:hideMark/>
          </w:tcPr>
          <w:p w14:paraId="06437526" w14:textId="77777777" w:rsidR="00B514A9" w:rsidRPr="00B514A9" w:rsidRDefault="00B514A9" w:rsidP="00B514A9">
            <w:r w:rsidRPr="00B514A9">
              <w:t>「特別認定」のハードルが高く、個別交渉が必要な印象</w:t>
            </w:r>
          </w:p>
        </w:tc>
        <w:tc>
          <w:tcPr>
            <w:tcW w:w="0" w:type="auto"/>
            <w:vAlign w:val="center"/>
            <w:hideMark/>
          </w:tcPr>
          <w:p w14:paraId="64F1F796" w14:textId="77777777" w:rsidR="00B514A9" w:rsidRPr="00B514A9" w:rsidRDefault="00B514A9" w:rsidP="00B514A9">
            <w:r w:rsidRPr="00B514A9">
              <w:t>認定制度が標準化・法文化し、より</w:t>
            </w:r>
            <w:r w:rsidRPr="00B514A9">
              <w:rPr>
                <w:b/>
                <w:bCs/>
              </w:rPr>
              <w:t>取得しやすい制度設計</w:t>
            </w:r>
            <w:r w:rsidRPr="00B514A9">
              <w:t>に</w:t>
            </w:r>
          </w:p>
        </w:tc>
      </w:tr>
      <w:tr w:rsidR="00B514A9" w:rsidRPr="00B514A9" w14:paraId="17A16534" w14:textId="77777777" w:rsidTr="00B514A9">
        <w:trPr>
          <w:tblCellSpacing w:w="15" w:type="dxa"/>
        </w:trPr>
        <w:tc>
          <w:tcPr>
            <w:tcW w:w="0" w:type="auto"/>
            <w:vAlign w:val="center"/>
            <w:hideMark/>
          </w:tcPr>
          <w:p w14:paraId="68071025" w14:textId="77777777" w:rsidR="00B514A9" w:rsidRPr="00B514A9" w:rsidRDefault="00B514A9" w:rsidP="00B514A9">
            <w:r w:rsidRPr="00B514A9">
              <w:t>自主回収の実行</w:t>
            </w:r>
          </w:p>
        </w:tc>
        <w:tc>
          <w:tcPr>
            <w:tcW w:w="0" w:type="auto"/>
            <w:vAlign w:val="center"/>
            <w:hideMark/>
          </w:tcPr>
          <w:p w14:paraId="720359D8" w14:textId="77777777" w:rsidR="00B514A9" w:rsidRPr="00B514A9" w:rsidRDefault="00B514A9" w:rsidP="00B514A9">
            <w:r w:rsidRPr="00B514A9">
              <w:t>外部リサイクル業者に依存</w:t>
            </w:r>
          </w:p>
        </w:tc>
        <w:tc>
          <w:tcPr>
            <w:tcW w:w="0" w:type="auto"/>
            <w:vAlign w:val="center"/>
            <w:hideMark/>
          </w:tcPr>
          <w:p w14:paraId="059A9DB9" w14:textId="77777777" w:rsidR="00B514A9" w:rsidRPr="00B514A9" w:rsidRDefault="00B514A9" w:rsidP="00B514A9">
            <w:r w:rsidRPr="00B514A9">
              <w:rPr>
                <w:b/>
                <w:bCs/>
              </w:rPr>
              <w:t>自社ルートでの自主回収・再資源化が可能に</w:t>
            </w:r>
            <w:r w:rsidRPr="00B514A9">
              <w:t>なり、回収・再販モデルを構築可能</w:t>
            </w:r>
          </w:p>
        </w:tc>
      </w:tr>
      <w:tr w:rsidR="00B514A9" w:rsidRPr="00B514A9" w14:paraId="24A5B664" w14:textId="77777777" w:rsidTr="00B514A9">
        <w:trPr>
          <w:tblCellSpacing w:w="15" w:type="dxa"/>
        </w:trPr>
        <w:tc>
          <w:tcPr>
            <w:tcW w:w="0" w:type="auto"/>
            <w:vAlign w:val="center"/>
            <w:hideMark/>
          </w:tcPr>
          <w:p w14:paraId="25B428B3" w14:textId="77777777" w:rsidR="00B514A9" w:rsidRPr="00B514A9" w:rsidRDefault="00B514A9" w:rsidP="00B514A9">
            <w:r w:rsidRPr="00B514A9">
              <w:t>ビジネス化</w:t>
            </w:r>
          </w:p>
        </w:tc>
        <w:tc>
          <w:tcPr>
            <w:tcW w:w="0" w:type="auto"/>
            <w:vAlign w:val="center"/>
            <w:hideMark/>
          </w:tcPr>
          <w:p w14:paraId="0B8A2655" w14:textId="77777777" w:rsidR="00B514A9" w:rsidRPr="00B514A9" w:rsidRDefault="00B514A9" w:rsidP="00B514A9">
            <w:r w:rsidRPr="00B514A9">
              <w:t>CSR・自主対応止まり</w:t>
            </w:r>
          </w:p>
        </w:tc>
        <w:tc>
          <w:tcPr>
            <w:tcW w:w="0" w:type="auto"/>
            <w:vAlign w:val="center"/>
            <w:hideMark/>
          </w:tcPr>
          <w:p w14:paraId="4DED5369" w14:textId="77777777" w:rsidR="00B514A9" w:rsidRPr="00B514A9" w:rsidRDefault="00B514A9" w:rsidP="00B514A9">
            <w:r w:rsidRPr="00B514A9">
              <w:t>廃掃法の許可不要で</w:t>
            </w:r>
            <w:r w:rsidRPr="00B514A9">
              <w:rPr>
                <w:b/>
                <w:bCs/>
              </w:rPr>
              <w:t>事業として展開可能</w:t>
            </w:r>
          </w:p>
        </w:tc>
      </w:tr>
    </w:tbl>
    <w:p w14:paraId="0452EC9A" w14:textId="11287947" w:rsidR="00B514A9" w:rsidRPr="00B514A9" w:rsidRDefault="00B514A9" w:rsidP="00B514A9"/>
    <w:p w14:paraId="7C4B945A" w14:textId="77777777" w:rsidR="00B514A9" w:rsidRPr="00B514A9" w:rsidRDefault="00B514A9" w:rsidP="00B514A9">
      <w:pPr>
        <w:rPr>
          <w:b/>
          <w:bCs/>
        </w:rPr>
      </w:pPr>
      <w:r w:rsidRPr="00B514A9">
        <w:rPr>
          <w:b/>
          <w:bCs/>
        </w:rPr>
        <w:t>2. 販売業（量販店、通販、サブスク事業者）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2018"/>
        <w:gridCol w:w="5269"/>
      </w:tblGrid>
      <w:tr w:rsidR="00B514A9" w:rsidRPr="00B514A9" w14:paraId="195C0F23" w14:textId="77777777" w:rsidTr="00B514A9">
        <w:trPr>
          <w:tblHeader/>
          <w:tblCellSpacing w:w="15" w:type="dxa"/>
        </w:trPr>
        <w:tc>
          <w:tcPr>
            <w:tcW w:w="0" w:type="auto"/>
            <w:vAlign w:val="center"/>
            <w:hideMark/>
          </w:tcPr>
          <w:p w14:paraId="7A873AAD" w14:textId="77777777" w:rsidR="00B514A9" w:rsidRPr="00B514A9" w:rsidRDefault="00B514A9" w:rsidP="00B514A9">
            <w:pPr>
              <w:rPr>
                <w:b/>
                <w:bCs/>
              </w:rPr>
            </w:pPr>
            <w:r w:rsidRPr="00B514A9">
              <w:rPr>
                <w:b/>
                <w:bCs/>
              </w:rPr>
              <w:t>観点</w:t>
            </w:r>
          </w:p>
        </w:tc>
        <w:tc>
          <w:tcPr>
            <w:tcW w:w="0" w:type="auto"/>
            <w:vAlign w:val="center"/>
            <w:hideMark/>
          </w:tcPr>
          <w:p w14:paraId="30E2F3F6" w14:textId="77777777" w:rsidR="00B514A9" w:rsidRPr="00B514A9" w:rsidRDefault="00B514A9" w:rsidP="00B514A9">
            <w:pPr>
              <w:rPr>
                <w:b/>
                <w:bCs/>
              </w:rPr>
            </w:pPr>
            <w:r w:rsidRPr="00B514A9">
              <w:rPr>
                <w:b/>
                <w:bCs/>
              </w:rPr>
              <w:t>旧制度</w:t>
            </w:r>
          </w:p>
        </w:tc>
        <w:tc>
          <w:tcPr>
            <w:tcW w:w="0" w:type="auto"/>
            <w:vAlign w:val="center"/>
            <w:hideMark/>
          </w:tcPr>
          <w:p w14:paraId="0DB5FA9D" w14:textId="77777777" w:rsidR="00B514A9" w:rsidRPr="00B514A9" w:rsidRDefault="00B514A9" w:rsidP="00B514A9">
            <w:pPr>
              <w:rPr>
                <w:b/>
                <w:bCs/>
              </w:rPr>
            </w:pPr>
            <w:r w:rsidRPr="00B514A9">
              <w:rPr>
                <w:b/>
                <w:bCs/>
              </w:rPr>
              <w:t>今回の改正後</w:t>
            </w:r>
          </w:p>
        </w:tc>
      </w:tr>
      <w:tr w:rsidR="00B514A9" w:rsidRPr="00B514A9" w14:paraId="5F60AC8F" w14:textId="77777777" w:rsidTr="00B514A9">
        <w:trPr>
          <w:tblCellSpacing w:w="15" w:type="dxa"/>
        </w:trPr>
        <w:tc>
          <w:tcPr>
            <w:tcW w:w="0" w:type="auto"/>
            <w:vAlign w:val="center"/>
            <w:hideMark/>
          </w:tcPr>
          <w:p w14:paraId="7BBD6ABB" w14:textId="77777777" w:rsidR="00B514A9" w:rsidRPr="00B514A9" w:rsidRDefault="00B514A9" w:rsidP="00B514A9">
            <w:r w:rsidRPr="00B514A9">
              <w:t>回収の位置付け</w:t>
            </w:r>
          </w:p>
        </w:tc>
        <w:tc>
          <w:tcPr>
            <w:tcW w:w="0" w:type="auto"/>
            <w:vAlign w:val="center"/>
            <w:hideMark/>
          </w:tcPr>
          <w:p w14:paraId="2CB490E7" w14:textId="77777777" w:rsidR="00B514A9" w:rsidRPr="00B514A9" w:rsidRDefault="00B514A9" w:rsidP="00B514A9">
            <w:r w:rsidRPr="00B514A9">
              <w:t>回収→委託の流れが基本</w:t>
            </w:r>
          </w:p>
        </w:tc>
        <w:tc>
          <w:tcPr>
            <w:tcW w:w="0" w:type="auto"/>
            <w:vAlign w:val="center"/>
            <w:hideMark/>
          </w:tcPr>
          <w:p w14:paraId="2627C942" w14:textId="77777777" w:rsidR="00B514A9" w:rsidRPr="00B514A9" w:rsidRDefault="00B514A9" w:rsidP="00B514A9">
            <w:r w:rsidRPr="00B514A9">
              <w:t>自主回収と再販・再資源化が</w:t>
            </w:r>
            <w:r w:rsidRPr="00B514A9">
              <w:rPr>
                <w:b/>
                <w:bCs/>
              </w:rPr>
              <w:t>自社で可能</w:t>
            </w:r>
            <w:r w:rsidRPr="00B514A9">
              <w:t>に。特にリース・サブスク型サービスとの親和性が高い</w:t>
            </w:r>
          </w:p>
        </w:tc>
      </w:tr>
      <w:tr w:rsidR="00B514A9" w:rsidRPr="00B514A9" w14:paraId="16BB95BD" w14:textId="77777777" w:rsidTr="00B514A9">
        <w:trPr>
          <w:tblCellSpacing w:w="15" w:type="dxa"/>
        </w:trPr>
        <w:tc>
          <w:tcPr>
            <w:tcW w:w="0" w:type="auto"/>
            <w:vAlign w:val="center"/>
            <w:hideMark/>
          </w:tcPr>
          <w:p w14:paraId="1AC8E403" w14:textId="77777777" w:rsidR="00B514A9" w:rsidRPr="00B514A9" w:rsidRDefault="00B514A9" w:rsidP="00B514A9">
            <w:r w:rsidRPr="00B514A9">
              <w:t>流通と廃棄の線引き</w:t>
            </w:r>
          </w:p>
        </w:tc>
        <w:tc>
          <w:tcPr>
            <w:tcW w:w="0" w:type="auto"/>
            <w:vAlign w:val="center"/>
            <w:hideMark/>
          </w:tcPr>
          <w:p w14:paraId="27DFF672" w14:textId="77777777" w:rsidR="00B514A9" w:rsidRPr="00B514A9" w:rsidRDefault="00B514A9" w:rsidP="00B514A9">
            <w:r w:rsidRPr="00B514A9">
              <w:t>廃棄物になると途端に扱いが難しい</w:t>
            </w:r>
          </w:p>
        </w:tc>
        <w:tc>
          <w:tcPr>
            <w:tcW w:w="0" w:type="auto"/>
            <w:vAlign w:val="center"/>
            <w:hideMark/>
          </w:tcPr>
          <w:p w14:paraId="55FE4576" w14:textId="77777777" w:rsidR="00B514A9" w:rsidRPr="00B514A9" w:rsidRDefault="00B514A9" w:rsidP="00B514A9">
            <w:r w:rsidRPr="00B514A9">
              <w:t>CE事業として明確に**「廃棄物ではない流通」として扱える余地**が広がった</w:t>
            </w:r>
          </w:p>
        </w:tc>
      </w:tr>
    </w:tbl>
    <w:p w14:paraId="356C2D48" w14:textId="58C1424D" w:rsidR="00B514A9" w:rsidRPr="00B514A9" w:rsidRDefault="00B514A9" w:rsidP="00B514A9"/>
    <w:p w14:paraId="1211F0C9" w14:textId="77777777" w:rsidR="00B514A9" w:rsidRPr="00B514A9" w:rsidRDefault="00B514A9" w:rsidP="00B514A9">
      <w:pPr>
        <w:rPr>
          <w:b/>
          <w:bCs/>
        </w:rPr>
      </w:pPr>
      <w:r w:rsidRPr="00B514A9">
        <w:rPr>
          <w:b/>
          <w:bCs/>
        </w:rPr>
        <w:t>3. 資源リサイクル業（素材系・中間処理業者）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8"/>
        <w:gridCol w:w="2436"/>
        <w:gridCol w:w="4520"/>
      </w:tblGrid>
      <w:tr w:rsidR="00B514A9" w:rsidRPr="00B514A9" w14:paraId="6CC552BC" w14:textId="77777777" w:rsidTr="00B514A9">
        <w:trPr>
          <w:tblHeader/>
          <w:tblCellSpacing w:w="15" w:type="dxa"/>
        </w:trPr>
        <w:tc>
          <w:tcPr>
            <w:tcW w:w="0" w:type="auto"/>
            <w:vAlign w:val="center"/>
            <w:hideMark/>
          </w:tcPr>
          <w:p w14:paraId="554F0963" w14:textId="77777777" w:rsidR="00B514A9" w:rsidRPr="00B514A9" w:rsidRDefault="00B514A9" w:rsidP="00B514A9">
            <w:pPr>
              <w:rPr>
                <w:b/>
                <w:bCs/>
              </w:rPr>
            </w:pPr>
            <w:r w:rsidRPr="00B514A9">
              <w:rPr>
                <w:b/>
                <w:bCs/>
              </w:rPr>
              <w:t>観点</w:t>
            </w:r>
          </w:p>
        </w:tc>
        <w:tc>
          <w:tcPr>
            <w:tcW w:w="0" w:type="auto"/>
            <w:vAlign w:val="center"/>
            <w:hideMark/>
          </w:tcPr>
          <w:p w14:paraId="542807E9" w14:textId="77777777" w:rsidR="00B514A9" w:rsidRPr="00B514A9" w:rsidRDefault="00B514A9" w:rsidP="00B514A9">
            <w:pPr>
              <w:rPr>
                <w:b/>
                <w:bCs/>
              </w:rPr>
            </w:pPr>
            <w:r w:rsidRPr="00B514A9">
              <w:rPr>
                <w:b/>
                <w:bCs/>
              </w:rPr>
              <w:t>旧制度</w:t>
            </w:r>
          </w:p>
        </w:tc>
        <w:tc>
          <w:tcPr>
            <w:tcW w:w="0" w:type="auto"/>
            <w:vAlign w:val="center"/>
            <w:hideMark/>
          </w:tcPr>
          <w:p w14:paraId="1EC45388" w14:textId="77777777" w:rsidR="00B514A9" w:rsidRPr="00B514A9" w:rsidRDefault="00B514A9" w:rsidP="00B514A9">
            <w:pPr>
              <w:rPr>
                <w:b/>
                <w:bCs/>
              </w:rPr>
            </w:pPr>
            <w:r w:rsidRPr="00B514A9">
              <w:rPr>
                <w:b/>
                <w:bCs/>
              </w:rPr>
              <w:t>今回の改正後</w:t>
            </w:r>
          </w:p>
        </w:tc>
      </w:tr>
      <w:tr w:rsidR="00B514A9" w:rsidRPr="00B514A9" w14:paraId="399921A4" w14:textId="77777777" w:rsidTr="00B514A9">
        <w:trPr>
          <w:tblCellSpacing w:w="15" w:type="dxa"/>
        </w:trPr>
        <w:tc>
          <w:tcPr>
            <w:tcW w:w="0" w:type="auto"/>
            <w:vAlign w:val="center"/>
            <w:hideMark/>
          </w:tcPr>
          <w:p w14:paraId="6903D754" w14:textId="77777777" w:rsidR="00B514A9" w:rsidRPr="00B514A9" w:rsidRDefault="00B514A9" w:rsidP="00B514A9">
            <w:r w:rsidRPr="00B514A9">
              <w:t>廃棄物の扱い</w:t>
            </w:r>
          </w:p>
        </w:tc>
        <w:tc>
          <w:tcPr>
            <w:tcW w:w="0" w:type="auto"/>
            <w:vAlign w:val="center"/>
            <w:hideMark/>
          </w:tcPr>
          <w:p w14:paraId="5368940C" w14:textId="77777777" w:rsidR="00B514A9" w:rsidRPr="00B514A9" w:rsidRDefault="00B514A9" w:rsidP="00B514A9">
            <w:r w:rsidRPr="00B514A9">
              <w:t>一般廃棄物と認定されると取り扱いに規制</w:t>
            </w:r>
          </w:p>
        </w:tc>
        <w:tc>
          <w:tcPr>
            <w:tcW w:w="0" w:type="auto"/>
            <w:vAlign w:val="center"/>
            <w:hideMark/>
          </w:tcPr>
          <w:p w14:paraId="6E0464BA" w14:textId="77777777" w:rsidR="00B514A9" w:rsidRPr="00B514A9" w:rsidRDefault="00B514A9" w:rsidP="00B514A9">
            <w:r w:rsidRPr="00B514A9">
              <w:rPr>
                <w:b/>
                <w:bCs/>
              </w:rPr>
              <w:t>特定の認定を得れば、素材としての取り扱いがスムーズ</w:t>
            </w:r>
            <w:r w:rsidRPr="00B514A9">
              <w:t>に（処理から資源利用へ）</w:t>
            </w:r>
          </w:p>
        </w:tc>
      </w:tr>
      <w:tr w:rsidR="00B514A9" w:rsidRPr="00B514A9" w14:paraId="753CF640" w14:textId="77777777" w:rsidTr="00B514A9">
        <w:trPr>
          <w:tblCellSpacing w:w="15" w:type="dxa"/>
        </w:trPr>
        <w:tc>
          <w:tcPr>
            <w:tcW w:w="0" w:type="auto"/>
            <w:vAlign w:val="center"/>
            <w:hideMark/>
          </w:tcPr>
          <w:p w14:paraId="42AC63F9" w14:textId="77777777" w:rsidR="00B514A9" w:rsidRPr="00B514A9" w:rsidRDefault="00B514A9" w:rsidP="00B514A9">
            <w:r w:rsidRPr="00B514A9">
              <w:t>サプライチェーンとの連携</w:t>
            </w:r>
          </w:p>
        </w:tc>
        <w:tc>
          <w:tcPr>
            <w:tcW w:w="0" w:type="auto"/>
            <w:vAlign w:val="center"/>
            <w:hideMark/>
          </w:tcPr>
          <w:p w14:paraId="6A8427AA" w14:textId="77777777" w:rsidR="00B514A9" w:rsidRPr="00B514A9" w:rsidRDefault="00B514A9" w:rsidP="00B514A9">
            <w:r w:rsidRPr="00B514A9">
              <w:t>製造・販売側との連携が弱かった</w:t>
            </w:r>
          </w:p>
        </w:tc>
        <w:tc>
          <w:tcPr>
            <w:tcW w:w="0" w:type="auto"/>
            <w:vAlign w:val="center"/>
            <w:hideMark/>
          </w:tcPr>
          <w:p w14:paraId="6AF28749" w14:textId="77777777" w:rsidR="00B514A9" w:rsidRPr="00B514A9" w:rsidRDefault="00B514A9" w:rsidP="00B514A9">
            <w:r w:rsidRPr="00B514A9">
              <w:rPr>
                <w:b/>
                <w:bCs/>
              </w:rPr>
              <w:t>設計認定や製品指定制度との連動で連携が容易に</w:t>
            </w:r>
          </w:p>
        </w:tc>
      </w:tr>
    </w:tbl>
    <w:p w14:paraId="3EBFE378" w14:textId="091975F1" w:rsidR="00B514A9" w:rsidRPr="00B514A9" w:rsidRDefault="00B514A9" w:rsidP="00B514A9"/>
    <w:p w14:paraId="628653EC" w14:textId="77777777" w:rsidR="00B514A9" w:rsidRPr="00B514A9" w:rsidRDefault="00B514A9" w:rsidP="00B514A9">
      <w:pPr>
        <w:rPr>
          <w:b/>
          <w:bCs/>
        </w:rPr>
      </w:pPr>
      <w:r w:rsidRPr="00B514A9">
        <w:rPr>
          <w:b/>
          <w:bCs/>
        </w:rPr>
        <w:t>4. リユース・修理業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gridCol w:w="2116"/>
        <w:gridCol w:w="5392"/>
      </w:tblGrid>
      <w:tr w:rsidR="00B514A9" w:rsidRPr="00B514A9" w14:paraId="5CED7F38" w14:textId="77777777" w:rsidTr="00B514A9">
        <w:trPr>
          <w:tblHeader/>
          <w:tblCellSpacing w:w="15" w:type="dxa"/>
        </w:trPr>
        <w:tc>
          <w:tcPr>
            <w:tcW w:w="0" w:type="auto"/>
            <w:vAlign w:val="center"/>
            <w:hideMark/>
          </w:tcPr>
          <w:p w14:paraId="564E8310" w14:textId="77777777" w:rsidR="00B514A9" w:rsidRPr="00B514A9" w:rsidRDefault="00B514A9" w:rsidP="00B514A9">
            <w:pPr>
              <w:rPr>
                <w:b/>
                <w:bCs/>
              </w:rPr>
            </w:pPr>
            <w:r w:rsidRPr="00B514A9">
              <w:rPr>
                <w:b/>
                <w:bCs/>
              </w:rPr>
              <w:t>観点</w:t>
            </w:r>
          </w:p>
        </w:tc>
        <w:tc>
          <w:tcPr>
            <w:tcW w:w="0" w:type="auto"/>
            <w:vAlign w:val="center"/>
            <w:hideMark/>
          </w:tcPr>
          <w:p w14:paraId="1D06E018" w14:textId="77777777" w:rsidR="00B514A9" w:rsidRPr="00B514A9" w:rsidRDefault="00B514A9" w:rsidP="00B514A9">
            <w:pPr>
              <w:rPr>
                <w:b/>
                <w:bCs/>
              </w:rPr>
            </w:pPr>
            <w:r w:rsidRPr="00B514A9">
              <w:rPr>
                <w:b/>
                <w:bCs/>
              </w:rPr>
              <w:t>旧制度</w:t>
            </w:r>
          </w:p>
        </w:tc>
        <w:tc>
          <w:tcPr>
            <w:tcW w:w="0" w:type="auto"/>
            <w:vAlign w:val="center"/>
            <w:hideMark/>
          </w:tcPr>
          <w:p w14:paraId="2BCFC60C" w14:textId="77777777" w:rsidR="00B514A9" w:rsidRPr="00B514A9" w:rsidRDefault="00B514A9" w:rsidP="00B514A9">
            <w:pPr>
              <w:rPr>
                <w:b/>
                <w:bCs/>
              </w:rPr>
            </w:pPr>
            <w:r w:rsidRPr="00B514A9">
              <w:rPr>
                <w:b/>
                <w:bCs/>
              </w:rPr>
              <w:t>今回の改正後</w:t>
            </w:r>
          </w:p>
        </w:tc>
      </w:tr>
      <w:tr w:rsidR="00B514A9" w:rsidRPr="00B514A9" w14:paraId="3CDF4204" w14:textId="77777777" w:rsidTr="00B514A9">
        <w:trPr>
          <w:tblCellSpacing w:w="15" w:type="dxa"/>
        </w:trPr>
        <w:tc>
          <w:tcPr>
            <w:tcW w:w="0" w:type="auto"/>
            <w:vAlign w:val="center"/>
            <w:hideMark/>
          </w:tcPr>
          <w:p w14:paraId="1E365E6A" w14:textId="77777777" w:rsidR="00B514A9" w:rsidRPr="00B514A9" w:rsidRDefault="00B514A9" w:rsidP="00B514A9">
            <w:r w:rsidRPr="00B514A9">
              <w:t>製品の回収</w:t>
            </w:r>
          </w:p>
        </w:tc>
        <w:tc>
          <w:tcPr>
            <w:tcW w:w="0" w:type="auto"/>
            <w:vAlign w:val="center"/>
            <w:hideMark/>
          </w:tcPr>
          <w:p w14:paraId="26D0BE88" w14:textId="77777777" w:rsidR="00B514A9" w:rsidRPr="00B514A9" w:rsidRDefault="00B514A9" w:rsidP="00B514A9">
            <w:r w:rsidRPr="00B514A9">
              <w:t>廃掃法の線引きに注意を要した</w:t>
            </w:r>
          </w:p>
        </w:tc>
        <w:tc>
          <w:tcPr>
            <w:tcW w:w="0" w:type="auto"/>
            <w:vAlign w:val="center"/>
            <w:hideMark/>
          </w:tcPr>
          <w:p w14:paraId="312A3FD3" w14:textId="77777777" w:rsidR="00B514A9" w:rsidRPr="00B514A9" w:rsidRDefault="00B514A9" w:rsidP="00B514A9">
            <w:r w:rsidRPr="00B514A9">
              <w:t>認定を受ければ</w:t>
            </w:r>
            <w:r w:rsidRPr="00B514A9">
              <w:rPr>
                <w:b/>
                <w:bCs/>
              </w:rPr>
              <w:t>廃棄物扱いにならずに流通可能</w:t>
            </w:r>
            <w:r w:rsidRPr="00B514A9">
              <w:t>になりやすい（例：故障品回収）</w:t>
            </w:r>
          </w:p>
        </w:tc>
      </w:tr>
      <w:tr w:rsidR="00B514A9" w:rsidRPr="00B514A9" w14:paraId="619FA91B" w14:textId="77777777" w:rsidTr="00B514A9">
        <w:trPr>
          <w:tblCellSpacing w:w="15" w:type="dxa"/>
        </w:trPr>
        <w:tc>
          <w:tcPr>
            <w:tcW w:w="0" w:type="auto"/>
            <w:vAlign w:val="center"/>
            <w:hideMark/>
          </w:tcPr>
          <w:p w14:paraId="5BF46E6A" w14:textId="77777777" w:rsidR="00B514A9" w:rsidRPr="00B514A9" w:rsidRDefault="00B514A9" w:rsidP="00B514A9">
            <w:r w:rsidRPr="00B514A9">
              <w:t>取扱品の増加</w:t>
            </w:r>
          </w:p>
        </w:tc>
        <w:tc>
          <w:tcPr>
            <w:tcW w:w="0" w:type="auto"/>
            <w:vAlign w:val="center"/>
            <w:hideMark/>
          </w:tcPr>
          <w:p w14:paraId="4B3CC5FA" w14:textId="77777777" w:rsidR="00B514A9" w:rsidRPr="00B514A9" w:rsidRDefault="00B514A9" w:rsidP="00B514A9">
            <w:r w:rsidRPr="00B514A9">
              <w:t>修理不可品は扱えなかった</w:t>
            </w:r>
          </w:p>
        </w:tc>
        <w:tc>
          <w:tcPr>
            <w:tcW w:w="0" w:type="auto"/>
            <w:vAlign w:val="center"/>
            <w:hideMark/>
          </w:tcPr>
          <w:p w14:paraId="7583F01E" w14:textId="77777777" w:rsidR="00B514A9" w:rsidRPr="00B514A9" w:rsidRDefault="00B514A9" w:rsidP="00B514A9">
            <w:r w:rsidRPr="00B514A9">
              <w:rPr>
                <w:b/>
                <w:bCs/>
              </w:rPr>
              <w:t>素材・部品としての再資源化へ転換しやすくなった</w:t>
            </w:r>
          </w:p>
        </w:tc>
      </w:tr>
    </w:tbl>
    <w:p w14:paraId="4527548A" w14:textId="30CE5C98" w:rsidR="00B514A9" w:rsidRPr="00B514A9" w:rsidRDefault="00B514A9" w:rsidP="00B514A9"/>
    <w:p w14:paraId="10E302E9" w14:textId="77777777" w:rsidR="00B514A9" w:rsidRPr="00B514A9" w:rsidRDefault="00B514A9" w:rsidP="00B514A9">
      <w:pPr>
        <w:rPr>
          <w:b/>
          <w:bCs/>
        </w:rPr>
      </w:pPr>
      <w:r w:rsidRPr="00B514A9">
        <w:rPr>
          <w:b/>
          <w:bCs/>
        </w:rPr>
        <w:t>5. 自治体（特にモデル事業を目指す地方自治体）</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8"/>
        <w:gridCol w:w="2393"/>
        <w:gridCol w:w="5143"/>
      </w:tblGrid>
      <w:tr w:rsidR="00B514A9" w:rsidRPr="00B514A9" w14:paraId="751C7855" w14:textId="77777777" w:rsidTr="00B514A9">
        <w:trPr>
          <w:tblHeader/>
          <w:tblCellSpacing w:w="15" w:type="dxa"/>
        </w:trPr>
        <w:tc>
          <w:tcPr>
            <w:tcW w:w="0" w:type="auto"/>
            <w:vAlign w:val="center"/>
            <w:hideMark/>
          </w:tcPr>
          <w:p w14:paraId="6FF350C6" w14:textId="77777777" w:rsidR="00B514A9" w:rsidRPr="00B514A9" w:rsidRDefault="00B514A9" w:rsidP="00B514A9">
            <w:pPr>
              <w:rPr>
                <w:b/>
                <w:bCs/>
              </w:rPr>
            </w:pPr>
            <w:r w:rsidRPr="00B514A9">
              <w:rPr>
                <w:b/>
                <w:bCs/>
              </w:rPr>
              <w:t>観点</w:t>
            </w:r>
          </w:p>
        </w:tc>
        <w:tc>
          <w:tcPr>
            <w:tcW w:w="0" w:type="auto"/>
            <w:vAlign w:val="center"/>
            <w:hideMark/>
          </w:tcPr>
          <w:p w14:paraId="646EBB9B" w14:textId="77777777" w:rsidR="00B514A9" w:rsidRPr="00B514A9" w:rsidRDefault="00B514A9" w:rsidP="00B514A9">
            <w:pPr>
              <w:rPr>
                <w:b/>
                <w:bCs/>
              </w:rPr>
            </w:pPr>
            <w:r w:rsidRPr="00B514A9">
              <w:rPr>
                <w:b/>
                <w:bCs/>
              </w:rPr>
              <w:t>旧制度</w:t>
            </w:r>
          </w:p>
        </w:tc>
        <w:tc>
          <w:tcPr>
            <w:tcW w:w="0" w:type="auto"/>
            <w:vAlign w:val="center"/>
            <w:hideMark/>
          </w:tcPr>
          <w:p w14:paraId="072016EF" w14:textId="77777777" w:rsidR="00B514A9" w:rsidRPr="00B514A9" w:rsidRDefault="00B514A9" w:rsidP="00B514A9">
            <w:pPr>
              <w:rPr>
                <w:b/>
                <w:bCs/>
              </w:rPr>
            </w:pPr>
            <w:r w:rsidRPr="00B514A9">
              <w:rPr>
                <w:b/>
                <w:bCs/>
              </w:rPr>
              <w:t>今回の改正後</w:t>
            </w:r>
          </w:p>
        </w:tc>
      </w:tr>
      <w:tr w:rsidR="00B514A9" w:rsidRPr="00B514A9" w14:paraId="59DE3060" w14:textId="77777777" w:rsidTr="00B514A9">
        <w:trPr>
          <w:tblCellSpacing w:w="15" w:type="dxa"/>
        </w:trPr>
        <w:tc>
          <w:tcPr>
            <w:tcW w:w="0" w:type="auto"/>
            <w:vAlign w:val="center"/>
            <w:hideMark/>
          </w:tcPr>
          <w:p w14:paraId="604146D8" w14:textId="77777777" w:rsidR="00B514A9" w:rsidRPr="00B514A9" w:rsidRDefault="00B514A9" w:rsidP="00B514A9">
            <w:r w:rsidRPr="00B514A9">
              <w:t>公的回収</w:t>
            </w:r>
          </w:p>
        </w:tc>
        <w:tc>
          <w:tcPr>
            <w:tcW w:w="0" w:type="auto"/>
            <w:vAlign w:val="center"/>
            <w:hideMark/>
          </w:tcPr>
          <w:p w14:paraId="4347B0F3" w14:textId="77777777" w:rsidR="00B514A9" w:rsidRPr="00B514A9" w:rsidRDefault="00B514A9" w:rsidP="00B514A9">
            <w:r w:rsidRPr="00B514A9">
              <w:t>一般廃棄物処理の枠組みに縛られた</w:t>
            </w:r>
          </w:p>
        </w:tc>
        <w:tc>
          <w:tcPr>
            <w:tcW w:w="0" w:type="auto"/>
            <w:vAlign w:val="center"/>
            <w:hideMark/>
          </w:tcPr>
          <w:p w14:paraId="305C2402" w14:textId="77777777" w:rsidR="00B514A9" w:rsidRPr="00B514A9" w:rsidRDefault="00B514A9" w:rsidP="00B514A9">
            <w:r w:rsidRPr="00B514A9">
              <w:t>民間連携での</w:t>
            </w:r>
            <w:r w:rsidRPr="00B514A9">
              <w:rPr>
                <w:b/>
                <w:bCs/>
              </w:rPr>
              <w:t>回収・再資源化・再流通の事業化が制度的に支援されやすくなった</w:t>
            </w:r>
          </w:p>
        </w:tc>
      </w:tr>
      <w:tr w:rsidR="00B514A9" w:rsidRPr="00B514A9" w14:paraId="15800BE5" w14:textId="77777777" w:rsidTr="00B514A9">
        <w:trPr>
          <w:tblCellSpacing w:w="15" w:type="dxa"/>
        </w:trPr>
        <w:tc>
          <w:tcPr>
            <w:tcW w:w="0" w:type="auto"/>
            <w:vAlign w:val="center"/>
            <w:hideMark/>
          </w:tcPr>
          <w:p w14:paraId="3BF2AFF0" w14:textId="77777777" w:rsidR="00B514A9" w:rsidRPr="00B514A9" w:rsidRDefault="00B514A9" w:rsidP="00B514A9">
            <w:r w:rsidRPr="00B514A9">
              <w:t>地域資源循環</w:t>
            </w:r>
          </w:p>
        </w:tc>
        <w:tc>
          <w:tcPr>
            <w:tcW w:w="0" w:type="auto"/>
            <w:vAlign w:val="center"/>
            <w:hideMark/>
          </w:tcPr>
          <w:p w14:paraId="68545497" w14:textId="77777777" w:rsidR="00B514A9" w:rsidRPr="00B514A9" w:rsidRDefault="00B514A9" w:rsidP="00B514A9">
            <w:r w:rsidRPr="00B514A9">
              <w:t>焼却・埋立中心</w:t>
            </w:r>
          </w:p>
        </w:tc>
        <w:tc>
          <w:tcPr>
            <w:tcW w:w="0" w:type="auto"/>
            <w:vAlign w:val="center"/>
            <w:hideMark/>
          </w:tcPr>
          <w:p w14:paraId="063E0CDC" w14:textId="77777777" w:rsidR="00B514A9" w:rsidRPr="00B514A9" w:rsidRDefault="00B514A9" w:rsidP="00B514A9">
            <w:r w:rsidRPr="00B514A9">
              <w:t>地産地消型のCEモデルの創出が可能</w:t>
            </w:r>
          </w:p>
        </w:tc>
      </w:tr>
    </w:tbl>
    <w:p w14:paraId="6C551DF7" w14:textId="37DE81F5" w:rsidR="00B514A9" w:rsidRPr="00B514A9" w:rsidRDefault="00B514A9" w:rsidP="00B514A9"/>
    <w:p w14:paraId="186B7B67" w14:textId="77777777" w:rsidR="00B514A9" w:rsidRPr="00B514A9" w:rsidRDefault="00B514A9" w:rsidP="00B514A9">
      <w:pPr>
        <w:rPr>
          <w:b/>
          <w:bCs/>
        </w:rPr>
      </w:pPr>
      <w:r w:rsidRPr="00B514A9">
        <w:rPr>
          <w:b/>
          <w:bCs/>
        </w:rPr>
        <w:t>6. 新規CEベンチャー（スタートアップ）</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3"/>
        <w:gridCol w:w="2389"/>
        <w:gridCol w:w="5352"/>
      </w:tblGrid>
      <w:tr w:rsidR="00B514A9" w:rsidRPr="00B514A9" w14:paraId="477DFAC0" w14:textId="77777777" w:rsidTr="00B514A9">
        <w:trPr>
          <w:tblHeader/>
          <w:tblCellSpacing w:w="15" w:type="dxa"/>
        </w:trPr>
        <w:tc>
          <w:tcPr>
            <w:tcW w:w="0" w:type="auto"/>
            <w:vAlign w:val="center"/>
            <w:hideMark/>
          </w:tcPr>
          <w:p w14:paraId="6E69DCD5" w14:textId="77777777" w:rsidR="00B514A9" w:rsidRPr="00B514A9" w:rsidRDefault="00B514A9" w:rsidP="00B514A9">
            <w:pPr>
              <w:rPr>
                <w:b/>
                <w:bCs/>
              </w:rPr>
            </w:pPr>
            <w:r w:rsidRPr="00B514A9">
              <w:rPr>
                <w:b/>
                <w:bCs/>
              </w:rPr>
              <w:t>観点</w:t>
            </w:r>
          </w:p>
        </w:tc>
        <w:tc>
          <w:tcPr>
            <w:tcW w:w="0" w:type="auto"/>
            <w:vAlign w:val="center"/>
            <w:hideMark/>
          </w:tcPr>
          <w:p w14:paraId="6E49BCFB" w14:textId="77777777" w:rsidR="00B514A9" w:rsidRPr="00B514A9" w:rsidRDefault="00B514A9" w:rsidP="00B514A9">
            <w:pPr>
              <w:rPr>
                <w:b/>
                <w:bCs/>
              </w:rPr>
            </w:pPr>
            <w:r w:rsidRPr="00B514A9">
              <w:rPr>
                <w:b/>
                <w:bCs/>
              </w:rPr>
              <w:t>旧制度</w:t>
            </w:r>
          </w:p>
        </w:tc>
        <w:tc>
          <w:tcPr>
            <w:tcW w:w="0" w:type="auto"/>
            <w:vAlign w:val="center"/>
            <w:hideMark/>
          </w:tcPr>
          <w:p w14:paraId="1DE3CEB7" w14:textId="77777777" w:rsidR="00B514A9" w:rsidRPr="00B514A9" w:rsidRDefault="00B514A9" w:rsidP="00B514A9">
            <w:pPr>
              <w:rPr>
                <w:b/>
                <w:bCs/>
              </w:rPr>
            </w:pPr>
            <w:r w:rsidRPr="00B514A9">
              <w:rPr>
                <w:b/>
                <w:bCs/>
              </w:rPr>
              <w:t>今回の改正後</w:t>
            </w:r>
          </w:p>
        </w:tc>
      </w:tr>
      <w:tr w:rsidR="00B514A9" w:rsidRPr="00B514A9" w14:paraId="05758656" w14:textId="77777777" w:rsidTr="00B514A9">
        <w:trPr>
          <w:tblCellSpacing w:w="15" w:type="dxa"/>
        </w:trPr>
        <w:tc>
          <w:tcPr>
            <w:tcW w:w="0" w:type="auto"/>
            <w:vAlign w:val="center"/>
            <w:hideMark/>
          </w:tcPr>
          <w:p w14:paraId="47098166" w14:textId="77777777" w:rsidR="00B514A9" w:rsidRPr="00B514A9" w:rsidRDefault="00B514A9" w:rsidP="00B514A9">
            <w:r w:rsidRPr="00B514A9">
              <w:t>参入障壁</w:t>
            </w:r>
          </w:p>
        </w:tc>
        <w:tc>
          <w:tcPr>
            <w:tcW w:w="0" w:type="auto"/>
            <w:vAlign w:val="center"/>
            <w:hideMark/>
          </w:tcPr>
          <w:p w14:paraId="52B6043D" w14:textId="77777777" w:rsidR="00B514A9" w:rsidRPr="00B514A9" w:rsidRDefault="00B514A9" w:rsidP="00B514A9">
            <w:r w:rsidRPr="00B514A9">
              <w:t>許可取得・規制理解のコストが高かった</w:t>
            </w:r>
          </w:p>
        </w:tc>
        <w:tc>
          <w:tcPr>
            <w:tcW w:w="0" w:type="auto"/>
            <w:vAlign w:val="center"/>
            <w:hideMark/>
          </w:tcPr>
          <w:p w14:paraId="2BCD7E5D" w14:textId="77777777" w:rsidR="00B514A9" w:rsidRPr="00B514A9" w:rsidRDefault="00B514A9" w:rsidP="00B514A9">
            <w:r w:rsidRPr="00B514A9">
              <w:rPr>
                <w:b/>
                <w:bCs/>
              </w:rPr>
              <w:t>認定制度を通じて明確な条件でビジネス展開が可能に</w:t>
            </w:r>
            <w:r w:rsidRPr="00B514A9">
              <w:t>（例：家電のアップサイクル事業など）</w:t>
            </w:r>
          </w:p>
        </w:tc>
      </w:tr>
      <w:tr w:rsidR="00B514A9" w:rsidRPr="00B514A9" w14:paraId="702F9E91" w14:textId="77777777" w:rsidTr="00B514A9">
        <w:trPr>
          <w:tblCellSpacing w:w="15" w:type="dxa"/>
        </w:trPr>
        <w:tc>
          <w:tcPr>
            <w:tcW w:w="0" w:type="auto"/>
            <w:vAlign w:val="center"/>
            <w:hideMark/>
          </w:tcPr>
          <w:p w14:paraId="08AF4ED6" w14:textId="77777777" w:rsidR="00B514A9" w:rsidRPr="00B514A9" w:rsidRDefault="00B514A9" w:rsidP="00B514A9">
            <w:r w:rsidRPr="00B514A9">
              <w:t>投資家評価</w:t>
            </w:r>
          </w:p>
        </w:tc>
        <w:tc>
          <w:tcPr>
            <w:tcW w:w="0" w:type="auto"/>
            <w:vAlign w:val="center"/>
            <w:hideMark/>
          </w:tcPr>
          <w:p w14:paraId="4870270E" w14:textId="77777777" w:rsidR="00B514A9" w:rsidRPr="00B514A9" w:rsidRDefault="00B514A9" w:rsidP="00B514A9">
            <w:r w:rsidRPr="00B514A9">
              <w:t>廃掃法リスクがネックになった</w:t>
            </w:r>
          </w:p>
        </w:tc>
        <w:tc>
          <w:tcPr>
            <w:tcW w:w="0" w:type="auto"/>
            <w:vAlign w:val="center"/>
            <w:hideMark/>
          </w:tcPr>
          <w:p w14:paraId="11973096" w14:textId="77777777" w:rsidR="00B514A9" w:rsidRPr="00B514A9" w:rsidRDefault="00B514A9" w:rsidP="00B514A9">
            <w:r w:rsidRPr="00B514A9">
              <w:rPr>
                <w:b/>
                <w:bCs/>
              </w:rPr>
              <w:t>法的安定性のある認定取得により信頼性が向上</w:t>
            </w:r>
            <w:r w:rsidRPr="00B514A9">
              <w:t>、ESG評価にもプラス</w:t>
            </w:r>
          </w:p>
        </w:tc>
      </w:tr>
    </w:tbl>
    <w:p w14:paraId="6C597CC5" w14:textId="2245881C" w:rsidR="00B514A9" w:rsidRPr="00B514A9" w:rsidRDefault="007F4080" w:rsidP="00B514A9">
      <w:r>
        <w:br/>
      </w:r>
      <w:r w:rsidR="00B514A9" w:rsidRPr="00B514A9">
        <w:t>今回の「廃掃法許可不要」の簡素化は、</w:t>
      </w:r>
      <w:r w:rsidR="00B514A9" w:rsidRPr="00B514A9">
        <w:rPr>
          <w:b/>
          <w:bCs/>
        </w:rPr>
        <w:t>CE型ビジネスを主軸とする製造・流通・サービス業において、法的な障壁を一段階取り除き、事業化を進める制度的土台の拡充</w:t>
      </w:r>
      <w:r w:rsidR="00B514A9" w:rsidRPr="00B514A9">
        <w:t>といえま</w:t>
      </w:r>
      <w:r>
        <w:rPr>
          <w:rFonts w:hint="eastAsia"/>
        </w:rPr>
        <w:t>る</w:t>
      </w:r>
      <w:r w:rsidR="00B514A9" w:rsidRPr="00B514A9">
        <w:t>。特に、製造と流通、再生・修理が</w:t>
      </w:r>
      <w:r w:rsidR="00B514A9" w:rsidRPr="00B514A9">
        <w:rPr>
          <w:b/>
          <w:bCs/>
        </w:rPr>
        <w:t>「廃棄物」か「資源」かの分岐点をまたいで一体化して設計・運用できるようにな</w:t>
      </w:r>
      <w:r w:rsidR="00970A0B">
        <w:rPr>
          <w:rFonts w:hint="eastAsia"/>
          <w:b/>
          <w:bCs/>
        </w:rPr>
        <w:t>りうる</w:t>
      </w:r>
      <w:r w:rsidR="00B514A9" w:rsidRPr="00B514A9">
        <w:t>意義は大きい。</w:t>
      </w:r>
    </w:p>
    <w:p w14:paraId="58D59440" w14:textId="77777777" w:rsidR="00D13756" w:rsidRDefault="00D13756" w:rsidP="008B036A"/>
    <w:p w14:paraId="0D5A12CD" w14:textId="598FDB68" w:rsidR="00CA2EDE" w:rsidRDefault="0003535E" w:rsidP="00D13756">
      <w:pPr>
        <w:pStyle w:val="a9"/>
        <w:numPr>
          <w:ilvl w:val="0"/>
          <w:numId w:val="1"/>
        </w:numPr>
      </w:pPr>
      <w:r w:rsidRPr="0003535E">
        <w:t>「指定脱炭素化再生資源利用促進事業」</w:t>
      </w:r>
      <w:r>
        <w:rPr>
          <w:rFonts w:hint="eastAsia"/>
        </w:rPr>
        <w:t>と</w:t>
      </w:r>
      <w:r w:rsidR="00CA2EDE">
        <w:rPr>
          <w:rFonts w:hint="eastAsia"/>
        </w:rPr>
        <w:t>財政</w:t>
      </w:r>
      <w:r w:rsidR="007C1514">
        <w:rPr>
          <w:rFonts w:hint="eastAsia"/>
        </w:rPr>
        <w:t>支援</w:t>
      </w:r>
      <w:r w:rsidR="00CA2EDE">
        <w:rPr>
          <w:rFonts w:hint="eastAsia"/>
        </w:rPr>
        <w:t>制度について</w:t>
      </w:r>
    </w:p>
    <w:p w14:paraId="28B3B143" w14:textId="77777777" w:rsidR="00DC240B" w:rsidRDefault="00DC240B" w:rsidP="00DC240B">
      <w:pPr>
        <w:pStyle w:val="a9"/>
        <w:ind w:left="360"/>
        <w:rPr>
          <w:rFonts w:hint="eastAsia"/>
        </w:rPr>
      </w:pPr>
    </w:p>
    <w:p w14:paraId="32D32FA1" w14:textId="357DBC94" w:rsidR="00CA2EDE" w:rsidRDefault="00CA2EDE" w:rsidP="00CA2EDE">
      <w:pPr>
        <w:ind w:firstLineChars="100" w:firstLine="210"/>
      </w:pPr>
      <w:r>
        <w:rPr>
          <w:rFonts w:hint="eastAsia"/>
        </w:rPr>
        <w:t>現業で循環ビジネスにかかわっている経済主体にとって、その経済</w:t>
      </w:r>
      <w:r w:rsidR="003D37FD">
        <w:rPr>
          <w:rFonts w:hint="eastAsia"/>
        </w:rPr>
        <w:t>行為</w:t>
      </w:r>
      <w:r>
        <w:rPr>
          <w:rFonts w:hint="eastAsia"/>
        </w:rPr>
        <w:t>に対して</w:t>
      </w:r>
      <w:r w:rsidR="003D37FD">
        <w:rPr>
          <w:rFonts w:hint="eastAsia"/>
        </w:rPr>
        <w:t>国がいかなる支援を行うかは重要な事項である。</w:t>
      </w:r>
      <w:r w:rsidR="00E7392B">
        <w:rPr>
          <w:rFonts w:hint="eastAsia"/>
        </w:rPr>
        <w:t>今回の改定で</w:t>
      </w:r>
      <w:r w:rsidR="007D42C5">
        <w:rPr>
          <w:rFonts w:hint="eastAsia"/>
        </w:rPr>
        <w:t>特徴的なものは、</w:t>
      </w:r>
      <w:r w:rsidR="007D42C5" w:rsidRPr="0003535E">
        <w:t>「指定脱炭素化再生資源利用促進事業」</w:t>
      </w:r>
      <w:r w:rsidR="007D42C5">
        <w:rPr>
          <w:rFonts w:hint="eastAsia"/>
        </w:rPr>
        <w:t>というもまを欠欠けたことである。</w:t>
      </w:r>
      <w:r w:rsidR="00F03F0E">
        <w:rPr>
          <w:rFonts w:hint="eastAsia"/>
        </w:rPr>
        <w:t>これは、サーキュラーエコノミーの文脈を脱炭素の下に置いてしまうという意味では</w:t>
      </w:r>
      <w:r w:rsidR="00D0298A">
        <w:rPr>
          <w:rFonts w:hint="eastAsia"/>
        </w:rPr>
        <w:t>、まだまだ議論の</w:t>
      </w:r>
      <w:r w:rsidR="009677C0">
        <w:rPr>
          <w:rFonts w:hint="eastAsia"/>
        </w:rPr>
        <w:t>あ</w:t>
      </w:r>
      <w:r w:rsidR="00D0298A">
        <w:rPr>
          <w:rFonts w:hint="eastAsia"/>
        </w:rPr>
        <w:t>るところであるが、実利的な面では</w:t>
      </w:r>
      <w:r w:rsidR="009677C0">
        <w:rPr>
          <w:rFonts w:hint="eastAsia"/>
        </w:rPr>
        <w:t>、</w:t>
      </w:r>
      <w:r w:rsidR="00424D29">
        <w:rPr>
          <w:rFonts w:hint="eastAsia"/>
        </w:rPr>
        <w:t>循環を脱炭素と結びつけることで、</w:t>
      </w:r>
      <w:r w:rsidR="001B386E">
        <w:rPr>
          <w:rFonts w:hint="eastAsia"/>
        </w:rPr>
        <w:t>国家余蘊の中の「循環」にかんするささやかな手持ちカード</w:t>
      </w:r>
      <w:r w:rsidR="00530ABE">
        <w:rPr>
          <w:rFonts w:hint="eastAsia"/>
        </w:rPr>
        <w:t>を離れて、</w:t>
      </w:r>
      <w:r w:rsidR="00424D29">
        <w:rPr>
          <w:rFonts w:hint="eastAsia"/>
        </w:rPr>
        <w:t>財政的な支援体制をとらせる</w:t>
      </w:r>
      <w:r w:rsidR="00724CC3">
        <w:rPr>
          <w:rFonts w:hint="eastAsia"/>
        </w:rPr>
        <w:t>ことのできる、戦術的作戦として評価することができる。</w:t>
      </w:r>
    </w:p>
    <w:p w14:paraId="246CE558" w14:textId="6C1C614E" w:rsidR="00530ABE" w:rsidRPr="00530ABE" w:rsidRDefault="00530ABE" w:rsidP="00530ABE">
      <w:pPr>
        <w:ind w:firstLineChars="100" w:firstLine="210"/>
      </w:pPr>
      <w:r w:rsidRPr="00530ABE">
        <w:t>「指定脱炭素化再生資源利用促進事業」とは、脱炭素社会の実現に資する再生資源の利用を促進するため、政令で定められた条件を満たす事業者に対して計画作成や報告等の義務を課し、必要に応じて助言・指導を行う制度で</w:t>
      </w:r>
      <w:r>
        <w:rPr>
          <w:rFonts w:hint="eastAsia"/>
        </w:rPr>
        <w:t>ある</w:t>
      </w:r>
      <w:r w:rsidRPr="00530ABE">
        <w:t>。以下に、資源有効利用促進法の改正案【23条】における該当条文とその文言を示す：</w:t>
      </w:r>
    </w:p>
    <w:p w14:paraId="26E1B2E7" w14:textId="77777777" w:rsidR="00530ABE" w:rsidRPr="00530ABE" w:rsidRDefault="00530ABE" w:rsidP="00530ABE">
      <w:pPr>
        <w:rPr>
          <w:b/>
          <w:bCs/>
        </w:rPr>
      </w:pPr>
      <w:r w:rsidRPr="00530ABE">
        <w:rPr>
          <w:b/>
          <w:bCs/>
        </w:rPr>
        <w:t>条文：第23条（新設）</w:t>
      </w:r>
    </w:p>
    <w:p w14:paraId="3B991DF0" w14:textId="77777777" w:rsidR="00530ABE" w:rsidRPr="00530ABE" w:rsidRDefault="00530ABE" w:rsidP="00530ABE">
      <w:pPr>
        <w:rPr>
          <w:b/>
          <w:bCs/>
        </w:rPr>
      </w:pPr>
      <w:r w:rsidRPr="00530ABE">
        <w:rPr>
          <w:b/>
          <w:bCs/>
        </w:rPr>
        <w:t>要旨：</w:t>
      </w:r>
    </w:p>
    <w:p w14:paraId="7C1E533E" w14:textId="77777777" w:rsidR="00530ABE" w:rsidRPr="00530ABE" w:rsidRDefault="00530ABE" w:rsidP="00530ABE">
      <w:pPr>
        <w:numPr>
          <w:ilvl w:val="0"/>
          <w:numId w:val="7"/>
        </w:numPr>
      </w:pPr>
      <w:r w:rsidRPr="00530ABE">
        <w:rPr>
          <w:b/>
          <w:bCs/>
        </w:rPr>
        <w:t>対象者</w:t>
      </w:r>
      <w:r w:rsidRPr="00530ABE">
        <w:t>：脱炭素化再生資源利用促進製品を製造・販売する事業者。</w:t>
      </w:r>
    </w:p>
    <w:p w14:paraId="326C6BF5" w14:textId="77777777" w:rsidR="00530ABE" w:rsidRPr="00530ABE" w:rsidRDefault="00530ABE" w:rsidP="00530ABE">
      <w:pPr>
        <w:numPr>
          <w:ilvl w:val="0"/>
          <w:numId w:val="7"/>
        </w:numPr>
      </w:pPr>
      <w:r w:rsidRPr="00530ABE">
        <w:rPr>
          <w:b/>
          <w:bCs/>
        </w:rPr>
        <w:t>条件</w:t>
      </w:r>
      <w:r w:rsidRPr="00530ABE">
        <w:t>：政令で定める基準（製品の生産量や販売量など）を満たす場合。</w:t>
      </w:r>
    </w:p>
    <w:p w14:paraId="0476685B" w14:textId="77777777" w:rsidR="00530ABE" w:rsidRPr="00530ABE" w:rsidRDefault="00530ABE" w:rsidP="00530ABE">
      <w:pPr>
        <w:numPr>
          <w:ilvl w:val="0"/>
          <w:numId w:val="7"/>
        </w:numPr>
      </w:pPr>
      <w:r w:rsidRPr="00530ABE">
        <w:rPr>
          <w:b/>
          <w:bCs/>
        </w:rPr>
        <w:t>義務</w:t>
      </w:r>
      <w:r w:rsidRPr="00530ABE">
        <w:t>：主務大臣に対して、再生資源の利用促進のための「計画」を作成・提出。</w:t>
      </w:r>
    </w:p>
    <w:p w14:paraId="4D8E1013" w14:textId="77777777" w:rsidR="00530ABE" w:rsidRPr="00530ABE" w:rsidRDefault="00530ABE" w:rsidP="00530ABE">
      <w:pPr>
        <w:numPr>
          <w:ilvl w:val="0"/>
          <w:numId w:val="7"/>
        </w:numPr>
      </w:pPr>
      <w:r w:rsidRPr="00530ABE">
        <w:rPr>
          <w:b/>
          <w:bCs/>
        </w:rPr>
        <w:t>支援</w:t>
      </w:r>
      <w:r w:rsidRPr="00530ABE">
        <w:t>：脱炭素成長型投資事業者の助言を受けられる。</w:t>
      </w:r>
    </w:p>
    <w:p w14:paraId="5E0B7866" w14:textId="77777777" w:rsidR="00530ABE" w:rsidRPr="00530ABE" w:rsidRDefault="00530ABE" w:rsidP="00530ABE">
      <w:pPr>
        <w:numPr>
          <w:ilvl w:val="0"/>
          <w:numId w:val="7"/>
        </w:numPr>
      </w:pPr>
      <w:r w:rsidRPr="00530ABE">
        <w:rPr>
          <w:b/>
          <w:bCs/>
        </w:rPr>
        <w:t>目的</w:t>
      </w:r>
      <w:r w:rsidRPr="00530ABE">
        <w:t>：脱炭素成長型経済構造への円滑な移行。</w:t>
      </w:r>
    </w:p>
    <w:p w14:paraId="7916D68A" w14:textId="77777777" w:rsidR="00530ABE" w:rsidRPr="00530ABE" w:rsidRDefault="00530ABE" w:rsidP="00530ABE">
      <w:pPr>
        <w:rPr>
          <w:b/>
          <w:bCs/>
        </w:rPr>
      </w:pPr>
      <w:r w:rsidRPr="00530ABE">
        <w:rPr>
          <w:b/>
          <w:bCs/>
        </w:rPr>
        <w:t>該当文言（抜粋）：</w:t>
      </w:r>
    </w:p>
    <w:p w14:paraId="7C316523" w14:textId="77777777" w:rsidR="00530ABE" w:rsidRPr="00530ABE" w:rsidRDefault="00530ABE" w:rsidP="00530ABE">
      <w:r w:rsidRPr="00530ABE">
        <w:t>「当該指定脱炭素化再生資源利用促進事業者の製造又は販売に係る指定脱炭素化再生資源利用促進製品の生産量…が政令で定める要件に該当するものは…必要な計画的に取り組むべき措置の実施に関する計画を作成し、主務大臣に提出しなければならない」</w:t>
      </w:r>
      <w:r w:rsidRPr="00530ABE">
        <w:rPr>
          <w:rFonts w:ascii="Times New Roman" w:hAnsi="Times New Roman" w:cs="Times New Roman"/>
        </w:rPr>
        <w:t>​</w:t>
      </w:r>
    </w:p>
    <w:p w14:paraId="0E01FD68" w14:textId="1B3885B2" w:rsidR="00530ABE" w:rsidRPr="00530ABE" w:rsidRDefault="00530ABE" w:rsidP="00530ABE"/>
    <w:p w14:paraId="7D6344D6" w14:textId="2F49F293" w:rsidR="00530ABE" w:rsidRDefault="00530ABE" w:rsidP="00530ABE">
      <w:r w:rsidRPr="00530ABE">
        <w:t>この制度の導入により、GX（グリーントランスフォーメーション）戦略に基づき、特定の再生製品の利用を加速させることが可能にな</w:t>
      </w:r>
      <w:r w:rsidR="003C300D">
        <w:rPr>
          <w:rFonts w:hint="eastAsia"/>
        </w:rPr>
        <w:t>ね。</w:t>
      </w:r>
      <w:r w:rsidRPr="00530ABE">
        <w:t>対象となる「指定製品」や「政令で定める基準」</w:t>
      </w:r>
      <w:r w:rsidR="003C300D">
        <w:rPr>
          <w:rFonts w:hint="eastAsia"/>
        </w:rPr>
        <w:t>を</w:t>
      </w:r>
      <w:r w:rsidRPr="00530ABE">
        <w:t>今後さらに</w:t>
      </w:r>
      <w:r w:rsidR="0066108A">
        <w:rPr>
          <w:rFonts w:hint="eastAsia"/>
        </w:rPr>
        <w:t>現実に合致したものとして</w:t>
      </w:r>
      <w:r w:rsidRPr="00530ABE">
        <w:t>具体化さ</w:t>
      </w:r>
      <w:r w:rsidR="0066108A">
        <w:rPr>
          <w:rFonts w:hint="eastAsia"/>
        </w:rPr>
        <w:t>せていくことが重要である</w:t>
      </w:r>
      <w:r w:rsidRPr="00530ABE">
        <w:t>。</w:t>
      </w:r>
    </w:p>
    <w:p w14:paraId="518F6DB5" w14:textId="77777777" w:rsidR="002D5710" w:rsidRPr="00530ABE" w:rsidRDefault="002D5710" w:rsidP="00530ABE"/>
    <w:p w14:paraId="2F112228" w14:textId="066EE20E" w:rsidR="002D5710" w:rsidRPr="002D5710" w:rsidRDefault="0066108A" w:rsidP="002D5710">
      <w:r>
        <w:rPr>
          <w:rFonts w:hint="eastAsia"/>
        </w:rPr>
        <w:t xml:space="preserve">　その</w:t>
      </w:r>
      <w:r w:rsidR="002C2D3C">
        <w:rPr>
          <w:rFonts w:hint="eastAsia"/>
        </w:rPr>
        <w:t>背後にある財政的手当てが</w:t>
      </w:r>
      <w:r w:rsidR="00F2067C">
        <w:rPr>
          <w:rFonts w:hint="eastAsia"/>
        </w:rPr>
        <w:t>この改正では謳われている。</w:t>
      </w:r>
      <w:r w:rsidR="002D5710" w:rsidRPr="002D5710">
        <w:rPr>
          <w:b/>
          <w:bCs/>
        </w:rPr>
        <w:t>資金の流れや財政措置に関する条文の新設・改正点</w:t>
      </w:r>
      <w:r w:rsidR="002D5710" w:rsidRPr="002D5710">
        <w:t>は以下のとおり確認で</w:t>
      </w:r>
      <w:r w:rsidR="00F2067C">
        <w:rPr>
          <w:rFonts w:hint="eastAsia"/>
        </w:rPr>
        <w:t>きる</w:t>
      </w:r>
      <w:r w:rsidR="002D5710" w:rsidRPr="002D5710">
        <w:t>。</w:t>
      </w:r>
    </w:p>
    <w:p w14:paraId="3F581466" w14:textId="66E2EBCE" w:rsidR="002D5710" w:rsidRPr="002D5710" w:rsidRDefault="002D5710" w:rsidP="002D5710"/>
    <w:p w14:paraId="31136BEA" w14:textId="77777777" w:rsidR="002D5710" w:rsidRPr="002D5710" w:rsidRDefault="002D5710" w:rsidP="002D5710">
      <w:pPr>
        <w:rPr>
          <w:b/>
          <w:bCs/>
        </w:rPr>
      </w:pPr>
      <w:r w:rsidRPr="002D5710">
        <w:rPr>
          <w:b/>
          <w:bCs/>
        </w:rPr>
        <w:t>財政支援に関する改正条文と記述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879"/>
        <w:gridCol w:w="4227"/>
        <w:gridCol w:w="2057"/>
      </w:tblGrid>
      <w:tr w:rsidR="002D5710" w:rsidRPr="002D5710" w14:paraId="134BE5BE" w14:textId="77777777" w:rsidTr="002D5710">
        <w:trPr>
          <w:tblHeader/>
          <w:tblCellSpacing w:w="15" w:type="dxa"/>
        </w:trPr>
        <w:tc>
          <w:tcPr>
            <w:tcW w:w="0" w:type="auto"/>
            <w:vAlign w:val="center"/>
            <w:hideMark/>
          </w:tcPr>
          <w:p w14:paraId="511FC833" w14:textId="77777777" w:rsidR="002D5710" w:rsidRPr="002D5710" w:rsidRDefault="002D5710" w:rsidP="002D5710">
            <w:pPr>
              <w:rPr>
                <w:b/>
                <w:bCs/>
              </w:rPr>
            </w:pPr>
            <w:r w:rsidRPr="002D5710">
              <w:rPr>
                <w:b/>
                <w:bCs/>
              </w:rPr>
              <w:t>主な内容</w:t>
            </w:r>
          </w:p>
        </w:tc>
        <w:tc>
          <w:tcPr>
            <w:tcW w:w="0" w:type="auto"/>
            <w:vAlign w:val="center"/>
            <w:hideMark/>
          </w:tcPr>
          <w:p w14:paraId="4B501E59" w14:textId="77777777" w:rsidR="002D5710" w:rsidRPr="002D5710" w:rsidRDefault="002D5710" w:rsidP="002D5710">
            <w:pPr>
              <w:rPr>
                <w:b/>
                <w:bCs/>
              </w:rPr>
            </w:pPr>
            <w:r w:rsidRPr="002D5710">
              <w:rPr>
                <w:b/>
                <w:bCs/>
              </w:rPr>
              <w:t>該当条文</w:t>
            </w:r>
          </w:p>
        </w:tc>
        <w:tc>
          <w:tcPr>
            <w:tcW w:w="0" w:type="auto"/>
            <w:vAlign w:val="center"/>
            <w:hideMark/>
          </w:tcPr>
          <w:p w14:paraId="5BA923A8" w14:textId="77777777" w:rsidR="002D5710" w:rsidRPr="002D5710" w:rsidRDefault="002D5710" w:rsidP="002D5710">
            <w:pPr>
              <w:rPr>
                <w:b/>
                <w:bCs/>
              </w:rPr>
            </w:pPr>
            <w:r w:rsidRPr="002D5710">
              <w:rPr>
                <w:b/>
                <w:bCs/>
              </w:rPr>
              <w:t>法文表現（要約）</w:t>
            </w:r>
          </w:p>
        </w:tc>
        <w:tc>
          <w:tcPr>
            <w:tcW w:w="0" w:type="auto"/>
            <w:vAlign w:val="center"/>
            <w:hideMark/>
          </w:tcPr>
          <w:p w14:paraId="02C9D062" w14:textId="77777777" w:rsidR="002D5710" w:rsidRPr="002D5710" w:rsidRDefault="002D5710" w:rsidP="002D5710">
            <w:pPr>
              <w:rPr>
                <w:b/>
                <w:bCs/>
              </w:rPr>
            </w:pPr>
            <w:r w:rsidRPr="002D5710">
              <w:rPr>
                <w:b/>
                <w:bCs/>
              </w:rPr>
              <w:t>補足</w:t>
            </w:r>
          </w:p>
        </w:tc>
      </w:tr>
      <w:tr w:rsidR="002D5710" w:rsidRPr="002D5710" w14:paraId="6A30576C" w14:textId="77777777" w:rsidTr="002D5710">
        <w:trPr>
          <w:tblCellSpacing w:w="15" w:type="dxa"/>
        </w:trPr>
        <w:tc>
          <w:tcPr>
            <w:tcW w:w="0" w:type="auto"/>
            <w:vAlign w:val="center"/>
            <w:hideMark/>
          </w:tcPr>
          <w:p w14:paraId="61B96EF5" w14:textId="77777777" w:rsidR="002D5710" w:rsidRPr="002D5710" w:rsidRDefault="002D5710" w:rsidP="002D5710">
            <w:r w:rsidRPr="002D5710">
              <w:t>国による費用補助</w:t>
            </w:r>
          </w:p>
        </w:tc>
        <w:tc>
          <w:tcPr>
            <w:tcW w:w="0" w:type="auto"/>
            <w:vAlign w:val="center"/>
            <w:hideMark/>
          </w:tcPr>
          <w:p w14:paraId="21E2A20B" w14:textId="77777777" w:rsidR="002D5710" w:rsidRPr="002D5710" w:rsidRDefault="002D5710" w:rsidP="002D5710">
            <w:r w:rsidRPr="002D5710">
              <w:t>第127条（新設）</w:t>
            </w:r>
          </w:p>
        </w:tc>
        <w:tc>
          <w:tcPr>
            <w:tcW w:w="0" w:type="auto"/>
            <w:vAlign w:val="center"/>
            <w:hideMark/>
          </w:tcPr>
          <w:p w14:paraId="0E6F4F33" w14:textId="77777777" w:rsidR="002D5710" w:rsidRPr="002D5710" w:rsidRDefault="002D5710" w:rsidP="002D5710">
            <w:r w:rsidRPr="002D5710">
              <w:t>政府は予算の範囲内で、構に対し、業務に要する費用を交付する。</w:t>
            </w:r>
          </w:p>
        </w:tc>
        <w:tc>
          <w:tcPr>
            <w:tcW w:w="0" w:type="auto"/>
            <w:vAlign w:val="center"/>
            <w:hideMark/>
          </w:tcPr>
          <w:p w14:paraId="5F3E0AC7" w14:textId="77777777" w:rsidR="002D5710" w:rsidRPr="002D5710" w:rsidRDefault="002D5710" w:rsidP="002D5710">
            <w:r w:rsidRPr="002D5710">
              <w:t>業務の支援対象は第111条1項1号〜6号に掲げる業務。</w:t>
            </w:r>
          </w:p>
        </w:tc>
      </w:tr>
      <w:tr w:rsidR="002D5710" w:rsidRPr="002D5710" w14:paraId="7419AAE1" w14:textId="77777777" w:rsidTr="002D5710">
        <w:trPr>
          <w:tblCellSpacing w:w="15" w:type="dxa"/>
        </w:trPr>
        <w:tc>
          <w:tcPr>
            <w:tcW w:w="0" w:type="auto"/>
            <w:vAlign w:val="center"/>
            <w:hideMark/>
          </w:tcPr>
          <w:p w14:paraId="5B96AFFC" w14:textId="77777777" w:rsidR="002D5710" w:rsidRPr="002D5710" w:rsidRDefault="002D5710" w:rsidP="002D5710">
            <w:r w:rsidRPr="002D5710">
              <w:t>政府保証</w:t>
            </w:r>
          </w:p>
        </w:tc>
        <w:tc>
          <w:tcPr>
            <w:tcW w:w="0" w:type="auto"/>
            <w:vAlign w:val="center"/>
            <w:hideMark/>
          </w:tcPr>
          <w:p w14:paraId="3EEA4A03" w14:textId="77777777" w:rsidR="002D5710" w:rsidRPr="002D5710" w:rsidRDefault="002D5710" w:rsidP="002D5710">
            <w:r w:rsidRPr="002D5710">
              <w:t>第128条（新設）</w:t>
            </w:r>
          </w:p>
        </w:tc>
        <w:tc>
          <w:tcPr>
            <w:tcW w:w="0" w:type="auto"/>
            <w:vAlign w:val="center"/>
            <w:hideMark/>
          </w:tcPr>
          <w:p w14:paraId="3D262B68" w14:textId="77777777" w:rsidR="002D5710" w:rsidRPr="002D5710" w:rsidRDefault="002D5710" w:rsidP="002D5710">
            <w:r w:rsidRPr="002D5710">
              <w:t>政府は議決を経た金額の範囲内で、機構の借入れや債務について保証できる。</w:t>
            </w:r>
          </w:p>
        </w:tc>
        <w:tc>
          <w:tcPr>
            <w:tcW w:w="0" w:type="auto"/>
            <w:vAlign w:val="center"/>
            <w:hideMark/>
          </w:tcPr>
          <w:p w14:paraId="7C5C1835" w14:textId="77777777" w:rsidR="002D5710" w:rsidRPr="002D5710" w:rsidRDefault="002D5710" w:rsidP="002D5710">
            <w:r w:rsidRPr="002D5710">
              <w:t>財政援助の特例として、国会承認に基づく保証。</w:t>
            </w:r>
          </w:p>
        </w:tc>
      </w:tr>
      <w:tr w:rsidR="002D5710" w:rsidRPr="002D5710" w14:paraId="043AB87D" w14:textId="77777777" w:rsidTr="002D5710">
        <w:trPr>
          <w:tblCellSpacing w:w="15" w:type="dxa"/>
        </w:trPr>
        <w:tc>
          <w:tcPr>
            <w:tcW w:w="0" w:type="auto"/>
            <w:vAlign w:val="center"/>
            <w:hideMark/>
          </w:tcPr>
          <w:p w14:paraId="17BD5CDF" w14:textId="77777777" w:rsidR="002D5710" w:rsidRPr="002D5710" w:rsidRDefault="002D5710" w:rsidP="002D5710">
            <w:r w:rsidRPr="002D5710">
              <w:t>エネルギー需給勘定での財源措置</w:t>
            </w:r>
          </w:p>
        </w:tc>
        <w:tc>
          <w:tcPr>
            <w:tcW w:w="0" w:type="auto"/>
            <w:vAlign w:val="center"/>
            <w:hideMark/>
          </w:tcPr>
          <w:p w14:paraId="56A0967A" w14:textId="77777777" w:rsidR="002D5710" w:rsidRPr="002D5710" w:rsidRDefault="002D5710" w:rsidP="002D5710">
            <w:r w:rsidRPr="002D5710">
              <w:t>第88条（新設）</w:t>
            </w:r>
          </w:p>
        </w:tc>
        <w:tc>
          <w:tcPr>
            <w:tcW w:w="0" w:type="auto"/>
            <w:vAlign w:val="center"/>
            <w:hideMark/>
          </w:tcPr>
          <w:p w14:paraId="69B99A63" w14:textId="77777777" w:rsidR="002D5710" w:rsidRPr="002D5710" w:rsidRDefault="002D5710" w:rsidP="002D5710">
            <w:r w:rsidRPr="002D5710">
              <w:t>エネルギー需給勘定の歳出として「脱炭素成長型経済構造への円滑な移行に関する法律第40条第2項」に基づく負担金が含まれる。</w:t>
            </w:r>
          </w:p>
        </w:tc>
        <w:tc>
          <w:tcPr>
            <w:tcW w:w="0" w:type="auto"/>
            <w:vAlign w:val="center"/>
            <w:hideMark/>
          </w:tcPr>
          <w:p w14:paraId="1064C087" w14:textId="77777777" w:rsidR="002D5710" w:rsidRPr="002D5710" w:rsidRDefault="002D5710" w:rsidP="002D5710">
            <w:r w:rsidRPr="002D5710">
              <w:t>制度的に定められた財源からの支出根拠が明確化された。</w:t>
            </w:r>
          </w:p>
        </w:tc>
      </w:tr>
      <w:tr w:rsidR="002D5710" w:rsidRPr="002D5710" w14:paraId="605FF4B0" w14:textId="77777777" w:rsidTr="002D5710">
        <w:trPr>
          <w:tblCellSpacing w:w="15" w:type="dxa"/>
        </w:trPr>
        <w:tc>
          <w:tcPr>
            <w:tcW w:w="0" w:type="auto"/>
            <w:vAlign w:val="center"/>
            <w:hideMark/>
          </w:tcPr>
          <w:p w14:paraId="5BC444C9" w14:textId="77777777" w:rsidR="002D5710" w:rsidRPr="002D5710" w:rsidRDefault="002D5710" w:rsidP="002D5710">
            <w:r w:rsidRPr="002D5710">
              <w:t>財政上の措置（明記）</w:t>
            </w:r>
          </w:p>
        </w:tc>
        <w:tc>
          <w:tcPr>
            <w:tcW w:w="0" w:type="auto"/>
            <w:vAlign w:val="center"/>
            <w:hideMark/>
          </w:tcPr>
          <w:p w14:paraId="138FC7C3" w14:textId="77777777" w:rsidR="002D5710" w:rsidRPr="002D5710" w:rsidRDefault="002D5710" w:rsidP="002D5710">
            <w:r w:rsidRPr="002D5710">
              <w:t>条文中の記述</w:t>
            </w:r>
          </w:p>
        </w:tc>
        <w:tc>
          <w:tcPr>
            <w:tcW w:w="0" w:type="auto"/>
            <w:vAlign w:val="center"/>
            <w:hideMark/>
          </w:tcPr>
          <w:p w14:paraId="0DEF372B" w14:textId="77777777" w:rsidR="002D5710" w:rsidRPr="002D5710" w:rsidRDefault="002D5710" w:rsidP="002D5710">
            <w:r w:rsidRPr="002D5710">
              <w:t>「脱炭素成長型経済構造移行推進機構に対する出資金の出資又は交付金の交付」</w:t>
            </w:r>
          </w:p>
        </w:tc>
        <w:tc>
          <w:tcPr>
            <w:tcW w:w="0" w:type="auto"/>
            <w:vAlign w:val="center"/>
            <w:hideMark/>
          </w:tcPr>
          <w:p w14:paraId="2D24305C" w14:textId="77777777" w:rsidR="002D5710" w:rsidRPr="002D5710" w:rsidRDefault="002D5710" w:rsidP="002D5710">
            <w:r w:rsidRPr="002D5710">
              <w:t>政府の資金提供対象として正式に明記。</w:t>
            </w:r>
          </w:p>
        </w:tc>
      </w:tr>
    </w:tbl>
    <w:p w14:paraId="5C3AF7C6" w14:textId="13BC2D94" w:rsidR="002D5710" w:rsidRPr="002D5710" w:rsidRDefault="002D5710" w:rsidP="002D5710"/>
    <w:p w14:paraId="5D406016" w14:textId="539677A8" w:rsidR="002D5710" w:rsidRPr="002D5710" w:rsidRDefault="002D5710" w:rsidP="002D5710">
      <w:r w:rsidRPr="002D5710">
        <w:t>このように、今回の法改正では、脱炭素化や資源循環の促進に向けて、国が直接的に補助金を交付したり、機構の債務を保証する制度が明確に規定された。これにより、企業や自治体がCE（サーキュラーエコノミー）ビジネスに参入しやすくなる財政的な後押し</w:t>
      </w:r>
      <w:r w:rsidR="003E57C3">
        <w:rPr>
          <w:rFonts w:hint="eastAsia"/>
        </w:rPr>
        <w:t>にしていける可能性がある</w:t>
      </w:r>
      <w:r w:rsidRPr="002D5710">
        <w:t>。</w:t>
      </w:r>
    </w:p>
    <w:p w14:paraId="31EB0032" w14:textId="34F93889" w:rsidR="00074A0A" w:rsidRDefault="00850AD5" w:rsidP="0002649B">
      <w:pPr>
        <w:ind w:firstLineChars="100" w:firstLine="210"/>
      </w:pPr>
      <w:r>
        <w:rPr>
          <w:rFonts w:hint="eastAsia"/>
        </w:rPr>
        <w:t>なお、ここでいう「機構」とは</w:t>
      </w:r>
      <w:r w:rsidR="008E025A">
        <w:rPr>
          <w:rFonts w:hint="eastAsia"/>
        </w:rPr>
        <w:t>具体的な名称の記載はないが、</w:t>
      </w:r>
      <w:r w:rsidR="00F03EB3" w:rsidRPr="00F03EB3">
        <w:rPr>
          <w:b/>
          <w:bCs/>
        </w:rPr>
        <w:t>「独立行政法人と連携」「資金の供給」という表現は、明らかにGX推進機構等の具体的関与</w:t>
      </w:r>
      <w:r w:rsidR="00F03EB3" w:rsidRPr="00F03EB3">
        <w:t>を視野に入れていると考えられ</w:t>
      </w:r>
      <w:r>
        <w:rPr>
          <w:rFonts w:hint="eastAsia"/>
        </w:rPr>
        <w:t>る。</w:t>
      </w:r>
      <w:r w:rsidR="00DC6441">
        <w:rPr>
          <w:rFonts w:hint="eastAsia"/>
        </w:rPr>
        <w:t>なお、GX推進機構とは、</w:t>
      </w:r>
      <w:r w:rsidR="00074A0A" w:rsidRPr="00074A0A">
        <w:t>2023年の「</w:t>
      </w:r>
      <w:r w:rsidR="00074A0A" w:rsidRPr="00074A0A">
        <w:rPr>
          <w:b/>
          <w:bCs/>
        </w:rPr>
        <w:t>GX実現に向けた基本方針（GX基本方針）</w:t>
      </w:r>
      <w:r w:rsidR="00074A0A" w:rsidRPr="00074A0A">
        <w:t>」（閣議決定）に基づき、</w:t>
      </w:r>
      <w:r w:rsidR="00074A0A" w:rsidRPr="00074A0A">
        <w:rPr>
          <w:b/>
          <w:bCs/>
        </w:rPr>
        <w:t>経済産業省所管の政府系機関</w:t>
      </w:r>
      <w:r w:rsidR="00074A0A" w:rsidRPr="00074A0A">
        <w:t>として創設。正式名称は「</w:t>
      </w:r>
      <w:r w:rsidR="00074A0A" w:rsidRPr="00074A0A">
        <w:rPr>
          <w:b/>
          <w:bCs/>
        </w:rPr>
        <w:t>脱炭素成長型経済構造移行推進機構</w:t>
      </w:r>
      <w:r w:rsidR="00074A0A" w:rsidRPr="00074A0A">
        <w:t>」</w:t>
      </w:r>
      <w:r w:rsidR="0002649B">
        <w:rPr>
          <w:rFonts w:hint="eastAsia"/>
        </w:rPr>
        <w:t>であり</w:t>
      </w:r>
      <w:r w:rsidR="0002649B" w:rsidRPr="0002649B">
        <w:rPr>
          <w:rFonts w:hint="eastAsia"/>
        </w:rPr>
        <w:t>、</w:t>
      </w:r>
      <w:r w:rsidR="00074A0A" w:rsidRPr="00074A0A">
        <w:t>官民によるGX投資の加速と誘導を担う</w:t>
      </w:r>
      <w:r w:rsidR="0002649B" w:rsidRPr="0002649B">
        <w:rPr>
          <w:rFonts w:hint="eastAsia"/>
        </w:rPr>
        <w:t>独立行政法人である。</w:t>
      </w:r>
      <w:r w:rsidR="00074A0A" w:rsidRPr="00074A0A">
        <w:t>。</w:t>
      </w:r>
      <w:r w:rsidR="0002649B">
        <w:rPr>
          <w:rFonts w:hint="eastAsia"/>
        </w:rPr>
        <w:t>その</w:t>
      </w:r>
      <w:r w:rsidR="00074A0A" w:rsidRPr="00074A0A">
        <w:t>主な機能</w:t>
      </w:r>
      <w:r w:rsidR="0002649B" w:rsidRPr="0002649B">
        <w:rPr>
          <w:rFonts w:hint="eastAsia"/>
        </w:rPr>
        <w:t>は、</w:t>
      </w:r>
    </w:p>
    <w:p w14:paraId="471FD952" w14:textId="77777777" w:rsidR="0002649B" w:rsidRPr="00074A0A" w:rsidRDefault="0002649B" w:rsidP="0002649B">
      <w:pPr>
        <w:ind w:firstLineChars="100" w:firstLine="21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3"/>
        <w:gridCol w:w="6891"/>
      </w:tblGrid>
      <w:tr w:rsidR="00074A0A" w:rsidRPr="00074A0A" w14:paraId="6CB0DA7D" w14:textId="77777777" w:rsidTr="00074A0A">
        <w:trPr>
          <w:tblHeader/>
          <w:tblCellSpacing w:w="15" w:type="dxa"/>
        </w:trPr>
        <w:tc>
          <w:tcPr>
            <w:tcW w:w="0" w:type="auto"/>
            <w:vAlign w:val="center"/>
            <w:hideMark/>
          </w:tcPr>
          <w:p w14:paraId="1F735EF9" w14:textId="77777777" w:rsidR="00074A0A" w:rsidRPr="00074A0A" w:rsidRDefault="00074A0A" w:rsidP="00074A0A">
            <w:pPr>
              <w:rPr>
                <w:b/>
                <w:bCs/>
              </w:rPr>
            </w:pPr>
            <w:r w:rsidRPr="00074A0A">
              <w:rPr>
                <w:b/>
                <w:bCs/>
              </w:rPr>
              <w:t>役割</w:t>
            </w:r>
          </w:p>
        </w:tc>
        <w:tc>
          <w:tcPr>
            <w:tcW w:w="0" w:type="auto"/>
            <w:vAlign w:val="center"/>
            <w:hideMark/>
          </w:tcPr>
          <w:p w14:paraId="280F4402" w14:textId="77777777" w:rsidR="00074A0A" w:rsidRPr="00074A0A" w:rsidRDefault="00074A0A" w:rsidP="00074A0A">
            <w:pPr>
              <w:rPr>
                <w:b/>
                <w:bCs/>
              </w:rPr>
            </w:pPr>
            <w:r w:rsidRPr="00074A0A">
              <w:rPr>
                <w:b/>
                <w:bCs/>
              </w:rPr>
              <w:t>内容</w:t>
            </w:r>
          </w:p>
        </w:tc>
      </w:tr>
      <w:tr w:rsidR="00074A0A" w:rsidRPr="00074A0A" w14:paraId="0E9C581A" w14:textId="77777777" w:rsidTr="00074A0A">
        <w:trPr>
          <w:tblCellSpacing w:w="15" w:type="dxa"/>
        </w:trPr>
        <w:tc>
          <w:tcPr>
            <w:tcW w:w="0" w:type="auto"/>
            <w:vAlign w:val="center"/>
            <w:hideMark/>
          </w:tcPr>
          <w:p w14:paraId="57BADE7A" w14:textId="77777777" w:rsidR="00074A0A" w:rsidRPr="00074A0A" w:rsidRDefault="00074A0A" w:rsidP="00074A0A">
            <w:r w:rsidRPr="00074A0A">
              <w:t>① 資金供給</w:t>
            </w:r>
          </w:p>
        </w:tc>
        <w:tc>
          <w:tcPr>
            <w:tcW w:w="0" w:type="auto"/>
            <w:vAlign w:val="center"/>
            <w:hideMark/>
          </w:tcPr>
          <w:p w14:paraId="36F5CBE8" w14:textId="77777777" w:rsidR="00074A0A" w:rsidRPr="00074A0A" w:rsidRDefault="00074A0A" w:rsidP="00074A0A">
            <w:r w:rsidRPr="00074A0A">
              <w:t>20兆円規模の「GX経済移行債」に基づき、民間投資への補助・融資・保証等を実施。</w:t>
            </w:r>
          </w:p>
        </w:tc>
      </w:tr>
      <w:tr w:rsidR="00074A0A" w:rsidRPr="00074A0A" w14:paraId="1F8F479F" w14:textId="77777777" w:rsidTr="00074A0A">
        <w:trPr>
          <w:tblCellSpacing w:w="15" w:type="dxa"/>
        </w:trPr>
        <w:tc>
          <w:tcPr>
            <w:tcW w:w="0" w:type="auto"/>
            <w:vAlign w:val="center"/>
            <w:hideMark/>
          </w:tcPr>
          <w:p w14:paraId="1EECA89A" w14:textId="77777777" w:rsidR="00074A0A" w:rsidRPr="00074A0A" w:rsidRDefault="00074A0A" w:rsidP="00074A0A">
            <w:r w:rsidRPr="00074A0A">
              <w:t>② 認定制度</w:t>
            </w:r>
          </w:p>
        </w:tc>
        <w:tc>
          <w:tcPr>
            <w:tcW w:w="0" w:type="auto"/>
            <w:vAlign w:val="center"/>
            <w:hideMark/>
          </w:tcPr>
          <w:p w14:paraId="780CD689" w14:textId="77777777" w:rsidR="00074A0A" w:rsidRPr="00074A0A" w:rsidRDefault="00074A0A" w:rsidP="00074A0A">
            <w:r w:rsidRPr="00074A0A">
              <w:t>脱炭素投資に関する「GX推進認定事業」の認定機能を担う。</w:t>
            </w:r>
          </w:p>
        </w:tc>
      </w:tr>
      <w:tr w:rsidR="00074A0A" w:rsidRPr="00074A0A" w14:paraId="71B46FD0" w14:textId="77777777" w:rsidTr="00074A0A">
        <w:trPr>
          <w:tblCellSpacing w:w="15" w:type="dxa"/>
        </w:trPr>
        <w:tc>
          <w:tcPr>
            <w:tcW w:w="0" w:type="auto"/>
            <w:vAlign w:val="center"/>
            <w:hideMark/>
          </w:tcPr>
          <w:p w14:paraId="56BB705C" w14:textId="77777777" w:rsidR="00074A0A" w:rsidRPr="00074A0A" w:rsidRDefault="00074A0A" w:rsidP="00074A0A">
            <w:r w:rsidRPr="00074A0A">
              <w:t>③ 助言・情報提供</w:t>
            </w:r>
          </w:p>
        </w:tc>
        <w:tc>
          <w:tcPr>
            <w:tcW w:w="0" w:type="auto"/>
            <w:vAlign w:val="center"/>
            <w:hideMark/>
          </w:tcPr>
          <w:p w14:paraId="6FD24BD7" w14:textId="77777777" w:rsidR="00074A0A" w:rsidRPr="00074A0A" w:rsidRDefault="00074A0A" w:rsidP="00074A0A">
            <w:r w:rsidRPr="00074A0A">
              <w:t>脱炭素に向けた事業設計や制度活用に関する支援を行う。</w:t>
            </w:r>
          </w:p>
        </w:tc>
      </w:tr>
    </w:tbl>
    <w:p w14:paraId="63DF14D7" w14:textId="08AB14B8" w:rsidR="00C4710F" w:rsidRPr="00C4710F" w:rsidRDefault="0002649B" w:rsidP="00C4710F">
      <w:r>
        <w:rPr>
          <w:rFonts w:hint="eastAsia"/>
        </w:rPr>
        <w:t>となっている。</w:t>
      </w:r>
      <w:r w:rsidR="003B5013">
        <w:br/>
      </w:r>
      <w:r>
        <w:br/>
      </w:r>
      <w:r w:rsidR="00C4710F" w:rsidRPr="00C4710F">
        <w:t>実質的に強化されたポイント</w:t>
      </w:r>
      <w:r w:rsidR="00C4710F">
        <w:rPr>
          <w:rFonts w:hint="eastAsia"/>
        </w:rPr>
        <w:t>は、</w:t>
      </w:r>
      <w:r w:rsidR="003B5013">
        <w:rPr>
          <w:rFonts w:hint="eastAsia"/>
        </w:rPr>
        <w:t>次のようなものであり</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5"/>
        <w:gridCol w:w="1708"/>
        <w:gridCol w:w="4218"/>
        <w:gridCol w:w="1573"/>
      </w:tblGrid>
      <w:tr w:rsidR="00C4710F" w:rsidRPr="00C4710F" w14:paraId="506D04F7" w14:textId="77777777" w:rsidTr="00C4710F">
        <w:trPr>
          <w:tblHeader/>
          <w:tblCellSpacing w:w="15" w:type="dxa"/>
        </w:trPr>
        <w:tc>
          <w:tcPr>
            <w:tcW w:w="0" w:type="auto"/>
            <w:vAlign w:val="center"/>
            <w:hideMark/>
          </w:tcPr>
          <w:p w14:paraId="002F71AC" w14:textId="77777777" w:rsidR="00C4710F" w:rsidRPr="00C4710F" w:rsidRDefault="00C4710F" w:rsidP="00C4710F">
            <w:pPr>
              <w:rPr>
                <w:b/>
                <w:bCs/>
              </w:rPr>
            </w:pPr>
            <w:r w:rsidRPr="00C4710F">
              <w:rPr>
                <w:b/>
                <w:bCs/>
              </w:rPr>
              <w:t>項目</w:t>
            </w:r>
          </w:p>
        </w:tc>
        <w:tc>
          <w:tcPr>
            <w:tcW w:w="0" w:type="auto"/>
            <w:vAlign w:val="center"/>
            <w:hideMark/>
          </w:tcPr>
          <w:p w14:paraId="372886BC" w14:textId="77777777" w:rsidR="00C4710F" w:rsidRPr="00C4710F" w:rsidRDefault="00C4710F" w:rsidP="00C4710F">
            <w:pPr>
              <w:rPr>
                <w:b/>
                <w:bCs/>
              </w:rPr>
            </w:pPr>
            <w:r w:rsidRPr="00C4710F">
              <w:rPr>
                <w:b/>
                <w:bCs/>
              </w:rPr>
              <w:t>改正前</w:t>
            </w:r>
          </w:p>
        </w:tc>
        <w:tc>
          <w:tcPr>
            <w:tcW w:w="0" w:type="auto"/>
            <w:vAlign w:val="center"/>
            <w:hideMark/>
          </w:tcPr>
          <w:p w14:paraId="28C5BD6E" w14:textId="77777777" w:rsidR="00C4710F" w:rsidRPr="00C4710F" w:rsidRDefault="00C4710F" w:rsidP="00C4710F">
            <w:pPr>
              <w:rPr>
                <w:b/>
                <w:bCs/>
              </w:rPr>
            </w:pPr>
            <w:r w:rsidRPr="00C4710F">
              <w:rPr>
                <w:b/>
                <w:bCs/>
              </w:rPr>
              <w:t>改正後（2024年）</w:t>
            </w:r>
          </w:p>
        </w:tc>
        <w:tc>
          <w:tcPr>
            <w:tcW w:w="0" w:type="auto"/>
            <w:vAlign w:val="center"/>
            <w:hideMark/>
          </w:tcPr>
          <w:p w14:paraId="4500F2BD" w14:textId="77777777" w:rsidR="00C4710F" w:rsidRPr="00C4710F" w:rsidRDefault="00C4710F" w:rsidP="00C4710F">
            <w:pPr>
              <w:rPr>
                <w:b/>
                <w:bCs/>
              </w:rPr>
            </w:pPr>
            <w:r w:rsidRPr="00C4710F">
              <w:rPr>
                <w:b/>
                <w:bCs/>
              </w:rPr>
              <w:t>意義</w:t>
            </w:r>
          </w:p>
        </w:tc>
      </w:tr>
      <w:tr w:rsidR="00C4710F" w:rsidRPr="00C4710F" w14:paraId="0E1FC68C" w14:textId="77777777" w:rsidTr="00C4710F">
        <w:trPr>
          <w:tblCellSpacing w:w="15" w:type="dxa"/>
        </w:trPr>
        <w:tc>
          <w:tcPr>
            <w:tcW w:w="0" w:type="auto"/>
            <w:vAlign w:val="center"/>
            <w:hideMark/>
          </w:tcPr>
          <w:p w14:paraId="01645C70" w14:textId="77777777" w:rsidR="00C4710F" w:rsidRPr="00C4710F" w:rsidRDefault="00C4710F" w:rsidP="00C4710F">
            <w:r w:rsidRPr="00C4710F">
              <w:rPr>
                <w:b/>
                <w:bCs/>
              </w:rPr>
              <w:t>制度の位置づけ</w:t>
            </w:r>
          </w:p>
        </w:tc>
        <w:tc>
          <w:tcPr>
            <w:tcW w:w="0" w:type="auto"/>
            <w:vAlign w:val="center"/>
            <w:hideMark/>
          </w:tcPr>
          <w:p w14:paraId="023AECF6" w14:textId="77777777" w:rsidR="00C4710F" w:rsidRPr="00C4710F" w:rsidRDefault="00C4710F" w:rsidP="00C4710F">
            <w:r w:rsidRPr="00C4710F">
              <w:t>資源循環と脱炭素は分離運用</w:t>
            </w:r>
          </w:p>
        </w:tc>
        <w:tc>
          <w:tcPr>
            <w:tcW w:w="0" w:type="auto"/>
            <w:vAlign w:val="center"/>
            <w:hideMark/>
          </w:tcPr>
          <w:p w14:paraId="29A15CA8" w14:textId="77777777" w:rsidR="00C4710F" w:rsidRPr="00C4710F" w:rsidRDefault="00C4710F" w:rsidP="00C4710F">
            <w:r w:rsidRPr="00C4710F">
              <w:t>両者の統合的推進が明記（第3条）</w:t>
            </w:r>
          </w:p>
        </w:tc>
        <w:tc>
          <w:tcPr>
            <w:tcW w:w="0" w:type="auto"/>
            <w:vAlign w:val="center"/>
            <w:hideMark/>
          </w:tcPr>
          <w:p w14:paraId="2E6C5C5A" w14:textId="77777777" w:rsidR="00C4710F" w:rsidRPr="00C4710F" w:rsidRDefault="00C4710F" w:rsidP="00C4710F">
            <w:r w:rsidRPr="00C4710F">
              <w:t>統合的GX支援の加速</w:t>
            </w:r>
          </w:p>
        </w:tc>
      </w:tr>
      <w:tr w:rsidR="00C4710F" w:rsidRPr="00C4710F" w14:paraId="0C86442C" w14:textId="77777777" w:rsidTr="00C4710F">
        <w:trPr>
          <w:tblCellSpacing w:w="15" w:type="dxa"/>
        </w:trPr>
        <w:tc>
          <w:tcPr>
            <w:tcW w:w="0" w:type="auto"/>
            <w:vAlign w:val="center"/>
            <w:hideMark/>
          </w:tcPr>
          <w:p w14:paraId="74109C85" w14:textId="77777777" w:rsidR="00C4710F" w:rsidRPr="00C4710F" w:rsidRDefault="00C4710F" w:rsidP="00C4710F">
            <w:r w:rsidRPr="00C4710F">
              <w:rPr>
                <w:b/>
                <w:bCs/>
              </w:rPr>
              <w:t>支援体制</w:t>
            </w:r>
          </w:p>
        </w:tc>
        <w:tc>
          <w:tcPr>
            <w:tcW w:w="0" w:type="auto"/>
            <w:vAlign w:val="center"/>
            <w:hideMark/>
          </w:tcPr>
          <w:p w14:paraId="3C519097" w14:textId="77777777" w:rsidR="00C4710F" w:rsidRPr="00C4710F" w:rsidRDefault="00C4710F" w:rsidP="00C4710F">
            <w:r w:rsidRPr="00C4710F">
              <w:t>一部の助成や補助金制度</w:t>
            </w:r>
          </w:p>
        </w:tc>
        <w:tc>
          <w:tcPr>
            <w:tcW w:w="0" w:type="auto"/>
            <w:vAlign w:val="center"/>
            <w:hideMark/>
          </w:tcPr>
          <w:p w14:paraId="2024D33D" w14:textId="119FA896" w:rsidR="00C4710F" w:rsidRPr="00C4710F" w:rsidRDefault="00C4710F" w:rsidP="00C4710F">
            <w:r w:rsidRPr="00C4710F">
              <w:t>国・自治体・独立行政法人（GX推進機構）の連携を法定化（第46条）</w:t>
            </w:r>
          </w:p>
        </w:tc>
        <w:tc>
          <w:tcPr>
            <w:tcW w:w="0" w:type="auto"/>
            <w:vAlign w:val="center"/>
            <w:hideMark/>
          </w:tcPr>
          <w:p w14:paraId="3FC89198" w14:textId="77777777" w:rsidR="00C4710F" w:rsidRPr="00C4710F" w:rsidRDefault="00C4710F" w:rsidP="00C4710F">
            <w:r w:rsidRPr="00C4710F">
              <w:t>支援の制度化・恒常化</w:t>
            </w:r>
          </w:p>
        </w:tc>
      </w:tr>
      <w:tr w:rsidR="00C4710F" w:rsidRPr="00C4710F" w14:paraId="1F7CBD3E" w14:textId="77777777" w:rsidTr="00C4710F">
        <w:trPr>
          <w:tblCellSpacing w:w="15" w:type="dxa"/>
        </w:trPr>
        <w:tc>
          <w:tcPr>
            <w:tcW w:w="0" w:type="auto"/>
            <w:vAlign w:val="center"/>
            <w:hideMark/>
          </w:tcPr>
          <w:p w14:paraId="15F1F832" w14:textId="77777777" w:rsidR="00C4710F" w:rsidRPr="00C4710F" w:rsidRDefault="00C4710F" w:rsidP="00C4710F">
            <w:r w:rsidRPr="00C4710F">
              <w:rPr>
                <w:b/>
                <w:bCs/>
              </w:rPr>
              <w:t>資金の流れ</w:t>
            </w:r>
          </w:p>
        </w:tc>
        <w:tc>
          <w:tcPr>
            <w:tcW w:w="0" w:type="auto"/>
            <w:vAlign w:val="center"/>
            <w:hideMark/>
          </w:tcPr>
          <w:p w14:paraId="7ECB5015" w14:textId="77777777" w:rsidR="00C4710F" w:rsidRPr="00C4710F" w:rsidRDefault="00C4710F" w:rsidP="00C4710F">
            <w:r w:rsidRPr="00C4710F">
              <w:t>個別事業への助成</w:t>
            </w:r>
          </w:p>
        </w:tc>
        <w:tc>
          <w:tcPr>
            <w:tcW w:w="0" w:type="auto"/>
            <w:vAlign w:val="center"/>
            <w:hideMark/>
          </w:tcPr>
          <w:p w14:paraId="58CC1F20" w14:textId="77777777" w:rsidR="00C4710F" w:rsidRPr="00C4710F" w:rsidRDefault="00C4710F" w:rsidP="00C4710F">
            <w:r w:rsidRPr="00C4710F">
              <w:rPr>
                <w:b/>
                <w:bCs/>
              </w:rPr>
              <w:t>20兆円GX経済移行債による長期的な投資支援</w:t>
            </w:r>
            <w:r w:rsidRPr="00C4710F">
              <w:t>との連動が可能に</w:t>
            </w:r>
          </w:p>
        </w:tc>
        <w:tc>
          <w:tcPr>
            <w:tcW w:w="0" w:type="auto"/>
            <w:vAlign w:val="center"/>
            <w:hideMark/>
          </w:tcPr>
          <w:p w14:paraId="29D3053D" w14:textId="77777777" w:rsidR="00C4710F" w:rsidRPr="00C4710F" w:rsidRDefault="00C4710F" w:rsidP="00C4710F">
            <w:r w:rsidRPr="00C4710F">
              <w:t>安定的な制度運用と拡大</w:t>
            </w:r>
          </w:p>
        </w:tc>
      </w:tr>
    </w:tbl>
    <w:p w14:paraId="51BCE300" w14:textId="0F74C353" w:rsidR="00CA2EDE" w:rsidRDefault="00CA2EDE" w:rsidP="00CA2EDE"/>
    <w:p w14:paraId="3891506A" w14:textId="7CF318E8" w:rsidR="00AC58B7" w:rsidRPr="0066108A" w:rsidRDefault="00AC58B7" w:rsidP="00CA2EDE">
      <w:r>
        <w:rPr>
          <w:rFonts w:hint="eastAsia"/>
        </w:rPr>
        <w:t>リサイクル</w:t>
      </w:r>
      <w:r w:rsidR="00D4667E">
        <w:rPr>
          <w:rFonts w:hint="eastAsia"/>
        </w:rPr>
        <w:t>・リユース</w:t>
      </w:r>
      <w:r>
        <w:rPr>
          <w:rFonts w:hint="eastAsia"/>
        </w:rPr>
        <w:t>促進による低炭素化への貢献の定量化</w:t>
      </w:r>
      <w:r w:rsidR="00D4667E">
        <w:rPr>
          <w:rFonts w:hint="eastAsia"/>
        </w:rPr>
        <w:t>などを活用して、この枠組みを利用するような取り組みの拡大が望まれているとみて取るべきであろう。</w:t>
      </w:r>
    </w:p>
    <w:p w14:paraId="58AA8EF8" w14:textId="77777777" w:rsidR="00CA2EDE" w:rsidRDefault="00CA2EDE" w:rsidP="00CA2EDE"/>
    <w:p w14:paraId="0FBCC07D" w14:textId="77777777" w:rsidR="00D4667E" w:rsidRDefault="00D4667E" w:rsidP="00CA2EDE"/>
    <w:p w14:paraId="1631F8AA" w14:textId="77777777" w:rsidR="00B867C8" w:rsidRDefault="00B867C8" w:rsidP="00CA2EDE"/>
    <w:p w14:paraId="7B9424DD" w14:textId="77777777" w:rsidR="00B867C8" w:rsidRDefault="00B867C8" w:rsidP="00CA2EDE"/>
    <w:p w14:paraId="4DC94D15" w14:textId="24167A2F" w:rsidR="00A87EEC" w:rsidRDefault="000D2BB9" w:rsidP="00D13756">
      <w:pPr>
        <w:pStyle w:val="a9"/>
        <w:numPr>
          <w:ilvl w:val="0"/>
          <w:numId w:val="1"/>
        </w:numPr>
      </w:pPr>
      <w:r>
        <w:rPr>
          <w:rFonts w:hint="eastAsia"/>
        </w:rPr>
        <w:t>実施上の懸念</w:t>
      </w:r>
    </w:p>
    <w:p w14:paraId="13F7B69D" w14:textId="580F13A3" w:rsidR="00D4667E" w:rsidRDefault="00A87EEC" w:rsidP="003D4401">
      <w:pPr>
        <w:ind w:firstLineChars="100" w:firstLine="210"/>
      </w:pPr>
      <w:r>
        <w:rPr>
          <w:rFonts w:hint="eastAsia"/>
        </w:rPr>
        <w:t>しかし、これまで見てきたような可能性のある法律改正ではあるが、</w:t>
      </w:r>
      <w:r w:rsidR="00090D42">
        <w:rPr>
          <w:rFonts w:hint="eastAsia"/>
        </w:rPr>
        <w:t>これに引き続く関連法令、症例の整備、運用基準の作製などで懸念されることがある。それは、この法律改定に当たっての</w:t>
      </w:r>
      <w:r w:rsidR="00014B06">
        <w:rPr>
          <w:rFonts w:hint="eastAsia"/>
        </w:rPr>
        <w:t>「改定のポイント」の説明が、この法律改定の持つ可能性とかなり掛けは</w:t>
      </w:r>
      <w:r w:rsidR="003D4401">
        <w:rPr>
          <w:rFonts w:hint="eastAsia"/>
        </w:rPr>
        <w:t>なれた</w:t>
      </w:r>
      <w:r w:rsidR="00014B06">
        <w:rPr>
          <w:rFonts w:hint="eastAsia"/>
        </w:rPr>
        <w:t>トーンで描かれていることである。</w:t>
      </w:r>
    </w:p>
    <w:p w14:paraId="622F6121" w14:textId="2A6BF023" w:rsidR="00B867C8" w:rsidRDefault="003D4401" w:rsidP="003D4401">
      <w:pPr>
        <w:ind w:firstLineChars="100" w:firstLine="210"/>
      </w:pPr>
      <w:r>
        <w:rPr>
          <w:rFonts w:hint="eastAsia"/>
        </w:rPr>
        <w:t>図に示すのは、経産省のHPからダウンロードできる「改定のポイント」の</w:t>
      </w:r>
      <w:r w:rsidR="00514445">
        <w:rPr>
          <w:rFonts w:hint="eastAsia"/>
        </w:rPr>
        <w:t>資源有効利用促進法に書かれている部分である。</w:t>
      </w:r>
    </w:p>
    <w:p w14:paraId="7E4EB610" w14:textId="2F04B20D" w:rsidR="00A87EEC" w:rsidRDefault="00514445" w:rsidP="003D4401">
      <w:pPr>
        <w:ind w:firstLineChars="100" w:firstLine="210"/>
      </w:pPr>
      <w:r>
        <w:br/>
      </w:r>
    </w:p>
    <w:p w14:paraId="644EA787" w14:textId="09E82737" w:rsidR="00767298" w:rsidRPr="00767298" w:rsidRDefault="00B867C8" w:rsidP="00767298">
      <w:pPr>
        <w:rPr>
          <w:b/>
          <w:bCs/>
        </w:rPr>
      </w:pPr>
      <w:r w:rsidRPr="00F15387">
        <w:rPr>
          <w:noProof/>
        </w:rPr>
        <w:drawing>
          <wp:anchor distT="0" distB="0" distL="114300" distR="114300" simplePos="0" relativeHeight="251659264" behindDoc="0" locked="0" layoutInCell="1" allowOverlap="1" wp14:anchorId="524859FF" wp14:editId="43FD1AE3">
            <wp:simplePos x="0" y="0"/>
            <wp:positionH relativeFrom="column">
              <wp:posOffset>10160</wp:posOffset>
            </wp:positionH>
            <wp:positionV relativeFrom="paragraph">
              <wp:posOffset>111025</wp:posOffset>
            </wp:positionV>
            <wp:extent cx="5372735" cy="3895725"/>
            <wp:effectExtent l="0" t="0" r="0" b="9525"/>
            <wp:wrapTopAndBottom/>
            <wp:docPr id="7742579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57985" name=""/>
                    <pic:cNvPicPr/>
                  </pic:nvPicPr>
                  <pic:blipFill>
                    <a:blip r:embed="rId5"/>
                    <a:stretch>
                      <a:fillRect/>
                    </a:stretch>
                  </pic:blipFill>
                  <pic:spPr>
                    <a:xfrm>
                      <a:off x="0" y="0"/>
                      <a:ext cx="5372735" cy="3895725"/>
                    </a:xfrm>
                    <a:prstGeom prst="rect">
                      <a:avLst/>
                    </a:prstGeom>
                  </pic:spPr>
                </pic:pic>
              </a:graphicData>
            </a:graphic>
          </wp:anchor>
        </w:drawing>
      </w:r>
      <w:r w:rsidR="006D70D0">
        <w:rPr>
          <w:rFonts w:hint="eastAsia"/>
        </w:rPr>
        <w:t>一読してわかるように、この法改正から耳採れる積極的内容に対しても非常に控えめな言い方になっている。</w:t>
      </w:r>
      <w:r w:rsidR="006D70D0">
        <w:br/>
      </w:r>
      <w:r w:rsidR="006D70D0">
        <w:rPr>
          <w:rFonts w:hint="eastAsia"/>
        </w:rPr>
        <w:t xml:space="preserve">　一応、ここに挙げられた</w:t>
      </w:r>
      <w:r w:rsidR="00203300">
        <w:rPr>
          <w:rFonts w:hint="eastAsia"/>
        </w:rPr>
        <w:t>項目が法律改定のどの部分にあるかを見ておくと以下のようになる。</w:t>
      </w:r>
      <w:r w:rsidR="00203300">
        <w:br/>
      </w:r>
      <w:r w:rsidR="00767298" w:rsidRPr="00767298">
        <w:rPr>
          <w:b/>
          <w:bCs/>
        </w:rPr>
        <w:t>① 再生資源の利用義務化</w:t>
      </w:r>
    </w:p>
    <w:p w14:paraId="387DCE92" w14:textId="77777777" w:rsidR="00767298" w:rsidRPr="00767298" w:rsidRDefault="00767298" w:rsidP="00767298">
      <w:pPr>
        <w:numPr>
          <w:ilvl w:val="0"/>
          <w:numId w:val="3"/>
        </w:numPr>
      </w:pPr>
      <w:r w:rsidRPr="00767298">
        <w:rPr>
          <w:b/>
          <w:bCs/>
        </w:rPr>
        <w:t>該当条文</w:t>
      </w:r>
      <w:r w:rsidRPr="00767298">
        <w:t>：第23条（新設）</w:t>
      </w:r>
    </w:p>
    <w:p w14:paraId="4D6A796D" w14:textId="77777777" w:rsidR="00767298" w:rsidRPr="00767298" w:rsidRDefault="00767298" w:rsidP="00767298">
      <w:pPr>
        <w:numPr>
          <w:ilvl w:val="0"/>
          <w:numId w:val="3"/>
        </w:numPr>
      </w:pPr>
      <w:r w:rsidRPr="00767298">
        <w:rPr>
          <w:b/>
          <w:bCs/>
        </w:rPr>
        <w:t>文言</w:t>
      </w:r>
      <w:r w:rsidRPr="00767298">
        <w:t>：</w:t>
      </w:r>
      <w:r w:rsidRPr="00767298">
        <w:br/>
        <w:t xml:space="preserve">　「指定脱炭素化再生資源利用促進事業者であって、その事業年度における…生産量…又は販売量が政令で定める基準を超える者は、当該年度の始期の日までに、主務大臣に…利用計画を提出しなければならない。」</w:t>
      </w:r>
    </w:p>
    <w:p w14:paraId="08C121E5" w14:textId="77777777" w:rsidR="00767298" w:rsidRPr="00767298" w:rsidRDefault="00767298" w:rsidP="00767298">
      <w:pPr>
        <w:numPr>
          <w:ilvl w:val="0"/>
          <w:numId w:val="3"/>
        </w:numPr>
      </w:pPr>
      <w:r w:rsidRPr="00767298">
        <w:rPr>
          <w:b/>
          <w:bCs/>
        </w:rPr>
        <w:t>補足</w:t>
      </w:r>
      <w:r w:rsidRPr="00767298">
        <w:t>：助言に関しては第22条に「指導及び助言」の記載あり。</w:t>
      </w:r>
    </w:p>
    <w:p w14:paraId="743DF2C1" w14:textId="48EB83E0" w:rsidR="00767298" w:rsidRPr="00767298" w:rsidRDefault="00767298" w:rsidP="00767298"/>
    <w:p w14:paraId="0796C888" w14:textId="77777777" w:rsidR="00767298" w:rsidRPr="00767298" w:rsidRDefault="00767298" w:rsidP="00767298">
      <w:pPr>
        <w:rPr>
          <w:b/>
          <w:bCs/>
        </w:rPr>
      </w:pPr>
      <w:r w:rsidRPr="00767298">
        <w:rPr>
          <w:b/>
          <w:bCs/>
        </w:rPr>
        <w:t>② 環境配慮設計の促進</w:t>
      </w:r>
    </w:p>
    <w:p w14:paraId="3E97CAF8" w14:textId="77777777" w:rsidR="00767298" w:rsidRPr="00767298" w:rsidRDefault="00767298" w:rsidP="00767298">
      <w:pPr>
        <w:numPr>
          <w:ilvl w:val="0"/>
          <w:numId w:val="4"/>
        </w:numPr>
      </w:pPr>
      <w:r w:rsidRPr="00767298">
        <w:rPr>
          <w:b/>
          <w:bCs/>
        </w:rPr>
        <w:t>該当条文</w:t>
      </w:r>
      <w:r w:rsidRPr="00767298">
        <w:t>：第29条（新設）</w:t>
      </w:r>
    </w:p>
    <w:p w14:paraId="60526375" w14:textId="77777777" w:rsidR="00767298" w:rsidRPr="00767298" w:rsidRDefault="00767298" w:rsidP="00767298">
      <w:pPr>
        <w:numPr>
          <w:ilvl w:val="0"/>
          <w:numId w:val="4"/>
        </w:numPr>
      </w:pPr>
      <w:r w:rsidRPr="00767298">
        <w:rPr>
          <w:b/>
          <w:bCs/>
        </w:rPr>
        <w:t>文言</w:t>
      </w:r>
      <w:r w:rsidRPr="00767298">
        <w:t>：</w:t>
      </w:r>
      <w:r w:rsidRPr="00767298">
        <w:br/>
        <w:t xml:space="preserve">　「主務大臣は、…対象指定製品について…資源の有効な利用の促進に資する設計に関する指針を定めるものとする。」</w:t>
      </w:r>
    </w:p>
    <w:p w14:paraId="53BE77C3" w14:textId="77777777" w:rsidR="00767298" w:rsidRPr="00767298" w:rsidRDefault="00767298" w:rsidP="00767298">
      <w:pPr>
        <w:numPr>
          <w:ilvl w:val="0"/>
          <w:numId w:val="4"/>
        </w:numPr>
      </w:pPr>
      <w:r w:rsidRPr="00767298">
        <w:rPr>
          <w:b/>
          <w:bCs/>
        </w:rPr>
        <w:t>補足</w:t>
      </w:r>
      <w:r w:rsidRPr="00767298">
        <w:t>：「対象指定製品」に解体しやすい設計、長寿命などが含まれる設計とされる。</w:t>
      </w:r>
    </w:p>
    <w:p w14:paraId="4D056222" w14:textId="0E2EFC86" w:rsidR="00767298" w:rsidRPr="00767298" w:rsidRDefault="00767298" w:rsidP="00767298"/>
    <w:p w14:paraId="62929A93" w14:textId="77777777" w:rsidR="00767298" w:rsidRPr="00767298" w:rsidRDefault="00767298" w:rsidP="00767298">
      <w:pPr>
        <w:rPr>
          <w:b/>
          <w:bCs/>
        </w:rPr>
      </w:pPr>
      <w:r w:rsidRPr="00767298">
        <w:rPr>
          <w:b/>
          <w:bCs/>
        </w:rPr>
        <w:t>③ GX分野原材料の再資源化の促進</w:t>
      </w:r>
    </w:p>
    <w:p w14:paraId="2D40ECA5" w14:textId="77777777" w:rsidR="00767298" w:rsidRPr="00767298" w:rsidRDefault="00767298" w:rsidP="00767298">
      <w:pPr>
        <w:numPr>
          <w:ilvl w:val="0"/>
          <w:numId w:val="5"/>
        </w:numPr>
      </w:pPr>
      <w:r w:rsidRPr="00767298">
        <w:rPr>
          <w:b/>
          <w:bCs/>
        </w:rPr>
        <w:t>該当条文</w:t>
      </w:r>
      <w:r w:rsidRPr="00767298">
        <w:t>：第23条、及び第26条</w:t>
      </w:r>
    </w:p>
    <w:p w14:paraId="2EC3375B" w14:textId="77777777" w:rsidR="00767298" w:rsidRPr="00767298" w:rsidRDefault="00767298" w:rsidP="00767298">
      <w:pPr>
        <w:numPr>
          <w:ilvl w:val="0"/>
          <w:numId w:val="5"/>
        </w:numPr>
      </w:pPr>
      <w:r w:rsidRPr="00767298">
        <w:rPr>
          <w:b/>
          <w:bCs/>
        </w:rPr>
        <w:t>文言</w:t>
      </w:r>
      <w:r w:rsidRPr="00767298">
        <w:t>：</w:t>
      </w:r>
      <w:r w:rsidRPr="00767298">
        <w:br/>
        <w:t xml:space="preserve">　「指定脱炭素化再生資源利用促進製品の自主回収及び再資源化…」</w:t>
      </w:r>
      <w:r w:rsidRPr="00767298">
        <w:br/>
        <w:t xml:space="preserve">　「…政令で定める基準を超える者は、利用計画を提出しなければならない。」</w:t>
      </w:r>
      <w:r w:rsidRPr="00767298">
        <w:br/>
        <w:t xml:space="preserve">　「廃棄物処理法の許可が不要となる特例措置を受ける」</w:t>
      </w:r>
    </w:p>
    <w:p w14:paraId="122F677E" w14:textId="3B9A537B" w:rsidR="00767298" w:rsidRPr="00767298" w:rsidRDefault="00767298" w:rsidP="00767298"/>
    <w:p w14:paraId="3FA2008D" w14:textId="77777777" w:rsidR="00767298" w:rsidRPr="00767298" w:rsidRDefault="00767298" w:rsidP="00767298">
      <w:pPr>
        <w:rPr>
          <w:b/>
          <w:bCs/>
        </w:rPr>
      </w:pPr>
      <w:r w:rsidRPr="00767298">
        <w:rPr>
          <w:b/>
          <w:bCs/>
        </w:rPr>
        <w:t>④ サーキュラーエコノミー（CE）コマースの推進</w:t>
      </w:r>
    </w:p>
    <w:p w14:paraId="44FBE868" w14:textId="77777777" w:rsidR="00767298" w:rsidRPr="00767298" w:rsidRDefault="00767298" w:rsidP="00767298">
      <w:pPr>
        <w:numPr>
          <w:ilvl w:val="0"/>
          <w:numId w:val="6"/>
        </w:numPr>
      </w:pPr>
      <w:r w:rsidRPr="00767298">
        <w:rPr>
          <w:b/>
          <w:bCs/>
        </w:rPr>
        <w:t>該当条文</w:t>
      </w:r>
      <w:r w:rsidRPr="00767298">
        <w:t>：第4条（事業者の責務）</w:t>
      </w:r>
    </w:p>
    <w:p w14:paraId="0F0FA6B1" w14:textId="77777777" w:rsidR="00767298" w:rsidRPr="00767298" w:rsidRDefault="00767298" w:rsidP="00767298">
      <w:pPr>
        <w:numPr>
          <w:ilvl w:val="0"/>
          <w:numId w:val="6"/>
        </w:numPr>
      </w:pPr>
      <w:r w:rsidRPr="00767298">
        <w:rPr>
          <w:b/>
          <w:bCs/>
        </w:rPr>
        <w:t>文言</w:t>
      </w:r>
      <w:r w:rsidRPr="00767298">
        <w:t>：</w:t>
      </w:r>
      <w:r w:rsidRPr="00767298">
        <w:br/>
        <w:t xml:space="preserve">　「工場若しくは事業場…において事業を行う者…物品の販売若しくは賃貸の事業を行う者は…原材料の使用の合理化その他の資源の有効な利用の促進のための措置を講ずるよう努めなければならない。」</w:t>
      </w:r>
    </w:p>
    <w:p w14:paraId="667A7DA9" w14:textId="77777777" w:rsidR="00767298" w:rsidRPr="00767298" w:rsidRDefault="00767298" w:rsidP="00767298">
      <w:pPr>
        <w:numPr>
          <w:ilvl w:val="0"/>
          <w:numId w:val="6"/>
        </w:numPr>
      </w:pPr>
      <w:r w:rsidRPr="00767298">
        <w:rPr>
          <w:b/>
          <w:bCs/>
        </w:rPr>
        <w:t>補足</w:t>
      </w:r>
      <w:r w:rsidRPr="00767298">
        <w:t>：「販売・賃貸」の事業が明示され、シェアリングなどのCE型ビジネスへの適用が可能とされるようになった点が新規性。</w:t>
      </w:r>
    </w:p>
    <w:p w14:paraId="044F8138" w14:textId="0433A06E" w:rsidR="00A87EEC" w:rsidRDefault="00A87EEC" w:rsidP="00A87EEC"/>
    <w:p w14:paraId="30DE605A" w14:textId="3DF48873" w:rsidR="00A87EEC" w:rsidRDefault="002660DA" w:rsidP="00A87EEC">
      <w:r>
        <w:rPr>
          <w:rFonts w:hint="eastAsia"/>
        </w:rPr>
        <w:t>一応これらを</w:t>
      </w:r>
      <w:r w:rsidR="00EC5026">
        <w:rPr>
          <w:rFonts w:hint="eastAsia"/>
        </w:rPr>
        <w:t>欠いて依然と比較しながら表にしてみよう、</w:t>
      </w:r>
    </w:p>
    <w:p w14:paraId="0E2D0F64" w14:textId="77777777" w:rsidR="00EC5026" w:rsidRDefault="00EC5026" w:rsidP="00A87EE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8"/>
        <w:gridCol w:w="2003"/>
        <w:gridCol w:w="2302"/>
        <w:gridCol w:w="728"/>
        <w:gridCol w:w="2503"/>
      </w:tblGrid>
      <w:tr w:rsidR="008A7599" w:rsidRPr="008A7599" w14:paraId="6EC289BE" w14:textId="77777777" w:rsidTr="008A7599">
        <w:trPr>
          <w:tblHeader/>
          <w:tblCellSpacing w:w="15" w:type="dxa"/>
        </w:trPr>
        <w:tc>
          <w:tcPr>
            <w:tcW w:w="0" w:type="auto"/>
            <w:vAlign w:val="center"/>
            <w:hideMark/>
          </w:tcPr>
          <w:p w14:paraId="4F745632" w14:textId="77777777" w:rsidR="008A7599" w:rsidRPr="008A7599" w:rsidRDefault="008A7599" w:rsidP="008A7599">
            <w:pPr>
              <w:rPr>
                <w:b/>
                <w:bCs/>
              </w:rPr>
            </w:pPr>
            <w:r w:rsidRPr="008A7599">
              <w:rPr>
                <w:b/>
                <w:bCs/>
              </w:rPr>
              <w:t>改正ポイント</w:t>
            </w:r>
          </w:p>
        </w:tc>
        <w:tc>
          <w:tcPr>
            <w:tcW w:w="0" w:type="auto"/>
            <w:vAlign w:val="center"/>
            <w:hideMark/>
          </w:tcPr>
          <w:p w14:paraId="3D1B9195" w14:textId="77777777" w:rsidR="008A7599" w:rsidRPr="008A7599" w:rsidRDefault="008A7599" w:rsidP="008A7599">
            <w:pPr>
              <w:rPr>
                <w:b/>
                <w:bCs/>
              </w:rPr>
            </w:pPr>
            <w:r w:rsidRPr="008A7599">
              <w:rPr>
                <w:b/>
                <w:bCs/>
              </w:rPr>
              <w:t>改正前の内容</w:t>
            </w:r>
          </w:p>
        </w:tc>
        <w:tc>
          <w:tcPr>
            <w:tcW w:w="0" w:type="auto"/>
            <w:vAlign w:val="center"/>
            <w:hideMark/>
          </w:tcPr>
          <w:p w14:paraId="65ACDDAA" w14:textId="77777777" w:rsidR="008A7599" w:rsidRPr="008A7599" w:rsidRDefault="008A7599" w:rsidP="008A7599">
            <w:pPr>
              <w:rPr>
                <w:b/>
                <w:bCs/>
              </w:rPr>
            </w:pPr>
            <w:r w:rsidRPr="008A7599">
              <w:rPr>
                <w:b/>
                <w:bCs/>
              </w:rPr>
              <w:t>改正後の内容</w:t>
            </w:r>
          </w:p>
        </w:tc>
        <w:tc>
          <w:tcPr>
            <w:tcW w:w="0" w:type="auto"/>
            <w:vAlign w:val="center"/>
            <w:hideMark/>
          </w:tcPr>
          <w:p w14:paraId="33C0A91C" w14:textId="77777777" w:rsidR="008A7599" w:rsidRPr="008A7599" w:rsidRDefault="008A7599" w:rsidP="008A7599">
            <w:pPr>
              <w:rPr>
                <w:b/>
                <w:bCs/>
              </w:rPr>
            </w:pPr>
            <w:r w:rsidRPr="008A7599">
              <w:rPr>
                <w:b/>
                <w:bCs/>
              </w:rPr>
              <w:t>該当条項</w:t>
            </w:r>
          </w:p>
        </w:tc>
        <w:tc>
          <w:tcPr>
            <w:tcW w:w="0" w:type="auto"/>
            <w:vAlign w:val="center"/>
            <w:hideMark/>
          </w:tcPr>
          <w:p w14:paraId="012475A9" w14:textId="77777777" w:rsidR="008A7599" w:rsidRPr="008A7599" w:rsidRDefault="008A7599" w:rsidP="008A7599">
            <w:pPr>
              <w:rPr>
                <w:b/>
                <w:bCs/>
              </w:rPr>
            </w:pPr>
            <w:r w:rsidRPr="008A7599">
              <w:rPr>
                <w:b/>
                <w:bCs/>
              </w:rPr>
              <w:t>主な文言（抜粋）</w:t>
            </w:r>
          </w:p>
        </w:tc>
      </w:tr>
      <w:tr w:rsidR="008A7599" w:rsidRPr="008A7599" w14:paraId="5E7BA714" w14:textId="77777777" w:rsidTr="008A7599">
        <w:trPr>
          <w:tblCellSpacing w:w="15" w:type="dxa"/>
        </w:trPr>
        <w:tc>
          <w:tcPr>
            <w:tcW w:w="0" w:type="auto"/>
            <w:vAlign w:val="center"/>
            <w:hideMark/>
          </w:tcPr>
          <w:p w14:paraId="382B2474" w14:textId="77777777" w:rsidR="008A7599" w:rsidRPr="008A7599" w:rsidRDefault="008A7599" w:rsidP="008A7599">
            <w:r w:rsidRPr="008A7599">
              <w:t>① 再生資源の利用義務化</w:t>
            </w:r>
          </w:p>
        </w:tc>
        <w:tc>
          <w:tcPr>
            <w:tcW w:w="0" w:type="auto"/>
            <w:vAlign w:val="center"/>
            <w:hideMark/>
          </w:tcPr>
          <w:p w14:paraId="6A2240D8" w14:textId="77777777" w:rsidR="008A7599" w:rsidRPr="008A7599" w:rsidRDefault="008A7599" w:rsidP="008A7599">
            <w:r w:rsidRPr="008A7599">
              <w:t>特定事業者への利用努力義務にとどまる。定量的な義務や報告制度は整っていなかった。</w:t>
            </w:r>
          </w:p>
        </w:tc>
        <w:tc>
          <w:tcPr>
            <w:tcW w:w="0" w:type="auto"/>
            <w:vAlign w:val="center"/>
            <w:hideMark/>
          </w:tcPr>
          <w:p w14:paraId="3F1E7BFB" w14:textId="77777777" w:rsidR="008A7599" w:rsidRPr="008A7599" w:rsidRDefault="008A7599" w:rsidP="008A7599">
            <w:r w:rsidRPr="008A7599">
              <w:rPr>
                <w:b/>
                <w:bCs/>
              </w:rPr>
              <w:t>一定規模以上の事業者に利用計画提出・報告義務を課す。</w:t>
            </w:r>
            <w:r w:rsidRPr="008A7599">
              <w:t xml:space="preserve"> 再生資源利用促進製品を指定。</w:t>
            </w:r>
          </w:p>
        </w:tc>
        <w:tc>
          <w:tcPr>
            <w:tcW w:w="0" w:type="auto"/>
            <w:vAlign w:val="center"/>
            <w:hideMark/>
          </w:tcPr>
          <w:p w14:paraId="0F871A0A" w14:textId="77777777" w:rsidR="008A7599" w:rsidRPr="008A7599" w:rsidRDefault="008A7599" w:rsidP="008A7599">
            <w:r w:rsidRPr="008A7599">
              <w:t>第23条</w:t>
            </w:r>
          </w:p>
        </w:tc>
        <w:tc>
          <w:tcPr>
            <w:tcW w:w="0" w:type="auto"/>
            <w:vAlign w:val="center"/>
            <w:hideMark/>
          </w:tcPr>
          <w:p w14:paraId="4CFE9A8B" w14:textId="77777777" w:rsidR="008A7599" w:rsidRPr="008A7599" w:rsidRDefault="008A7599" w:rsidP="008A7599">
            <w:r w:rsidRPr="008A7599">
              <w:t>「指定脱炭素化再生資源利用促進事業者…は…利用計画を提出しなければならない」</w:t>
            </w:r>
          </w:p>
        </w:tc>
      </w:tr>
      <w:tr w:rsidR="008A7599" w:rsidRPr="008A7599" w14:paraId="72251E8B" w14:textId="77777777" w:rsidTr="008A7599">
        <w:trPr>
          <w:tblCellSpacing w:w="15" w:type="dxa"/>
        </w:trPr>
        <w:tc>
          <w:tcPr>
            <w:tcW w:w="0" w:type="auto"/>
            <w:vAlign w:val="center"/>
            <w:hideMark/>
          </w:tcPr>
          <w:p w14:paraId="48C58946" w14:textId="77777777" w:rsidR="008A7599" w:rsidRPr="008A7599" w:rsidRDefault="008A7599" w:rsidP="008A7599">
            <w:r w:rsidRPr="008A7599">
              <w:t>② 環境配慮設計の促進</w:t>
            </w:r>
          </w:p>
        </w:tc>
        <w:tc>
          <w:tcPr>
            <w:tcW w:w="0" w:type="auto"/>
            <w:vAlign w:val="center"/>
            <w:hideMark/>
          </w:tcPr>
          <w:p w14:paraId="5D30288E" w14:textId="77777777" w:rsidR="008A7599" w:rsidRPr="008A7599" w:rsidRDefault="008A7599" w:rsidP="008A7599">
            <w:r w:rsidRPr="008A7599">
              <w:t>製品設計における配慮は努力義務レベルで明確な認定制度はなかった。</w:t>
            </w:r>
          </w:p>
        </w:tc>
        <w:tc>
          <w:tcPr>
            <w:tcW w:w="0" w:type="auto"/>
            <w:vAlign w:val="center"/>
            <w:hideMark/>
          </w:tcPr>
          <w:p w14:paraId="1B90BF88" w14:textId="77777777" w:rsidR="008A7599" w:rsidRPr="008A7599" w:rsidRDefault="008A7599" w:rsidP="008A7599">
            <w:r w:rsidRPr="008A7599">
              <w:rPr>
                <w:b/>
                <w:bCs/>
              </w:rPr>
              <w:t>資源有効利用・脱炭素設計の認定制度を新設。</w:t>
            </w:r>
            <w:r w:rsidRPr="008A7599">
              <w:t xml:space="preserve"> 認定された製品には支援措置。</w:t>
            </w:r>
          </w:p>
        </w:tc>
        <w:tc>
          <w:tcPr>
            <w:tcW w:w="0" w:type="auto"/>
            <w:vAlign w:val="center"/>
            <w:hideMark/>
          </w:tcPr>
          <w:p w14:paraId="1B10861F" w14:textId="77777777" w:rsidR="008A7599" w:rsidRPr="008A7599" w:rsidRDefault="008A7599" w:rsidP="008A7599">
            <w:r w:rsidRPr="008A7599">
              <w:t>第29条・第30条</w:t>
            </w:r>
          </w:p>
        </w:tc>
        <w:tc>
          <w:tcPr>
            <w:tcW w:w="0" w:type="auto"/>
            <w:vAlign w:val="center"/>
            <w:hideMark/>
          </w:tcPr>
          <w:p w14:paraId="63F61233" w14:textId="77777777" w:rsidR="008A7599" w:rsidRPr="008A7599" w:rsidRDefault="008A7599" w:rsidP="008A7599">
            <w:r w:rsidRPr="008A7599">
              <w:t>「資源有効利用・脱炭素化促進設計指針に適合していると認めるときは…設計認定をする」</w:t>
            </w:r>
          </w:p>
        </w:tc>
      </w:tr>
      <w:tr w:rsidR="008A7599" w:rsidRPr="008A7599" w14:paraId="065315E3" w14:textId="77777777" w:rsidTr="008A7599">
        <w:trPr>
          <w:tblCellSpacing w:w="15" w:type="dxa"/>
        </w:trPr>
        <w:tc>
          <w:tcPr>
            <w:tcW w:w="0" w:type="auto"/>
            <w:vAlign w:val="center"/>
            <w:hideMark/>
          </w:tcPr>
          <w:p w14:paraId="1511A98B" w14:textId="77777777" w:rsidR="008A7599" w:rsidRPr="008A7599" w:rsidRDefault="008A7599" w:rsidP="008A7599">
            <w:r w:rsidRPr="008A7599">
              <w:t>③ GX分野原材料の再資源化の促進</w:t>
            </w:r>
          </w:p>
        </w:tc>
        <w:tc>
          <w:tcPr>
            <w:tcW w:w="0" w:type="auto"/>
            <w:vAlign w:val="center"/>
            <w:hideMark/>
          </w:tcPr>
          <w:p w14:paraId="61A1F477" w14:textId="77777777" w:rsidR="008A7599" w:rsidRPr="008A7599" w:rsidRDefault="008A7599" w:rsidP="008A7599">
            <w:r w:rsidRPr="008A7599">
              <w:t>自主的な回収・再資源化への支援はあったが、法的制度の枠組みは限定的。</w:t>
            </w:r>
          </w:p>
        </w:tc>
        <w:tc>
          <w:tcPr>
            <w:tcW w:w="0" w:type="auto"/>
            <w:vAlign w:val="center"/>
            <w:hideMark/>
          </w:tcPr>
          <w:p w14:paraId="1D2C5133" w14:textId="77777777" w:rsidR="008A7599" w:rsidRPr="008A7599" w:rsidRDefault="008A7599" w:rsidP="008A7599">
            <w:r w:rsidRPr="008A7599">
              <w:rPr>
                <w:b/>
                <w:bCs/>
              </w:rPr>
              <w:t>回収・再資源化に積極的な事業者に特例（例：廃棄物処理法の許可不要）を適用。</w:t>
            </w:r>
          </w:p>
        </w:tc>
        <w:tc>
          <w:tcPr>
            <w:tcW w:w="0" w:type="auto"/>
            <w:vAlign w:val="center"/>
            <w:hideMark/>
          </w:tcPr>
          <w:p w14:paraId="4833CE72" w14:textId="77777777" w:rsidR="008A7599" w:rsidRPr="008A7599" w:rsidRDefault="008A7599" w:rsidP="008A7599">
            <w:r w:rsidRPr="008A7599">
              <w:t>第23条・第26条</w:t>
            </w:r>
          </w:p>
        </w:tc>
        <w:tc>
          <w:tcPr>
            <w:tcW w:w="0" w:type="auto"/>
            <w:vAlign w:val="center"/>
            <w:hideMark/>
          </w:tcPr>
          <w:p w14:paraId="0683B8BE" w14:textId="77777777" w:rsidR="008A7599" w:rsidRPr="008A7599" w:rsidRDefault="008A7599" w:rsidP="008A7599">
            <w:r w:rsidRPr="008A7599">
              <w:t>「政令で定める基準を超える者は…」「廃棄物処理法の許可が不要となる特例措置」</w:t>
            </w:r>
          </w:p>
        </w:tc>
      </w:tr>
      <w:tr w:rsidR="008A7599" w:rsidRPr="008A7599" w14:paraId="1EE49C96" w14:textId="77777777" w:rsidTr="008A7599">
        <w:trPr>
          <w:tblCellSpacing w:w="15" w:type="dxa"/>
        </w:trPr>
        <w:tc>
          <w:tcPr>
            <w:tcW w:w="0" w:type="auto"/>
            <w:vAlign w:val="center"/>
            <w:hideMark/>
          </w:tcPr>
          <w:p w14:paraId="3C7B562B" w14:textId="77777777" w:rsidR="008A7599" w:rsidRPr="008A7599" w:rsidRDefault="008A7599" w:rsidP="008A7599">
            <w:r w:rsidRPr="008A7599">
              <w:t>④ CEコマースの推進</w:t>
            </w:r>
          </w:p>
        </w:tc>
        <w:tc>
          <w:tcPr>
            <w:tcW w:w="0" w:type="auto"/>
            <w:vAlign w:val="center"/>
            <w:hideMark/>
          </w:tcPr>
          <w:p w14:paraId="62A58C02" w14:textId="77777777" w:rsidR="008A7599" w:rsidRPr="008A7599" w:rsidRDefault="008A7599" w:rsidP="008A7599">
            <w:r w:rsidRPr="008A7599">
              <w:t>シェアリング・リユース・リファービッシュなどの新事業は法的位置付けが曖昧。</w:t>
            </w:r>
          </w:p>
        </w:tc>
        <w:tc>
          <w:tcPr>
            <w:tcW w:w="0" w:type="auto"/>
            <w:vAlign w:val="center"/>
            <w:hideMark/>
          </w:tcPr>
          <w:p w14:paraId="03F90125" w14:textId="77777777" w:rsidR="008A7599" w:rsidRPr="008A7599" w:rsidRDefault="008A7599" w:rsidP="008A7599">
            <w:r w:rsidRPr="008A7599">
              <w:rPr>
                <w:b/>
                <w:bCs/>
              </w:rPr>
              <w:t>賃貸・販売を含む資源有効利用型事業を法的に位置づけ。</w:t>
            </w:r>
            <w:r w:rsidRPr="008A7599">
              <w:t xml:space="preserve"> CEビジネスモデルが制度の対象に。</w:t>
            </w:r>
          </w:p>
        </w:tc>
        <w:tc>
          <w:tcPr>
            <w:tcW w:w="0" w:type="auto"/>
            <w:vAlign w:val="center"/>
            <w:hideMark/>
          </w:tcPr>
          <w:p w14:paraId="02ADA8CF" w14:textId="77777777" w:rsidR="008A7599" w:rsidRPr="008A7599" w:rsidRDefault="008A7599" w:rsidP="008A7599">
            <w:r w:rsidRPr="008A7599">
              <w:t>第4条</w:t>
            </w:r>
          </w:p>
        </w:tc>
        <w:tc>
          <w:tcPr>
            <w:tcW w:w="0" w:type="auto"/>
            <w:vAlign w:val="center"/>
            <w:hideMark/>
          </w:tcPr>
          <w:p w14:paraId="5B31C1CC" w14:textId="77777777" w:rsidR="008A7599" w:rsidRPr="008A7599" w:rsidRDefault="008A7599" w:rsidP="008A7599">
            <w:r w:rsidRPr="008A7599">
              <w:t>「販売若しくは賃貸の事業を行う者は…資源の有効な利用の促進のための措置を講ずるよう努めなければならない」</w:t>
            </w:r>
          </w:p>
        </w:tc>
      </w:tr>
    </w:tbl>
    <w:p w14:paraId="46CDFB37" w14:textId="77777777" w:rsidR="00757069" w:rsidRDefault="00757069" w:rsidP="00A87EEC"/>
    <w:p w14:paraId="249CE20C" w14:textId="7BAAD7BB" w:rsidR="00EC5026" w:rsidRPr="008A7599" w:rsidRDefault="00757069" w:rsidP="00A87EEC">
      <w:r>
        <w:rPr>
          <w:rFonts w:hint="eastAsia"/>
        </w:rPr>
        <w:t>となる。</w:t>
      </w:r>
      <w:r w:rsidR="00C50D7E">
        <w:rPr>
          <w:rFonts w:hint="eastAsia"/>
        </w:rPr>
        <w:t>すなわち、この改定は将来においての、</w:t>
      </w:r>
      <w:r w:rsidR="009079AD">
        <w:rPr>
          <w:rFonts w:hint="eastAsia"/>
        </w:rPr>
        <w:t>「使用済み物」</w:t>
      </w:r>
      <w:r w:rsidR="00A42ADA">
        <w:rPr>
          <w:rFonts w:hint="eastAsia"/>
        </w:rPr>
        <w:t>「工場発生屑」などま「廃棄物ではない流通」</w:t>
      </w:r>
      <w:r w:rsidR="00D16C03">
        <w:rPr>
          <w:rFonts w:hint="eastAsia"/>
        </w:rPr>
        <w:t>の可能性を切り開きうるものでありつつ、まずは、</w:t>
      </w:r>
      <w:r w:rsidR="00B82653">
        <w:rPr>
          <w:rFonts w:hint="eastAsia"/>
        </w:rPr>
        <w:t>「再生資源利用の義務化」や「</w:t>
      </w:r>
      <w:r w:rsidR="00E22E23">
        <w:rPr>
          <w:rFonts w:hint="eastAsia"/>
        </w:rPr>
        <w:t>環境配慮設計</w:t>
      </w:r>
      <w:r w:rsidR="00B82653">
        <w:rPr>
          <w:rFonts w:hint="eastAsia"/>
        </w:rPr>
        <w:t>」</w:t>
      </w:r>
      <w:r w:rsidR="00E22E23">
        <w:rPr>
          <w:rFonts w:hint="eastAsia"/>
        </w:rPr>
        <w:t>を前面に掲げることのできる大規模事業者から</w:t>
      </w:r>
      <w:r w:rsidR="00C71DDF">
        <w:rPr>
          <w:rFonts w:hint="eastAsia"/>
        </w:rPr>
        <w:t>着手する形で始め和うとする意図を読み取ることができる。</w:t>
      </w:r>
    </w:p>
    <w:p w14:paraId="496BD4B8" w14:textId="77777777" w:rsidR="00EC5026" w:rsidRDefault="00EC5026" w:rsidP="00A87EEC"/>
    <w:p w14:paraId="538B17AF" w14:textId="4035891F" w:rsidR="00E446D1" w:rsidRDefault="004B76E9" w:rsidP="0006365E">
      <w:pPr>
        <w:pStyle w:val="a9"/>
        <w:numPr>
          <w:ilvl w:val="0"/>
          <w:numId w:val="1"/>
        </w:numPr>
      </w:pPr>
      <w:r>
        <w:rPr>
          <w:rFonts w:hint="eastAsia"/>
        </w:rPr>
        <w:t>CEコマースの課題</w:t>
      </w:r>
    </w:p>
    <w:p w14:paraId="056455DF" w14:textId="77777777" w:rsidR="00DC240B" w:rsidRDefault="00DC240B" w:rsidP="00DC240B">
      <w:pPr>
        <w:pStyle w:val="a9"/>
        <w:ind w:left="360"/>
        <w:rPr>
          <w:rFonts w:hint="eastAsia"/>
        </w:rPr>
      </w:pPr>
    </w:p>
    <w:p w14:paraId="2B408684" w14:textId="77777777" w:rsidR="00545821" w:rsidRDefault="006F1408" w:rsidP="00DC240B">
      <w:pPr>
        <w:ind w:firstLineChars="100" w:firstLine="210"/>
      </w:pPr>
      <w:r>
        <w:rPr>
          <w:rFonts w:hint="eastAsia"/>
        </w:rPr>
        <w:t>その典型がCE(サーキュラー・エコノミー)型コマースに対する言及である。</w:t>
      </w:r>
      <w:r w:rsidR="00684CF1">
        <w:rPr>
          <w:rFonts w:hint="eastAsia"/>
        </w:rPr>
        <w:t>その対応状況を</w:t>
      </w:r>
      <w:r w:rsidR="00544CFC">
        <w:rPr>
          <w:rFonts w:hint="eastAsia"/>
        </w:rPr>
        <w:t>CEコマースの成立に必要な過程で整理してまとめると次の表のようになる。</w:t>
      </w:r>
      <w:r w:rsidR="00544CFC">
        <w:br/>
      </w:r>
    </w:p>
    <w:p w14:paraId="605DAEB1" w14:textId="77777777" w:rsidR="0017290C" w:rsidRDefault="0017290C" w:rsidP="00DC240B">
      <w:pPr>
        <w:ind w:firstLineChars="100" w:firstLine="21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3"/>
        <w:gridCol w:w="2310"/>
        <w:gridCol w:w="855"/>
        <w:gridCol w:w="3816"/>
      </w:tblGrid>
      <w:tr w:rsidR="00545821" w:rsidRPr="00545821" w14:paraId="2CD6EF3B" w14:textId="77777777" w:rsidTr="00545821">
        <w:trPr>
          <w:tblHeader/>
          <w:tblCellSpacing w:w="15" w:type="dxa"/>
        </w:trPr>
        <w:tc>
          <w:tcPr>
            <w:tcW w:w="0" w:type="auto"/>
            <w:vAlign w:val="center"/>
            <w:hideMark/>
          </w:tcPr>
          <w:p w14:paraId="6575448D" w14:textId="77777777" w:rsidR="00545821" w:rsidRPr="00545821" w:rsidRDefault="00545821" w:rsidP="00545821">
            <w:pPr>
              <w:rPr>
                <w:b/>
                <w:bCs/>
              </w:rPr>
            </w:pPr>
            <w:r w:rsidRPr="00545821">
              <w:rPr>
                <w:b/>
                <w:bCs/>
              </w:rPr>
              <w:t>項目</w:t>
            </w:r>
          </w:p>
        </w:tc>
        <w:tc>
          <w:tcPr>
            <w:tcW w:w="0" w:type="auto"/>
            <w:vAlign w:val="center"/>
            <w:hideMark/>
          </w:tcPr>
          <w:p w14:paraId="5ED3C3D1" w14:textId="77777777" w:rsidR="00545821" w:rsidRPr="00545821" w:rsidRDefault="00545821" w:rsidP="00545821">
            <w:pPr>
              <w:rPr>
                <w:b/>
                <w:bCs/>
              </w:rPr>
            </w:pPr>
            <w:r w:rsidRPr="00545821">
              <w:rPr>
                <w:b/>
                <w:bCs/>
              </w:rPr>
              <w:t>内容（CEビジネス推進上の重要事項）</w:t>
            </w:r>
          </w:p>
        </w:tc>
        <w:tc>
          <w:tcPr>
            <w:tcW w:w="0" w:type="auto"/>
            <w:vAlign w:val="center"/>
            <w:hideMark/>
          </w:tcPr>
          <w:p w14:paraId="7D0C06A8" w14:textId="77777777" w:rsidR="00545821" w:rsidRPr="00545821" w:rsidRDefault="00545821" w:rsidP="00545821">
            <w:pPr>
              <w:rPr>
                <w:b/>
                <w:bCs/>
              </w:rPr>
            </w:pPr>
            <w:r w:rsidRPr="00545821">
              <w:rPr>
                <w:b/>
                <w:bCs/>
              </w:rPr>
              <w:t>法改正での対応有無</w:t>
            </w:r>
          </w:p>
        </w:tc>
        <w:tc>
          <w:tcPr>
            <w:tcW w:w="0" w:type="auto"/>
            <w:vAlign w:val="center"/>
            <w:hideMark/>
          </w:tcPr>
          <w:p w14:paraId="51686426" w14:textId="77777777" w:rsidR="00545821" w:rsidRPr="00545821" w:rsidRDefault="00545821" w:rsidP="00545821">
            <w:pPr>
              <w:rPr>
                <w:b/>
                <w:bCs/>
              </w:rPr>
            </w:pPr>
            <w:r w:rsidRPr="00545821">
              <w:rPr>
                <w:b/>
                <w:bCs/>
              </w:rPr>
              <w:t>関連条文・文言（改正法より）</w:t>
            </w:r>
          </w:p>
        </w:tc>
      </w:tr>
      <w:tr w:rsidR="00545821" w:rsidRPr="00545821" w14:paraId="66C2894C" w14:textId="77777777" w:rsidTr="00545821">
        <w:trPr>
          <w:tblCellSpacing w:w="15" w:type="dxa"/>
        </w:trPr>
        <w:tc>
          <w:tcPr>
            <w:tcW w:w="0" w:type="auto"/>
            <w:vAlign w:val="center"/>
            <w:hideMark/>
          </w:tcPr>
          <w:p w14:paraId="4CA473B7" w14:textId="77777777" w:rsidR="00545821" w:rsidRPr="00545821" w:rsidRDefault="00545821" w:rsidP="00545821">
            <w:r w:rsidRPr="00545821">
              <w:t>① CEビジネスの定義付け</w:t>
            </w:r>
          </w:p>
        </w:tc>
        <w:tc>
          <w:tcPr>
            <w:tcW w:w="0" w:type="auto"/>
            <w:vAlign w:val="center"/>
            <w:hideMark/>
          </w:tcPr>
          <w:p w14:paraId="5BF7FFAE" w14:textId="77777777" w:rsidR="00545821" w:rsidRPr="00545821" w:rsidRDefault="00545821" w:rsidP="00545821">
            <w:r w:rsidRPr="00545821">
              <w:t>シェアリング、リファービッシュ、リース等を制度的に位置付け</w:t>
            </w:r>
          </w:p>
        </w:tc>
        <w:tc>
          <w:tcPr>
            <w:tcW w:w="0" w:type="auto"/>
            <w:vAlign w:val="center"/>
            <w:hideMark/>
          </w:tcPr>
          <w:p w14:paraId="5418ABFF" w14:textId="77777777" w:rsidR="00545821" w:rsidRPr="00545821" w:rsidRDefault="00545821" w:rsidP="00545821">
            <w:r w:rsidRPr="00545821">
              <w:rPr>
                <w:rFonts w:ascii="Segoe UI Emoji" w:hAnsi="Segoe UI Emoji" w:cs="Segoe UI Emoji"/>
              </w:rPr>
              <w:t>✅</w:t>
            </w:r>
            <w:r w:rsidRPr="00545821">
              <w:t xml:space="preserve"> 対応あり</w:t>
            </w:r>
          </w:p>
        </w:tc>
        <w:tc>
          <w:tcPr>
            <w:tcW w:w="0" w:type="auto"/>
            <w:vAlign w:val="center"/>
            <w:hideMark/>
          </w:tcPr>
          <w:p w14:paraId="518B4428" w14:textId="77777777" w:rsidR="00545821" w:rsidRPr="00545821" w:rsidRDefault="00545821" w:rsidP="00545821">
            <w:r w:rsidRPr="00545821">
              <w:t>第16条第2項：</w:t>
            </w:r>
            <w:r w:rsidRPr="00545821">
              <w:br/>
              <w:t>「資源の有効な利用の促進に資する使用方法により特定製品を使用する事業」等を「資源循環利用等事業」と定義</w:t>
            </w:r>
          </w:p>
        </w:tc>
      </w:tr>
      <w:tr w:rsidR="00545821" w:rsidRPr="00545821" w14:paraId="4DBEF5F0" w14:textId="77777777" w:rsidTr="00545821">
        <w:trPr>
          <w:tblCellSpacing w:w="15" w:type="dxa"/>
        </w:trPr>
        <w:tc>
          <w:tcPr>
            <w:tcW w:w="0" w:type="auto"/>
            <w:vAlign w:val="center"/>
            <w:hideMark/>
          </w:tcPr>
          <w:p w14:paraId="501A0F7C" w14:textId="77777777" w:rsidR="00545821" w:rsidRPr="00545821" w:rsidRDefault="00545821" w:rsidP="00545821">
            <w:r w:rsidRPr="00545821">
              <w:t>② 資源有効利用の基準設定</w:t>
            </w:r>
          </w:p>
        </w:tc>
        <w:tc>
          <w:tcPr>
            <w:tcW w:w="0" w:type="auto"/>
            <w:vAlign w:val="center"/>
            <w:hideMark/>
          </w:tcPr>
          <w:p w14:paraId="12D0F0F3" w14:textId="77777777" w:rsidR="00545821" w:rsidRPr="00545821" w:rsidRDefault="00545821" w:rsidP="00545821">
            <w:r w:rsidRPr="00545821">
              <w:t>CE事業者が満たすべき環境的・機能的基準の明確化</w:t>
            </w:r>
          </w:p>
        </w:tc>
        <w:tc>
          <w:tcPr>
            <w:tcW w:w="0" w:type="auto"/>
            <w:vAlign w:val="center"/>
            <w:hideMark/>
          </w:tcPr>
          <w:p w14:paraId="74B85924" w14:textId="77777777" w:rsidR="00545821" w:rsidRPr="00545821" w:rsidRDefault="00545821" w:rsidP="00545821">
            <w:r w:rsidRPr="00545821">
              <w:rPr>
                <w:rFonts w:ascii="Segoe UI Emoji" w:hAnsi="Segoe UI Emoji" w:cs="Segoe UI Emoji"/>
              </w:rPr>
              <w:t>✅</w:t>
            </w:r>
            <w:r w:rsidRPr="00545821">
              <w:t xml:space="preserve"> 対応あり</w:t>
            </w:r>
          </w:p>
        </w:tc>
        <w:tc>
          <w:tcPr>
            <w:tcW w:w="0" w:type="auto"/>
            <w:vAlign w:val="center"/>
            <w:hideMark/>
          </w:tcPr>
          <w:p w14:paraId="5F40A320" w14:textId="77777777" w:rsidR="00545821" w:rsidRPr="00545821" w:rsidRDefault="00545821" w:rsidP="00545821">
            <w:r w:rsidRPr="00545821">
              <w:t>第19条第1項：「基準に適合しないときは認定を拒否することができる」</w:t>
            </w:r>
          </w:p>
        </w:tc>
      </w:tr>
      <w:tr w:rsidR="00545821" w:rsidRPr="00545821" w14:paraId="38A84F5D" w14:textId="77777777" w:rsidTr="00545821">
        <w:trPr>
          <w:tblCellSpacing w:w="15" w:type="dxa"/>
        </w:trPr>
        <w:tc>
          <w:tcPr>
            <w:tcW w:w="0" w:type="auto"/>
            <w:vAlign w:val="center"/>
            <w:hideMark/>
          </w:tcPr>
          <w:p w14:paraId="31EDE6EF" w14:textId="77777777" w:rsidR="00545821" w:rsidRPr="00545821" w:rsidRDefault="00545821" w:rsidP="00545821">
            <w:r w:rsidRPr="00545821">
              <w:t>③ 認定制度の導入</w:t>
            </w:r>
          </w:p>
        </w:tc>
        <w:tc>
          <w:tcPr>
            <w:tcW w:w="0" w:type="auto"/>
            <w:vAlign w:val="center"/>
            <w:hideMark/>
          </w:tcPr>
          <w:p w14:paraId="0EC12423" w14:textId="77777777" w:rsidR="00545821" w:rsidRPr="00545821" w:rsidRDefault="00545821" w:rsidP="00545821">
            <w:r w:rsidRPr="00545821">
              <w:t>一定の基準に合致する事業者に対する認定</w:t>
            </w:r>
          </w:p>
        </w:tc>
        <w:tc>
          <w:tcPr>
            <w:tcW w:w="0" w:type="auto"/>
            <w:vAlign w:val="center"/>
            <w:hideMark/>
          </w:tcPr>
          <w:p w14:paraId="229406DE" w14:textId="77777777" w:rsidR="00545821" w:rsidRPr="00545821" w:rsidRDefault="00545821" w:rsidP="00545821">
            <w:r w:rsidRPr="00545821">
              <w:rPr>
                <w:rFonts w:ascii="Segoe UI Emoji" w:hAnsi="Segoe UI Emoji" w:cs="Segoe UI Emoji"/>
              </w:rPr>
              <w:t>✅</w:t>
            </w:r>
            <w:r w:rsidRPr="00545821">
              <w:t xml:space="preserve"> 対応あり</w:t>
            </w:r>
          </w:p>
        </w:tc>
        <w:tc>
          <w:tcPr>
            <w:tcW w:w="0" w:type="auto"/>
            <w:vAlign w:val="center"/>
            <w:hideMark/>
          </w:tcPr>
          <w:p w14:paraId="23D83650" w14:textId="77777777" w:rsidR="00545821" w:rsidRPr="00545821" w:rsidRDefault="00545821" w:rsidP="00545821">
            <w:r w:rsidRPr="00545821">
              <w:t>第17条：「認定を申請できる」、第18条：「認定の基準」など</w:t>
            </w:r>
          </w:p>
        </w:tc>
      </w:tr>
      <w:tr w:rsidR="00545821" w:rsidRPr="00545821" w14:paraId="730AE2BB" w14:textId="77777777" w:rsidTr="00545821">
        <w:trPr>
          <w:tblCellSpacing w:w="15" w:type="dxa"/>
        </w:trPr>
        <w:tc>
          <w:tcPr>
            <w:tcW w:w="0" w:type="auto"/>
            <w:vAlign w:val="center"/>
            <w:hideMark/>
          </w:tcPr>
          <w:p w14:paraId="2BF97462" w14:textId="77777777" w:rsidR="00545821" w:rsidRPr="00545821" w:rsidRDefault="00545821" w:rsidP="00545821">
            <w:r w:rsidRPr="00545821">
              <w:t>④ ラベリングや信用付与</w:t>
            </w:r>
          </w:p>
        </w:tc>
        <w:tc>
          <w:tcPr>
            <w:tcW w:w="0" w:type="auto"/>
            <w:vAlign w:val="center"/>
            <w:hideMark/>
          </w:tcPr>
          <w:p w14:paraId="1BF2A606" w14:textId="77777777" w:rsidR="00545821" w:rsidRPr="00545821" w:rsidRDefault="00545821" w:rsidP="00545821">
            <w:r w:rsidRPr="00545821">
              <w:t>認定されたCEコマース事業に対する可視化や信頼性強化</w:t>
            </w:r>
          </w:p>
        </w:tc>
        <w:tc>
          <w:tcPr>
            <w:tcW w:w="0" w:type="auto"/>
            <w:vAlign w:val="center"/>
            <w:hideMark/>
          </w:tcPr>
          <w:p w14:paraId="46D80687" w14:textId="77777777" w:rsidR="00545821" w:rsidRPr="00545821" w:rsidRDefault="00545821" w:rsidP="00545821">
            <w:r w:rsidRPr="00545821">
              <w:t>⚠️ 部分的に対応</w:t>
            </w:r>
          </w:p>
        </w:tc>
        <w:tc>
          <w:tcPr>
            <w:tcW w:w="0" w:type="auto"/>
            <w:vAlign w:val="center"/>
            <w:hideMark/>
          </w:tcPr>
          <w:p w14:paraId="687F346B" w14:textId="77777777" w:rsidR="00545821" w:rsidRPr="00545821" w:rsidRDefault="00545821" w:rsidP="00545821">
            <w:r w:rsidRPr="00545821">
              <w:t>ラベリング制度に関する明示的記述は見られず（設備投資支援や特例措置などはあり）</w:t>
            </w:r>
          </w:p>
        </w:tc>
      </w:tr>
      <w:tr w:rsidR="00545821" w:rsidRPr="00545821" w14:paraId="535D5281" w14:textId="77777777" w:rsidTr="00545821">
        <w:trPr>
          <w:tblCellSpacing w:w="15" w:type="dxa"/>
        </w:trPr>
        <w:tc>
          <w:tcPr>
            <w:tcW w:w="0" w:type="auto"/>
            <w:vAlign w:val="center"/>
            <w:hideMark/>
          </w:tcPr>
          <w:p w14:paraId="03A9156D" w14:textId="77777777" w:rsidR="00545821" w:rsidRPr="00545821" w:rsidRDefault="00545821" w:rsidP="00545821">
            <w:r w:rsidRPr="00545821">
              <w:t>⑤ 金融支援・税制優遇</w:t>
            </w:r>
          </w:p>
        </w:tc>
        <w:tc>
          <w:tcPr>
            <w:tcW w:w="0" w:type="auto"/>
            <w:vAlign w:val="center"/>
            <w:hideMark/>
          </w:tcPr>
          <w:p w14:paraId="08A7A2E2" w14:textId="77777777" w:rsidR="00545821" w:rsidRPr="00545821" w:rsidRDefault="00545821" w:rsidP="00545821">
            <w:r w:rsidRPr="00545821">
              <w:t>設備投資・流通インフラ整備などに向けた資金援助</w:t>
            </w:r>
          </w:p>
        </w:tc>
        <w:tc>
          <w:tcPr>
            <w:tcW w:w="0" w:type="auto"/>
            <w:vAlign w:val="center"/>
            <w:hideMark/>
          </w:tcPr>
          <w:p w14:paraId="222078FE" w14:textId="77777777" w:rsidR="00545821" w:rsidRPr="00545821" w:rsidRDefault="00545821" w:rsidP="00545821">
            <w:r w:rsidRPr="00545821">
              <w:t>⚠️ 部分的に対応</w:t>
            </w:r>
          </w:p>
        </w:tc>
        <w:tc>
          <w:tcPr>
            <w:tcW w:w="0" w:type="auto"/>
            <w:vAlign w:val="center"/>
            <w:hideMark/>
          </w:tcPr>
          <w:p w14:paraId="52CE674A" w14:textId="77777777" w:rsidR="00545821" w:rsidRPr="00545821" w:rsidRDefault="00545821" w:rsidP="00545821">
            <w:r w:rsidRPr="00545821">
              <w:t>第20条：「設備導入に資する支援措置」と読み取れるが、詳細は政令で定められる</w:t>
            </w:r>
          </w:p>
        </w:tc>
      </w:tr>
      <w:tr w:rsidR="00545821" w:rsidRPr="00545821" w14:paraId="21C195C9" w14:textId="77777777" w:rsidTr="00545821">
        <w:trPr>
          <w:tblCellSpacing w:w="15" w:type="dxa"/>
        </w:trPr>
        <w:tc>
          <w:tcPr>
            <w:tcW w:w="0" w:type="auto"/>
            <w:vAlign w:val="center"/>
            <w:hideMark/>
          </w:tcPr>
          <w:p w14:paraId="3E3309C9" w14:textId="77777777" w:rsidR="00545821" w:rsidRPr="00545821" w:rsidRDefault="00545821" w:rsidP="00545821">
            <w:r w:rsidRPr="00545821">
              <w:t>⑥ 再販・再利用流通の法的障壁の解消</w:t>
            </w:r>
          </w:p>
        </w:tc>
        <w:tc>
          <w:tcPr>
            <w:tcW w:w="0" w:type="auto"/>
            <w:vAlign w:val="center"/>
            <w:hideMark/>
          </w:tcPr>
          <w:p w14:paraId="470B4593" w14:textId="77777777" w:rsidR="00545821" w:rsidRPr="00545821" w:rsidRDefault="00545821" w:rsidP="00545821">
            <w:r w:rsidRPr="00545821">
              <w:t>CE商品の売買に関わる認可・規制の見直し</w:t>
            </w:r>
          </w:p>
        </w:tc>
        <w:tc>
          <w:tcPr>
            <w:tcW w:w="0" w:type="auto"/>
            <w:vAlign w:val="center"/>
            <w:hideMark/>
          </w:tcPr>
          <w:p w14:paraId="16790547" w14:textId="77777777" w:rsidR="00545821" w:rsidRPr="00545821" w:rsidRDefault="00545821" w:rsidP="00545821">
            <w:r w:rsidRPr="00545821">
              <w:rPr>
                <w:rFonts w:ascii="Segoe UI Emoji" w:hAnsi="Segoe UI Emoji" w:cs="Segoe UI Emoji"/>
              </w:rPr>
              <w:t>❌</w:t>
            </w:r>
            <w:r w:rsidRPr="00545821">
              <w:t xml:space="preserve"> 未対応</w:t>
            </w:r>
          </w:p>
        </w:tc>
        <w:tc>
          <w:tcPr>
            <w:tcW w:w="0" w:type="auto"/>
            <w:vAlign w:val="center"/>
            <w:hideMark/>
          </w:tcPr>
          <w:p w14:paraId="3BCC2559" w14:textId="77777777" w:rsidR="00545821" w:rsidRPr="00545821" w:rsidRDefault="00545821" w:rsidP="00545821">
            <w:r w:rsidRPr="00545821">
              <w:t>直接的な流通や税制への言及なし</w:t>
            </w:r>
          </w:p>
        </w:tc>
      </w:tr>
      <w:tr w:rsidR="00545821" w:rsidRPr="00545821" w14:paraId="0B2AC0F7" w14:textId="77777777" w:rsidTr="00545821">
        <w:trPr>
          <w:tblCellSpacing w:w="15" w:type="dxa"/>
        </w:trPr>
        <w:tc>
          <w:tcPr>
            <w:tcW w:w="0" w:type="auto"/>
            <w:vAlign w:val="center"/>
            <w:hideMark/>
          </w:tcPr>
          <w:p w14:paraId="1A9BFA51" w14:textId="77777777" w:rsidR="00545821" w:rsidRPr="00545821" w:rsidRDefault="00545821" w:rsidP="00545821">
            <w:r w:rsidRPr="00545821">
              <w:t>⑦ 消費者保護と品質保証</w:t>
            </w:r>
          </w:p>
        </w:tc>
        <w:tc>
          <w:tcPr>
            <w:tcW w:w="0" w:type="auto"/>
            <w:vAlign w:val="center"/>
            <w:hideMark/>
          </w:tcPr>
          <w:p w14:paraId="6CDEB50A" w14:textId="77777777" w:rsidR="00545821" w:rsidRPr="00545821" w:rsidRDefault="00545821" w:rsidP="00545821">
            <w:r w:rsidRPr="00545821">
              <w:t>中古品や再生品の取引における情報提供や安全性確保</w:t>
            </w:r>
          </w:p>
        </w:tc>
        <w:tc>
          <w:tcPr>
            <w:tcW w:w="0" w:type="auto"/>
            <w:vAlign w:val="center"/>
            <w:hideMark/>
          </w:tcPr>
          <w:p w14:paraId="36D422A4" w14:textId="77777777" w:rsidR="00545821" w:rsidRPr="00545821" w:rsidRDefault="00545821" w:rsidP="00545821">
            <w:r w:rsidRPr="00545821">
              <w:rPr>
                <w:rFonts w:ascii="Segoe UI Emoji" w:hAnsi="Segoe UI Emoji" w:cs="Segoe UI Emoji"/>
              </w:rPr>
              <w:t>❌</w:t>
            </w:r>
            <w:r w:rsidRPr="00545821">
              <w:t xml:space="preserve"> 未対応</w:t>
            </w:r>
          </w:p>
        </w:tc>
        <w:tc>
          <w:tcPr>
            <w:tcW w:w="0" w:type="auto"/>
            <w:vAlign w:val="center"/>
            <w:hideMark/>
          </w:tcPr>
          <w:p w14:paraId="0341B789" w14:textId="77777777" w:rsidR="00545821" w:rsidRPr="00545821" w:rsidRDefault="00545821" w:rsidP="00545821">
            <w:r w:rsidRPr="00545821">
              <w:t>商品の性能表示などの文言は確認されず</w:t>
            </w:r>
          </w:p>
        </w:tc>
      </w:tr>
    </w:tbl>
    <w:p w14:paraId="10ED705C" w14:textId="56DB044B" w:rsidR="00542DF5" w:rsidRPr="00545821" w:rsidRDefault="00542DF5" w:rsidP="00542DF5"/>
    <w:p w14:paraId="730248FF" w14:textId="02A0E31B" w:rsidR="0039766E" w:rsidRPr="0039766E" w:rsidRDefault="0039766E" w:rsidP="0039766E">
      <w:pPr>
        <w:ind w:firstLineChars="100" w:firstLine="210"/>
      </w:pPr>
      <w:r w:rsidRPr="0039766E">
        <w:rPr>
          <w:b/>
          <w:bCs/>
        </w:rPr>
        <w:t>第16条〜第20条</w:t>
      </w:r>
      <w:r w:rsidRPr="0039766E">
        <w:t>にかけて、</w:t>
      </w:r>
      <w:r w:rsidRPr="0039766E">
        <w:rPr>
          <w:b/>
          <w:bCs/>
        </w:rPr>
        <w:t>CEコマース事業者を制度化し、基準認定・助言・支援措置を可能にする仕組み</w:t>
      </w:r>
      <w:r w:rsidRPr="0039766E">
        <w:t>が導入されている点は進展で</w:t>
      </w:r>
      <w:r>
        <w:rPr>
          <w:rFonts w:hint="eastAsia"/>
        </w:rPr>
        <w:t>うる</w:t>
      </w:r>
      <w:r w:rsidRPr="0039766E">
        <w:t>。ただし、</w:t>
      </w:r>
      <w:r w:rsidRPr="0039766E">
        <w:rPr>
          <w:b/>
          <w:bCs/>
        </w:rPr>
        <w:t>流通促進・税制措置・消費者保護など、CEビジネスを成長産業にするうえで鍵となる分野には未対応</w:t>
      </w:r>
      <w:r w:rsidRPr="0039766E">
        <w:t>または曖昧なままで</w:t>
      </w:r>
      <w:r>
        <w:rPr>
          <w:rFonts w:hint="eastAsia"/>
        </w:rPr>
        <w:t>しかない</w:t>
      </w:r>
      <w:r w:rsidRPr="0039766E">
        <w:t>。こうした点</w:t>
      </w:r>
      <w:r w:rsidR="00F468DD">
        <w:rPr>
          <w:rFonts w:hint="eastAsia"/>
        </w:rPr>
        <w:t>を看過することなく</w:t>
      </w:r>
      <w:r w:rsidRPr="0039766E">
        <w:t>、今後の</w:t>
      </w:r>
      <w:r w:rsidRPr="0039766E">
        <w:rPr>
          <w:b/>
          <w:bCs/>
        </w:rPr>
        <w:t>政令や指針レベルでの制度設計、または補完立法</w:t>
      </w:r>
      <w:r w:rsidRPr="0039766E">
        <w:t>によって発展させていく</w:t>
      </w:r>
      <w:r w:rsidR="00F468DD">
        <w:rPr>
          <w:rFonts w:hint="eastAsia"/>
        </w:rPr>
        <w:t>ようにもっていく必要がある</w:t>
      </w:r>
      <w:r w:rsidRPr="0039766E">
        <w:t>。</w:t>
      </w:r>
    </w:p>
    <w:p w14:paraId="485DE89A" w14:textId="77777777" w:rsidR="00542DF5" w:rsidRDefault="00542DF5" w:rsidP="00542DF5"/>
    <w:p w14:paraId="2F127099" w14:textId="68B64520" w:rsidR="00F85CC5" w:rsidRDefault="00EB7E91" w:rsidP="00F85CC5">
      <w:pPr>
        <w:pStyle w:val="a9"/>
        <w:numPr>
          <w:ilvl w:val="0"/>
          <w:numId w:val="1"/>
        </w:numPr>
      </w:pPr>
      <w:r>
        <w:rPr>
          <w:rFonts w:hint="eastAsia"/>
        </w:rPr>
        <w:t>何をしてくれるか、ではなく、何を</w:t>
      </w:r>
      <w:r w:rsidR="00F85CC5">
        <w:rPr>
          <w:rFonts w:hint="eastAsia"/>
        </w:rPr>
        <w:t>活用できるようにさせるか</w:t>
      </w:r>
    </w:p>
    <w:p w14:paraId="539C932F" w14:textId="77777777" w:rsidR="00F85CC5" w:rsidRDefault="00F85CC5" w:rsidP="00F85CC5"/>
    <w:p w14:paraId="7AE22FFD" w14:textId="77777777" w:rsidR="0017290C" w:rsidRPr="0017290C" w:rsidRDefault="0017290C" w:rsidP="006715A0">
      <w:pPr>
        <w:ind w:firstLineChars="100" w:firstLine="210"/>
      </w:pPr>
      <w:r w:rsidRPr="0017290C">
        <w:t>資源有効利用促進法の今回の改正は、従来の「規制」から「活用」へと制度の重心を移しつつある点において、極めて画期的である。これまでのリサイクル政策は、廃棄物の適正処理という観点に立脚し、その延長線上で再資源化や再使用の可能性を探るという構造をとっていた。しかし今般の改正は、資源循環を起点とし、それを如何に制度的・財政的に支援するかを中心課題としている。</w:t>
      </w:r>
    </w:p>
    <w:p w14:paraId="5257EB6E" w14:textId="77777777" w:rsidR="0017290C" w:rsidRPr="0017290C" w:rsidRDefault="0017290C" w:rsidP="006715A0">
      <w:pPr>
        <w:ind w:firstLineChars="100" w:firstLine="210"/>
      </w:pPr>
      <w:r w:rsidRPr="0017290C">
        <w:t>本改正の根幹をなすのは、「何を国がしてくれるか」ではなく、「何を民間や地域が制度として活用できるか」を明確化した点にある。たとえば第57条において明記された「廃棄物処理法の許可不要」という特例は、使用済製品を再資源化するにあたって、廃棄物か否かという判断に煩わされることなく、認定計画に基づき適正な処理が行われる限りにおいて、制度的に「資源の流通」として位置づけることを可能にした。</w:t>
      </w:r>
    </w:p>
    <w:p w14:paraId="11EFB1CE" w14:textId="77777777" w:rsidR="0017290C" w:rsidRPr="0017290C" w:rsidRDefault="0017290C" w:rsidP="00944CC4">
      <w:pPr>
        <w:ind w:firstLineChars="100" w:firstLine="210"/>
      </w:pPr>
      <w:r w:rsidRPr="0017290C">
        <w:t>また第3条第3項では、資源の循環的な利用が「温室効果ガスの排出の抑制に資することを旨として」講じられるべきであるとの理念が明記され、資源循環と脱炭素というかつて別々に語られていた環境政策が、初めて法制上統合された。さらに第46条においては、「資金の供給、技術的助言、情報提供その他の必要な支援」を国が行う旨が規定され、制度の運用に資する支援体制の整備も明文化された。</w:t>
      </w:r>
    </w:p>
    <w:p w14:paraId="3384F352" w14:textId="77777777" w:rsidR="0017290C" w:rsidRPr="0017290C" w:rsidRDefault="0017290C" w:rsidP="00944CC4">
      <w:pPr>
        <w:ind w:firstLineChars="100" w:firstLine="210"/>
      </w:pPr>
      <w:r w:rsidRPr="0017290C">
        <w:t>これらの措置は、もはや再資源化を単なる廃棄物処理の延長ではなく、産業政策や地域経済再構築の一環として捉えるべき時代の到来を告げるものである。</w:t>
      </w:r>
    </w:p>
    <w:p w14:paraId="0E774F35" w14:textId="77777777" w:rsidR="0017290C" w:rsidRPr="0017290C" w:rsidRDefault="0017290C" w:rsidP="00944CC4">
      <w:pPr>
        <w:ind w:firstLineChars="100" w:firstLine="210"/>
      </w:pPr>
      <w:r w:rsidRPr="0017290C">
        <w:t>しかしながら、同時に浮かび上がるのは、この法律が抱えるいくつかの未成熟な側面である。とりわけ、脱炭素との結びつきを過度に前面に出すあまり、サーキュラーエコノミーに固有の論点、すなわち多様な循環事業の創出や流通構造の柔軟化、消費者保護との整合、税制・保険制度との連携といった事項が、いまだ十分に制度設計に織り込まれていないことは否めない。さらに、支援措置に関しても、設備投資以外の運用資金や初期費用への柔軟な補助制度の不在は、中小企業や地域スタートアップにとってなお高いハードルとなりうる。</w:t>
      </w:r>
    </w:p>
    <w:p w14:paraId="1226637F" w14:textId="77777777" w:rsidR="0017290C" w:rsidRPr="0017290C" w:rsidRDefault="0017290C" w:rsidP="00D66D5E">
      <w:pPr>
        <w:ind w:firstLineChars="100" w:firstLine="210"/>
      </w:pPr>
      <w:r w:rsidRPr="0017290C">
        <w:t>すなわち、本改正法は「活用の可能性」を大きく広げたにもかかわらず、それを真に活かすためには、政令・省令による細則整備と、現場に即した制度運用が不可欠である。特に、制度を利用しようとする民間企業や自治体、地域の新興ベンチャーに対して、その潜在力を最大限に引き出すための情報提供、支援体制の確立、そして何よりも現場との対話が今後の成否を決する。</w:t>
      </w:r>
    </w:p>
    <w:p w14:paraId="65C3BE4D" w14:textId="77777777" w:rsidR="0017290C" w:rsidRPr="0017290C" w:rsidRDefault="0017290C" w:rsidP="00D66D5E">
      <w:pPr>
        <w:ind w:firstLineChars="100" w:firstLine="210"/>
      </w:pPr>
      <w:r w:rsidRPr="0017290C">
        <w:t>本改正の真価は、「制度が何を成すか」ではなく、「誰が制度を活用し、どのように社会的価値を創出するか」にかかっている。制度とは可能性の起点に過ぎず、それを活かす知恵と実行こそが、真の変革をもたらす。循環型社会への移行に向けて、今後は制度をいかに「使いこなすか」、それこそが我々に問われている最大の課題であろう。</w:t>
      </w:r>
    </w:p>
    <w:p w14:paraId="0EA90AC2" w14:textId="77777777" w:rsidR="00F85CC5" w:rsidRDefault="00F85CC5" w:rsidP="00F85CC5"/>
    <w:p w14:paraId="705046A7" w14:textId="72622190" w:rsidR="00D66D5E" w:rsidRDefault="00D66D5E" w:rsidP="00F85CC5">
      <w:r>
        <w:rPr>
          <w:rFonts w:hint="eastAsia"/>
        </w:rPr>
        <w:t xml:space="preserve">　　2025年3月27日</w:t>
      </w:r>
    </w:p>
    <w:p w14:paraId="298B926B" w14:textId="77777777" w:rsidR="00D66D5E" w:rsidRPr="0017290C" w:rsidRDefault="00D66D5E" w:rsidP="00F85CC5">
      <w:pPr>
        <w:rPr>
          <w:rFonts w:hint="eastAsia"/>
        </w:rPr>
      </w:pPr>
    </w:p>
    <w:p w14:paraId="0CC62E6C" w14:textId="77777777" w:rsidR="005B727D" w:rsidRDefault="00D66D5E" w:rsidP="005B727D">
      <w:pPr>
        <w:pStyle w:val="a9"/>
        <w:ind w:left="360"/>
      </w:pPr>
      <w:r>
        <w:rPr>
          <w:rFonts w:hint="eastAsia"/>
        </w:rPr>
        <w:t>(文責: サーキュラーエコノミー・広域マルチバリュー循環研究会代表　原田幸明)</w:t>
      </w:r>
      <w:r>
        <w:br/>
      </w:r>
    </w:p>
    <w:p w14:paraId="73779743" w14:textId="4B6FFF0A" w:rsidR="00D66D5E" w:rsidRPr="00BD46F5" w:rsidRDefault="005B727D" w:rsidP="005B727D">
      <w:pPr>
        <w:rPr>
          <w:rFonts w:hint="eastAsia"/>
        </w:rPr>
      </w:pPr>
      <w:r>
        <w:rPr>
          <w:rFonts w:hint="eastAsia"/>
        </w:rPr>
        <w:t>法改正の原文や資料は</w:t>
      </w:r>
      <w:hyperlink r:id="rId6" w:history="1">
        <w:r w:rsidR="008148C2" w:rsidRPr="006652E0">
          <w:rPr>
            <w:rStyle w:val="aa"/>
          </w:rPr>
          <w:t>https://www.meti.go.jp/press/2024/02/20250225001/20250225001.html</w:t>
        </w:r>
      </w:hyperlink>
      <w:r w:rsidR="002323F2">
        <w:rPr>
          <w:rFonts w:hint="eastAsia"/>
        </w:rPr>
        <w:t>か</w:t>
      </w:r>
      <w:r w:rsidR="008148C2">
        <w:rPr>
          <w:rFonts w:hint="eastAsia"/>
        </w:rPr>
        <w:t>らダウンロードできます。</w:t>
      </w:r>
    </w:p>
    <w:sectPr w:rsidR="00D66D5E" w:rsidRPr="00BD46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32D"/>
    <w:multiLevelType w:val="multilevel"/>
    <w:tmpl w:val="2500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938BD"/>
    <w:multiLevelType w:val="multilevel"/>
    <w:tmpl w:val="BB6C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56CDB"/>
    <w:multiLevelType w:val="multilevel"/>
    <w:tmpl w:val="B0E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C12BB"/>
    <w:multiLevelType w:val="hybridMultilevel"/>
    <w:tmpl w:val="605299A0"/>
    <w:lvl w:ilvl="0" w:tplc="36EA41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D77CA0"/>
    <w:multiLevelType w:val="multilevel"/>
    <w:tmpl w:val="D2CA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556C7"/>
    <w:multiLevelType w:val="multilevel"/>
    <w:tmpl w:val="D1AE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44B2B"/>
    <w:multiLevelType w:val="multilevel"/>
    <w:tmpl w:val="EC3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B3BDE"/>
    <w:multiLevelType w:val="multilevel"/>
    <w:tmpl w:val="D2D2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181016">
    <w:abstractNumId w:val="3"/>
  </w:num>
  <w:num w:numId="2" w16cid:durableId="43598907">
    <w:abstractNumId w:val="7"/>
  </w:num>
  <w:num w:numId="3" w16cid:durableId="1717240931">
    <w:abstractNumId w:val="1"/>
  </w:num>
  <w:num w:numId="4" w16cid:durableId="1310091001">
    <w:abstractNumId w:val="6"/>
  </w:num>
  <w:num w:numId="5" w16cid:durableId="1136332625">
    <w:abstractNumId w:val="0"/>
  </w:num>
  <w:num w:numId="6" w16cid:durableId="1980573929">
    <w:abstractNumId w:val="2"/>
  </w:num>
  <w:num w:numId="7" w16cid:durableId="1572347084">
    <w:abstractNumId w:val="5"/>
  </w:num>
  <w:num w:numId="8" w16cid:durableId="1102997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D1"/>
    <w:rsid w:val="00014B06"/>
    <w:rsid w:val="0002649B"/>
    <w:rsid w:val="0003535E"/>
    <w:rsid w:val="0006365E"/>
    <w:rsid w:val="00074A0A"/>
    <w:rsid w:val="0008003C"/>
    <w:rsid w:val="00090D42"/>
    <w:rsid w:val="000A0A94"/>
    <w:rsid w:val="000A609C"/>
    <w:rsid w:val="000D2BB9"/>
    <w:rsid w:val="000D5340"/>
    <w:rsid w:val="0013090C"/>
    <w:rsid w:val="00131458"/>
    <w:rsid w:val="001455D4"/>
    <w:rsid w:val="0017290C"/>
    <w:rsid w:val="00187CBE"/>
    <w:rsid w:val="001A6CD1"/>
    <w:rsid w:val="001B386E"/>
    <w:rsid w:val="001B7790"/>
    <w:rsid w:val="001B7F73"/>
    <w:rsid w:val="001C337B"/>
    <w:rsid w:val="00203300"/>
    <w:rsid w:val="002323F2"/>
    <w:rsid w:val="002660DA"/>
    <w:rsid w:val="002C2D3C"/>
    <w:rsid w:val="002D5710"/>
    <w:rsid w:val="00343A10"/>
    <w:rsid w:val="0035484D"/>
    <w:rsid w:val="0039766E"/>
    <w:rsid w:val="003B5013"/>
    <w:rsid w:val="003C300D"/>
    <w:rsid w:val="003D37FD"/>
    <w:rsid w:val="003D4401"/>
    <w:rsid w:val="003E57C3"/>
    <w:rsid w:val="003F274B"/>
    <w:rsid w:val="00412D4E"/>
    <w:rsid w:val="00424D29"/>
    <w:rsid w:val="00470433"/>
    <w:rsid w:val="004B76E9"/>
    <w:rsid w:val="004C7820"/>
    <w:rsid w:val="004D72E6"/>
    <w:rsid w:val="00514445"/>
    <w:rsid w:val="00530ABE"/>
    <w:rsid w:val="00542DF5"/>
    <w:rsid w:val="00544CFC"/>
    <w:rsid w:val="00545821"/>
    <w:rsid w:val="00571F91"/>
    <w:rsid w:val="005B727D"/>
    <w:rsid w:val="005B761F"/>
    <w:rsid w:val="005B7E3A"/>
    <w:rsid w:val="005C4CE1"/>
    <w:rsid w:val="005D0772"/>
    <w:rsid w:val="005D6D16"/>
    <w:rsid w:val="00630CF6"/>
    <w:rsid w:val="0066108A"/>
    <w:rsid w:val="00664E35"/>
    <w:rsid w:val="006715A0"/>
    <w:rsid w:val="00684CF1"/>
    <w:rsid w:val="006D70D0"/>
    <w:rsid w:val="006F1408"/>
    <w:rsid w:val="00724CC3"/>
    <w:rsid w:val="007524EA"/>
    <w:rsid w:val="00757069"/>
    <w:rsid w:val="00767298"/>
    <w:rsid w:val="007C1514"/>
    <w:rsid w:val="007D42C5"/>
    <w:rsid w:val="007D7DF6"/>
    <w:rsid w:val="007F23E8"/>
    <w:rsid w:val="007F4080"/>
    <w:rsid w:val="008148C2"/>
    <w:rsid w:val="00814F3A"/>
    <w:rsid w:val="00850AD5"/>
    <w:rsid w:val="008546F0"/>
    <w:rsid w:val="00886F19"/>
    <w:rsid w:val="008A5BEC"/>
    <w:rsid w:val="008A7599"/>
    <w:rsid w:val="008B036A"/>
    <w:rsid w:val="008E025A"/>
    <w:rsid w:val="008F50A3"/>
    <w:rsid w:val="009079AD"/>
    <w:rsid w:val="00913AA2"/>
    <w:rsid w:val="00920A6D"/>
    <w:rsid w:val="009322E8"/>
    <w:rsid w:val="00944CC4"/>
    <w:rsid w:val="0096077E"/>
    <w:rsid w:val="009677C0"/>
    <w:rsid w:val="00970A0B"/>
    <w:rsid w:val="009A1690"/>
    <w:rsid w:val="009C40D1"/>
    <w:rsid w:val="00A2554B"/>
    <w:rsid w:val="00A42ADA"/>
    <w:rsid w:val="00A734CA"/>
    <w:rsid w:val="00A87EEC"/>
    <w:rsid w:val="00A9312D"/>
    <w:rsid w:val="00AC58B7"/>
    <w:rsid w:val="00AD5EBC"/>
    <w:rsid w:val="00B16B1D"/>
    <w:rsid w:val="00B514A9"/>
    <w:rsid w:val="00B82653"/>
    <w:rsid w:val="00B867C8"/>
    <w:rsid w:val="00BD46F5"/>
    <w:rsid w:val="00C45281"/>
    <w:rsid w:val="00C46359"/>
    <w:rsid w:val="00C4710F"/>
    <w:rsid w:val="00C50D7E"/>
    <w:rsid w:val="00C71DDF"/>
    <w:rsid w:val="00CA2EDE"/>
    <w:rsid w:val="00CA7828"/>
    <w:rsid w:val="00CC2C55"/>
    <w:rsid w:val="00D0298A"/>
    <w:rsid w:val="00D07669"/>
    <w:rsid w:val="00D13756"/>
    <w:rsid w:val="00D160C1"/>
    <w:rsid w:val="00D16C03"/>
    <w:rsid w:val="00D22427"/>
    <w:rsid w:val="00D4667E"/>
    <w:rsid w:val="00D653DD"/>
    <w:rsid w:val="00D66D5E"/>
    <w:rsid w:val="00DC240B"/>
    <w:rsid w:val="00DC6441"/>
    <w:rsid w:val="00DE0CB1"/>
    <w:rsid w:val="00DE5C46"/>
    <w:rsid w:val="00E22E23"/>
    <w:rsid w:val="00E446D1"/>
    <w:rsid w:val="00E71D3C"/>
    <w:rsid w:val="00E7392B"/>
    <w:rsid w:val="00EB7E91"/>
    <w:rsid w:val="00EC5026"/>
    <w:rsid w:val="00F03EB3"/>
    <w:rsid w:val="00F03F0E"/>
    <w:rsid w:val="00F15387"/>
    <w:rsid w:val="00F15427"/>
    <w:rsid w:val="00F2067C"/>
    <w:rsid w:val="00F21C5A"/>
    <w:rsid w:val="00F468DD"/>
    <w:rsid w:val="00F85CC5"/>
    <w:rsid w:val="00FF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6BA7E6"/>
  <w15:chartTrackingRefBased/>
  <w15:docId w15:val="{7640FAC0-8217-45FF-87AD-E2237019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6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46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E446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E446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E446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unhideWhenUsed/>
    <w:qFormat/>
    <w:rsid w:val="00E446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46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46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46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46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46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E446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E446D1"/>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E446D1"/>
    <w:rPr>
      <w:rFonts w:asciiTheme="majorHAnsi" w:eastAsiaTheme="majorEastAsia" w:hAnsiTheme="majorHAnsi" w:cstheme="majorBidi"/>
      <w:color w:val="000000" w:themeColor="text1"/>
    </w:rPr>
  </w:style>
  <w:style w:type="character" w:customStyle="1" w:styleId="60">
    <w:name w:val="見出し 6 (文字)"/>
    <w:basedOn w:val="a0"/>
    <w:link w:val="6"/>
    <w:uiPriority w:val="9"/>
    <w:rsid w:val="00E446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46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46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46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46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46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6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46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6D1"/>
    <w:pPr>
      <w:spacing w:before="160" w:after="160"/>
      <w:jc w:val="center"/>
    </w:pPr>
    <w:rPr>
      <w:i/>
      <w:iCs/>
      <w:color w:val="404040" w:themeColor="text1" w:themeTint="BF"/>
    </w:rPr>
  </w:style>
  <w:style w:type="character" w:customStyle="1" w:styleId="a8">
    <w:name w:val="引用文 (文字)"/>
    <w:basedOn w:val="a0"/>
    <w:link w:val="a7"/>
    <w:uiPriority w:val="29"/>
    <w:rsid w:val="00E446D1"/>
    <w:rPr>
      <w:i/>
      <w:iCs/>
      <w:color w:val="404040" w:themeColor="text1" w:themeTint="BF"/>
    </w:rPr>
  </w:style>
  <w:style w:type="paragraph" w:styleId="a9">
    <w:name w:val="List Paragraph"/>
    <w:basedOn w:val="a"/>
    <w:uiPriority w:val="34"/>
    <w:qFormat/>
    <w:rsid w:val="00E446D1"/>
    <w:pPr>
      <w:ind w:left="720"/>
      <w:contextualSpacing/>
    </w:pPr>
  </w:style>
  <w:style w:type="character" w:styleId="21">
    <w:name w:val="Intense Emphasis"/>
    <w:basedOn w:val="a0"/>
    <w:uiPriority w:val="21"/>
    <w:qFormat/>
    <w:rsid w:val="00E446D1"/>
    <w:rPr>
      <w:i/>
      <w:iCs/>
      <w:color w:val="2F5496" w:themeColor="accent1" w:themeShade="BF"/>
    </w:rPr>
  </w:style>
  <w:style w:type="paragraph" w:styleId="22">
    <w:name w:val="Intense Quote"/>
    <w:basedOn w:val="a"/>
    <w:next w:val="a"/>
    <w:link w:val="23"/>
    <w:uiPriority w:val="30"/>
    <w:qFormat/>
    <w:rsid w:val="00E44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446D1"/>
    <w:rPr>
      <w:i/>
      <w:iCs/>
      <w:color w:val="2F5496" w:themeColor="accent1" w:themeShade="BF"/>
    </w:rPr>
  </w:style>
  <w:style w:type="character" w:styleId="24">
    <w:name w:val="Intense Reference"/>
    <w:basedOn w:val="a0"/>
    <w:uiPriority w:val="32"/>
    <w:qFormat/>
    <w:rsid w:val="00E446D1"/>
    <w:rPr>
      <w:b/>
      <w:bCs/>
      <w:smallCaps/>
      <w:color w:val="2F5496" w:themeColor="accent1" w:themeShade="BF"/>
      <w:spacing w:val="5"/>
    </w:rPr>
  </w:style>
  <w:style w:type="paragraph" w:styleId="Web">
    <w:name w:val="Normal (Web)"/>
    <w:basedOn w:val="a"/>
    <w:uiPriority w:val="99"/>
    <w:semiHidden/>
    <w:unhideWhenUsed/>
    <w:rsid w:val="00A2554B"/>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unhideWhenUsed/>
    <w:rsid w:val="008148C2"/>
    <w:rPr>
      <w:color w:val="0563C1" w:themeColor="hyperlink"/>
      <w:u w:val="single"/>
    </w:rPr>
  </w:style>
  <w:style w:type="character" w:styleId="ab">
    <w:name w:val="Unresolved Mention"/>
    <w:basedOn w:val="a0"/>
    <w:uiPriority w:val="99"/>
    <w:semiHidden/>
    <w:unhideWhenUsed/>
    <w:rsid w:val="0081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6584">
      <w:bodyDiv w:val="1"/>
      <w:marLeft w:val="0"/>
      <w:marRight w:val="0"/>
      <w:marTop w:val="0"/>
      <w:marBottom w:val="0"/>
      <w:divBdr>
        <w:top w:val="none" w:sz="0" w:space="0" w:color="auto"/>
        <w:left w:val="none" w:sz="0" w:space="0" w:color="auto"/>
        <w:bottom w:val="none" w:sz="0" w:space="0" w:color="auto"/>
        <w:right w:val="none" w:sz="0" w:space="0" w:color="auto"/>
      </w:divBdr>
    </w:div>
    <w:div w:id="144704745">
      <w:bodyDiv w:val="1"/>
      <w:marLeft w:val="0"/>
      <w:marRight w:val="0"/>
      <w:marTop w:val="0"/>
      <w:marBottom w:val="0"/>
      <w:divBdr>
        <w:top w:val="none" w:sz="0" w:space="0" w:color="auto"/>
        <w:left w:val="none" w:sz="0" w:space="0" w:color="auto"/>
        <w:bottom w:val="none" w:sz="0" w:space="0" w:color="auto"/>
        <w:right w:val="none" w:sz="0" w:space="0" w:color="auto"/>
      </w:divBdr>
      <w:divsChild>
        <w:div w:id="2070377685">
          <w:marLeft w:val="0"/>
          <w:marRight w:val="0"/>
          <w:marTop w:val="0"/>
          <w:marBottom w:val="0"/>
          <w:divBdr>
            <w:top w:val="none" w:sz="0" w:space="0" w:color="auto"/>
            <w:left w:val="none" w:sz="0" w:space="0" w:color="auto"/>
            <w:bottom w:val="none" w:sz="0" w:space="0" w:color="auto"/>
            <w:right w:val="none" w:sz="0" w:space="0" w:color="auto"/>
          </w:divBdr>
        </w:div>
        <w:div w:id="1363629249">
          <w:marLeft w:val="0"/>
          <w:marRight w:val="0"/>
          <w:marTop w:val="0"/>
          <w:marBottom w:val="0"/>
          <w:divBdr>
            <w:top w:val="none" w:sz="0" w:space="0" w:color="auto"/>
            <w:left w:val="none" w:sz="0" w:space="0" w:color="auto"/>
            <w:bottom w:val="none" w:sz="0" w:space="0" w:color="auto"/>
            <w:right w:val="none" w:sz="0" w:space="0" w:color="auto"/>
          </w:divBdr>
        </w:div>
        <w:div w:id="1807971622">
          <w:marLeft w:val="0"/>
          <w:marRight w:val="0"/>
          <w:marTop w:val="0"/>
          <w:marBottom w:val="0"/>
          <w:divBdr>
            <w:top w:val="none" w:sz="0" w:space="0" w:color="auto"/>
            <w:left w:val="none" w:sz="0" w:space="0" w:color="auto"/>
            <w:bottom w:val="none" w:sz="0" w:space="0" w:color="auto"/>
            <w:right w:val="none" w:sz="0" w:space="0" w:color="auto"/>
          </w:divBdr>
        </w:div>
        <w:div w:id="1469859428">
          <w:marLeft w:val="0"/>
          <w:marRight w:val="0"/>
          <w:marTop w:val="0"/>
          <w:marBottom w:val="0"/>
          <w:divBdr>
            <w:top w:val="none" w:sz="0" w:space="0" w:color="auto"/>
            <w:left w:val="none" w:sz="0" w:space="0" w:color="auto"/>
            <w:bottom w:val="none" w:sz="0" w:space="0" w:color="auto"/>
            <w:right w:val="none" w:sz="0" w:space="0" w:color="auto"/>
          </w:divBdr>
        </w:div>
        <w:div w:id="430468148">
          <w:marLeft w:val="0"/>
          <w:marRight w:val="0"/>
          <w:marTop w:val="0"/>
          <w:marBottom w:val="0"/>
          <w:divBdr>
            <w:top w:val="none" w:sz="0" w:space="0" w:color="auto"/>
            <w:left w:val="none" w:sz="0" w:space="0" w:color="auto"/>
            <w:bottom w:val="none" w:sz="0" w:space="0" w:color="auto"/>
            <w:right w:val="none" w:sz="0" w:space="0" w:color="auto"/>
          </w:divBdr>
        </w:div>
        <w:div w:id="1418669542">
          <w:marLeft w:val="0"/>
          <w:marRight w:val="0"/>
          <w:marTop w:val="0"/>
          <w:marBottom w:val="0"/>
          <w:divBdr>
            <w:top w:val="none" w:sz="0" w:space="0" w:color="auto"/>
            <w:left w:val="none" w:sz="0" w:space="0" w:color="auto"/>
            <w:bottom w:val="none" w:sz="0" w:space="0" w:color="auto"/>
            <w:right w:val="none" w:sz="0" w:space="0" w:color="auto"/>
          </w:divBdr>
        </w:div>
        <w:div w:id="151842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26657">
      <w:bodyDiv w:val="1"/>
      <w:marLeft w:val="0"/>
      <w:marRight w:val="0"/>
      <w:marTop w:val="0"/>
      <w:marBottom w:val="0"/>
      <w:divBdr>
        <w:top w:val="none" w:sz="0" w:space="0" w:color="auto"/>
        <w:left w:val="none" w:sz="0" w:space="0" w:color="auto"/>
        <w:bottom w:val="none" w:sz="0" w:space="0" w:color="auto"/>
        <w:right w:val="none" w:sz="0" w:space="0" w:color="auto"/>
      </w:divBdr>
    </w:div>
    <w:div w:id="268589009">
      <w:bodyDiv w:val="1"/>
      <w:marLeft w:val="0"/>
      <w:marRight w:val="0"/>
      <w:marTop w:val="0"/>
      <w:marBottom w:val="0"/>
      <w:divBdr>
        <w:top w:val="none" w:sz="0" w:space="0" w:color="auto"/>
        <w:left w:val="none" w:sz="0" w:space="0" w:color="auto"/>
        <w:bottom w:val="none" w:sz="0" w:space="0" w:color="auto"/>
        <w:right w:val="none" w:sz="0" w:space="0" w:color="auto"/>
      </w:divBdr>
    </w:div>
    <w:div w:id="290326300">
      <w:bodyDiv w:val="1"/>
      <w:marLeft w:val="0"/>
      <w:marRight w:val="0"/>
      <w:marTop w:val="0"/>
      <w:marBottom w:val="0"/>
      <w:divBdr>
        <w:top w:val="none" w:sz="0" w:space="0" w:color="auto"/>
        <w:left w:val="none" w:sz="0" w:space="0" w:color="auto"/>
        <w:bottom w:val="none" w:sz="0" w:space="0" w:color="auto"/>
        <w:right w:val="none" w:sz="0" w:space="0" w:color="auto"/>
      </w:divBdr>
    </w:div>
    <w:div w:id="366033417">
      <w:bodyDiv w:val="1"/>
      <w:marLeft w:val="0"/>
      <w:marRight w:val="0"/>
      <w:marTop w:val="0"/>
      <w:marBottom w:val="0"/>
      <w:divBdr>
        <w:top w:val="none" w:sz="0" w:space="0" w:color="auto"/>
        <w:left w:val="none" w:sz="0" w:space="0" w:color="auto"/>
        <w:bottom w:val="none" w:sz="0" w:space="0" w:color="auto"/>
        <w:right w:val="none" w:sz="0" w:space="0" w:color="auto"/>
      </w:divBdr>
      <w:divsChild>
        <w:div w:id="1083843657">
          <w:marLeft w:val="0"/>
          <w:marRight w:val="0"/>
          <w:marTop w:val="0"/>
          <w:marBottom w:val="0"/>
          <w:divBdr>
            <w:top w:val="none" w:sz="0" w:space="0" w:color="auto"/>
            <w:left w:val="none" w:sz="0" w:space="0" w:color="auto"/>
            <w:bottom w:val="none" w:sz="0" w:space="0" w:color="auto"/>
            <w:right w:val="none" w:sz="0" w:space="0" w:color="auto"/>
          </w:divBdr>
        </w:div>
      </w:divsChild>
    </w:div>
    <w:div w:id="424809781">
      <w:bodyDiv w:val="1"/>
      <w:marLeft w:val="0"/>
      <w:marRight w:val="0"/>
      <w:marTop w:val="0"/>
      <w:marBottom w:val="0"/>
      <w:divBdr>
        <w:top w:val="none" w:sz="0" w:space="0" w:color="auto"/>
        <w:left w:val="none" w:sz="0" w:space="0" w:color="auto"/>
        <w:bottom w:val="none" w:sz="0" w:space="0" w:color="auto"/>
        <w:right w:val="none" w:sz="0" w:space="0" w:color="auto"/>
      </w:divBdr>
      <w:divsChild>
        <w:div w:id="2065636945">
          <w:marLeft w:val="0"/>
          <w:marRight w:val="0"/>
          <w:marTop w:val="0"/>
          <w:marBottom w:val="0"/>
          <w:divBdr>
            <w:top w:val="none" w:sz="0" w:space="0" w:color="auto"/>
            <w:left w:val="none" w:sz="0" w:space="0" w:color="auto"/>
            <w:bottom w:val="none" w:sz="0" w:space="0" w:color="auto"/>
            <w:right w:val="none" w:sz="0" w:space="0" w:color="auto"/>
          </w:divBdr>
        </w:div>
      </w:divsChild>
    </w:div>
    <w:div w:id="450826131">
      <w:bodyDiv w:val="1"/>
      <w:marLeft w:val="0"/>
      <w:marRight w:val="0"/>
      <w:marTop w:val="0"/>
      <w:marBottom w:val="0"/>
      <w:divBdr>
        <w:top w:val="none" w:sz="0" w:space="0" w:color="auto"/>
        <w:left w:val="none" w:sz="0" w:space="0" w:color="auto"/>
        <w:bottom w:val="none" w:sz="0" w:space="0" w:color="auto"/>
        <w:right w:val="none" w:sz="0" w:space="0" w:color="auto"/>
      </w:divBdr>
      <w:divsChild>
        <w:div w:id="1066611349">
          <w:marLeft w:val="0"/>
          <w:marRight w:val="0"/>
          <w:marTop w:val="0"/>
          <w:marBottom w:val="0"/>
          <w:divBdr>
            <w:top w:val="none" w:sz="0" w:space="0" w:color="auto"/>
            <w:left w:val="none" w:sz="0" w:space="0" w:color="auto"/>
            <w:bottom w:val="none" w:sz="0" w:space="0" w:color="auto"/>
            <w:right w:val="none" w:sz="0" w:space="0" w:color="auto"/>
          </w:divBdr>
          <w:divsChild>
            <w:div w:id="33311734">
              <w:marLeft w:val="0"/>
              <w:marRight w:val="0"/>
              <w:marTop w:val="0"/>
              <w:marBottom w:val="0"/>
              <w:divBdr>
                <w:top w:val="none" w:sz="0" w:space="0" w:color="auto"/>
                <w:left w:val="none" w:sz="0" w:space="0" w:color="auto"/>
                <w:bottom w:val="none" w:sz="0" w:space="0" w:color="auto"/>
                <w:right w:val="none" w:sz="0" w:space="0" w:color="auto"/>
              </w:divBdr>
              <w:divsChild>
                <w:div w:id="1018963764">
                  <w:marLeft w:val="0"/>
                  <w:marRight w:val="0"/>
                  <w:marTop w:val="0"/>
                  <w:marBottom w:val="0"/>
                  <w:divBdr>
                    <w:top w:val="none" w:sz="0" w:space="0" w:color="auto"/>
                    <w:left w:val="none" w:sz="0" w:space="0" w:color="auto"/>
                    <w:bottom w:val="none" w:sz="0" w:space="0" w:color="auto"/>
                    <w:right w:val="none" w:sz="0" w:space="0" w:color="auto"/>
                  </w:divBdr>
                  <w:divsChild>
                    <w:div w:id="193227428">
                      <w:marLeft w:val="0"/>
                      <w:marRight w:val="0"/>
                      <w:marTop w:val="0"/>
                      <w:marBottom w:val="0"/>
                      <w:divBdr>
                        <w:top w:val="none" w:sz="0" w:space="0" w:color="auto"/>
                        <w:left w:val="none" w:sz="0" w:space="0" w:color="auto"/>
                        <w:bottom w:val="none" w:sz="0" w:space="0" w:color="auto"/>
                        <w:right w:val="none" w:sz="0" w:space="0" w:color="auto"/>
                      </w:divBdr>
                      <w:divsChild>
                        <w:div w:id="2016565605">
                          <w:marLeft w:val="0"/>
                          <w:marRight w:val="0"/>
                          <w:marTop w:val="0"/>
                          <w:marBottom w:val="0"/>
                          <w:divBdr>
                            <w:top w:val="none" w:sz="0" w:space="0" w:color="auto"/>
                            <w:left w:val="none" w:sz="0" w:space="0" w:color="auto"/>
                            <w:bottom w:val="none" w:sz="0" w:space="0" w:color="auto"/>
                            <w:right w:val="none" w:sz="0" w:space="0" w:color="auto"/>
                          </w:divBdr>
                          <w:divsChild>
                            <w:div w:id="2143380316">
                              <w:marLeft w:val="0"/>
                              <w:marRight w:val="0"/>
                              <w:marTop w:val="0"/>
                              <w:marBottom w:val="0"/>
                              <w:divBdr>
                                <w:top w:val="none" w:sz="0" w:space="0" w:color="auto"/>
                                <w:left w:val="none" w:sz="0" w:space="0" w:color="auto"/>
                                <w:bottom w:val="none" w:sz="0" w:space="0" w:color="auto"/>
                                <w:right w:val="none" w:sz="0" w:space="0" w:color="auto"/>
                              </w:divBdr>
                              <w:divsChild>
                                <w:div w:id="1526139674">
                                  <w:marLeft w:val="0"/>
                                  <w:marRight w:val="0"/>
                                  <w:marTop w:val="0"/>
                                  <w:marBottom w:val="0"/>
                                  <w:divBdr>
                                    <w:top w:val="none" w:sz="0" w:space="0" w:color="auto"/>
                                    <w:left w:val="none" w:sz="0" w:space="0" w:color="auto"/>
                                    <w:bottom w:val="none" w:sz="0" w:space="0" w:color="auto"/>
                                    <w:right w:val="none" w:sz="0" w:space="0" w:color="auto"/>
                                  </w:divBdr>
                                  <w:divsChild>
                                    <w:div w:id="19125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562456">
      <w:bodyDiv w:val="1"/>
      <w:marLeft w:val="0"/>
      <w:marRight w:val="0"/>
      <w:marTop w:val="0"/>
      <w:marBottom w:val="0"/>
      <w:divBdr>
        <w:top w:val="none" w:sz="0" w:space="0" w:color="auto"/>
        <w:left w:val="none" w:sz="0" w:space="0" w:color="auto"/>
        <w:bottom w:val="none" w:sz="0" w:space="0" w:color="auto"/>
        <w:right w:val="none" w:sz="0" w:space="0" w:color="auto"/>
      </w:divBdr>
      <w:divsChild>
        <w:div w:id="1660034691">
          <w:marLeft w:val="0"/>
          <w:marRight w:val="0"/>
          <w:marTop w:val="0"/>
          <w:marBottom w:val="0"/>
          <w:divBdr>
            <w:top w:val="none" w:sz="0" w:space="0" w:color="auto"/>
            <w:left w:val="none" w:sz="0" w:space="0" w:color="auto"/>
            <w:bottom w:val="none" w:sz="0" w:space="0" w:color="auto"/>
            <w:right w:val="none" w:sz="0" w:space="0" w:color="auto"/>
          </w:divBdr>
        </w:div>
      </w:divsChild>
    </w:div>
    <w:div w:id="545072098">
      <w:bodyDiv w:val="1"/>
      <w:marLeft w:val="0"/>
      <w:marRight w:val="0"/>
      <w:marTop w:val="0"/>
      <w:marBottom w:val="0"/>
      <w:divBdr>
        <w:top w:val="none" w:sz="0" w:space="0" w:color="auto"/>
        <w:left w:val="none" w:sz="0" w:space="0" w:color="auto"/>
        <w:bottom w:val="none" w:sz="0" w:space="0" w:color="auto"/>
        <w:right w:val="none" w:sz="0" w:space="0" w:color="auto"/>
      </w:divBdr>
    </w:div>
    <w:div w:id="564804825">
      <w:bodyDiv w:val="1"/>
      <w:marLeft w:val="0"/>
      <w:marRight w:val="0"/>
      <w:marTop w:val="0"/>
      <w:marBottom w:val="0"/>
      <w:divBdr>
        <w:top w:val="none" w:sz="0" w:space="0" w:color="auto"/>
        <w:left w:val="none" w:sz="0" w:space="0" w:color="auto"/>
        <w:bottom w:val="none" w:sz="0" w:space="0" w:color="auto"/>
        <w:right w:val="none" w:sz="0" w:space="0" w:color="auto"/>
      </w:divBdr>
    </w:div>
    <w:div w:id="614946241">
      <w:bodyDiv w:val="1"/>
      <w:marLeft w:val="0"/>
      <w:marRight w:val="0"/>
      <w:marTop w:val="0"/>
      <w:marBottom w:val="0"/>
      <w:divBdr>
        <w:top w:val="none" w:sz="0" w:space="0" w:color="auto"/>
        <w:left w:val="none" w:sz="0" w:space="0" w:color="auto"/>
        <w:bottom w:val="none" w:sz="0" w:space="0" w:color="auto"/>
        <w:right w:val="none" w:sz="0" w:space="0" w:color="auto"/>
      </w:divBdr>
      <w:divsChild>
        <w:div w:id="1745489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202847">
      <w:bodyDiv w:val="1"/>
      <w:marLeft w:val="0"/>
      <w:marRight w:val="0"/>
      <w:marTop w:val="0"/>
      <w:marBottom w:val="0"/>
      <w:divBdr>
        <w:top w:val="none" w:sz="0" w:space="0" w:color="auto"/>
        <w:left w:val="none" w:sz="0" w:space="0" w:color="auto"/>
        <w:bottom w:val="none" w:sz="0" w:space="0" w:color="auto"/>
        <w:right w:val="none" w:sz="0" w:space="0" w:color="auto"/>
      </w:divBdr>
    </w:div>
    <w:div w:id="661667650">
      <w:bodyDiv w:val="1"/>
      <w:marLeft w:val="0"/>
      <w:marRight w:val="0"/>
      <w:marTop w:val="0"/>
      <w:marBottom w:val="0"/>
      <w:divBdr>
        <w:top w:val="none" w:sz="0" w:space="0" w:color="auto"/>
        <w:left w:val="none" w:sz="0" w:space="0" w:color="auto"/>
        <w:bottom w:val="none" w:sz="0" w:space="0" w:color="auto"/>
        <w:right w:val="none" w:sz="0" w:space="0" w:color="auto"/>
      </w:divBdr>
      <w:divsChild>
        <w:div w:id="1423523255">
          <w:marLeft w:val="0"/>
          <w:marRight w:val="0"/>
          <w:marTop w:val="0"/>
          <w:marBottom w:val="0"/>
          <w:divBdr>
            <w:top w:val="none" w:sz="0" w:space="0" w:color="auto"/>
            <w:left w:val="none" w:sz="0" w:space="0" w:color="auto"/>
            <w:bottom w:val="none" w:sz="0" w:space="0" w:color="auto"/>
            <w:right w:val="none" w:sz="0" w:space="0" w:color="auto"/>
          </w:divBdr>
        </w:div>
      </w:divsChild>
    </w:div>
    <w:div w:id="890651900">
      <w:bodyDiv w:val="1"/>
      <w:marLeft w:val="0"/>
      <w:marRight w:val="0"/>
      <w:marTop w:val="0"/>
      <w:marBottom w:val="0"/>
      <w:divBdr>
        <w:top w:val="none" w:sz="0" w:space="0" w:color="auto"/>
        <w:left w:val="none" w:sz="0" w:space="0" w:color="auto"/>
        <w:bottom w:val="none" w:sz="0" w:space="0" w:color="auto"/>
        <w:right w:val="none" w:sz="0" w:space="0" w:color="auto"/>
      </w:divBdr>
      <w:divsChild>
        <w:div w:id="699091601">
          <w:marLeft w:val="0"/>
          <w:marRight w:val="0"/>
          <w:marTop w:val="0"/>
          <w:marBottom w:val="0"/>
          <w:divBdr>
            <w:top w:val="none" w:sz="0" w:space="0" w:color="auto"/>
            <w:left w:val="none" w:sz="0" w:space="0" w:color="auto"/>
            <w:bottom w:val="none" w:sz="0" w:space="0" w:color="auto"/>
            <w:right w:val="none" w:sz="0" w:space="0" w:color="auto"/>
          </w:divBdr>
          <w:divsChild>
            <w:div w:id="1642616232">
              <w:marLeft w:val="0"/>
              <w:marRight w:val="0"/>
              <w:marTop w:val="0"/>
              <w:marBottom w:val="0"/>
              <w:divBdr>
                <w:top w:val="none" w:sz="0" w:space="0" w:color="auto"/>
                <w:left w:val="none" w:sz="0" w:space="0" w:color="auto"/>
                <w:bottom w:val="none" w:sz="0" w:space="0" w:color="auto"/>
                <w:right w:val="none" w:sz="0" w:space="0" w:color="auto"/>
              </w:divBdr>
              <w:divsChild>
                <w:div w:id="1510103209">
                  <w:marLeft w:val="0"/>
                  <w:marRight w:val="0"/>
                  <w:marTop w:val="0"/>
                  <w:marBottom w:val="0"/>
                  <w:divBdr>
                    <w:top w:val="none" w:sz="0" w:space="0" w:color="auto"/>
                    <w:left w:val="none" w:sz="0" w:space="0" w:color="auto"/>
                    <w:bottom w:val="none" w:sz="0" w:space="0" w:color="auto"/>
                    <w:right w:val="none" w:sz="0" w:space="0" w:color="auto"/>
                  </w:divBdr>
                  <w:divsChild>
                    <w:div w:id="1360936907">
                      <w:marLeft w:val="0"/>
                      <w:marRight w:val="0"/>
                      <w:marTop w:val="0"/>
                      <w:marBottom w:val="0"/>
                      <w:divBdr>
                        <w:top w:val="none" w:sz="0" w:space="0" w:color="auto"/>
                        <w:left w:val="none" w:sz="0" w:space="0" w:color="auto"/>
                        <w:bottom w:val="none" w:sz="0" w:space="0" w:color="auto"/>
                        <w:right w:val="none" w:sz="0" w:space="0" w:color="auto"/>
                      </w:divBdr>
                      <w:divsChild>
                        <w:div w:id="204829389">
                          <w:marLeft w:val="0"/>
                          <w:marRight w:val="0"/>
                          <w:marTop w:val="0"/>
                          <w:marBottom w:val="0"/>
                          <w:divBdr>
                            <w:top w:val="none" w:sz="0" w:space="0" w:color="auto"/>
                            <w:left w:val="none" w:sz="0" w:space="0" w:color="auto"/>
                            <w:bottom w:val="none" w:sz="0" w:space="0" w:color="auto"/>
                            <w:right w:val="none" w:sz="0" w:space="0" w:color="auto"/>
                          </w:divBdr>
                          <w:divsChild>
                            <w:div w:id="308243207">
                              <w:marLeft w:val="0"/>
                              <w:marRight w:val="0"/>
                              <w:marTop w:val="0"/>
                              <w:marBottom w:val="0"/>
                              <w:divBdr>
                                <w:top w:val="none" w:sz="0" w:space="0" w:color="auto"/>
                                <w:left w:val="none" w:sz="0" w:space="0" w:color="auto"/>
                                <w:bottom w:val="none" w:sz="0" w:space="0" w:color="auto"/>
                                <w:right w:val="none" w:sz="0" w:space="0" w:color="auto"/>
                              </w:divBdr>
                              <w:divsChild>
                                <w:div w:id="2090301489">
                                  <w:marLeft w:val="0"/>
                                  <w:marRight w:val="0"/>
                                  <w:marTop w:val="0"/>
                                  <w:marBottom w:val="0"/>
                                  <w:divBdr>
                                    <w:top w:val="none" w:sz="0" w:space="0" w:color="auto"/>
                                    <w:left w:val="none" w:sz="0" w:space="0" w:color="auto"/>
                                    <w:bottom w:val="none" w:sz="0" w:space="0" w:color="auto"/>
                                    <w:right w:val="none" w:sz="0" w:space="0" w:color="auto"/>
                                  </w:divBdr>
                                  <w:divsChild>
                                    <w:div w:id="9022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820549">
      <w:bodyDiv w:val="1"/>
      <w:marLeft w:val="0"/>
      <w:marRight w:val="0"/>
      <w:marTop w:val="0"/>
      <w:marBottom w:val="0"/>
      <w:divBdr>
        <w:top w:val="none" w:sz="0" w:space="0" w:color="auto"/>
        <w:left w:val="none" w:sz="0" w:space="0" w:color="auto"/>
        <w:bottom w:val="none" w:sz="0" w:space="0" w:color="auto"/>
        <w:right w:val="none" w:sz="0" w:space="0" w:color="auto"/>
      </w:divBdr>
    </w:div>
    <w:div w:id="995299095">
      <w:bodyDiv w:val="1"/>
      <w:marLeft w:val="0"/>
      <w:marRight w:val="0"/>
      <w:marTop w:val="0"/>
      <w:marBottom w:val="0"/>
      <w:divBdr>
        <w:top w:val="none" w:sz="0" w:space="0" w:color="auto"/>
        <w:left w:val="none" w:sz="0" w:space="0" w:color="auto"/>
        <w:bottom w:val="none" w:sz="0" w:space="0" w:color="auto"/>
        <w:right w:val="none" w:sz="0" w:space="0" w:color="auto"/>
      </w:divBdr>
      <w:divsChild>
        <w:div w:id="172020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945887">
      <w:bodyDiv w:val="1"/>
      <w:marLeft w:val="0"/>
      <w:marRight w:val="0"/>
      <w:marTop w:val="0"/>
      <w:marBottom w:val="0"/>
      <w:divBdr>
        <w:top w:val="none" w:sz="0" w:space="0" w:color="auto"/>
        <w:left w:val="none" w:sz="0" w:space="0" w:color="auto"/>
        <w:bottom w:val="none" w:sz="0" w:space="0" w:color="auto"/>
        <w:right w:val="none" w:sz="0" w:space="0" w:color="auto"/>
      </w:divBdr>
    </w:div>
    <w:div w:id="1159925851">
      <w:bodyDiv w:val="1"/>
      <w:marLeft w:val="0"/>
      <w:marRight w:val="0"/>
      <w:marTop w:val="0"/>
      <w:marBottom w:val="0"/>
      <w:divBdr>
        <w:top w:val="none" w:sz="0" w:space="0" w:color="auto"/>
        <w:left w:val="none" w:sz="0" w:space="0" w:color="auto"/>
        <w:bottom w:val="none" w:sz="0" w:space="0" w:color="auto"/>
        <w:right w:val="none" w:sz="0" w:space="0" w:color="auto"/>
      </w:divBdr>
    </w:div>
    <w:div w:id="1173496647">
      <w:bodyDiv w:val="1"/>
      <w:marLeft w:val="0"/>
      <w:marRight w:val="0"/>
      <w:marTop w:val="0"/>
      <w:marBottom w:val="0"/>
      <w:divBdr>
        <w:top w:val="none" w:sz="0" w:space="0" w:color="auto"/>
        <w:left w:val="none" w:sz="0" w:space="0" w:color="auto"/>
        <w:bottom w:val="none" w:sz="0" w:space="0" w:color="auto"/>
        <w:right w:val="none" w:sz="0" w:space="0" w:color="auto"/>
      </w:divBdr>
    </w:div>
    <w:div w:id="1247375241">
      <w:bodyDiv w:val="1"/>
      <w:marLeft w:val="0"/>
      <w:marRight w:val="0"/>
      <w:marTop w:val="0"/>
      <w:marBottom w:val="0"/>
      <w:divBdr>
        <w:top w:val="none" w:sz="0" w:space="0" w:color="auto"/>
        <w:left w:val="none" w:sz="0" w:space="0" w:color="auto"/>
        <w:bottom w:val="none" w:sz="0" w:space="0" w:color="auto"/>
        <w:right w:val="none" w:sz="0" w:space="0" w:color="auto"/>
      </w:divBdr>
      <w:divsChild>
        <w:div w:id="479619805">
          <w:marLeft w:val="0"/>
          <w:marRight w:val="0"/>
          <w:marTop w:val="0"/>
          <w:marBottom w:val="0"/>
          <w:divBdr>
            <w:top w:val="none" w:sz="0" w:space="0" w:color="auto"/>
            <w:left w:val="none" w:sz="0" w:space="0" w:color="auto"/>
            <w:bottom w:val="none" w:sz="0" w:space="0" w:color="auto"/>
            <w:right w:val="none" w:sz="0" w:space="0" w:color="auto"/>
          </w:divBdr>
        </w:div>
      </w:divsChild>
    </w:div>
    <w:div w:id="1302734907">
      <w:bodyDiv w:val="1"/>
      <w:marLeft w:val="0"/>
      <w:marRight w:val="0"/>
      <w:marTop w:val="0"/>
      <w:marBottom w:val="0"/>
      <w:divBdr>
        <w:top w:val="none" w:sz="0" w:space="0" w:color="auto"/>
        <w:left w:val="none" w:sz="0" w:space="0" w:color="auto"/>
        <w:bottom w:val="none" w:sz="0" w:space="0" w:color="auto"/>
        <w:right w:val="none" w:sz="0" w:space="0" w:color="auto"/>
      </w:divBdr>
    </w:div>
    <w:div w:id="1334339436">
      <w:bodyDiv w:val="1"/>
      <w:marLeft w:val="0"/>
      <w:marRight w:val="0"/>
      <w:marTop w:val="0"/>
      <w:marBottom w:val="0"/>
      <w:divBdr>
        <w:top w:val="none" w:sz="0" w:space="0" w:color="auto"/>
        <w:left w:val="none" w:sz="0" w:space="0" w:color="auto"/>
        <w:bottom w:val="none" w:sz="0" w:space="0" w:color="auto"/>
        <w:right w:val="none" w:sz="0" w:space="0" w:color="auto"/>
      </w:divBdr>
    </w:div>
    <w:div w:id="1432777051">
      <w:bodyDiv w:val="1"/>
      <w:marLeft w:val="0"/>
      <w:marRight w:val="0"/>
      <w:marTop w:val="0"/>
      <w:marBottom w:val="0"/>
      <w:divBdr>
        <w:top w:val="none" w:sz="0" w:space="0" w:color="auto"/>
        <w:left w:val="none" w:sz="0" w:space="0" w:color="auto"/>
        <w:bottom w:val="none" w:sz="0" w:space="0" w:color="auto"/>
        <w:right w:val="none" w:sz="0" w:space="0" w:color="auto"/>
      </w:divBdr>
      <w:divsChild>
        <w:div w:id="428506509">
          <w:marLeft w:val="0"/>
          <w:marRight w:val="0"/>
          <w:marTop w:val="0"/>
          <w:marBottom w:val="0"/>
          <w:divBdr>
            <w:top w:val="none" w:sz="0" w:space="0" w:color="auto"/>
            <w:left w:val="none" w:sz="0" w:space="0" w:color="auto"/>
            <w:bottom w:val="none" w:sz="0" w:space="0" w:color="auto"/>
            <w:right w:val="none" w:sz="0" w:space="0" w:color="auto"/>
          </w:divBdr>
          <w:divsChild>
            <w:div w:id="624197131">
              <w:marLeft w:val="0"/>
              <w:marRight w:val="0"/>
              <w:marTop w:val="0"/>
              <w:marBottom w:val="0"/>
              <w:divBdr>
                <w:top w:val="none" w:sz="0" w:space="0" w:color="auto"/>
                <w:left w:val="none" w:sz="0" w:space="0" w:color="auto"/>
                <w:bottom w:val="none" w:sz="0" w:space="0" w:color="auto"/>
                <w:right w:val="none" w:sz="0" w:space="0" w:color="auto"/>
              </w:divBdr>
              <w:divsChild>
                <w:div w:id="58790764">
                  <w:marLeft w:val="0"/>
                  <w:marRight w:val="0"/>
                  <w:marTop w:val="0"/>
                  <w:marBottom w:val="0"/>
                  <w:divBdr>
                    <w:top w:val="none" w:sz="0" w:space="0" w:color="auto"/>
                    <w:left w:val="none" w:sz="0" w:space="0" w:color="auto"/>
                    <w:bottom w:val="none" w:sz="0" w:space="0" w:color="auto"/>
                    <w:right w:val="none" w:sz="0" w:space="0" w:color="auto"/>
                  </w:divBdr>
                  <w:divsChild>
                    <w:div w:id="95445609">
                      <w:marLeft w:val="0"/>
                      <w:marRight w:val="0"/>
                      <w:marTop w:val="0"/>
                      <w:marBottom w:val="0"/>
                      <w:divBdr>
                        <w:top w:val="none" w:sz="0" w:space="0" w:color="auto"/>
                        <w:left w:val="none" w:sz="0" w:space="0" w:color="auto"/>
                        <w:bottom w:val="none" w:sz="0" w:space="0" w:color="auto"/>
                        <w:right w:val="none" w:sz="0" w:space="0" w:color="auto"/>
                      </w:divBdr>
                      <w:divsChild>
                        <w:div w:id="1111707807">
                          <w:marLeft w:val="0"/>
                          <w:marRight w:val="0"/>
                          <w:marTop w:val="0"/>
                          <w:marBottom w:val="0"/>
                          <w:divBdr>
                            <w:top w:val="none" w:sz="0" w:space="0" w:color="auto"/>
                            <w:left w:val="none" w:sz="0" w:space="0" w:color="auto"/>
                            <w:bottom w:val="none" w:sz="0" w:space="0" w:color="auto"/>
                            <w:right w:val="none" w:sz="0" w:space="0" w:color="auto"/>
                          </w:divBdr>
                          <w:divsChild>
                            <w:div w:id="754400098">
                              <w:marLeft w:val="0"/>
                              <w:marRight w:val="0"/>
                              <w:marTop w:val="0"/>
                              <w:marBottom w:val="0"/>
                              <w:divBdr>
                                <w:top w:val="none" w:sz="0" w:space="0" w:color="auto"/>
                                <w:left w:val="none" w:sz="0" w:space="0" w:color="auto"/>
                                <w:bottom w:val="none" w:sz="0" w:space="0" w:color="auto"/>
                                <w:right w:val="none" w:sz="0" w:space="0" w:color="auto"/>
                              </w:divBdr>
                              <w:divsChild>
                                <w:div w:id="1314718204">
                                  <w:marLeft w:val="0"/>
                                  <w:marRight w:val="0"/>
                                  <w:marTop w:val="0"/>
                                  <w:marBottom w:val="0"/>
                                  <w:divBdr>
                                    <w:top w:val="none" w:sz="0" w:space="0" w:color="auto"/>
                                    <w:left w:val="none" w:sz="0" w:space="0" w:color="auto"/>
                                    <w:bottom w:val="none" w:sz="0" w:space="0" w:color="auto"/>
                                    <w:right w:val="none" w:sz="0" w:space="0" w:color="auto"/>
                                  </w:divBdr>
                                  <w:divsChild>
                                    <w:div w:id="16766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504855">
          <w:marLeft w:val="0"/>
          <w:marRight w:val="0"/>
          <w:marTop w:val="0"/>
          <w:marBottom w:val="0"/>
          <w:divBdr>
            <w:top w:val="none" w:sz="0" w:space="0" w:color="auto"/>
            <w:left w:val="none" w:sz="0" w:space="0" w:color="auto"/>
            <w:bottom w:val="none" w:sz="0" w:space="0" w:color="auto"/>
            <w:right w:val="none" w:sz="0" w:space="0" w:color="auto"/>
          </w:divBdr>
          <w:divsChild>
            <w:div w:id="1592658457">
              <w:marLeft w:val="0"/>
              <w:marRight w:val="0"/>
              <w:marTop w:val="0"/>
              <w:marBottom w:val="0"/>
              <w:divBdr>
                <w:top w:val="none" w:sz="0" w:space="0" w:color="auto"/>
                <w:left w:val="none" w:sz="0" w:space="0" w:color="auto"/>
                <w:bottom w:val="none" w:sz="0" w:space="0" w:color="auto"/>
                <w:right w:val="none" w:sz="0" w:space="0" w:color="auto"/>
              </w:divBdr>
              <w:divsChild>
                <w:div w:id="521012470">
                  <w:marLeft w:val="0"/>
                  <w:marRight w:val="0"/>
                  <w:marTop w:val="0"/>
                  <w:marBottom w:val="0"/>
                  <w:divBdr>
                    <w:top w:val="none" w:sz="0" w:space="0" w:color="auto"/>
                    <w:left w:val="none" w:sz="0" w:space="0" w:color="auto"/>
                    <w:bottom w:val="none" w:sz="0" w:space="0" w:color="auto"/>
                    <w:right w:val="none" w:sz="0" w:space="0" w:color="auto"/>
                  </w:divBdr>
                  <w:divsChild>
                    <w:div w:id="1437749184">
                      <w:marLeft w:val="0"/>
                      <w:marRight w:val="0"/>
                      <w:marTop w:val="0"/>
                      <w:marBottom w:val="0"/>
                      <w:divBdr>
                        <w:top w:val="none" w:sz="0" w:space="0" w:color="auto"/>
                        <w:left w:val="none" w:sz="0" w:space="0" w:color="auto"/>
                        <w:bottom w:val="none" w:sz="0" w:space="0" w:color="auto"/>
                        <w:right w:val="none" w:sz="0" w:space="0" w:color="auto"/>
                      </w:divBdr>
                      <w:divsChild>
                        <w:div w:id="1931548572">
                          <w:marLeft w:val="0"/>
                          <w:marRight w:val="0"/>
                          <w:marTop w:val="0"/>
                          <w:marBottom w:val="0"/>
                          <w:divBdr>
                            <w:top w:val="none" w:sz="0" w:space="0" w:color="auto"/>
                            <w:left w:val="none" w:sz="0" w:space="0" w:color="auto"/>
                            <w:bottom w:val="none" w:sz="0" w:space="0" w:color="auto"/>
                            <w:right w:val="none" w:sz="0" w:space="0" w:color="auto"/>
                          </w:divBdr>
                          <w:divsChild>
                            <w:div w:id="339890254">
                              <w:marLeft w:val="0"/>
                              <w:marRight w:val="0"/>
                              <w:marTop w:val="0"/>
                              <w:marBottom w:val="0"/>
                              <w:divBdr>
                                <w:top w:val="none" w:sz="0" w:space="0" w:color="auto"/>
                                <w:left w:val="none" w:sz="0" w:space="0" w:color="auto"/>
                                <w:bottom w:val="none" w:sz="0" w:space="0" w:color="auto"/>
                                <w:right w:val="none" w:sz="0" w:space="0" w:color="auto"/>
                              </w:divBdr>
                              <w:divsChild>
                                <w:div w:id="2018074808">
                                  <w:marLeft w:val="0"/>
                                  <w:marRight w:val="0"/>
                                  <w:marTop w:val="0"/>
                                  <w:marBottom w:val="0"/>
                                  <w:divBdr>
                                    <w:top w:val="none" w:sz="0" w:space="0" w:color="auto"/>
                                    <w:left w:val="none" w:sz="0" w:space="0" w:color="auto"/>
                                    <w:bottom w:val="none" w:sz="0" w:space="0" w:color="auto"/>
                                    <w:right w:val="none" w:sz="0" w:space="0" w:color="auto"/>
                                  </w:divBdr>
                                  <w:divsChild>
                                    <w:div w:id="850801284">
                                      <w:marLeft w:val="0"/>
                                      <w:marRight w:val="0"/>
                                      <w:marTop w:val="0"/>
                                      <w:marBottom w:val="0"/>
                                      <w:divBdr>
                                        <w:top w:val="none" w:sz="0" w:space="0" w:color="auto"/>
                                        <w:left w:val="none" w:sz="0" w:space="0" w:color="auto"/>
                                        <w:bottom w:val="none" w:sz="0" w:space="0" w:color="auto"/>
                                        <w:right w:val="none" w:sz="0" w:space="0" w:color="auto"/>
                                      </w:divBdr>
                                      <w:divsChild>
                                        <w:div w:id="1480883467">
                                          <w:marLeft w:val="0"/>
                                          <w:marRight w:val="0"/>
                                          <w:marTop w:val="0"/>
                                          <w:marBottom w:val="0"/>
                                          <w:divBdr>
                                            <w:top w:val="none" w:sz="0" w:space="0" w:color="auto"/>
                                            <w:left w:val="none" w:sz="0" w:space="0" w:color="auto"/>
                                            <w:bottom w:val="none" w:sz="0" w:space="0" w:color="auto"/>
                                            <w:right w:val="none" w:sz="0" w:space="0" w:color="auto"/>
                                          </w:divBdr>
                                          <w:divsChild>
                                            <w:div w:id="7635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498180">
          <w:marLeft w:val="0"/>
          <w:marRight w:val="0"/>
          <w:marTop w:val="0"/>
          <w:marBottom w:val="0"/>
          <w:divBdr>
            <w:top w:val="none" w:sz="0" w:space="0" w:color="auto"/>
            <w:left w:val="none" w:sz="0" w:space="0" w:color="auto"/>
            <w:bottom w:val="none" w:sz="0" w:space="0" w:color="auto"/>
            <w:right w:val="none" w:sz="0" w:space="0" w:color="auto"/>
          </w:divBdr>
          <w:divsChild>
            <w:div w:id="1113011828">
              <w:marLeft w:val="0"/>
              <w:marRight w:val="0"/>
              <w:marTop w:val="0"/>
              <w:marBottom w:val="0"/>
              <w:divBdr>
                <w:top w:val="none" w:sz="0" w:space="0" w:color="auto"/>
                <w:left w:val="none" w:sz="0" w:space="0" w:color="auto"/>
                <w:bottom w:val="none" w:sz="0" w:space="0" w:color="auto"/>
                <w:right w:val="none" w:sz="0" w:space="0" w:color="auto"/>
              </w:divBdr>
              <w:divsChild>
                <w:div w:id="1033188137">
                  <w:marLeft w:val="0"/>
                  <w:marRight w:val="0"/>
                  <w:marTop w:val="0"/>
                  <w:marBottom w:val="0"/>
                  <w:divBdr>
                    <w:top w:val="none" w:sz="0" w:space="0" w:color="auto"/>
                    <w:left w:val="none" w:sz="0" w:space="0" w:color="auto"/>
                    <w:bottom w:val="none" w:sz="0" w:space="0" w:color="auto"/>
                    <w:right w:val="none" w:sz="0" w:space="0" w:color="auto"/>
                  </w:divBdr>
                  <w:divsChild>
                    <w:div w:id="147989078">
                      <w:marLeft w:val="0"/>
                      <w:marRight w:val="0"/>
                      <w:marTop w:val="0"/>
                      <w:marBottom w:val="0"/>
                      <w:divBdr>
                        <w:top w:val="none" w:sz="0" w:space="0" w:color="auto"/>
                        <w:left w:val="none" w:sz="0" w:space="0" w:color="auto"/>
                        <w:bottom w:val="none" w:sz="0" w:space="0" w:color="auto"/>
                        <w:right w:val="none" w:sz="0" w:space="0" w:color="auto"/>
                      </w:divBdr>
                      <w:divsChild>
                        <w:div w:id="564295291">
                          <w:marLeft w:val="0"/>
                          <w:marRight w:val="0"/>
                          <w:marTop w:val="0"/>
                          <w:marBottom w:val="0"/>
                          <w:divBdr>
                            <w:top w:val="none" w:sz="0" w:space="0" w:color="auto"/>
                            <w:left w:val="none" w:sz="0" w:space="0" w:color="auto"/>
                            <w:bottom w:val="none" w:sz="0" w:space="0" w:color="auto"/>
                            <w:right w:val="none" w:sz="0" w:space="0" w:color="auto"/>
                          </w:divBdr>
                          <w:divsChild>
                            <w:div w:id="1551108361">
                              <w:marLeft w:val="0"/>
                              <w:marRight w:val="0"/>
                              <w:marTop w:val="0"/>
                              <w:marBottom w:val="0"/>
                              <w:divBdr>
                                <w:top w:val="none" w:sz="0" w:space="0" w:color="auto"/>
                                <w:left w:val="none" w:sz="0" w:space="0" w:color="auto"/>
                                <w:bottom w:val="none" w:sz="0" w:space="0" w:color="auto"/>
                                <w:right w:val="none" w:sz="0" w:space="0" w:color="auto"/>
                              </w:divBdr>
                              <w:divsChild>
                                <w:div w:id="295530643">
                                  <w:marLeft w:val="0"/>
                                  <w:marRight w:val="0"/>
                                  <w:marTop w:val="0"/>
                                  <w:marBottom w:val="0"/>
                                  <w:divBdr>
                                    <w:top w:val="none" w:sz="0" w:space="0" w:color="auto"/>
                                    <w:left w:val="none" w:sz="0" w:space="0" w:color="auto"/>
                                    <w:bottom w:val="none" w:sz="0" w:space="0" w:color="auto"/>
                                    <w:right w:val="none" w:sz="0" w:space="0" w:color="auto"/>
                                  </w:divBdr>
                                  <w:divsChild>
                                    <w:div w:id="1507013246">
                                      <w:marLeft w:val="0"/>
                                      <w:marRight w:val="0"/>
                                      <w:marTop w:val="0"/>
                                      <w:marBottom w:val="0"/>
                                      <w:divBdr>
                                        <w:top w:val="none" w:sz="0" w:space="0" w:color="auto"/>
                                        <w:left w:val="none" w:sz="0" w:space="0" w:color="auto"/>
                                        <w:bottom w:val="none" w:sz="0" w:space="0" w:color="auto"/>
                                        <w:right w:val="none" w:sz="0" w:space="0" w:color="auto"/>
                                      </w:divBdr>
                                      <w:divsChild>
                                        <w:div w:id="1113406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0509225">
      <w:bodyDiv w:val="1"/>
      <w:marLeft w:val="0"/>
      <w:marRight w:val="0"/>
      <w:marTop w:val="0"/>
      <w:marBottom w:val="0"/>
      <w:divBdr>
        <w:top w:val="none" w:sz="0" w:space="0" w:color="auto"/>
        <w:left w:val="none" w:sz="0" w:space="0" w:color="auto"/>
        <w:bottom w:val="none" w:sz="0" w:space="0" w:color="auto"/>
        <w:right w:val="none" w:sz="0" w:space="0" w:color="auto"/>
      </w:divBdr>
      <w:divsChild>
        <w:div w:id="561600188">
          <w:marLeft w:val="0"/>
          <w:marRight w:val="0"/>
          <w:marTop w:val="0"/>
          <w:marBottom w:val="0"/>
          <w:divBdr>
            <w:top w:val="none" w:sz="0" w:space="0" w:color="auto"/>
            <w:left w:val="none" w:sz="0" w:space="0" w:color="auto"/>
            <w:bottom w:val="none" w:sz="0" w:space="0" w:color="auto"/>
            <w:right w:val="none" w:sz="0" w:space="0" w:color="auto"/>
          </w:divBdr>
          <w:divsChild>
            <w:div w:id="768696861">
              <w:marLeft w:val="0"/>
              <w:marRight w:val="0"/>
              <w:marTop w:val="0"/>
              <w:marBottom w:val="0"/>
              <w:divBdr>
                <w:top w:val="none" w:sz="0" w:space="0" w:color="auto"/>
                <w:left w:val="none" w:sz="0" w:space="0" w:color="auto"/>
                <w:bottom w:val="none" w:sz="0" w:space="0" w:color="auto"/>
                <w:right w:val="none" w:sz="0" w:space="0" w:color="auto"/>
              </w:divBdr>
              <w:divsChild>
                <w:div w:id="1999845448">
                  <w:marLeft w:val="0"/>
                  <w:marRight w:val="0"/>
                  <w:marTop w:val="0"/>
                  <w:marBottom w:val="0"/>
                  <w:divBdr>
                    <w:top w:val="none" w:sz="0" w:space="0" w:color="auto"/>
                    <w:left w:val="none" w:sz="0" w:space="0" w:color="auto"/>
                    <w:bottom w:val="none" w:sz="0" w:space="0" w:color="auto"/>
                    <w:right w:val="none" w:sz="0" w:space="0" w:color="auto"/>
                  </w:divBdr>
                  <w:divsChild>
                    <w:div w:id="1352148390">
                      <w:marLeft w:val="0"/>
                      <w:marRight w:val="0"/>
                      <w:marTop w:val="0"/>
                      <w:marBottom w:val="0"/>
                      <w:divBdr>
                        <w:top w:val="none" w:sz="0" w:space="0" w:color="auto"/>
                        <w:left w:val="none" w:sz="0" w:space="0" w:color="auto"/>
                        <w:bottom w:val="none" w:sz="0" w:space="0" w:color="auto"/>
                        <w:right w:val="none" w:sz="0" w:space="0" w:color="auto"/>
                      </w:divBdr>
                      <w:divsChild>
                        <w:div w:id="588470397">
                          <w:marLeft w:val="0"/>
                          <w:marRight w:val="0"/>
                          <w:marTop w:val="0"/>
                          <w:marBottom w:val="0"/>
                          <w:divBdr>
                            <w:top w:val="none" w:sz="0" w:space="0" w:color="auto"/>
                            <w:left w:val="none" w:sz="0" w:space="0" w:color="auto"/>
                            <w:bottom w:val="none" w:sz="0" w:space="0" w:color="auto"/>
                            <w:right w:val="none" w:sz="0" w:space="0" w:color="auto"/>
                          </w:divBdr>
                          <w:divsChild>
                            <w:div w:id="715280204">
                              <w:marLeft w:val="0"/>
                              <w:marRight w:val="0"/>
                              <w:marTop w:val="0"/>
                              <w:marBottom w:val="0"/>
                              <w:divBdr>
                                <w:top w:val="none" w:sz="0" w:space="0" w:color="auto"/>
                                <w:left w:val="none" w:sz="0" w:space="0" w:color="auto"/>
                                <w:bottom w:val="none" w:sz="0" w:space="0" w:color="auto"/>
                                <w:right w:val="none" w:sz="0" w:space="0" w:color="auto"/>
                              </w:divBdr>
                              <w:divsChild>
                                <w:div w:id="1080567018">
                                  <w:marLeft w:val="0"/>
                                  <w:marRight w:val="0"/>
                                  <w:marTop w:val="0"/>
                                  <w:marBottom w:val="0"/>
                                  <w:divBdr>
                                    <w:top w:val="none" w:sz="0" w:space="0" w:color="auto"/>
                                    <w:left w:val="none" w:sz="0" w:space="0" w:color="auto"/>
                                    <w:bottom w:val="none" w:sz="0" w:space="0" w:color="auto"/>
                                    <w:right w:val="none" w:sz="0" w:space="0" w:color="auto"/>
                                  </w:divBdr>
                                  <w:divsChild>
                                    <w:div w:id="11008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855846">
          <w:marLeft w:val="0"/>
          <w:marRight w:val="0"/>
          <w:marTop w:val="0"/>
          <w:marBottom w:val="0"/>
          <w:divBdr>
            <w:top w:val="none" w:sz="0" w:space="0" w:color="auto"/>
            <w:left w:val="none" w:sz="0" w:space="0" w:color="auto"/>
            <w:bottom w:val="none" w:sz="0" w:space="0" w:color="auto"/>
            <w:right w:val="none" w:sz="0" w:space="0" w:color="auto"/>
          </w:divBdr>
          <w:divsChild>
            <w:div w:id="1619412104">
              <w:marLeft w:val="0"/>
              <w:marRight w:val="0"/>
              <w:marTop w:val="0"/>
              <w:marBottom w:val="0"/>
              <w:divBdr>
                <w:top w:val="none" w:sz="0" w:space="0" w:color="auto"/>
                <w:left w:val="none" w:sz="0" w:space="0" w:color="auto"/>
                <w:bottom w:val="none" w:sz="0" w:space="0" w:color="auto"/>
                <w:right w:val="none" w:sz="0" w:space="0" w:color="auto"/>
              </w:divBdr>
              <w:divsChild>
                <w:div w:id="1158377222">
                  <w:marLeft w:val="0"/>
                  <w:marRight w:val="0"/>
                  <w:marTop w:val="0"/>
                  <w:marBottom w:val="0"/>
                  <w:divBdr>
                    <w:top w:val="none" w:sz="0" w:space="0" w:color="auto"/>
                    <w:left w:val="none" w:sz="0" w:space="0" w:color="auto"/>
                    <w:bottom w:val="none" w:sz="0" w:space="0" w:color="auto"/>
                    <w:right w:val="none" w:sz="0" w:space="0" w:color="auto"/>
                  </w:divBdr>
                  <w:divsChild>
                    <w:div w:id="1461264228">
                      <w:marLeft w:val="0"/>
                      <w:marRight w:val="0"/>
                      <w:marTop w:val="0"/>
                      <w:marBottom w:val="0"/>
                      <w:divBdr>
                        <w:top w:val="none" w:sz="0" w:space="0" w:color="auto"/>
                        <w:left w:val="none" w:sz="0" w:space="0" w:color="auto"/>
                        <w:bottom w:val="none" w:sz="0" w:space="0" w:color="auto"/>
                        <w:right w:val="none" w:sz="0" w:space="0" w:color="auto"/>
                      </w:divBdr>
                      <w:divsChild>
                        <w:div w:id="749891767">
                          <w:marLeft w:val="0"/>
                          <w:marRight w:val="0"/>
                          <w:marTop w:val="0"/>
                          <w:marBottom w:val="0"/>
                          <w:divBdr>
                            <w:top w:val="none" w:sz="0" w:space="0" w:color="auto"/>
                            <w:left w:val="none" w:sz="0" w:space="0" w:color="auto"/>
                            <w:bottom w:val="none" w:sz="0" w:space="0" w:color="auto"/>
                            <w:right w:val="none" w:sz="0" w:space="0" w:color="auto"/>
                          </w:divBdr>
                          <w:divsChild>
                            <w:div w:id="112214038">
                              <w:marLeft w:val="0"/>
                              <w:marRight w:val="0"/>
                              <w:marTop w:val="0"/>
                              <w:marBottom w:val="0"/>
                              <w:divBdr>
                                <w:top w:val="none" w:sz="0" w:space="0" w:color="auto"/>
                                <w:left w:val="none" w:sz="0" w:space="0" w:color="auto"/>
                                <w:bottom w:val="none" w:sz="0" w:space="0" w:color="auto"/>
                                <w:right w:val="none" w:sz="0" w:space="0" w:color="auto"/>
                              </w:divBdr>
                              <w:divsChild>
                                <w:div w:id="997809369">
                                  <w:marLeft w:val="0"/>
                                  <w:marRight w:val="0"/>
                                  <w:marTop w:val="0"/>
                                  <w:marBottom w:val="0"/>
                                  <w:divBdr>
                                    <w:top w:val="none" w:sz="0" w:space="0" w:color="auto"/>
                                    <w:left w:val="none" w:sz="0" w:space="0" w:color="auto"/>
                                    <w:bottom w:val="none" w:sz="0" w:space="0" w:color="auto"/>
                                    <w:right w:val="none" w:sz="0" w:space="0" w:color="auto"/>
                                  </w:divBdr>
                                  <w:divsChild>
                                    <w:div w:id="1626158565">
                                      <w:marLeft w:val="0"/>
                                      <w:marRight w:val="0"/>
                                      <w:marTop w:val="0"/>
                                      <w:marBottom w:val="0"/>
                                      <w:divBdr>
                                        <w:top w:val="none" w:sz="0" w:space="0" w:color="auto"/>
                                        <w:left w:val="none" w:sz="0" w:space="0" w:color="auto"/>
                                        <w:bottom w:val="none" w:sz="0" w:space="0" w:color="auto"/>
                                        <w:right w:val="none" w:sz="0" w:space="0" w:color="auto"/>
                                      </w:divBdr>
                                      <w:divsChild>
                                        <w:div w:id="1952202288">
                                          <w:marLeft w:val="0"/>
                                          <w:marRight w:val="0"/>
                                          <w:marTop w:val="0"/>
                                          <w:marBottom w:val="0"/>
                                          <w:divBdr>
                                            <w:top w:val="none" w:sz="0" w:space="0" w:color="auto"/>
                                            <w:left w:val="none" w:sz="0" w:space="0" w:color="auto"/>
                                            <w:bottom w:val="none" w:sz="0" w:space="0" w:color="auto"/>
                                            <w:right w:val="none" w:sz="0" w:space="0" w:color="auto"/>
                                          </w:divBdr>
                                          <w:divsChild>
                                            <w:div w:id="20944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55497">
          <w:marLeft w:val="0"/>
          <w:marRight w:val="0"/>
          <w:marTop w:val="0"/>
          <w:marBottom w:val="0"/>
          <w:divBdr>
            <w:top w:val="none" w:sz="0" w:space="0" w:color="auto"/>
            <w:left w:val="none" w:sz="0" w:space="0" w:color="auto"/>
            <w:bottom w:val="none" w:sz="0" w:space="0" w:color="auto"/>
            <w:right w:val="none" w:sz="0" w:space="0" w:color="auto"/>
          </w:divBdr>
          <w:divsChild>
            <w:div w:id="1596396365">
              <w:marLeft w:val="0"/>
              <w:marRight w:val="0"/>
              <w:marTop w:val="0"/>
              <w:marBottom w:val="0"/>
              <w:divBdr>
                <w:top w:val="none" w:sz="0" w:space="0" w:color="auto"/>
                <w:left w:val="none" w:sz="0" w:space="0" w:color="auto"/>
                <w:bottom w:val="none" w:sz="0" w:space="0" w:color="auto"/>
                <w:right w:val="none" w:sz="0" w:space="0" w:color="auto"/>
              </w:divBdr>
              <w:divsChild>
                <w:div w:id="788620844">
                  <w:marLeft w:val="0"/>
                  <w:marRight w:val="0"/>
                  <w:marTop w:val="0"/>
                  <w:marBottom w:val="0"/>
                  <w:divBdr>
                    <w:top w:val="none" w:sz="0" w:space="0" w:color="auto"/>
                    <w:left w:val="none" w:sz="0" w:space="0" w:color="auto"/>
                    <w:bottom w:val="none" w:sz="0" w:space="0" w:color="auto"/>
                    <w:right w:val="none" w:sz="0" w:space="0" w:color="auto"/>
                  </w:divBdr>
                  <w:divsChild>
                    <w:div w:id="2035301204">
                      <w:marLeft w:val="0"/>
                      <w:marRight w:val="0"/>
                      <w:marTop w:val="0"/>
                      <w:marBottom w:val="0"/>
                      <w:divBdr>
                        <w:top w:val="none" w:sz="0" w:space="0" w:color="auto"/>
                        <w:left w:val="none" w:sz="0" w:space="0" w:color="auto"/>
                        <w:bottom w:val="none" w:sz="0" w:space="0" w:color="auto"/>
                        <w:right w:val="none" w:sz="0" w:space="0" w:color="auto"/>
                      </w:divBdr>
                      <w:divsChild>
                        <w:div w:id="1653483713">
                          <w:marLeft w:val="0"/>
                          <w:marRight w:val="0"/>
                          <w:marTop w:val="0"/>
                          <w:marBottom w:val="0"/>
                          <w:divBdr>
                            <w:top w:val="none" w:sz="0" w:space="0" w:color="auto"/>
                            <w:left w:val="none" w:sz="0" w:space="0" w:color="auto"/>
                            <w:bottom w:val="none" w:sz="0" w:space="0" w:color="auto"/>
                            <w:right w:val="none" w:sz="0" w:space="0" w:color="auto"/>
                          </w:divBdr>
                          <w:divsChild>
                            <w:div w:id="1768455579">
                              <w:marLeft w:val="0"/>
                              <w:marRight w:val="0"/>
                              <w:marTop w:val="0"/>
                              <w:marBottom w:val="0"/>
                              <w:divBdr>
                                <w:top w:val="none" w:sz="0" w:space="0" w:color="auto"/>
                                <w:left w:val="none" w:sz="0" w:space="0" w:color="auto"/>
                                <w:bottom w:val="none" w:sz="0" w:space="0" w:color="auto"/>
                                <w:right w:val="none" w:sz="0" w:space="0" w:color="auto"/>
                              </w:divBdr>
                              <w:divsChild>
                                <w:div w:id="1124426905">
                                  <w:marLeft w:val="0"/>
                                  <w:marRight w:val="0"/>
                                  <w:marTop w:val="0"/>
                                  <w:marBottom w:val="0"/>
                                  <w:divBdr>
                                    <w:top w:val="none" w:sz="0" w:space="0" w:color="auto"/>
                                    <w:left w:val="none" w:sz="0" w:space="0" w:color="auto"/>
                                    <w:bottom w:val="none" w:sz="0" w:space="0" w:color="auto"/>
                                    <w:right w:val="none" w:sz="0" w:space="0" w:color="auto"/>
                                  </w:divBdr>
                                  <w:divsChild>
                                    <w:div w:id="761610583">
                                      <w:marLeft w:val="0"/>
                                      <w:marRight w:val="0"/>
                                      <w:marTop w:val="0"/>
                                      <w:marBottom w:val="0"/>
                                      <w:divBdr>
                                        <w:top w:val="none" w:sz="0" w:space="0" w:color="auto"/>
                                        <w:left w:val="none" w:sz="0" w:space="0" w:color="auto"/>
                                        <w:bottom w:val="none" w:sz="0" w:space="0" w:color="auto"/>
                                        <w:right w:val="none" w:sz="0" w:space="0" w:color="auto"/>
                                      </w:divBdr>
                                      <w:divsChild>
                                        <w:div w:id="1757483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727151">
      <w:bodyDiv w:val="1"/>
      <w:marLeft w:val="0"/>
      <w:marRight w:val="0"/>
      <w:marTop w:val="0"/>
      <w:marBottom w:val="0"/>
      <w:divBdr>
        <w:top w:val="none" w:sz="0" w:space="0" w:color="auto"/>
        <w:left w:val="none" w:sz="0" w:space="0" w:color="auto"/>
        <w:bottom w:val="none" w:sz="0" w:space="0" w:color="auto"/>
        <w:right w:val="none" w:sz="0" w:space="0" w:color="auto"/>
      </w:divBdr>
    </w:div>
    <w:div w:id="1521816694">
      <w:bodyDiv w:val="1"/>
      <w:marLeft w:val="0"/>
      <w:marRight w:val="0"/>
      <w:marTop w:val="0"/>
      <w:marBottom w:val="0"/>
      <w:divBdr>
        <w:top w:val="none" w:sz="0" w:space="0" w:color="auto"/>
        <w:left w:val="none" w:sz="0" w:space="0" w:color="auto"/>
        <w:bottom w:val="none" w:sz="0" w:space="0" w:color="auto"/>
        <w:right w:val="none" w:sz="0" w:space="0" w:color="auto"/>
      </w:divBdr>
      <w:divsChild>
        <w:div w:id="296187518">
          <w:marLeft w:val="0"/>
          <w:marRight w:val="0"/>
          <w:marTop w:val="0"/>
          <w:marBottom w:val="0"/>
          <w:divBdr>
            <w:top w:val="none" w:sz="0" w:space="0" w:color="auto"/>
            <w:left w:val="none" w:sz="0" w:space="0" w:color="auto"/>
            <w:bottom w:val="none" w:sz="0" w:space="0" w:color="auto"/>
            <w:right w:val="none" w:sz="0" w:space="0" w:color="auto"/>
          </w:divBdr>
        </w:div>
      </w:divsChild>
    </w:div>
    <w:div w:id="1706979141">
      <w:bodyDiv w:val="1"/>
      <w:marLeft w:val="0"/>
      <w:marRight w:val="0"/>
      <w:marTop w:val="0"/>
      <w:marBottom w:val="0"/>
      <w:divBdr>
        <w:top w:val="none" w:sz="0" w:space="0" w:color="auto"/>
        <w:left w:val="none" w:sz="0" w:space="0" w:color="auto"/>
        <w:bottom w:val="none" w:sz="0" w:space="0" w:color="auto"/>
        <w:right w:val="none" w:sz="0" w:space="0" w:color="auto"/>
      </w:divBdr>
      <w:divsChild>
        <w:div w:id="956982973">
          <w:marLeft w:val="0"/>
          <w:marRight w:val="0"/>
          <w:marTop w:val="0"/>
          <w:marBottom w:val="0"/>
          <w:divBdr>
            <w:top w:val="none" w:sz="0" w:space="0" w:color="auto"/>
            <w:left w:val="none" w:sz="0" w:space="0" w:color="auto"/>
            <w:bottom w:val="none" w:sz="0" w:space="0" w:color="auto"/>
            <w:right w:val="none" w:sz="0" w:space="0" w:color="auto"/>
          </w:divBdr>
        </w:div>
        <w:div w:id="181867347">
          <w:marLeft w:val="0"/>
          <w:marRight w:val="0"/>
          <w:marTop w:val="0"/>
          <w:marBottom w:val="0"/>
          <w:divBdr>
            <w:top w:val="none" w:sz="0" w:space="0" w:color="auto"/>
            <w:left w:val="none" w:sz="0" w:space="0" w:color="auto"/>
            <w:bottom w:val="none" w:sz="0" w:space="0" w:color="auto"/>
            <w:right w:val="none" w:sz="0" w:space="0" w:color="auto"/>
          </w:divBdr>
        </w:div>
        <w:div w:id="283850351">
          <w:marLeft w:val="0"/>
          <w:marRight w:val="0"/>
          <w:marTop w:val="0"/>
          <w:marBottom w:val="0"/>
          <w:divBdr>
            <w:top w:val="none" w:sz="0" w:space="0" w:color="auto"/>
            <w:left w:val="none" w:sz="0" w:space="0" w:color="auto"/>
            <w:bottom w:val="none" w:sz="0" w:space="0" w:color="auto"/>
            <w:right w:val="none" w:sz="0" w:space="0" w:color="auto"/>
          </w:divBdr>
        </w:div>
        <w:div w:id="1087651688">
          <w:marLeft w:val="0"/>
          <w:marRight w:val="0"/>
          <w:marTop w:val="0"/>
          <w:marBottom w:val="0"/>
          <w:divBdr>
            <w:top w:val="none" w:sz="0" w:space="0" w:color="auto"/>
            <w:left w:val="none" w:sz="0" w:space="0" w:color="auto"/>
            <w:bottom w:val="none" w:sz="0" w:space="0" w:color="auto"/>
            <w:right w:val="none" w:sz="0" w:space="0" w:color="auto"/>
          </w:divBdr>
        </w:div>
        <w:div w:id="437531600">
          <w:marLeft w:val="0"/>
          <w:marRight w:val="0"/>
          <w:marTop w:val="0"/>
          <w:marBottom w:val="0"/>
          <w:divBdr>
            <w:top w:val="none" w:sz="0" w:space="0" w:color="auto"/>
            <w:left w:val="none" w:sz="0" w:space="0" w:color="auto"/>
            <w:bottom w:val="none" w:sz="0" w:space="0" w:color="auto"/>
            <w:right w:val="none" w:sz="0" w:space="0" w:color="auto"/>
          </w:divBdr>
        </w:div>
        <w:div w:id="161045644">
          <w:marLeft w:val="0"/>
          <w:marRight w:val="0"/>
          <w:marTop w:val="0"/>
          <w:marBottom w:val="0"/>
          <w:divBdr>
            <w:top w:val="none" w:sz="0" w:space="0" w:color="auto"/>
            <w:left w:val="none" w:sz="0" w:space="0" w:color="auto"/>
            <w:bottom w:val="none" w:sz="0" w:space="0" w:color="auto"/>
            <w:right w:val="none" w:sz="0" w:space="0" w:color="auto"/>
          </w:divBdr>
        </w:div>
        <w:div w:id="2033215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4750">
      <w:bodyDiv w:val="1"/>
      <w:marLeft w:val="0"/>
      <w:marRight w:val="0"/>
      <w:marTop w:val="0"/>
      <w:marBottom w:val="0"/>
      <w:divBdr>
        <w:top w:val="none" w:sz="0" w:space="0" w:color="auto"/>
        <w:left w:val="none" w:sz="0" w:space="0" w:color="auto"/>
        <w:bottom w:val="none" w:sz="0" w:space="0" w:color="auto"/>
        <w:right w:val="none" w:sz="0" w:space="0" w:color="auto"/>
      </w:divBdr>
    </w:div>
    <w:div w:id="2001613801">
      <w:bodyDiv w:val="1"/>
      <w:marLeft w:val="0"/>
      <w:marRight w:val="0"/>
      <w:marTop w:val="0"/>
      <w:marBottom w:val="0"/>
      <w:divBdr>
        <w:top w:val="none" w:sz="0" w:space="0" w:color="auto"/>
        <w:left w:val="none" w:sz="0" w:space="0" w:color="auto"/>
        <w:bottom w:val="none" w:sz="0" w:space="0" w:color="auto"/>
        <w:right w:val="none" w:sz="0" w:space="0" w:color="auto"/>
      </w:divBdr>
    </w:div>
    <w:div w:id="2055156826">
      <w:bodyDiv w:val="1"/>
      <w:marLeft w:val="0"/>
      <w:marRight w:val="0"/>
      <w:marTop w:val="0"/>
      <w:marBottom w:val="0"/>
      <w:divBdr>
        <w:top w:val="none" w:sz="0" w:space="0" w:color="auto"/>
        <w:left w:val="none" w:sz="0" w:space="0" w:color="auto"/>
        <w:bottom w:val="none" w:sz="0" w:space="0" w:color="auto"/>
        <w:right w:val="none" w:sz="0" w:space="0" w:color="auto"/>
      </w:divBdr>
      <w:divsChild>
        <w:div w:id="175661373">
          <w:marLeft w:val="0"/>
          <w:marRight w:val="0"/>
          <w:marTop w:val="0"/>
          <w:marBottom w:val="0"/>
          <w:divBdr>
            <w:top w:val="none" w:sz="0" w:space="0" w:color="auto"/>
            <w:left w:val="none" w:sz="0" w:space="0" w:color="auto"/>
            <w:bottom w:val="none" w:sz="0" w:space="0" w:color="auto"/>
            <w:right w:val="none" w:sz="0" w:space="0" w:color="auto"/>
          </w:divBdr>
        </w:div>
      </w:divsChild>
    </w:div>
    <w:div w:id="2061585697">
      <w:bodyDiv w:val="1"/>
      <w:marLeft w:val="0"/>
      <w:marRight w:val="0"/>
      <w:marTop w:val="0"/>
      <w:marBottom w:val="0"/>
      <w:divBdr>
        <w:top w:val="none" w:sz="0" w:space="0" w:color="auto"/>
        <w:left w:val="none" w:sz="0" w:space="0" w:color="auto"/>
        <w:bottom w:val="none" w:sz="0" w:space="0" w:color="auto"/>
        <w:right w:val="none" w:sz="0" w:space="0" w:color="auto"/>
      </w:divBdr>
      <w:divsChild>
        <w:div w:id="211770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ti.go.jp/press/2024/02/20250225001/20250225001.htm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15</Pages>
  <Words>2073</Words>
  <Characters>11821</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幸明 原田</dc:creator>
  <cp:keywords/>
  <dc:description/>
  <cp:lastModifiedBy>幸明 原田</cp:lastModifiedBy>
  <cp:revision>135</cp:revision>
  <dcterms:created xsi:type="dcterms:W3CDTF">2025-03-27T08:00:00Z</dcterms:created>
  <dcterms:modified xsi:type="dcterms:W3CDTF">2025-03-27T12:20:00Z</dcterms:modified>
</cp:coreProperties>
</file>