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A54E5" w14:textId="6F7A1163" w:rsidR="005879E3" w:rsidRPr="00DF5C23" w:rsidRDefault="003C2966" w:rsidP="002041D4">
      <w:pPr>
        <w:pStyle w:val="Pagedecouverture"/>
        <w:wordWrap w:val="0"/>
        <w:rPr>
          <w:noProof/>
        </w:rPr>
      </w:pPr>
      <w:r>
        <w:rPr>
          <w:noProof/>
        </w:rPr>
        <w:drawing>
          <wp:inline distT="0" distB="0" distL="0" distR="0" wp14:anchorId="3B38945F" wp14:editId="1B56E41E">
            <wp:extent cx="5784850" cy="5410200"/>
            <wp:effectExtent l="0" t="0" r="0" b="0"/>
            <wp:docPr id="1" name="図 1" descr="3FC02D69-6A93-407E-9ED2-9617677A2F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FC02D69-6A93-407E-9ED2-9617677A2F3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84850" cy="5410200"/>
                    </a:xfrm>
                    <a:prstGeom prst="rect">
                      <a:avLst/>
                    </a:prstGeom>
                    <a:noFill/>
                    <a:ln>
                      <a:noFill/>
                    </a:ln>
                  </pic:spPr>
                </pic:pic>
              </a:graphicData>
            </a:graphic>
          </wp:inline>
        </w:drawing>
      </w:r>
    </w:p>
    <w:p w14:paraId="2C3A54E6" w14:textId="77777777" w:rsidR="005879E3" w:rsidRPr="00DF5C23" w:rsidRDefault="005879E3" w:rsidP="002041D4">
      <w:pPr>
        <w:wordWrap w:val="0"/>
        <w:rPr>
          <w:noProof/>
        </w:rPr>
        <w:sectPr w:rsidR="005879E3" w:rsidRPr="00DF5C23" w:rsidSect="008B42B0">
          <w:footerReference w:type="default" r:id="rId12"/>
          <w:pgSz w:w="11907" w:h="16839"/>
          <w:pgMar w:top="1134" w:right="1417" w:bottom="1134" w:left="1417" w:header="709" w:footer="709" w:gutter="0"/>
          <w:pgNumType w:start="0"/>
          <w:cols w:space="720"/>
          <w:docGrid w:linePitch="360"/>
        </w:sectPr>
      </w:pPr>
    </w:p>
    <w:p w14:paraId="6EAA7D13" w14:textId="752ED3E7" w:rsidR="002041D4" w:rsidRPr="002041D4" w:rsidRDefault="00877B9C" w:rsidP="002041D4">
      <w:pPr>
        <w:pStyle w:val="Exposdesmotifstitre"/>
        <w:wordWrap w:val="0"/>
        <w:rPr>
          <w:rFonts w:hint="eastAsia"/>
          <w:noProof/>
          <w:lang w:eastAsia="ja-JP"/>
        </w:rPr>
      </w:pPr>
      <w:r w:rsidRPr="00877B9C">
        <w:rPr>
          <w:rFonts w:hint="eastAsia"/>
          <w:noProof/>
          <w:lang w:eastAsia="ja-JP"/>
        </w:rPr>
        <w:lastRenderedPageBreak/>
        <w:t>説明書</w:t>
      </w:r>
    </w:p>
    <w:p w14:paraId="7606FB5B" w14:textId="77777777" w:rsidR="0038775E" w:rsidRDefault="00877B9C" w:rsidP="002041D4">
      <w:pPr>
        <w:pStyle w:val="ManualHeading1"/>
        <w:wordWrap w:val="0"/>
        <w:rPr>
          <w:noProof/>
          <w:lang w:eastAsia="ja-JP"/>
        </w:rPr>
      </w:pPr>
      <w:r w:rsidRPr="00DF5C23">
        <w:rPr>
          <w:noProof/>
          <w:lang w:eastAsia="ja-JP"/>
        </w:rPr>
        <w:t>1</w:t>
      </w:r>
      <w:r w:rsidRPr="00DF5C23">
        <w:rPr>
          <w:noProof/>
          <w:lang w:eastAsia="ja-JP"/>
        </w:rPr>
        <w:t>.</w:t>
      </w:r>
      <w:r w:rsidRPr="00DF5C23">
        <w:rPr>
          <w:noProof/>
          <w:lang w:eastAsia="ja-JP"/>
        </w:rPr>
        <w:tab/>
      </w:r>
      <w:r w:rsidRPr="00DF5C23">
        <w:rPr>
          <w:noProof/>
          <w:lang w:eastAsia="ja-JP"/>
        </w:rPr>
        <w:t>提案の背景</w:t>
      </w:r>
    </w:p>
    <w:p w14:paraId="04E5C12E" w14:textId="77777777" w:rsidR="0038775E" w:rsidRDefault="00877B9C" w:rsidP="002041D4">
      <w:pPr>
        <w:pStyle w:val="ManualHeading2"/>
        <w:wordWrap w:val="0"/>
        <w:rPr>
          <w:rFonts w:eastAsia="Arial Unicode MS"/>
          <w:noProof/>
          <w:lang w:eastAsia="ja-JP"/>
        </w:rPr>
      </w:pPr>
      <w:r w:rsidRPr="00DF5C23">
        <w:rPr>
          <w:rFonts w:eastAsia="Arial Unicode MS"/>
          <w:noProof/>
          <w:color w:val="000000"/>
          <w:bdr w:val="nil"/>
          <w:lang w:val="en-US" w:eastAsia="ja-JP"/>
        </w:rPr>
        <w:t>-</w:t>
      </w:r>
      <w:r w:rsidRPr="00DF5C23">
        <w:rPr>
          <w:rFonts w:eastAsia="Arial Unicode MS"/>
          <w:noProof/>
          <w:color w:val="000000"/>
          <w:u w:color="000000"/>
          <w:bdr w:val="nil"/>
          <w:lang w:val="en-US" w:eastAsia="ja-JP"/>
        </w:rPr>
        <w:tab/>
      </w:r>
      <w:r w:rsidRPr="00DF5C23">
        <w:rPr>
          <w:rFonts w:eastAsia="Arial Unicode MS"/>
          <w:noProof/>
          <w:lang w:eastAsia="ja-JP"/>
        </w:rPr>
        <w:t>提案の理由と目的</w:t>
      </w:r>
    </w:p>
    <w:p w14:paraId="7D30C392" w14:textId="77777777" w:rsidR="0038775E" w:rsidRDefault="00877B9C" w:rsidP="002041D4">
      <w:pPr>
        <w:pBdr>
          <w:top w:val="nil"/>
          <w:left w:val="nil"/>
          <w:bottom w:val="nil"/>
          <w:right w:val="nil"/>
          <w:between w:val="nil"/>
          <w:bar w:val="nil"/>
        </w:pBdr>
        <w:wordWrap w:val="0"/>
        <w:spacing w:before="0" w:after="240"/>
        <w:rPr>
          <w:rFonts w:eastAsia="Arial Unicode MS"/>
          <w:noProof/>
          <w:lang w:eastAsia="ja-JP"/>
        </w:rPr>
      </w:pPr>
      <w:r w:rsidRPr="00DF5C23">
        <w:rPr>
          <w:rFonts w:eastAsia="Arial Unicode MS"/>
          <w:noProof/>
          <w:lang w:eastAsia="ja-JP"/>
        </w:rPr>
        <w:t>この規則の主な</w:t>
      </w:r>
      <w:r w:rsidR="00C20BCB" w:rsidRPr="00DF5C23">
        <w:rPr>
          <w:rFonts w:eastAsia="Arial Unicode MS"/>
          <w:noProof/>
          <w:lang w:eastAsia="ja-JP"/>
        </w:rPr>
        <w:t>目的は、</w:t>
      </w:r>
      <w:r w:rsidRPr="00DF5C23">
        <w:rPr>
          <w:rFonts w:eastAsia="Arial Unicode MS"/>
          <w:noProof/>
          <w:lang w:eastAsia="ja-JP"/>
        </w:rPr>
        <w:t>製品のライフサイクルにおける環境負荷を低減し、域内市場の機能を向上させること</w:t>
      </w:r>
      <w:r w:rsidR="00C20BCB" w:rsidRPr="00DF5C23">
        <w:rPr>
          <w:rFonts w:eastAsia="Arial Unicode MS"/>
          <w:noProof/>
          <w:lang w:eastAsia="ja-JP"/>
        </w:rPr>
        <w:t>である。これらの目的は、</w:t>
      </w:r>
      <w:r w:rsidRPr="00DF5C23">
        <w:rPr>
          <w:rFonts w:eastAsia="Arial Unicode MS"/>
          <w:noProof/>
          <w:lang w:eastAsia="ja-JP"/>
        </w:rPr>
        <w:t>影響評価で分析された問題とその原因を解決することを目指すものである。</w:t>
      </w:r>
      <w:r w:rsidR="00C20BCB" w:rsidRPr="00DF5C23">
        <w:rPr>
          <w:rFonts w:eastAsia="Arial Unicode MS"/>
          <w:noProof/>
          <w:lang w:eastAsia="ja-JP"/>
        </w:rPr>
        <w:t>これらの目的は、</w:t>
      </w:r>
      <w:r w:rsidRPr="00DF5C23">
        <w:rPr>
          <w:rFonts w:eastAsia="Arial Unicode MS"/>
          <w:noProof/>
          <w:lang w:eastAsia="ja-JP"/>
        </w:rPr>
        <w:t>不必要な環境</w:t>
      </w:r>
      <w:r w:rsidR="00A17F6F" w:rsidRPr="00DF5C23">
        <w:rPr>
          <w:rFonts w:eastAsia="Arial Unicode MS"/>
          <w:noProof/>
          <w:lang w:eastAsia="ja-JP"/>
        </w:rPr>
        <w:t>負荷を</w:t>
      </w:r>
      <w:r w:rsidR="008B5B0C" w:rsidRPr="00DF5C23">
        <w:rPr>
          <w:rFonts w:eastAsia="Arial Unicode MS"/>
          <w:noProof/>
          <w:lang w:eastAsia="ja-JP"/>
        </w:rPr>
        <w:t>発生さ</w:t>
      </w:r>
      <w:r w:rsidRPr="00DF5C23">
        <w:rPr>
          <w:rFonts w:eastAsia="Arial Unicode MS"/>
          <w:noProof/>
          <w:lang w:eastAsia="ja-JP"/>
        </w:rPr>
        <w:t>せる製品が</w:t>
      </w:r>
      <w:r w:rsidR="008B5B0C" w:rsidRPr="00DF5C23">
        <w:rPr>
          <w:rFonts w:eastAsia="Arial Unicode MS"/>
          <w:noProof/>
          <w:lang w:eastAsia="ja-JP"/>
        </w:rPr>
        <w:t>域内市場で入手可能であるという事実を反映している。</w:t>
      </w:r>
      <w:r w:rsidRPr="00DF5C23">
        <w:rPr>
          <w:rFonts w:eastAsia="Arial Unicode MS"/>
          <w:noProof/>
          <w:lang w:eastAsia="ja-JP"/>
        </w:rPr>
        <w:t>また、</w:t>
      </w:r>
      <w:r w:rsidR="00A17F6F" w:rsidRPr="00DF5C23">
        <w:rPr>
          <w:rFonts w:eastAsia="Arial Unicode MS"/>
          <w:noProof/>
          <w:lang w:eastAsia="ja-JP"/>
        </w:rPr>
        <w:t>本規則は、持続可能な商品の</w:t>
      </w:r>
      <w:r w:rsidR="0001160A" w:rsidRPr="00DF5C23">
        <w:rPr>
          <w:rFonts w:eastAsia="Arial Unicode MS"/>
          <w:noProof/>
          <w:lang w:eastAsia="ja-JP"/>
        </w:rPr>
        <w:t>供給と</w:t>
      </w:r>
      <w:r w:rsidR="00A17F6F" w:rsidRPr="00DF5C23">
        <w:rPr>
          <w:rFonts w:eastAsia="Arial Unicode MS"/>
          <w:noProof/>
          <w:lang w:eastAsia="ja-JP"/>
        </w:rPr>
        <w:t>需要を高め、持続可能な生産を実現し、</w:t>
      </w:r>
      <w:r w:rsidR="002A76DC" w:rsidRPr="00DF5C23">
        <w:rPr>
          <w:rFonts w:eastAsia="Arial Unicode MS"/>
          <w:noProof/>
          <w:lang w:eastAsia="ja-JP"/>
        </w:rPr>
        <w:t>域内</w:t>
      </w:r>
      <w:r w:rsidR="008443F5" w:rsidRPr="00DF5C23">
        <w:rPr>
          <w:rFonts w:eastAsia="Arial Unicode MS"/>
          <w:noProof/>
          <w:lang w:eastAsia="ja-JP"/>
        </w:rPr>
        <w:t>市場で販売される製品の</w:t>
      </w:r>
      <w:r w:rsidR="00A17F6F" w:rsidRPr="00DF5C23">
        <w:rPr>
          <w:rFonts w:eastAsia="Arial Unicode MS"/>
          <w:noProof/>
          <w:lang w:eastAsia="ja-JP"/>
        </w:rPr>
        <w:t>公平な競争条件を確保するという</w:t>
      </w:r>
      <w:r w:rsidR="00A17F6F" w:rsidRPr="00DF5C23">
        <w:rPr>
          <w:rFonts w:eastAsia="Arial Unicode MS"/>
          <w:noProof/>
          <w:lang w:eastAsia="ja-JP"/>
        </w:rPr>
        <w:t>EU</w:t>
      </w:r>
      <w:r w:rsidRPr="00DF5C23">
        <w:rPr>
          <w:rFonts w:eastAsia="Arial Unicode MS"/>
          <w:noProof/>
          <w:lang w:eastAsia="ja-JP"/>
        </w:rPr>
        <w:t>産業政策の目標にも</w:t>
      </w:r>
      <w:r w:rsidR="00A17F6F" w:rsidRPr="00DF5C23">
        <w:rPr>
          <w:rFonts w:eastAsia="Arial Unicode MS"/>
          <w:noProof/>
          <w:lang w:eastAsia="ja-JP"/>
        </w:rPr>
        <w:t>寄与する</w:t>
      </w:r>
      <w:r w:rsidRPr="00DF5C23">
        <w:rPr>
          <w:rFonts w:eastAsia="Arial Unicode MS"/>
          <w:noProof/>
          <w:lang w:eastAsia="ja-JP"/>
        </w:rPr>
        <w:t>。産業界は、全面的に適用される調和のとれた要求事項、</w:t>
      </w:r>
      <w:r w:rsidR="00A17F6F" w:rsidRPr="00DF5C23">
        <w:rPr>
          <w:rFonts w:eastAsia="Arial Unicode MS"/>
          <w:noProof/>
          <w:lang w:eastAsia="ja-JP"/>
        </w:rPr>
        <w:t>それを遵守するための効率的な手段、</w:t>
      </w:r>
      <w:r w:rsidRPr="00DF5C23">
        <w:rPr>
          <w:rFonts w:eastAsia="Arial Unicode MS"/>
          <w:noProof/>
          <w:lang w:eastAsia="ja-JP"/>
        </w:rPr>
        <w:t>適切な執行、</w:t>
      </w:r>
      <w:r w:rsidR="00461A97" w:rsidRPr="00DF5C23">
        <w:rPr>
          <w:rFonts w:eastAsia="Arial Unicode MS"/>
          <w:noProof/>
          <w:lang w:eastAsia="ja-JP"/>
        </w:rPr>
        <w:t>リスク分析に基づく</w:t>
      </w:r>
      <w:r w:rsidRPr="00DF5C23">
        <w:rPr>
          <w:rFonts w:eastAsia="Arial Unicode MS"/>
          <w:noProof/>
          <w:lang w:eastAsia="ja-JP"/>
        </w:rPr>
        <w:t>市場監視と税関管理の</w:t>
      </w:r>
      <w:r w:rsidR="00A17F6F" w:rsidRPr="00DF5C23">
        <w:rPr>
          <w:rFonts w:eastAsia="Arial Unicode MS"/>
          <w:noProof/>
          <w:lang w:eastAsia="ja-JP"/>
        </w:rPr>
        <w:t>強化を</w:t>
      </w:r>
      <w:r w:rsidRPr="00DF5C23">
        <w:rPr>
          <w:rFonts w:eastAsia="Arial Unicode MS"/>
          <w:noProof/>
          <w:lang w:eastAsia="ja-JP"/>
        </w:rPr>
        <w:t>必要としている</w:t>
      </w:r>
      <w:r w:rsidRPr="00DF5C23">
        <w:rPr>
          <w:rFonts w:eastAsia="Arial Unicode MS"/>
          <w:noProof/>
          <w:lang w:eastAsia="ja-JP"/>
        </w:rPr>
        <w:t xml:space="preserve"> </w:t>
      </w:r>
      <w:r w:rsidRPr="00DF5C23">
        <w:rPr>
          <w:rFonts w:eastAsia="Arial Unicode MS"/>
          <w:noProof/>
          <w:lang w:eastAsia="ja-JP"/>
        </w:rPr>
        <w:t>。</w:t>
      </w:r>
      <w:r w:rsidRPr="00DF5C23">
        <w:rPr>
          <w:rFonts w:eastAsia="Arial Unicode MS"/>
          <w:noProof/>
          <w:lang w:eastAsia="ja-JP"/>
        </w:rPr>
        <w:t xml:space="preserve"> </w:t>
      </w:r>
      <w:r w:rsidR="00461A97" w:rsidRPr="00DF5C23">
        <w:rPr>
          <w:rStyle w:val="afa"/>
          <w:rFonts w:eastAsia="Arial Unicode MS"/>
          <w:noProof/>
        </w:rPr>
        <w:footnoteReference w:id="2"/>
      </w:r>
    </w:p>
    <w:p w14:paraId="65802C35" w14:textId="77777777" w:rsidR="0038775E" w:rsidRDefault="00877B9C" w:rsidP="002041D4">
      <w:pPr>
        <w:wordWrap w:val="0"/>
        <w:rPr>
          <w:noProof/>
          <w:sz w:val="22"/>
          <w:lang w:val="en-IE" w:eastAsia="ja-JP"/>
        </w:rPr>
      </w:pPr>
      <w:r w:rsidRPr="23DF1179">
        <w:rPr>
          <w:noProof/>
          <w:lang w:val="en-IE" w:eastAsia="ja-JP"/>
        </w:rPr>
        <w:t>製品は</w:t>
      </w:r>
      <w:r w:rsidRPr="23DF1179">
        <w:rPr>
          <w:noProof/>
          <w:lang w:val="en-IE" w:eastAsia="ja-JP"/>
        </w:rPr>
        <w:t>EU</w:t>
      </w:r>
      <w:r w:rsidRPr="23DF1179">
        <w:rPr>
          <w:noProof/>
          <w:lang w:val="en-IE" w:eastAsia="ja-JP"/>
        </w:rPr>
        <w:t>市民の生活において重要な役割を担っており、私たちに提供される製品の数、範囲、種類は絶えず増加している。</w:t>
      </w:r>
      <w:r w:rsidRPr="23DF1179">
        <w:rPr>
          <w:noProof/>
          <w:lang w:val="en-IE" w:eastAsia="ja-JP"/>
        </w:rPr>
        <w:t>COVID-19</w:t>
      </w:r>
      <w:r w:rsidRPr="23DF1179">
        <w:rPr>
          <w:noProof/>
          <w:lang w:val="en-IE" w:eastAsia="ja-JP"/>
        </w:rPr>
        <w:t>危機の際に私たちの接続を維持した</w:t>
      </w:r>
      <w:r w:rsidRPr="23DF1179">
        <w:rPr>
          <w:noProof/>
          <w:lang w:val="en-IE" w:eastAsia="ja-JP"/>
        </w:rPr>
        <w:t>ICT</w:t>
      </w:r>
      <w:r w:rsidRPr="23DF1179">
        <w:rPr>
          <w:noProof/>
          <w:lang w:val="en-IE" w:eastAsia="ja-JP"/>
        </w:rPr>
        <w:t>製品から、日々の家庭生活を支える家具や家電製品まで、過去数十年にわたる技術の飛躍に伴い、私たちの製品への依存度も高まっている。製品の自由な流通は、</w:t>
      </w:r>
      <w:r w:rsidRPr="23DF1179">
        <w:rPr>
          <w:noProof/>
          <w:lang w:val="en-IE" w:eastAsia="ja-JP"/>
        </w:rPr>
        <w:t>EU</w:t>
      </w:r>
      <w:r w:rsidRPr="23DF1179">
        <w:rPr>
          <w:noProof/>
          <w:lang w:val="en-IE" w:eastAsia="ja-JP"/>
        </w:rPr>
        <w:t>企業の競争力と消費者の選択の基盤であり続ける域内市場の機能を確保するために不可欠である。</w:t>
      </w:r>
      <w:r w:rsidRPr="23DF1179">
        <w:rPr>
          <w:noProof/>
          <w:lang w:val="en-IE" w:eastAsia="ja-JP"/>
        </w:rPr>
        <w:t xml:space="preserve">     </w:t>
      </w:r>
    </w:p>
    <w:p w14:paraId="012CE585" w14:textId="77777777" w:rsidR="0038775E" w:rsidRDefault="00F23021" w:rsidP="002041D4">
      <w:pPr>
        <w:wordWrap w:val="0"/>
        <w:rPr>
          <w:noProof/>
          <w:lang w:val="en-IE" w:eastAsia="fr-BE"/>
        </w:rPr>
      </w:pPr>
      <w:r w:rsidRPr="00DF5C23">
        <w:rPr>
          <w:noProof/>
          <w:lang w:eastAsia="ja-JP"/>
        </w:rPr>
        <w:t>エコデザインの考え方を</w:t>
      </w:r>
      <w:r w:rsidR="00877B9C" w:rsidRPr="00DF5C23">
        <w:rPr>
          <w:noProof/>
          <w:lang w:eastAsia="ja-JP"/>
        </w:rPr>
        <w:t>非常に広範な製品に</w:t>
      </w:r>
      <w:r w:rsidRPr="00DF5C23">
        <w:rPr>
          <w:noProof/>
          <w:lang w:eastAsia="ja-JP"/>
        </w:rPr>
        <w:t>適用</w:t>
      </w:r>
      <w:r w:rsidR="00877B9C" w:rsidRPr="00DF5C23">
        <w:rPr>
          <w:noProof/>
          <w:lang w:eastAsia="ja-JP"/>
        </w:rPr>
        <w:t>し、対象となる製品要件を幅広く設定できるようにする</w:t>
      </w:r>
      <w:r w:rsidR="00877B9C" w:rsidRPr="00DF5C23">
        <w:rPr>
          <w:noProof/>
          <w:lang w:eastAsia="ja-JP"/>
        </w:rPr>
        <w:t xml:space="preserve"> </w:t>
      </w:r>
      <w:r w:rsidR="00877B9C" w:rsidRPr="00DF5C23">
        <w:rPr>
          <w:noProof/>
          <w:lang w:eastAsia="ja-JP"/>
        </w:rPr>
        <w:t>ことで、</w:t>
      </w:r>
      <w:r w:rsidR="00877B9C" w:rsidRPr="00DF5C23">
        <w:rPr>
          <w:noProof/>
          <w:lang w:val="en-IE" w:eastAsia="ja-JP"/>
        </w:rPr>
        <w:t>この規制は、製品が環境に与える最も有害な影響に対処することを目指す。</w:t>
      </w:r>
      <w:r w:rsidR="00A270B2" w:rsidRPr="00DF5C23">
        <w:rPr>
          <w:noProof/>
          <w:lang w:eastAsia="ja-JP"/>
        </w:rPr>
        <w:t>そのため</w:t>
      </w:r>
      <w:r w:rsidR="00877B9C" w:rsidRPr="00DF5C23">
        <w:rPr>
          <w:noProof/>
          <w:lang w:val="en-IE" w:eastAsia="ja-JP"/>
        </w:rPr>
        <w:t>、</w:t>
      </w:r>
      <w:r w:rsidR="00A270B2" w:rsidRPr="00DF5C23">
        <w:rPr>
          <w:noProof/>
          <w:lang w:val="en-IE" w:eastAsia="fr-BE"/>
        </w:rPr>
        <w:t>製品の耐久性、再利用性、アップグレード性、修理可能性、製品中の懸念物質の存在、製品のエネルギーおよび資源効率、製品のリサイクル含有量、製品の再製造および高品質のリサイクル、製品の炭素および環境</w:t>
      </w:r>
      <w:r w:rsidR="00A270B2" w:rsidRPr="00DF5C23">
        <w:rPr>
          <w:noProof/>
          <w:lang w:val="en-IE" w:eastAsia="ja-JP"/>
        </w:rPr>
        <w:t>フットプリント</w:t>
      </w:r>
      <w:r w:rsidR="00A270B2" w:rsidRPr="00DF5C23">
        <w:rPr>
          <w:noProof/>
          <w:lang w:val="en-IE" w:eastAsia="fr-BE"/>
        </w:rPr>
        <w:t>削減など、</w:t>
      </w:r>
      <w:r w:rsidR="00A270B2" w:rsidRPr="23DF1179">
        <w:rPr>
          <w:noProof/>
          <w:lang w:eastAsia="ja-JP"/>
        </w:rPr>
        <w:t>循環経済行動計画</w:t>
      </w:r>
      <w:r w:rsidR="00A270B2" w:rsidRPr="23DF1179">
        <w:rPr>
          <w:rStyle w:val="afa"/>
          <w:noProof/>
        </w:rPr>
        <w:footnoteReference w:id="3"/>
      </w:r>
      <w:r w:rsidR="00A270B2" w:rsidRPr="00DF5C23">
        <w:rPr>
          <w:noProof/>
          <w:lang w:eastAsia="ja-JP"/>
        </w:rPr>
        <w:t xml:space="preserve"> </w:t>
      </w:r>
      <w:r w:rsidR="00A270B2" w:rsidRPr="00DF5C23">
        <w:rPr>
          <w:noProof/>
          <w:lang w:eastAsia="ja-JP"/>
        </w:rPr>
        <w:t>に記載されている持続可能性および循環性の側面に基づくエコデザイン要件を設定する枠組みが規定されている</w:t>
      </w:r>
      <w:r w:rsidR="00A270B2" w:rsidRPr="00DF5C23">
        <w:rPr>
          <w:noProof/>
          <w:lang w:val="en-IE" w:eastAsia="fr-BE"/>
        </w:rPr>
        <w:t>。</w:t>
      </w:r>
    </w:p>
    <w:p w14:paraId="378D8654" w14:textId="0ED37451" w:rsidR="0038775E" w:rsidRDefault="00877B9C" w:rsidP="002041D4">
      <w:pPr>
        <w:wordWrap w:val="0"/>
        <w:rPr>
          <w:noProof/>
          <w:sz w:val="22"/>
          <w:lang w:val="en-IE" w:eastAsia="ja-JP"/>
        </w:rPr>
      </w:pPr>
      <w:r w:rsidRPr="00DF5C23">
        <w:rPr>
          <w:noProof/>
          <w:lang w:val="en-IE" w:eastAsia="fr-BE"/>
        </w:rPr>
        <w:t>これにより、</w:t>
      </w:r>
      <w:r w:rsidR="004D3B6A">
        <w:rPr>
          <w:noProof/>
          <w:lang w:val="en-IE" w:eastAsia="ja-JP"/>
        </w:rPr>
        <w:t>経済成長、雇用創出、社会的包摂を支援しながら、</w:t>
      </w:r>
      <w:r w:rsidRPr="00DF5C23">
        <w:rPr>
          <w:noProof/>
          <w:lang w:val="en-IE" w:eastAsia="ja-JP"/>
        </w:rPr>
        <w:t>EU</w:t>
      </w:r>
      <w:r w:rsidRPr="00DF5C23">
        <w:rPr>
          <w:noProof/>
          <w:lang w:val="en-IE" w:eastAsia="ja-JP"/>
        </w:rPr>
        <w:t>全体の気候、環境、エネルギー目標の達成に貢献することがで</w:t>
      </w:r>
      <w:r w:rsidR="002041D4">
        <w:rPr>
          <w:noProof/>
          <w:lang w:val="en-IE" w:eastAsia="ja-JP"/>
        </w:rPr>
        <w:t>く</w:t>
      </w:r>
      <w:r w:rsidR="002A353B" w:rsidRPr="00DF5C23">
        <w:rPr>
          <w:noProof/>
          <w:lang w:val="en-IE" w:eastAsia="ja-JP"/>
        </w:rPr>
        <w:t>。</w:t>
      </w:r>
      <w:r w:rsidRPr="00DF5C23">
        <w:rPr>
          <w:noProof/>
          <w:lang w:val="en-IE" w:eastAsia="ja-JP"/>
        </w:rPr>
        <w:t>素材を長持ちさせ、その価値を可能な限り長く保持し、</w:t>
      </w:r>
      <w:r w:rsidRPr="00DF5C23">
        <w:rPr>
          <w:noProof/>
          <w:lang w:eastAsia="ja-JP"/>
        </w:rPr>
        <w:t>製品における</w:t>
      </w:r>
      <w:r w:rsidRPr="00DF5C23">
        <w:rPr>
          <w:noProof/>
          <w:lang w:val="en-IE" w:eastAsia="ja-JP"/>
        </w:rPr>
        <w:t>リサイクル素材の利用を促進する</w:t>
      </w:r>
      <w:r w:rsidR="002A353B" w:rsidRPr="00DF5C23">
        <w:rPr>
          <w:noProof/>
          <w:lang w:val="en-IE" w:eastAsia="ja-JP"/>
        </w:rPr>
        <w:t>ことで、</w:t>
      </w:r>
      <w:r w:rsidRPr="00DF5C23">
        <w:rPr>
          <w:noProof/>
          <w:lang w:eastAsia="ja-JP"/>
        </w:rPr>
        <w:t>経済発展と天然資源利用の切り離しや素材依存の</w:t>
      </w:r>
      <w:r w:rsidR="007969C4" w:rsidRPr="00DF5C23">
        <w:rPr>
          <w:noProof/>
          <w:lang w:eastAsia="ja-JP"/>
        </w:rPr>
        <w:t>低減を</w:t>
      </w:r>
      <w:r w:rsidRPr="00DF5C23">
        <w:rPr>
          <w:noProof/>
          <w:lang w:eastAsia="ja-JP"/>
        </w:rPr>
        <w:t>促進し、</w:t>
      </w:r>
      <w:r w:rsidRPr="00DF5C23">
        <w:rPr>
          <w:noProof/>
          <w:lang w:eastAsia="ja-JP"/>
        </w:rPr>
        <w:t>EU</w:t>
      </w:r>
      <w:r w:rsidRPr="00DF5C23">
        <w:rPr>
          <w:noProof/>
          <w:lang w:eastAsia="ja-JP"/>
        </w:rPr>
        <w:t>の開放戦略的自律性と弾力性を促進する。最近の</w:t>
      </w:r>
      <w:r w:rsidR="007969C4" w:rsidRPr="00DF5C23">
        <w:rPr>
          <w:noProof/>
          <w:lang w:eastAsia="ja-JP"/>
        </w:rPr>
        <w:t>いくつかの</w:t>
      </w:r>
      <w:r w:rsidRPr="00DF5C23">
        <w:rPr>
          <w:noProof/>
          <w:lang w:eastAsia="ja-JP"/>
        </w:rPr>
        <w:t>出来事は、グローバルなサプライチェーンの脆弱性の可能性を私たちに</w:t>
      </w:r>
      <w:r w:rsidRPr="00DF5C23">
        <w:rPr>
          <w:noProof/>
          <w:lang w:eastAsia="ja-JP"/>
        </w:rPr>
        <w:t>思い起こさせた。</w:t>
      </w:r>
      <w:r w:rsidRPr="00DF5C23">
        <w:rPr>
          <w:noProof/>
          <w:lang w:eastAsia="ja-JP"/>
        </w:rPr>
        <w:t xml:space="preserve"> </w:t>
      </w:r>
    </w:p>
    <w:p w14:paraId="4B671CE5" w14:textId="1D2F82F4" w:rsidR="0038775E" w:rsidRDefault="00877B9C" w:rsidP="002041D4">
      <w:pPr>
        <w:wordWrap w:val="0"/>
        <w:rPr>
          <w:rFonts w:eastAsia="Arial Unicode MS"/>
          <w:noProof/>
          <w:lang w:eastAsia="ja-JP"/>
        </w:rPr>
      </w:pPr>
      <w:r w:rsidRPr="00DF5C23">
        <w:rPr>
          <w:noProof/>
          <w:lang w:val="en-IE" w:eastAsia="ja-JP"/>
        </w:rPr>
        <w:t>この規制は、持続可能な製品と</w:t>
      </w:r>
      <w:r w:rsidR="007969C4" w:rsidRPr="00DF5C23">
        <w:rPr>
          <w:noProof/>
          <w:lang w:val="en-IE" w:eastAsia="ja-JP"/>
        </w:rPr>
        <w:t>持続可能な製品選択の促進に関する</w:t>
      </w:r>
      <w:r w:rsidRPr="00DF5C23">
        <w:rPr>
          <w:noProof/>
          <w:lang w:val="en-IE" w:eastAsia="ja-JP"/>
        </w:rPr>
        <w:t>欧州委員会のイニシアティブパッケージの一部である。</w:t>
      </w:r>
      <w:r w:rsidR="007969C4" w:rsidRPr="00DF5C23">
        <w:rPr>
          <w:noProof/>
          <w:lang w:val="en-IE" w:eastAsia="ja-JP"/>
        </w:rPr>
        <w:t>この</w:t>
      </w:r>
      <w:r w:rsidRPr="00DF5C23">
        <w:rPr>
          <w:noProof/>
          <w:lang w:val="en-IE" w:eastAsia="ja-JP"/>
        </w:rPr>
        <w:t>パッケージには、環境や気候に最も大きな影響を与える製品を扱う繊維製品（</w:t>
      </w:r>
      <w:r w:rsidR="00461A97" w:rsidRPr="00DF5C23">
        <w:rPr>
          <w:rStyle w:val="afa"/>
          <w:noProof/>
          <w:lang w:val="en-IE"/>
        </w:rPr>
        <w:footnoteReference w:id="4"/>
      </w:r>
      <w:r w:rsidRPr="00DF5C23">
        <w:rPr>
          <w:noProof/>
          <w:lang w:val="en-IE" w:eastAsia="ja-JP"/>
        </w:rPr>
        <w:t xml:space="preserve"> </w:t>
      </w:r>
      <w:r w:rsidRPr="00DF5C23">
        <w:rPr>
          <w:noProof/>
          <w:lang w:val="en-IE" w:eastAsia="ja-JP"/>
        </w:rPr>
        <w:t>）および建設製品（</w:t>
      </w:r>
      <w:r w:rsidR="00461A97" w:rsidRPr="00DF5C23">
        <w:rPr>
          <w:rStyle w:val="afa"/>
          <w:noProof/>
          <w:lang w:val="en-IE"/>
        </w:rPr>
        <w:footnoteReference w:id="5"/>
      </w:r>
      <w:r w:rsidRPr="00DF5C23">
        <w:rPr>
          <w:noProof/>
          <w:lang w:val="en-IE" w:eastAsia="ja-JP"/>
        </w:rPr>
        <w:t xml:space="preserve"> </w:t>
      </w:r>
      <w:r w:rsidRPr="00DF5C23">
        <w:rPr>
          <w:noProof/>
          <w:lang w:val="en-IE" w:eastAsia="ja-JP"/>
        </w:rPr>
        <w:t>）に関する分野別の取り組みや、</w:t>
      </w:r>
      <w:r w:rsidRPr="00DF5C23">
        <w:rPr>
          <w:noProof/>
          <w:lang w:eastAsia="ja-JP"/>
        </w:rPr>
        <w:t>不公正</w:t>
      </w:r>
      <w:r w:rsidR="00461A97" w:rsidRPr="00DF5C23">
        <w:rPr>
          <w:noProof/>
          <w:lang w:eastAsia="ja-JP"/>
        </w:rPr>
        <w:t>行為に対する</w:t>
      </w:r>
      <w:r w:rsidRPr="00DF5C23">
        <w:rPr>
          <w:noProof/>
          <w:lang w:eastAsia="ja-JP"/>
        </w:rPr>
        <w:t>保護</w:t>
      </w:r>
      <w:r w:rsidR="00461A97" w:rsidRPr="00DF5C23">
        <w:rPr>
          <w:noProof/>
          <w:lang w:eastAsia="ja-JP"/>
        </w:rPr>
        <w:t>強化や情報改善</w:t>
      </w:r>
      <w:r w:rsidRPr="00DF5C23">
        <w:rPr>
          <w:noProof/>
          <w:lang w:eastAsia="ja-JP"/>
        </w:rPr>
        <w:t>を通じて、</w:t>
      </w:r>
      <w:r w:rsidRPr="00DF5C23">
        <w:rPr>
          <w:noProof/>
          <w:lang w:val="en-IE" w:eastAsia="ja-JP"/>
        </w:rPr>
        <w:t>グリーン移行における消費者の力を高めるための取り組み（</w:t>
      </w:r>
      <w:r w:rsidR="00461A97" w:rsidRPr="00DF5C23">
        <w:rPr>
          <w:rStyle w:val="afa"/>
          <w:noProof/>
        </w:rPr>
        <w:footnoteReference w:id="6"/>
      </w:r>
      <w:r w:rsidRPr="00DF5C23">
        <w:rPr>
          <w:noProof/>
          <w:lang w:val="en-IE" w:eastAsia="ja-JP"/>
        </w:rPr>
        <w:t xml:space="preserve"> </w:t>
      </w:r>
      <w:r w:rsidRPr="00DF5C23">
        <w:rPr>
          <w:noProof/>
          <w:lang w:val="en-IE" w:eastAsia="ja-JP"/>
        </w:rPr>
        <w:t>）が含まれている。最後に、この規則が</w:t>
      </w:r>
      <w:r w:rsidRPr="00DF5C23">
        <w:rPr>
          <w:noProof/>
          <w:lang w:val="en-IE" w:eastAsia="ja-JP"/>
        </w:rPr>
        <w:lastRenderedPageBreak/>
        <w:t>施行されるまでの間、欧州委員会は、</w:t>
      </w:r>
      <w:r w:rsidRPr="00DF5C23">
        <w:rPr>
          <w:noProof/>
          <w:lang w:val="en-IE" w:eastAsia="ja-JP"/>
        </w:rPr>
        <w:t>2022</w:t>
      </w:r>
      <w:r w:rsidRPr="00DF5C23">
        <w:rPr>
          <w:noProof/>
          <w:lang w:val="en-IE" w:eastAsia="ja-JP"/>
        </w:rPr>
        <w:t>年から</w:t>
      </w:r>
      <w:r w:rsidRPr="00DF5C23">
        <w:rPr>
          <w:noProof/>
          <w:lang w:val="en-IE" w:eastAsia="ja-JP"/>
        </w:rPr>
        <w:t>2024</w:t>
      </w:r>
      <w:r w:rsidRPr="00DF5C23">
        <w:rPr>
          <w:noProof/>
          <w:lang w:val="en-IE" w:eastAsia="ja-JP"/>
        </w:rPr>
        <w:t>年にかけての新しいエコデザインおよびエネルギーラベ</w:t>
      </w:r>
      <w:r w:rsidRPr="00DF5C23">
        <w:rPr>
          <w:noProof/>
          <w:lang w:val="en-IE" w:eastAsia="ja-JP"/>
        </w:rPr>
        <w:t>ル作業計画の採択を通じて、新しい</w:t>
      </w:r>
      <w:r w:rsidR="00F23021" w:rsidRPr="00DF5C23">
        <w:rPr>
          <w:noProof/>
          <w:lang w:val="en-IE" w:eastAsia="ja-JP"/>
        </w:rPr>
        <w:t>エネルギー</w:t>
      </w:r>
      <w:r w:rsidRPr="00DF5C23">
        <w:rPr>
          <w:noProof/>
          <w:lang w:val="en-IE" w:eastAsia="ja-JP"/>
        </w:rPr>
        <w:t>関連製品に対応し、すでに規制されている製品の更新と向上心を高めるなど、現行のエコデザイン指令に基づく作業を確実に継続する予定</w:t>
      </w:r>
      <w:r w:rsidR="002041D4">
        <w:rPr>
          <w:noProof/>
          <w:lang w:val="en-IE" w:eastAsia="ja-JP"/>
        </w:rPr>
        <w:t>である</w:t>
      </w:r>
      <w:r w:rsidRPr="00DF5C23">
        <w:rPr>
          <w:noProof/>
          <w:lang w:val="en-IE" w:eastAsia="ja-JP"/>
        </w:rPr>
        <w:t>。</w:t>
      </w:r>
      <w:r w:rsidRPr="00DF5C23">
        <w:rPr>
          <w:noProof/>
          <w:lang w:val="en-IE" w:eastAsia="ja-JP"/>
        </w:rPr>
        <w:t xml:space="preserve">  </w:t>
      </w:r>
    </w:p>
    <w:p w14:paraId="6AB42431" w14:textId="77777777" w:rsidR="0038775E" w:rsidRDefault="00877B9C" w:rsidP="002041D4">
      <w:pPr>
        <w:pStyle w:val="ManualHeading2"/>
        <w:wordWrap w:val="0"/>
        <w:rPr>
          <w:rFonts w:eastAsia="Arial Unicode MS"/>
          <w:noProof/>
          <w:color w:val="000000" w:themeColor="text1"/>
          <w:lang w:val="en-US" w:eastAsia="ja-JP"/>
        </w:rPr>
      </w:pPr>
      <w:r w:rsidRPr="00DF5C23">
        <w:rPr>
          <w:rFonts w:eastAsia="Arial Unicode MS"/>
          <w:noProof/>
          <w:color w:val="000000"/>
          <w:bdr w:val="nil"/>
          <w:lang w:val="en-US" w:eastAsia="ja-JP"/>
        </w:rPr>
        <w:t>-</w:t>
      </w:r>
      <w:r w:rsidRPr="00DF5C23">
        <w:rPr>
          <w:rFonts w:eastAsia="Arial Unicode MS"/>
          <w:noProof/>
          <w:color w:val="000000"/>
          <w:u w:color="000000"/>
          <w:bdr w:val="nil"/>
          <w:lang w:val="en-US" w:eastAsia="ja-JP"/>
        </w:rPr>
        <w:tab/>
      </w:r>
      <w:r w:rsidRPr="00DF5C23">
        <w:rPr>
          <w:rFonts w:eastAsia="Arial Unicode MS"/>
          <w:noProof/>
          <w:lang w:eastAsia="ja-JP"/>
        </w:rPr>
        <w:t>政策領域における既存の政策規定との整合性</w:t>
      </w:r>
    </w:p>
    <w:p w14:paraId="1BDD5EF8" w14:textId="4C18DFBC" w:rsidR="0038775E" w:rsidRDefault="00877B9C" w:rsidP="002041D4">
      <w:pPr>
        <w:pBdr>
          <w:top w:val="nil"/>
          <w:left w:val="nil"/>
          <w:bottom w:val="nil"/>
          <w:right w:val="nil"/>
          <w:between w:val="nil"/>
          <w:bar w:val="nil"/>
        </w:pBdr>
        <w:wordWrap w:val="0"/>
        <w:spacing w:before="0" w:after="240"/>
        <w:rPr>
          <w:rFonts w:eastAsia="Arial Unicode MS"/>
          <w:noProof/>
          <w:lang w:eastAsia="ja-JP"/>
        </w:rPr>
      </w:pPr>
      <w:r w:rsidRPr="23DF1179">
        <w:rPr>
          <w:rFonts w:eastAsia="Arial Unicode MS"/>
          <w:noProof/>
          <w:lang w:eastAsia="ja-JP"/>
        </w:rPr>
        <w:t>この規則は、製品および新しい種類の要求事項の両方において、</w:t>
      </w:r>
      <w:r w:rsidRPr="23DF1179">
        <w:rPr>
          <w:rFonts w:eastAsia="Arial Unicode MS"/>
          <w:b/>
          <w:bCs/>
          <w:noProof/>
          <w:lang w:eastAsia="ja-JP"/>
        </w:rPr>
        <w:t>エコデザイン指令の範囲を</w:t>
      </w:r>
      <w:r w:rsidRPr="23DF1179">
        <w:rPr>
          <w:rFonts w:eastAsia="Arial Unicode MS"/>
          <w:noProof/>
          <w:lang w:eastAsia="ja-JP"/>
        </w:rPr>
        <w:t>拡大するものである。</w:t>
      </w:r>
      <w:r w:rsidRPr="23DF1179">
        <w:rPr>
          <w:rFonts w:eastAsia="Arial Unicode MS"/>
          <w:noProof/>
          <w:lang w:eastAsia="ja-JP"/>
        </w:rPr>
        <w:t>法的明確性の観点から、エコデザイン指令は廃止されるべき</w:t>
      </w:r>
      <w:r w:rsidR="002041D4">
        <w:rPr>
          <w:rFonts w:ascii="ＭＳ 明朝" w:eastAsia="ＭＳ 明朝" w:hAnsi="ＭＳ 明朝" w:cs="ＭＳ 明朝" w:hint="eastAsia"/>
          <w:noProof/>
          <w:lang w:eastAsia="ja-JP"/>
        </w:rPr>
        <w:t>である</w:t>
      </w:r>
      <w:r w:rsidRPr="23DF1179">
        <w:rPr>
          <w:rFonts w:eastAsia="Arial Unicode MS"/>
          <w:noProof/>
          <w:lang w:eastAsia="ja-JP"/>
        </w:rPr>
        <w:t>。提案されている規制の範囲が広いため、対象となる製品に適用される既存の法律、およびその目標に関連する、または関連する他の取り組みとの関係を可能な限り明確にする必要がある。その目的は、企業や当局の事務負担を最小限にするために、重複を防ぐことである。</w:t>
      </w:r>
      <w:r w:rsidRPr="23DF1179">
        <w:rPr>
          <w:rFonts w:eastAsia="Arial Unicode MS"/>
          <w:noProof/>
          <w:lang w:eastAsia="ja-JP"/>
        </w:rPr>
        <w:t xml:space="preserve"> </w:t>
      </w:r>
    </w:p>
    <w:p w14:paraId="16910A8A" w14:textId="1E2C1B34" w:rsidR="0038775E" w:rsidRDefault="00877B9C" w:rsidP="002041D4">
      <w:pPr>
        <w:pBdr>
          <w:top w:val="nil"/>
          <w:left w:val="nil"/>
          <w:bottom w:val="nil"/>
          <w:right w:val="nil"/>
          <w:between w:val="nil"/>
          <w:bar w:val="nil"/>
        </w:pBdr>
        <w:wordWrap w:val="0"/>
        <w:spacing w:before="0" w:after="240"/>
        <w:rPr>
          <w:rFonts w:eastAsia="Arial Unicode MS"/>
          <w:noProof/>
          <w:lang w:eastAsia="ja-JP"/>
        </w:rPr>
      </w:pPr>
      <w:r w:rsidRPr="23DF1179">
        <w:rPr>
          <w:rFonts w:eastAsia="Arial Unicode MS"/>
          <w:noProof/>
          <w:lang w:eastAsia="ja-JP"/>
        </w:rPr>
        <w:t>一般的な考え方として、本規則は、既存の法律で規定されていない、あるいは環境の持続可能性の側面への対応が不十分な場合に、要件を定めるものである。したがって、法律の一般原則である</w:t>
      </w:r>
      <w:r w:rsidRPr="23DF1179">
        <w:rPr>
          <w:rFonts w:eastAsia="Arial Unicode MS"/>
          <w:i/>
          <w:iCs/>
          <w:noProof/>
          <w:lang w:eastAsia="ja-JP"/>
        </w:rPr>
        <w:t>lex specialis d</w:t>
      </w:r>
      <w:r w:rsidRPr="23DF1179">
        <w:rPr>
          <w:rFonts w:eastAsia="Arial Unicode MS"/>
          <w:i/>
          <w:iCs/>
          <w:noProof/>
          <w:lang w:eastAsia="ja-JP"/>
        </w:rPr>
        <w:t>erogat legi generali</w:t>
      </w:r>
      <w:r w:rsidRPr="23DF1179">
        <w:rPr>
          <w:rFonts w:eastAsia="Arial Unicode MS"/>
          <w:noProof/>
          <w:lang w:eastAsia="ja-JP"/>
        </w:rPr>
        <w:t>（</w:t>
      </w:r>
      <w:r w:rsidRPr="23DF1179">
        <w:rPr>
          <w:rStyle w:val="hgkelc"/>
          <w:noProof/>
          <w:lang w:eastAsia="ja-JP"/>
        </w:rPr>
        <w:t>より具体的な規則がより一般的な規則に優先する）が</w:t>
      </w:r>
      <w:r w:rsidRPr="23DF1179">
        <w:rPr>
          <w:rFonts w:eastAsia="Arial Unicode MS"/>
          <w:noProof/>
          <w:lang w:eastAsia="ja-JP"/>
        </w:rPr>
        <w:t>適用さ</w:t>
      </w:r>
      <w:r w:rsidR="002041D4">
        <w:rPr>
          <w:rFonts w:ascii="ＭＳ 明朝" w:eastAsia="ＭＳ 明朝" w:hAnsi="ＭＳ 明朝" w:cs="ＭＳ 明朝" w:hint="eastAsia"/>
          <w:noProof/>
          <w:lang w:eastAsia="ja-JP"/>
        </w:rPr>
        <w:t>れる</w:t>
      </w:r>
      <w:r w:rsidRPr="23DF1179">
        <w:rPr>
          <w:rFonts w:eastAsia="Arial Unicode MS"/>
          <w:noProof/>
          <w:lang w:eastAsia="ja-JP"/>
        </w:rPr>
        <w:t>。具体的には、製品に特化した法律と、水平的な側面を扱う法律という</w:t>
      </w:r>
      <w:r w:rsidRPr="23DF1179">
        <w:rPr>
          <w:rFonts w:eastAsia="Arial Unicode MS"/>
          <w:noProof/>
          <w:lang w:eastAsia="ja-JP"/>
        </w:rPr>
        <w:t>2</w:t>
      </w:r>
      <w:r w:rsidRPr="23DF1179">
        <w:rPr>
          <w:rFonts w:eastAsia="Arial Unicode MS"/>
          <w:noProof/>
          <w:lang w:eastAsia="ja-JP"/>
        </w:rPr>
        <w:t>つのカテゴリーに分類さ</w:t>
      </w:r>
      <w:r w:rsidR="002041D4">
        <w:rPr>
          <w:rFonts w:ascii="ＭＳ 明朝" w:eastAsia="ＭＳ 明朝" w:hAnsi="ＭＳ 明朝" w:cs="ＭＳ 明朝" w:hint="eastAsia"/>
          <w:noProof/>
          <w:lang w:eastAsia="ja-JP"/>
        </w:rPr>
        <w:t>れる</w:t>
      </w:r>
      <w:r w:rsidRPr="23DF1179">
        <w:rPr>
          <w:rFonts w:eastAsia="Arial Unicode MS"/>
          <w:noProof/>
          <w:lang w:eastAsia="ja-JP"/>
        </w:rPr>
        <w:t>。</w:t>
      </w:r>
    </w:p>
    <w:p w14:paraId="554E1DAF" w14:textId="0F90F82A" w:rsidR="0038775E" w:rsidRDefault="00877B9C" w:rsidP="002041D4">
      <w:pPr>
        <w:pBdr>
          <w:top w:val="nil"/>
          <w:left w:val="nil"/>
          <w:bottom w:val="nil"/>
          <w:right w:val="nil"/>
          <w:between w:val="nil"/>
          <w:bar w:val="nil"/>
        </w:pBdr>
        <w:wordWrap w:val="0"/>
        <w:spacing w:before="0" w:after="240"/>
        <w:rPr>
          <w:rFonts w:eastAsia="Arial Unicode MS"/>
          <w:noProof/>
          <w:lang w:eastAsia="ja-JP"/>
        </w:rPr>
      </w:pPr>
      <w:r w:rsidRPr="23DF1179">
        <w:rPr>
          <w:rFonts w:eastAsia="Arial Unicode MS"/>
          <w:b/>
          <w:bCs/>
          <w:noProof/>
          <w:lang w:eastAsia="ja-JP"/>
        </w:rPr>
        <w:t>製品別法令とは、</w:t>
      </w:r>
      <w:r w:rsidRPr="23DF1179">
        <w:rPr>
          <w:rFonts w:eastAsia="Arial Unicode MS"/>
          <w:noProof/>
          <w:lang w:eastAsia="ja-JP"/>
        </w:rPr>
        <w:t>特定の製品または明確な製品群に焦点を当てた法令で、主に安全面を規制することが多い（例：</w:t>
      </w:r>
      <w:r w:rsidRPr="23DF1179">
        <w:rPr>
          <w:rFonts w:eastAsia="Arial Unicode MS"/>
          <w:b/>
          <w:bCs/>
          <w:noProof/>
          <w:lang w:eastAsia="ja-JP"/>
        </w:rPr>
        <w:t>電池、玩具、洗剤、包装材など</w:t>
      </w:r>
      <w:r w:rsidRPr="23DF1179">
        <w:rPr>
          <w:rFonts w:eastAsia="Arial Unicode MS"/>
          <w:noProof/>
          <w:lang w:eastAsia="ja-JP"/>
        </w:rPr>
        <w:t>）。本規則の一般的なレベルでは、既存の製品別法令のすべてを規定することは不可能である。しかし、本規則に基づく措置を通じて製品固有のレベルで具体的な要件を設定する前に、欧州委員会は、要</w:t>
      </w:r>
      <w:r w:rsidRPr="23DF1179">
        <w:rPr>
          <w:rFonts w:eastAsia="Arial Unicode MS"/>
          <w:noProof/>
          <w:lang w:eastAsia="ja-JP"/>
        </w:rPr>
        <w:t>件の重複や事業者への過度の負担を避けるために、既存の法律との重複や矛盾の可能性について詳細に評価する。原則として、本規則は、既存の法律でカバーされていない製品や、法律が製品の持続可能性に十分に対処していない場合にのみ適用される。</w:t>
      </w:r>
      <w:r w:rsidRPr="23DF1179">
        <w:rPr>
          <w:rFonts w:eastAsia="Arial Unicode MS"/>
          <w:noProof/>
          <w:lang w:eastAsia="ja-JP"/>
        </w:rPr>
        <w:t xml:space="preserve">  </w:t>
      </w:r>
      <w:r w:rsidRPr="23DF1179">
        <w:rPr>
          <w:rFonts w:eastAsia="Arial Unicode MS"/>
          <w:noProof/>
          <w:lang w:eastAsia="ja-JP"/>
        </w:rPr>
        <w:t>また、本規則に基づく製品固有の要求事項は委任法に含まれるため、規範の階層の原則に従い、指令や規則などの立法行為を通じて設定された要求事項に優先することはでき</w:t>
      </w:r>
      <w:r w:rsidR="002041D4">
        <w:rPr>
          <w:rFonts w:ascii="ＭＳ 明朝" w:eastAsia="ＭＳ 明朝" w:hAnsi="ＭＳ 明朝" w:cs="ＭＳ 明朝" w:hint="eastAsia"/>
          <w:noProof/>
          <w:lang w:eastAsia="ja-JP"/>
        </w:rPr>
        <w:t>ない</w:t>
      </w:r>
      <w:r w:rsidRPr="23DF1179">
        <w:rPr>
          <w:rFonts w:eastAsia="Arial Unicode MS"/>
          <w:noProof/>
          <w:lang w:eastAsia="ja-JP"/>
        </w:rPr>
        <w:t>（より具体的にすることは可能</w:t>
      </w:r>
      <w:r w:rsidR="002041D4">
        <w:rPr>
          <w:rFonts w:ascii="ＭＳ 明朝" w:eastAsia="ＭＳ 明朝" w:hAnsi="ＭＳ 明朝" w:cs="ＭＳ 明朝" w:hint="eastAsia"/>
          <w:noProof/>
          <w:lang w:eastAsia="ja-JP"/>
        </w:rPr>
        <w:t>である</w:t>
      </w:r>
      <w:r w:rsidRPr="23DF1179">
        <w:rPr>
          <w:rFonts w:eastAsia="Arial Unicode MS"/>
          <w:noProof/>
          <w:lang w:eastAsia="ja-JP"/>
        </w:rPr>
        <w:t>）。</w:t>
      </w:r>
      <w:r w:rsidRPr="23DF1179">
        <w:rPr>
          <w:rFonts w:eastAsia="Arial Unicode MS"/>
          <w:noProof/>
          <w:lang w:eastAsia="ja-JP"/>
        </w:rPr>
        <w:t xml:space="preserve"> </w:t>
      </w:r>
    </w:p>
    <w:p w14:paraId="30D59C57" w14:textId="636BEE53" w:rsidR="0038775E" w:rsidRDefault="00877B9C" w:rsidP="002041D4">
      <w:pPr>
        <w:wordWrap w:val="0"/>
        <w:rPr>
          <w:rFonts w:eastAsia="Arial Unicode MS"/>
          <w:noProof/>
          <w:lang w:eastAsia="ja-JP"/>
        </w:rPr>
      </w:pPr>
      <w:bookmarkStart w:id="0" w:name="_Hlk98508885"/>
      <w:r w:rsidRPr="00DF5C23">
        <w:rPr>
          <w:rFonts w:eastAsia="Arial Unicode MS"/>
          <w:noProof/>
          <w:lang w:eastAsia="ja-JP"/>
        </w:rPr>
        <w:t>特に建設製品については、</w:t>
      </w:r>
      <w:r w:rsidRPr="00DF5C23">
        <w:rPr>
          <w:noProof/>
          <w:lang w:eastAsia="ja-JP"/>
        </w:rPr>
        <w:t>本規則の適用範囲となるものの</w:t>
      </w:r>
      <w:r w:rsidRPr="23DF1179">
        <w:rPr>
          <w:rFonts w:cstheme="minorBidi"/>
          <w:noProof/>
          <w:lang w:eastAsia="ja-JP"/>
        </w:rPr>
        <w:t>、</w:t>
      </w:r>
      <w:r w:rsidRPr="00DF5C23">
        <w:rPr>
          <w:noProof/>
          <w:lang w:eastAsia="ja-JP"/>
        </w:rPr>
        <w:t>健康・安全性を含む環境性</w:t>
      </w:r>
      <w:r w:rsidRPr="00DF5C23">
        <w:rPr>
          <w:noProof/>
          <w:lang w:eastAsia="ja-JP"/>
        </w:rPr>
        <w:t>能と構造性能の強い相互関係を管理する必要があることから、既存のエコデザイン指令で既に規制されているエネルギー関連建設製品を除き、</w:t>
      </w:r>
      <w:r w:rsidRPr="00DF5C23">
        <w:rPr>
          <w:rFonts w:eastAsia="Arial Unicode MS"/>
          <w:noProof/>
          <w:lang w:eastAsia="ja-JP"/>
        </w:rPr>
        <w:t>改正</w:t>
      </w:r>
      <w:r w:rsidRPr="00DF5C23">
        <w:rPr>
          <w:noProof/>
          <w:lang w:eastAsia="ja-JP"/>
        </w:rPr>
        <w:t>規則（</w:t>
      </w:r>
      <w:r w:rsidRPr="00DF5C23">
        <w:rPr>
          <w:noProof/>
          <w:lang w:eastAsia="ja-JP"/>
        </w:rPr>
        <w:t>EU</w:t>
      </w:r>
      <w:r w:rsidRPr="00DF5C23">
        <w:rPr>
          <w:noProof/>
          <w:lang w:eastAsia="ja-JP"/>
        </w:rPr>
        <w:t>）</w:t>
      </w:r>
      <w:r w:rsidRPr="00DF5C23">
        <w:rPr>
          <w:noProof/>
          <w:lang w:eastAsia="ja-JP"/>
        </w:rPr>
        <w:t>No 305/2011</w:t>
      </w:r>
      <w:r w:rsidRPr="00DF5C23">
        <w:rPr>
          <w:rStyle w:val="afa"/>
          <w:noProof/>
        </w:rPr>
        <w:footnoteReference w:id="7"/>
      </w:r>
      <w:r w:rsidRPr="00DF5C23">
        <w:rPr>
          <w:rFonts w:eastAsia="Arial Unicode MS"/>
          <w:noProof/>
          <w:lang w:eastAsia="ja-JP"/>
        </w:rPr>
        <w:t xml:space="preserve"> </w:t>
      </w:r>
      <w:r w:rsidRPr="00DF5C23">
        <w:rPr>
          <w:rFonts w:eastAsia="Arial Unicode MS"/>
          <w:noProof/>
          <w:lang w:eastAsia="ja-JP"/>
        </w:rPr>
        <w:t>（建設製品規則</w:t>
      </w:r>
      <w:r w:rsidRPr="23DF1179">
        <w:rPr>
          <w:rFonts w:cstheme="minorBidi"/>
          <w:noProof/>
          <w:lang w:eastAsia="ja-JP"/>
        </w:rPr>
        <w:t>）で</w:t>
      </w:r>
      <w:r w:rsidRPr="00DF5C23">
        <w:rPr>
          <w:noProof/>
          <w:lang w:eastAsia="ja-JP"/>
        </w:rPr>
        <w:t>エコデザイン</w:t>
      </w:r>
      <w:r w:rsidRPr="23DF1179">
        <w:rPr>
          <w:rFonts w:cstheme="minorBidi"/>
          <w:noProof/>
          <w:lang w:eastAsia="ja-JP"/>
        </w:rPr>
        <w:t>要件が規定さ</w:t>
      </w:r>
      <w:r w:rsidR="002041D4">
        <w:rPr>
          <w:rFonts w:cstheme="minorBidi"/>
          <w:noProof/>
          <w:lang w:eastAsia="ja-JP"/>
        </w:rPr>
        <w:t>れる</w:t>
      </w:r>
      <w:r w:rsidRPr="00DF5C23">
        <w:rPr>
          <w:rFonts w:eastAsia="Arial Unicode MS"/>
          <w:noProof/>
          <w:lang w:eastAsia="ja-JP"/>
        </w:rPr>
        <w:t>。</w:t>
      </w:r>
      <w:r w:rsidRPr="00DF5C23">
        <w:rPr>
          <w:rFonts w:eastAsia="Arial Unicode MS"/>
          <w:noProof/>
          <w:lang w:eastAsia="ja-JP"/>
        </w:rPr>
        <w:t xml:space="preserve"> </w:t>
      </w:r>
      <w:bookmarkEnd w:id="0"/>
    </w:p>
    <w:p w14:paraId="38D63436" w14:textId="77777777" w:rsidR="0038775E" w:rsidRDefault="00877B9C" w:rsidP="002041D4">
      <w:pPr>
        <w:pBdr>
          <w:top w:val="nil"/>
          <w:left w:val="nil"/>
          <w:bottom w:val="nil"/>
          <w:right w:val="nil"/>
          <w:between w:val="nil"/>
          <w:bar w:val="nil"/>
        </w:pBdr>
        <w:wordWrap w:val="0"/>
        <w:spacing w:before="0" w:after="240"/>
        <w:rPr>
          <w:rFonts w:eastAsia="Arial Unicode MS"/>
          <w:noProof/>
          <w:lang w:eastAsia="ja-JP"/>
        </w:rPr>
      </w:pPr>
      <w:r w:rsidRPr="23DF1179">
        <w:rPr>
          <w:rFonts w:eastAsia="Arial Unicode MS"/>
          <w:b/>
          <w:bCs/>
          <w:noProof/>
          <w:lang w:eastAsia="ja-JP"/>
        </w:rPr>
        <w:t>水平的側面に関する法律とは、</w:t>
      </w:r>
      <w:r w:rsidRPr="23DF1179">
        <w:rPr>
          <w:rFonts w:eastAsia="Arial Unicode MS"/>
          <w:noProof/>
          <w:lang w:eastAsia="ja-JP"/>
        </w:rPr>
        <w:t>化学物質を管理し、製品中の化学物質に関する権限を付与する</w:t>
      </w:r>
      <w:r w:rsidRPr="23DF1179">
        <w:rPr>
          <w:rFonts w:eastAsia="Arial Unicode MS"/>
          <w:noProof/>
          <w:lang w:eastAsia="ja-JP"/>
        </w:rPr>
        <w:t xml:space="preserve"> </w:t>
      </w:r>
      <w:r w:rsidRPr="23DF1179">
        <w:rPr>
          <w:rFonts w:eastAsia="Arial Unicode MS"/>
          <w:b/>
          <w:bCs/>
          <w:noProof/>
          <w:lang w:eastAsia="ja-JP"/>
        </w:rPr>
        <w:t xml:space="preserve">REACH </w:t>
      </w:r>
      <w:r w:rsidRPr="23DF1179">
        <w:rPr>
          <w:rFonts w:eastAsia="Arial Unicode MS"/>
          <w:noProof/>
          <w:lang w:eastAsia="ja-JP"/>
        </w:rPr>
        <w:t>規則など、広範な製品について本規則の水平的側面に対応する、または対応できる法律を指す。</w:t>
      </w:r>
      <w:r w:rsidRPr="23DF1179">
        <w:rPr>
          <w:rFonts w:eastAsia="Arial Unicode MS"/>
          <w:noProof/>
          <w:lang w:eastAsia="ja-JP"/>
        </w:rPr>
        <w:t>本規則の対象となる特定の側面について、より水平的な方法で既に法律が対応している、または対応する可能性がある場合、より一般的なレベルで本規則との関連性を明記することが明確に必要であり可能である。同様に、本規則は、市場</w:t>
      </w:r>
      <w:r w:rsidRPr="23DF1179">
        <w:rPr>
          <w:rFonts w:eastAsia="Arial Unicode MS"/>
          <w:b/>
          <w:bCs/>
          <w:noProof/>
          <w:lang w:eastAsia="ja-JP"/>
        </w:rPr>
        <w:t>監視規則における</w:t>
      </w:r>
      <w:r w:rsidRPr="23DF1179">
        <w:rPr>
          <w:rFonts w:eastAsia="Arial Unicode MS"/>
          <w:noProof/>
          <w:lang w:eastAsia="ja-JP"/>
        </w:rPr>
        <w:t>市場監視の一般的な枠組みをベース</w:t>
      </w:r>
      <w:r w:rsidRPr="23DF1179">
        <w:rPr>
          <w:rFonts w:eastAsia="Arial Unicode MS"/>
          <w:noProof/>
          <w:lang w:eastAsia="ja-JP"/>
        </w:rPr>
        <w:lastRenderedPageBreak/>
        <w:t>としながらも、必要に応じて本イニシアティブの特定の目的に合わせた規定を設ける。</w:t>
      </w:r>
      <w:r w:rsidRPr="23DF1179">
        <w:rPr>
          <w:rFonts w:eastAsia="Arial Unicode MS"/>
          <w:noProof/>
          <w:lang w:eastAsia="ja-JP"/>
        </w:rPr>
        <w:t xml:space="preserve"> </w:t>
      </w:r>
    </w:p>
    <w:p w14:paraId="0C9DC979" w14:textId="4BF7E52D" w:rsidR="0038775E" w:rsidRDefault="00877B9C" w:rsidP="002041D4">
      <w:pPr>
        <w:pBdr>
          <w:top w:val="nil"/>
          <w:left w:val="nil"/>
          <w:bottom w:val="nil"/>
          <w:right w:val="nil"/>
          <w:between w:val="nil"/>
          <w:bar w:val="nil"/>
        </w:pBdr>
        <w:wordWrap w:val="0"/>
        <w:spacing w:before="0" w:after="240"/>
        <w:rPr>
          <w:rFonts w:eastAsia="Arial Unicode MS"/>
          <w:noProof/>
          <w:lang w:eastAsia="ja-JP"/>
        </w:rPr>
      </w:pPr>
      <w:r w:rsidRPr="23DF1179">
        <w:rPr>
          <w:rFonts w:eastAsia="Arial Unicode MS"/>
          <w:noProof/>
          <w:lang w:eastAsia="ja-JP"/>
        </w:rPr>
        <w:t>本イニシアティブが既存の法律や新たに制定される法律とどのように相互作用し、整合性があるのかについては、影響評価</w:t>
      </w:r>
      <w:r w:rsidRPr="23DF1179">
        <w:rPr>
          <w:rFonts w:eastAsia="Arial Unicode MS"/>
          <w:b/>
          <w:bCs/>
          <w:noProof/>
          <w:lang w:eastAsia="ja-JP"/>
        </w:rPr>
        <w:t>7.9</w:t>
      </w:r>
      <w:r w:rsidRPr="23DF1179">
        <w:rPr>
          <w:rFonts w:eastAsia="Arial Unicode MS"/>
          <w:b/>
          <w:bCs/>
          <w:noProof/>
          <w:lang w:eastAsia="ja-JP"/>
        </w:rPr>
        <w:t>項</w:t>
      </w:r>
      <w:r w:rsidRPr="23DF1179">
        <w:rPr>
          <w:rFonts w:eastAsia="Arial Unicode MS"/>
          <w:noProof/>
          <w:lang w:eastAsia="ja-JP"/>
        </w:rPr>
        <w:t>および</w:t>
      </w:r>
      <w:r w:rsidRPr="23DF1179">
        <w:rPr>
          <w:rFonts w:eastAsia="Arial Unicode MS"/>
          <w:b/>
          <w:bCs/>
          <w:noProof/>
          <w:lang w:eastAsia="ja-JP"/>
        </w:rPr>
        <w:t>付属書</w:t>
      </w:r>
      <w:r w:rsidRPr="23DF1179">
        <w:rPr>
          <w:rFonts w:eastAsia="Arial Unicode MS"/>
          <w:b/>
          <w:bCs/>
          <w:noProof/>
          <w:lang w:eastAsia="ja-JP"/>
        </w:rPr>
        <w:t>14</w:t>
      </w:r>
      <w:r w:rsidRPr="23DF1179">
        <w:rPr>
          <w:rFonts w:eastAsia="Arial Unicode MS"/>
          <w:b/>
          <w:bCs/>
          <w:noProof/>
          <w:lang w:eastAsia="ja-JP"/>
        </w:rPr>
        <w:t>をご参照</w:t>
      </w:r>
      <w:r w:rsidR="002041D4">
        <w:rPr>
          <w:rFonts w:ascii="ＭＳ 明朝" w:eastAsia="ＭＳ 明朝" w:hAnsi="ＭＳ 明朝" w:cs="ＭＳ 明朝" w:hint="eastAsia"/>
          <w:noProof/>
          <w:lang w:eastAsia="ja-JP"/>
        </w:rPr>
        <w:t>ほしい</w:t>
      </w:r>
      <w:r w:rsidRPr="23DF1179">
        <w:rPr>
          <w:rFonts w:eastAsia="Arial Unicode MS"/>
          <w:noProof/>
          <w:lang w:eastAsia="ja-JP"/>
        </w:rPr>
        <w:t>。</w:t>
      </w:r>
      <w:r w:rsidRPr="23DF1179">
        <w:rPr>
          <w:rFonts w:eastAsia="Arial Unicode MS"/>
          <w:noProof/>
          <w:lang w:eastAsia="ja-JP"/>
        </w:rPr>
        <w:t xml:space="preserve">  </w:t>
      </w:r>
    </w:p>
    <w:p w14:paraId="1C46CFDF" w14:textId="135EA0EC" w:rsidR="0038775E" w:rsidRDefault="00877B9C" w:rsidP="002041D4">
      <w:pPr>
        <w:pBdr>
          <w:top w:val="nil"/>
          <w:left w:val="nil"/>
          <w:bottom w:val="nil"/>
          <w:right w:val="nil"/>
          <w:between w:val="nil"/>
          <w:bar w:val="nil"/>
        </w:pBdr>
        <w:wordWrap w:val="0"/>
        <w:spacing w:before="0" w:after="240"/>
        <w:rPr>
          <w:rFonts w:eastAsia="Arial Unicode MS"/>
          <w:noProof/>
          <w:lang w:eastAsia="ja-JP"/>
        </w:rPr>
      </w:pPr>
      <w:r w:rsidRPr="23DF1179">
        <w:rPr>
          <w:rFonts w:eastAsia="Arial Unicode MS"/>
          <w:b/>
          <w:bCs/>
          <w:noProof/>
          <w:lang w:eastAsia="ja-JP"/>
        </w:rPr>
        <w:t>最後に、エ</w:t>
      </w:r>
      <w:r w:rsidRPr="23DF1179">
        <w:rPr>
          <w:rFonts w:eastAsia="Arial Unicode MS"/>
          <w:b/>
          <w:bCs/>
          <w:noProof/>
          <w:lang w:eastAsia="ja-JP"/>
        </w:rPr>
        <w:t>ネルギーラベル規制は、</w:t>
      </w:r>
      <w:r w:rsidRPr="23DF1179">
        <w:rPr>
          <w:rFonts w:eastAsia="Arial Unicode MS"/>
          <w:noProof/>
          <w:lang w:eastAsia="ja-JP"/>
        </w:rPr>
        <w:t>エネルギー関連製品に対して、本規制案と並行して引き続き適用さ</w:t>
      </w:r>
      <w:r w:rsidR="002041D4">
        <w:rPr>
          <w:rFonts w:ascii="ＭＳ 明朝" w:eastAsia="ＭＳ 明朝" w:hAnsi="ＭＳ 明朝" w:cs="ＭＳ 明朝" w:hint="eastAsia"/>
          <w:noProof/>
          <w:lang w:eastAsia="ja-JP"/>
        </w:rPr>
        <w:t>れる</w:t>
      </w:r>
      <w:r w:rsidRPr="23DF1179">
        <w:rPr>
          <w:rFonts w:eastAsia="Arial Unicode MS"/>
          <w:noProof/>
          <w:lang w:eastAsia="ja-JP"/>
        </w:rPr>
        <w:t>。一貫性は確保される。これは、例えば、そのような製品には、原則として、エネルギーラベル規則で指定されたエネルギーラベルのみを付さなければならないことを意味</w:t>
      </w:r>
      <w:r w:rsidR="002041D4">
        <w:rPr>
          <w:rFonts w:ascii="ＭＳ 明朝" w:eastAsia="ＭＳ 明朝" w:hAnsi="ＭＳ 明朝" w:cs="ＭＳ 明朝" w:hint="eastAsia"/>
          <w:noProof/>
          <w:lang w:eastAsia="ja-JP"/>
        </w:rPr>
        <w:t>する</w:t>
      </w:r>
      <w:r w:rsidRPr="23DF1179">
        <w:rPr>
          <w:rFonts w:eastAsia="Arial Unicode MS"/>
          <w:noProof/>
          <w:lang w:eastAsia="ja-JP"/>
        </w:rPr>
        <w:t>。</w:t>
      </w:r>
    </w:p>
    <w:p w14:paraId="63A1583B" w14:textId="77777777" w:rsidR="0038775E" w:rsidRDefault="00877B9C" w:rsidP="002041D4">
      <w:pPr>
        <w:pStyle w:val="ManualHeading2"/>
        <w:wordWrap w:val="0"/>
        <w:rPr>
          <w:rFonts w:eastAsia="Arial Unicode MS"/>
          <w:noProof/>
          <w:lang w:eastAsia="ja-JP"/>
        </w:rPr>
      </w:pPr>
      <w:r w:rsidRPr="00DF5C23">
        <w:rPr>
          <w:rFonts w:eastAsia="Arial Unicode MS"/>
          <w:noProof/>
          <w:color w:val="000000"/>
          <w:bdr w:val="nil"/>
          <w:lang w:val="en-US" w:eastAsia="ja-JP"/>
        </w:rPr>
        <w:t>-</w:t>
      </w:r>
      <w:r w:rsidRPr="00DF5C23">
        <w:rPr>
          <w:rFonts w:eastAsia="Arial Unicode MS"/>
          <w:noProof/>
          <w:color w:val="000000"/>
          <w:u w:color="000000"/>
          <w:bdr w:val="nil"/>
          <w:lang w:val="en-US" w:eastAsia="ja-JP"/>
        </w:rPr>
        <w:tab/>
      </w:r>
      <w:r w:rsidRPr="00DF5C23">
        <w:rPr>
          <w:rFonts w:eastAsia="Arial Unicode MS"/>
          <w:noProof/>
          <w:lang w:eastAsia="ja-JP"/>
        </w:rPr>
        <w:t>他のユニオンポリシーとの整合性</w:t>
      </w:r>
    </w:p>
    <w:p w14:paraId="3FC2AE71" w14:textId="09048F1D" w:rsidR="0038775E" w:rsidRDefault="00877B9C" w:rsidP="002041D4">
      <w:pPr>
        <w:wordWrap w:val="0"/>
        <w:spacing w:before="100" w:beforeAutospacing="1" w:after="100" w:afterAutospacing="1"/>
        <w:rPr>
          <w:noProof/>
          <w:lang w:eastAsia="ja-JP"/>
        </w:rPr>
      </w:pPr>
      <w:r>
        <w:rPr>
          <w:noProof/>
          <w:lang w:eastAsia="ja-JP"/>
        </w:rPr>
        <w:t>この規則は、いくつかの</w:t>
      </w:r>
      <w:r>
        <w:rPr>
          <w:noProof/>
          <w:lang w:eastAsia="ja-JP"/>
        </w:rPr>
        <w:t>EU</w:t>
      </w:r>
      <w:r>
        <w:rPr>
          <w:noProof/>
          <w:lang w:eastAsia="ja-JP"/>
        </w:rPr>
        <w:t>の政策に基づくもの</w:t>
      </w:r>
      <w:r w:rsidR="002041D4">
        <w:rPr>
          <w:noProof/>
          <w:lang w:eastAsia="ja-JP"/>
        </w:rPr>
        <w:t>である</w:t>
      </w:r>
      <w:r>
        <w:rPr>
          <w:noProof/>
          <w:lang w:eastAsia="ja-JP"/>
        </w:rPr>
        <w:t>。</w:t>
      </w:r>
      <w:r>
        <w:rPr>
          <w:noProof/>
          <w:lang w:eastAsia="ja-JP"/>
        </w:rPr>
        <w:t xml:space="preserve"> </w:t>
      </w:r>
    </w:p>
    <w:p w14:paraId="2AAB0B2E" w14:textId="6192E456" w:rsidR="0038775E" w:rsidRDefault="006C7D06" w:rsidP="002041D4">
      <w:pPr>
        <w:wordWrap w:val="0"/>
        <w:spacing w:before="100" w:beforeAutospacing="1" w:after="100" w:afterAutospacing="1"/>
        <w:rPr>
          <w:noProof/>
          <w:lang w:eastAsia="ja-JP"/>
        </w:rPr>
      </w:pPr>
      <w:r w:rsidRPr="00DF5C23">
        <w:rPr>
          <w:noProof/>
          <w:lang w:eastAsia="ja-JP"/>
        </w:rPr>
        <w:t>このイニシアチブの</w:t>
      </w:r>
      <w:r w:rsidR="00877B9C" w:rsidRPr="00DF5C23">
        <w:rPr>
          <w:noProof/>
          <w:lang w:eastAsia="ja-JP"/>
        </w:rPr>
        <w:t>基盤は、</w:t>
      </w:r>
      <w:r w:rsidR="00877B9C" w:rsidRPr="00DF5C23">
        <w:rPr>
          <w:b/>
          <w:bCs/>
          <w:noProof/>
          <w:lang w:eastAsia="ja-JP"/>
        </w:rPr>
        <w:t>欧州グリーンディール</w:t>
      </w:r>
      <w:r w:rsidR="00FE2355" w:rsidRPr="00DF5C23">
        <w:rPr>
          <w:rStyle w:val="afa"/>
          <w:b/>
          <w:bCs/>
          <w:noProof/>
        </w:rPr>
        <w:footnoteReference w:id="8"/>
      </w:r>
      <w:r w:rsidR="00877B9C" w:rsidRPr="00DF5C23">
        <w:rPr>
          <w:noProof/>
          <w:lang w:eastAsia="ja-JP"/>
        </w:rPr>
        <w:t xml:space="preserve"> </w:t>
      </w:r>
      <w:r w:rsidR="00877B9C" w:rsidRPr="00DF5C23">
        <w:rPr>
          <w:noProof/>
          <w:lang w:eastAsia="ja-JP"/>
        </w:rPr>
        <w:t>であり、</w:t>
      </w:r>
      <w:r w:rsidR="00877B9C" w:rsidRPr="00DF5C23">
        <w:rPr>
          <w:noProof/>
          <w:lang w:eastAsia="ja-JP"/>
        </w:rPr>
        <w:t>2050</w:t>
      </w:r>
      <w:r w:rsidR="00877B9C" w:rsidRPr="00DF5C23">
        <w:rPr>
          <w:noProof/>
          <w:lang w:eastAsia="ja-JP"/>
        </w:rPr>
        <w:t>年に温室効果ガスの純排出がなく、経済成長が資源使用から切り離された、近代的で資源効率的かつ競争力のある経済で、</w:t>
      </w:r>
      <w:r w:rsidR="00877B9C" w:rsidRPr="00DF5C23">
        <w:rPr>
          <w:noProof/>
          <w:lang w:eastAsia="ja-JP"/>
        </w:rPr>
        <w:t>EU</w:t>
      </w:r>
      <w:r w:rsidR="00877B9C" w:rsidRPr="00DF5C23">
        <w:rPr>
          <w:noProof/>
          <w:lang w:eastAsia="ja-JP"/>
        </w:rPr>
        <w:t>を公正で豊かな社会に変える成長戦略である。また、欧州グリーンディールは、</w:t>
      </w:r>
      <w:r w:rsidR="00877B9C" w:rsidRPr="00DF5C23">
        <w:rPr>
          <w:noProof/>
          <w:lang w:eastAsia="ja-JP"/>
        </w:rPr>
        <w:t>2020</w:t>
      </w:r>
      <w:r w:rsidR="00877B9C" w:rsidRPr="00DF5C23">
        <w:rPr>
          <w:noProof/>
          <w:lang w:eastAsia="ja-JP"/>
        </w:rPr>
        <w:t>年</w:t>
      </w:r>
      <w:r w:rsidR="00877B9C" w:rsidRPr="00DF5C23">
        <w:rPr>
          <w:noProof/>
          <w:lang w:eastAsia="ja-JP"/>
        </w:rPr>
        <w:t>3</w:t>
      </w:r>
      <w:r w:rsidR="00877B9C" w:rsidRPr="00DF5C23">
        <w:rPr>
          <w:noProof/>
          <w:lang w:eastAsia="ja-JP"/>
        </w:rPr>
        <w:t>月に</w:t>
      </w:r>
      <w:r w:rsidRPr="00DF5C23">
        <w:rPr>
          <w:noProof/>
          <w:lang w:eastAsia="ja-JP"/>
        </w:rPr>
        <w:t>共に発表された</w:t>
      </w:r>
      <w:r w:rsidR="00877B9C" w:rsidRPr="00DF5C23">
        <w:rPr>
          <w:noProof/>
          <w:lang w:eastAsia="ja-JP"/>
        </w:rPr>
        <w:t>欧州の新産業戦略と循環型経済行動計画も発表し</w:t>
      </w:r>
      <w:r w:rsidR="002041D4">
        <w:rPr>
          <w:noProof/>
          <w:lang w:eastAsia="ja-JP"/>
        </w:rPr>
        <w:t>た。</w:t>
      </w:r>
      <w:r w:rsidR="00877B9C" w:rsidRPr="00DF5C23">
        <w:rPr>
          <w:noProof/>
          <w:lang w:eastAsia="ja-JP"/>
        </w:rPr>
        <w:t xml:space="preserve"> </w:t>
      </w:r>
    </w:p>
    <w:p w14:paraId="597CD7F5" w14:textId="7709B706" w:rsidR="0038775E" w:rsidRDefault="00877B9C" w:rsidP="002041D4">
      <w:pPr>
        <w:wordWrap w:val="0"/>
        <w:spacing w:before="0" w:after="0"/>
        <w:rPr>
          <w:noProof/>
          <w:lang w:eastAsia="ja-JP"/>
        </w:rPr>
      </w:pPr>
      <w:r w:rsidRPr="00DF5C23">
        <w:rPr>
          <w:b/>
          <w:bCs/>
          <w:noProof/>
          <w:lang w:eastAsia="ja-JP"/>
        </w:rPr>
        <w:t>欧州委員会の</w:t>
      </w:r>
      <w:r w:rsidRPr="00DF5C23">
        <w:rPr>
          <w:b/>
          <w:bCs/>
          <w:noProof/>
          <w:lang w:eastAsia="ja-JP"/>
        </w:rPr>
        <w:t>2020</w:t>
      </w:r>
      <w:r w:rsidRPr="00DF5C23">
        <w:rPr>
          <w:b/>
          <w:bCs/>
          <w:noProof/>
          <w:lang w:eastAsia="ja-JP"/>
        </w:rPr>
        <w:t>年欧州産業戦略</w:t>
      </w:r>
      <w:r w:rsidRPr="00DF5C23">
        <w:rPr>
          <w:noProof/>
          <w:lang w:eastAsia="ja-JP"/>
        </w:rPr>
        <w:t>（</w:t>
      </w:r>
      <w:r w:rsidR="00FE2355" w:rsidRPr="00DF5C23">
        <w:rPr>
          <w:rStyle w:val="afa"/>
          <w:b/>
          <w:bCs/>
          <w:noProof/>
        </w:rPr>
        <w:footnoteReference w:id="9"/>
      </w:r>
      <w:r w:rsidRPr="00DF5C23">
        <w:rPr>
          <w:noProof/>
          <w:lang w:eastAsia="ja-JP"/>
        </w:rPr>
        <w:t xml:space="preserve"> </w:t>
      </w:r>
      <w:r w:rsidRPr="00DF5C23">
        <w:rPr>
          <w:noProof/>
          <w:lang w:eastAsia="ja-JP"/>
        </w:rPr>
        <w:t>）は、気候変動による中立性とデジタル・リーダーシップへの「双子の移行」を促進するという</w:t>
      </w:r>
      <w:r w:rsidRPr="00DF5C23">
        <w:rPr>
          <w:noProof/>
          <w:lang w:eastAsia="ja-JP"/>
        </w:rPr>
        <w:t>EU</w:t>
      </w:r>
      <w:r w:rsidRPr="00DF5C23">
        <w:rPr>
          <w:noProof/>
          <w:lang w:eastAsia="ja-JP"/>
        </w:rPr>
        <w:t>の包括的な野望を掲げて</w:t>
      </w:r>
      <w:r w:rsidR="002041D4">
        <w:rPr>
          <w:noProof/>
          <w:lang w:eastAsia="ja-JP"/>
        </w:rPr>
        <w:t>いる。</w:t>
      </w:r>
      <w:r w:rsidRPr="00DF5C23">
        <w:rPr>
          <w:noProof/>
          <w:lang w:eastAsia="ja-JP"/>
        </w:rPr>
        <w:t>同戦略は、欧州の</w:t>
      </w:r>
      <w:r w:rsidR="006C7D06" w:rsidRPr="00DF5C23">
        <w:rPr>
          <w:noProof/>
          <w:lang w:eastAsia="ja-JP"/>
        </w:rPr>
        <w:t>産業界が、炭素と材料のフットプリントを削減し、経済全体に循環性を組み込むことによって、この中で主導的な役割を果たす必要があることを強調</w:t>
      </w:r>
      <w:r w:rsidRPr="00DF5C23">
        <w:rPr>
          <w:noProof/>
          <w:lang w:eastAsia="ja-JP"/>
        </w:rPr>
        <w:t>し、欧州グリーンディールと共鳴している。また、</w:t>
      </w:r>
      <w:r w:rsidR="006C7D06" w:rsidRPr="00DF5C23">
        <w:rPr>
          <w:noProof/>
          <w:lang w:eastAsia="ja-JP"/>
        </w:rPr>
        <w:t>従来のモデルから脱却し、製品の設計、製造、使用、廃棄の方法を変革する必要性を強調している。</w:t>
      </w:r>
      <w:r w:rsidR="006C7D06" w:rsidRPr="00DF5C23">
        <w:rPr>
          <w:noProof/>
          <w:lang w:eastAsia="ja-JP"/>
        </w:rPr>
        <w:t>2021</w:t>
      </w:r>
      <w:r w:rsidR="006C7D06" w:rsidRPr="00DF5C23">
        <w:rPr>
          <w:noProof/>
          <w:lang w:eastAsia="ja-JP"/>
        </w:rPr>
        <w:t>年、欧州委員会は</w:t>
      </w:r>
      <w:r w:rsidR="006C7D06" w:rsidRPr="00DF5C23">
        <w:rPr>
          <w:b/>
          <w:bCs/>
          <w:noProof/>
          <w:lang w:eastAsia="ja-JP"/>
        </w:rPr>
        <w:t>産業戦略の更新版</w:t>
      </w:r>
      <w:r w:rsidR="006C7D06" w:rsidRPr="00DF5C23">
        <w:rPr>
          <w:noProof/>
          <w:lang w:eastAsia="ja-JP"/>
        </w:rPr>
        <w:t>（</w:t>
      </w:r>
      <w:r w:rsidR="006C7D06" w:rsidRPr="00DF5C23">
        <w:rPr>
          <w:rStyle w:val="afa"/>
          <w:b/>
          <w:bCs/>
          <w:noProof/>
        </w:rPr>
        <w:footnoteReference w:id="10"/>
      </w:r>
      <w:r w:rsidR="006C7D06" w:rsidRPr="00DF5C23">
        <w:rPr>
          <w:noProof/>
          <w:lang w:eastAsia="ja-JP"/>
        </w:rPr>
        <w:t xml:space="preserve"> </w:t>
      </w:r>
      <w:r w:rsidR="006C7D06" w:rsidRPr="00DF5C23">
        <w:rPr>
          <w:noProof/>
          <w:lang w:eastAsia="ja-JP"/>
        </w:rPr>
        <w:t>）を発表し、</w:t>
      </w:r>
      <w:r w:rsidR="006C7D06" w:rsidRPr="00DF5C23">
        <w:rPr>
          <w:noProof/>
          <w:lang w:eastAsia="ja-JP"/>
        </w:rPr>
        <w:t>2020</w:t>
      </w:r>
      <w:r w:rsidR="006C7D06" w:rsidRPr="00DF5C23">
        <w:rPr>
          <w:noProof/>
          <w:lang w:eastAsia="ja-JP"/>
        </w:rPr>
        <w:t>年戦略の主要メッセージを強化するとともに、さまざまな追加的実施手段を提供する。</w:t>
      </w:r>
      <w:r w:rsidR="006C7D06" w:rsidRPr="00DF5C23">
        <w:rPr>
          <w:noProof/>
          <w:lang w:eastAsia="ja-JP"/>
        </w:rPr>
        <w:t xml:space="preserve"> </w:t>
      </w:r>
    </w:p>
    <w:p w14:paraId="639AA4A1" w14:textId="2966F12D" w:rsidR="0038775E" w:rsidRDefault="00877B9C" w:rsidP="002041D4">
      <w:pPr>
        <w:wordWrap w:val="0"/>
        <w:spacing w:before="100" w:beforeAutospacing="1" w:after="100" w:afterAutospacing="1"/>
        <w:rPr>
          <w:noProof/>
          <w:sz w:val="22"/>
          <w:lang w:eastAsia="ja-JP"/>
        </w:rPr>
      </w:pPr>
      <w:r w:rsidRPr="00DF5C23">
        <w:rPr>
          <w:b/>
          <w:bCs/>
          <w:noProof/>
          <w:lang w:eastAsia="ja-JP"/>
        </w:rPr>
        <w:t>循環経済行動計画</w:t>
      </w:r>
      <w:r w:rsidR="006C7D06" w:rsidRPr="00DF5C23">
        <w:rPr>
          <w:b/>
          <w:bCs/>
          <w:noProof/>
          <w:lang w:eastAsia="ja-JP"/>
        </w:rPr>
        <w:t>（</w:t>
      </w:r>
      <w:r w:rsidR="006C7D06" w:rsidRPr="00DF5C23">
        <w:rPr>
          <w:b/>
          <w:bCs/>
          <w:noProof/>
          <w:lang w:eastAsia="ja-JP"/>
        </w:rPr>
        <w:t>CEAP</w:t>
      </w:r>
      <w:r w:rsidRPr="00DF5C23">
        <w:rPr>
          <w:noProof/>
          <w:lang w:eastAsia="ja-JP"/>
        </w:rPr>
        <w:t>）は、特に、</w:t>
      </w:r>
      <w:r w:rsidR="006C7D06" w:rsidRPr="00DF5C23">
        <w:rPr>
          <w:noProof/>
          <w:lang w:eastAsia="ja-JP"/>
        </w:rPr>
        <w:t>EU</w:t>
      </w:r>
      <w:r w:rsidR="006C7D06" w:rsidRPr="00DF5C23">
        <w:rPr>
          <w:noProof/>
          <w:lang w:eastAsia="ja-JP"/>
        </w:rPr>
        <w:t>内外の気候変動に左右されない持続可能な</w:t>
      </w:r>
      <w:r w:rsidR="006C7D06" w:rsidRPr="00DF5C23">
        <w:rPr>
          <w:b/>
          <w:bCs/>
          <w:noProof/>
          <w:lang w:eastAsia="ja-JP"/>
        </w:rPr>
        <w:t>製品の</w:t>
      </w:r>
      <w:r w:rsidR="006C7D06" w:rsidRPr="00DF5C23">
        <w:rPr>
          <w:noProof/>
          <w:lang w:eastAsia="ja-JP"/>
        </w:rPr>
        <w:t>主導的な市場開拓を促進することを</w:t>
      </w:r>
      <w:r w:rsidRPr="00DF5C23">
        <w:rPr>
          <w:noProof/>
          <w:lang w:eastAsia="ja-JP"/>
        </w:rPr>
        <w:t>目的として</w:t>
      </w:r>
      <w:r w:rsidR="002041D4">
        <w:rPr>
          <w:noProof/>
          <w:lang w:eastAsia="ja-JP"/>
        </w:rPr>
        <w:t>いる。</w:t>
      </w:r>
      <w:r w:rsidRPr="00DF5C23">
        <w:rPr>
          <w:noProof/>
          <w:lang w:eastAsia="ja-JP"/>
        </w:rPr>
        <w:t>これを達成するために、</w:t>
      </w:r>
      <w:r w:rsidR="006C7D06" w:rsidRPr="00DF5C23">
        <w:rPr>
          <w:noProof/>
          <w:lang w:eastAsia="ja-JP"/>
        </w:rPr>
        <w:t>CEAP</w:t>
      </w:r>
      <w:r w:rsidR="006C7D06" w:rsidRPr="00DF5C23">
        <w:rPr>
          <w:noProof/>
          <w:lang w:eastAsia="ja-JP"/>
        </w:rPr>
        <w:t>は、持続可能な製品設計の促進、消費者と公的バイヤーの能力向上、生産プロセスにおける循環性の促進という</w:t>
      </w:r>
      <w:r w:rsidR="006C7D06" w:rsidRPr="00DF5C23">
        <w:rPr>
          <w:noProof/>
          <w:lang w:eastAsia="ja-JP"/>
        </w:rPr>
        <w:t>3</w:t>
      </w:r>
      <w:r w:rsidR="006C7D06" w:rsidRPr="00DF5C23">
        <w:rPr>
          <w:noProof/>
          <w:lang w:eastAsia="ja-JP"/>
        </w:rPr>
        <w:t>つの分野での対策を含む、持続可能な製品政策の枠組みを確立している</w:t>
      </w:r>
      <w:r w:rsidR="00461A97" w:rsidRPr="00DF5C23">
        <w:rPr>
          <w:rStyle w:val="afa"/>
          <w:noProof/>
        </w:rPr>
        <w:footnoteReference w:id="11"/>
      </w:r>
      <w:r w:rsidR="00976350" w:rsidRPr="00DF5C23">
        <w:rPr>
          <w:noProof/>
          <w:lang w:eastAsia="ja-JP"/>
        </w:rPr>
        <w:t xml:space="preserve"> </w:t>
      </w:r>
      <w:r w:rsidR="00976350" w:rsidRPr="00DF5C23">
        <w:rPr>
          <w:noProof/>
          <w:lang w:eastAsia="ja-JP"/>
        </w:rPr>
        <w:t>。</w:t>
      </w:r>
      <w:r w:rsidR="00976350" w:rsidRPr="00DF5C23">
        <w:rPr>
          <w:noProof/>
          <w:lang w:eastAsia="ja-JP"/>
        </w:rPr>
        <w:t xml:space="preserve"> </w:t>
      </w:r>
    </w:p>
    <w:p w14:paraId="314B10DE" w14:textId="2A1818E5" w:rsidR="0038775E" w:rsidRDefault="00877B9C" w:rsidP="002041D4">
      <w:pPr>
        <w:wordWrap w:val="0"/>
        <w:spacing w:before="100" w:beforeAutospacing="1" w:after="100" w:afterAutospacing="1"/>
        <w:rPr>
          <w:noProof/>
          <w:lang w:eastAsia="ja-JP"/>
        </w:rPr>
      </w:pPr>
      <w:r>
        <w:rPr>
          <w:noProof/>
          <w:lang w:eastAsia="ja-JP"/>
        </w:rPr>
        <w:t>持続可能な製品政策の枠組みの</w:t>
      </w:r>
      <w:r>
        <w:rPr>
          <w:noProof/>
          <w:lang w:eastAsia="ja-JP"/>
        </w:rPr>
        <w:t>3</w:t>
      </w:r>
      <w:r>
        <w:rPr>
          <w:noProof/>
          <w:lang w:eastAsia="ja-JP"/>
        </w:rPr>
        <w:t>つの分野は互いに相乗効果を発揮</w:t>
      </w:r>
      <w:r w:rsidR="002041D4">
        <w:rPr>
          <w:noProof/>
          <w:lang w:eastAsia="ja-JP"/>
        </w:rPr>
        <w:t>する</w:t>
      </w:r>
      <w:r>
        <w:rPr>
          <w:noProof/>
          <w:lang w:eastAsia="ja-JP"/>
        </w:rPr>
        <w:t>が、本規定は、気候ニュートラル、資源効率、循環型経済に適した製品を作り、廃棄物を削減し、持続可能性におけるフロントランナーのパフォーマンスが徐々に標準となることを目指す、最初の分野（持続可</w:t>
      </w:r>
      <w:r>
        <w:rPr>
          <w:noProof/>
          <w:lang w:eastAsia="ja-JP"/>
        </w:rPr>
        <w:t>能な製品設計）で定められた対策に主に焦点を合わせて</w:t>
      </w:r>
      <w:r w:rsidR="002041D4">
        <w:rPr>
          <w:noProof/>
          <w:lang w:eastAsia="ja-JP"/>
        </w:rPr>
        <w:t>いる。</w:t>
      </w:r>
      <w:r>
        <w:rPr>
          <w:noProof/>
          <w:lang w:eastAsia="ja-JP"/>
        </w:rPr>
        <w:t>CEAP</w:t>
      </w:r>
      <w:r>
        <w:rPr>
          <w:noProof/>
          <w:lang w:eastAsia="ja-JP"/>
        </w:rPr>
        <w:t>で発表されたように、この立法構想の核心は、</w:t>
      </w:r>
      <w:r w:rsidRPr="23DF1179">
        <w:rPr>
          <w:b/>
          <w:bCs/>
          <w:noProof/>
          <w:lang w:eastAsia="ja-JP"/>
        </w:rPr>
        <w:t>エコデザイン指令</w:t>
      </w:r>
      <w:r w:rsidRPr="23DF1179">
        <w:rPr>
          <w:b/>
          <w:bCs/>
          <w:noProof/>
          <w:lang w:eastAsia="ja-JP"/>
        </w:rPr>
        <w:lastRenderedPageBreak/>
        <w:t>の</w:t>
      </w:r>
      <w:r>
        <w:rPr>
          <w:noProof/>
          <w:lang w:eastAsia="ja-JP"/>
        </w:rPr>
        <w:t>範囲をエネルギー関連製品以外にも拡大し、可能な限り幅広い製品をカバーし、循環型経済の実現に貢献すること</w:t>
      </w:r>
      <w:r w:rsidR="002041D4">
        <w:rPr>
          <w:noProof/>
          <w:lang w:eastAsia="ja-JP"/>
        </w:rPr>
        <w:t>である</w:t>
      </w:r>
      <w:r>
        <w:rPr>
          <w:noProof/>
          <w:lang w:eastAsia="ja-JP"/>
        </w:rPr>
        <w:t>。</w:t>
      </w:r>
    </w:p>
    <w:p w14:paraId="27D2EB91" w14:textId="0C5562E7" w:rsidR="0038775E" w:rsidRDefault="00877B9C" w:rsidP="002041D4">
      <w:pPr>
        <w:wordWrap w:val="0"/>
        <w:rPr>
          <w:rFonts w:eastAsia="Arial Unicode MS"/>
          <w:noProof/>
          <w:lang w:eastAsia="ja-JP"/>
        </w:rPr>
      </w:pPr>
      <w:r w:rsidRPr="00DF5C23">
        <w:rPr>
          <w:rFonts w:eastAsia="Arial Unicode MS"/>
          <w:noProof/>
          <w:lang w:eastAsia="ja-JP"/>
        </w:rPr>
        <w:t>本法律で定める製品要求事項は、他の</w:t>
      </w:r>
      <w:r w:rsidRPr="00DF5C23">
        <w:rPr>
          <w:rFonts w:eastAsia="Arial Unicode MS"/>
          <w:noProof/>
          <w:lang w:eastAsia="ja-JP"/>
        </w:rPr>
        <w:t>CEAP</w:t>
      </w:r>
      <w:r w:rsidRPr="00DF5C23">
        <w:rPr>
          <w:rFonts w:eastAsia="Arial Unicode MS"/>
          <w:noProof/>
          <w:lang w:eastAsia="ja-JP"/>
        </w:rPr>
        <w:t>イニシアティブで定める要求事項を補完し、強化する必要がある。特に、本法律で定める製品要件は、</w:t>
      </w:r>
      <w:r w:rsidRPr="00DF5C23">
        <w:rPr>
          <w:rFonts w:eastAsia="Arial Unicode MS"/>
          <w:noProof/>
          <w:lang w:eastAsia="ja-JP"/>
        </w:rPr>
        <w:t>CEAP</w:t>
      </w:r>
      <w:r w:rsidRPr="00DF5C23">
        <w:rPr>
          <w:rFonts w:eastAsia="Arial Unicode MS"/>
          <w:noProof/>
          <w:lang w:eastAsia="ja-JP"/>
        </w:rPr>
        <w:t>の実施において定義された主要なバリューチェーンに関する他の施策（</w:t>
      </w:r>
      <w:r w:rsidRPr="23DF1179">
        <w:rPr>
          <w:rFonts w:eastAsia="Arial Unicode MS"/>
          <w:b/>
          <w:bCs/>
          <w:noProof/>
          <w:lang w:eastAsia="ja-JP"/>
        </w:rPr>
        <w:t>持続可能で循環型の繊維に関する</w:t>
      </w:r>
      <w:r w:rsidRPr="23DF1179">
        <w:rPr>
          <w:rFonts w:eastAsia="Arial Unicode MS"/>
          <w:b/>
          <w:bCs/>
          <w:noProof/>
          <w:lang w:eastAsia="ja-JP"/>
        </w:rPr>
        <w:t>EU</w:t>
      </w:r>
      <w:r w:rsidRPr="23DF1179">
        <w:rPr>
          <w:rFonts w:eastAsia="Arial Unicode MS"/>
          <w:b/>
          <w:bCs/>
          <w:noProof/>
          <w:lang w:eastAsia="ja-JP"/>
        </w:rPr>
        <w:t>戦略など</w:t>
      </w:r>
      <w:r w:rsidRPr="00DF5C23">
        <w:rPr>
          <w:rFonts w:eastAsia="Arial Unicode MS"/>
          <w:noProof/>
          <w:lang w:eastAsia="ja-JP"/>
        </w:rPr>
        <w:t>）の目的達成を支援し、これに</w:t>
      </w:r>
      <w:r w:rsidRPr="00DF5C23">
        <w:rPr>
          <w:rFonts w:eastAsia="Arial Unicode MS"/>
          <w:noProof/>
          <w:lang w:eastAsia="ja-JP"/>
        </w:rPr>
        <w:t>沿うものであるべき</w:t>
      </w:r>
      <w:r w:rsidR="002041D4">
        <w:rPr>
          <w:rFonts w:ascii="ＭＳ 明朝" w:eastAsia="ＭＳ 明朝" w:hAnsi="ＭＳ 明朝" w:cs="ＭＳ 明朝" w:hint="eastAsia"/>
          <w:noProof/>
          <w:lang w:eastAsia="ja-JP"/>
        </w:rPr>
        <w:t>である</w:t>
      </w:r>
      <w:r w:rsidRPr="00DF5C23">
        <w:rPr>
          <w:rFonts w:eastAsia="Arial Unicode MS"/>
          <w:noProof/>
          <w:lang w:eastAsia="ja-JP"/>
        </w:rPr>
        <w:t>。</w:t>
      </w:r>
      <w:r w:rsidR="00A17F6F" w:rsidRPr="00DF5C23">
        <w:rPr>
          <w:rFonts w:eastAsia="Arial Unicode MS"/>
          <w:noProof/>
          <w:lang w:eastAsia="ja-JP"/>
        </w:rPr>
        <w:t>さらに、</w:t>
      </w:r>
      <w:r w:rsidRPr="00DF5C23">
        <w:rPr>
          <w:rFonts w:eastAsia="Arial Unicode MS"/>
          <w:noProof/>
          <w:lang w:eastAsia="ja-JP"/>
        </w:rPr>
        <w:t>「</w:t>
      </w:r>
      <w:r w:rsidRPr="23DF1179">
        <w:rPr>
          <w:rFonts w:eastAsia="Arial Unicode MS"/>
          <w:b/>
          <w:bCs/>
          <w:noProof/>
          <w:lang w:eastAsia="ja-JP"/>
        </w:rPr>
        <w:t>Empowering consumers for the green transition</w:t>
      </w:r>
      <w:r w:rsidRPr="23DF1179">
        <w:rPr>
          <w:rFonts w:eastAsia="Arial Unicode MS"/>
          <w:b/>
          <w:bCs/>
          <w:noProof/>
          <w:lang w:eastAsia="ja-JP"/>
        </w:rPr>
        <w:t>」イニシアティブは、</w:t>
      </w:r>
      <w:r w:rsidRPr="00DF5C23">
        <w:rPr>
          <w:rFonts w:eastAsia="Arial Unicode MS"/>
          <w:noProof/>
          <w:lang w:eastAsia="ja-JP"/>
        </w:rPr>
        <w:t>製品の販売時点における情報、特に耐久性や修理可能性に関する情報を改善し、グリーンウォッシュや早期の陳腐化を防ぐのに役立つだろう。</w:t>
      </w:r>
      <w:r w:rsidR="005878C6" w:rsidRPr="00DF5C23">
        <w:rPr>
          <w:noProof/>
          <w:lang w:eastAsia="ja-JP"/>
        </w:rPr>
        <w:t>また、今後予定されている</w:t>
      </w:r>
      <w:r w:rsidR="00577CAB" w:rsidRPr="00DF5C23">
        <w:rPr>
          <w:noProof/>
          <w:lang w:eastAsia="ja-JP"/>
        </w:rPr>
        <w:t>欧州委員会の「</w:t>
      </w:r>
      <w:r w:rsidR="00577CAB" w:rsidRPr="23DF1179">
        <w:rPr>
          <w:b/>
          <w:bCs/>
          <w:noProof/>
          <w:lang w:eastAsia="ja-JP"/>
        </w:rPr>
        <w:t>グリーンクレーム」</w:t>
      </w:r>
      <w:r w:rsidR="00577CAB" w:rsidRPr="00DF5C23">
        <w:rPr>
          <w:noProof/>
          <w:lang w:eastAsia="ja-JP"/>
        </w:rPr>
        <w:t>イニシアティブは、</w:t>
      </w:r>
      <w:r w:rsidR="00E20EDA" w:rsidRPr="00DF5C23">
        <w:rPr>
          <w:noProof/>
          <w:lang w:eastAsia="ja-JP"/>
        </w:rPr>
        <w:t>製品に関する</w:t>
      </w:r>
      <w:r w:rsidR="00577CAB" w:rsidRPr="00DF5C23">
        <w:rPr>
          <w:noProof/>
          <w:lang w:eastAsia="ja-JP"/>
        </w:rPr>
        <w:t>環境主張の信頼性、比較可能性、検証可能性を高めることで、</w:t>
      </w:r>
      <w:r w:rsidR="00E20EDA" w:rsidRPr="00DF5C23">
        <w:rPr>
          <w:noProof/>
          <w:lang w:eastAsia="ja-JP"/>
        </w:rPr>
        <w:t>本法案の</w:t>
      </w:r>
      <w:r w:rsidR="00577CAB" w:rsidRPr="00DF5C23">
        <w:rPr>
          <w:noProof/>
          <w:lang w:eastAsia="ja-JP"/>
        </w:rPr>
        <w:t>措置を補完する。</w:t>
      </w:r>
      <w:r w:rsidR="005878C6" w:rsidRPr="00DF5C23">
        <w:rPr>
          <w:noProof/>
          <w:lang w:eastAsia="ja-JP"/>
        </w:rPr>
        <w:t>この</w:t>
      </w:r>
      <w:r w:rsidR="00E20EDA" w:rsidRPr="00DF5C23">
        <w:rPr>
          <w:noProof/>
          <w:lang w:eastAsia="ja-JP"/>
        </w:rPr>
        <w:t>ような主張は、</w:t>
      </w:r>
      <w:r w:rsidR="005878C6" w:rsidRPr="00DF5C23">
        <w:rPr>
          <w:noProof/>
          <w:lang w:val="en-IE" w:eastAsia="fr-BE"/>
        </w:rPr>
        <w:t>製品環境フットプリント法</w:t>
      </w:r>
      <w:r w:rsidR="005878C6" w:rsidRPr="00DF5C23">
        <w:rPr>
          <w:rStyle w:val="afa"/>
          <w:noProof/>
        </w:rPr>
        <w:footnoteReference w:id="12"/>
      </w:r>
      <w:r w:rsidR="005878C6" w:rsidRPr="00DF5C23">
        <w:rPr>
          <w:noProof/>
          <w:lang w:eastAsia="ja-JP"/>
        </w:rPr>
        <w:t xml:space="preserve"> </w:t>
      </w:r>
      <w:r w:rsidR="005878C6" w:rsidRPr="00DF5C23">
        <w:rPr>
          <w:noProof/>
          <w:lang w:eastAsia="ja-JP"/>
        </w:rPr>
        <w:t>を</w:t>
      </w:r>
      <w:r w:rsidR="00577CAB" w:rsidRPr="00DF5C23">
        <w:rPr>
          <w:noProof/>
          <w:lang w:eastAsia="ja-JP"/>
        </w:rPr>
        <w:t>含むライフサイクル分析手法を用いて</w:t>
      </w:r>
      <w:r w:rsidR="005878C6" w:rsidRPr="00DF5C23">
        <w:rPr>
          <w:noProof/>
          <w:lang w:eastAsia="ja-JP"/>
        </w:rPr>
        <w:t>立証</w:t>
      </w:r>
      <w:r w:rsidR="00577CAB" w:rsidRPr="00DF5C23">
        <w:rPr>
          <w:noProof/>
          <w:lang w:eastAsia="ja-JP"/>
        </w:rPr>
        <w:t>・</w:t>
      </w:r>
      <w:r w:rsidR="005878C6" w:rsidRPr="00DF5C23">
        <w:rPr>
          <w:noProof/>
          <w:lang w:eastAsia="ja-JP"/>
        </w:rPr>
        <w:t>検証することを</w:t>
      </w:r>
      <w:r w:rsidR="00E20EDA" w:rsidRPr="00DF5C23">
        <w:rPr>
          <w:noProof/>
          <w:lang w:eastAsia="ja-JP"/>
        </w:rPr>
        <w:t>要求されるからだ。さらに、本法案の目的は、</w:t>
      </w:r>
      <w:r w:rsidR="00E20EDA" w:rsidRPr="23DF1179">
        <w:rPr>
          <w:rFonts w:eastAsia="Arial Unicode MS"/>
          <w:b/>
          <w:bCs/>
          <w:noProof/>
          <w:lang w:eastAsia="ja-JP"/>
        </w:rPr>
        <w:t>企業の</w:t>
      </w:r>
      <w:r w:rsidR="005878C6" w:rsidRPr="23DF1179">
        <w:rPr>
          <w:rFonts w:eastAsia="Arial Unicode MS"/>
          <w:b/>
          <w:bCs/>
          <w:noProof/>
          <w:lang w:eastAsia="ja-JP"/>
        </w:rPr>
        <w:t>持続可能な</w:t>
      </w:r>
      <w:r w:rsidR="00E20EDA" w:rsidRPr="23DF1179">
        <w:rPr>
          <w:rFonts w:eastAsia="Arial Unicode MS"/>
          <w:b/>
          <w:bCs/>
          <w:noProof/>
          <w:lang w:eastAsia="ja-JP"/>
        </w:rPr>
        <w:t>デューディリジェンスに関する</w:t>
      </w:r>
      <w:r w:rsidR="00E20EDA" w:rsidRPr="00DF5C23">
        <w:rPr>
          <w:rFonts w:eastAsia="Arial Unicode MS"/>
          <w:noProof/>
          <w:lang w:eastAsia="ja-JP"/>
        </w:rPr>
        <w:t>法律（</w:t>
      </w:r>
      <w:r w:rsidR="00461A97" w:rsidRPr="23DF1179">
        <w:rPr>
          <w:rStyle w:val="afa"/>
          <w:rFonts w:eastAsia="Arial Unicode MS"/>
          <w:b/>
          <w:bCs/>
          <w:noProof/>
        </w:rPr>
        <w:footnoteReference w:id="13"/>
      </w:r>
      <w:r w:rsidR="00E20EDA" w:rsidRPr="00DF5C23">
        <w:rPr>
          <w:rFonts w:eastAsia="Arial Unicode MS"/>
          <w:noProof/>
          <w:lang w:eastAsia="ja-JP"/>
        </w:rPr>
        <w:t xml:space="preserve"> </w:t>
      </w:r>
      <w:r w:rsidR="00E20EDA" w:rsidRPr="00DF5C23">
        <w:rPr>
          <w:rFonts w:eastAsia="Arial Unicode MS"/>
          <w:noProof/>
          <w:lang w:eastAsia="ja-JP"/>
        </w:rPr>
        <w:t>）、特に企業に対して定めた</w:t>
      </w:r>
      <w:r w:rsidR="00E20EDA" w:rsidRPr="00DF5C23">
        <w:rPr>
          <w:noProof/>
          <w:lang w:eastAsia="ja-JP"/>
        </w:rPr>
        <w:t>環境デューディリジェンス</w:t>
      </w:r>
      <w:r w:rsidR="00E20EDA" w:rsidRPr="00DF5C23">
        <w:rPr>
          <w:rFonts w:eastAsia="Arial Unicode MS"/>
          <w:noProof/>
          <w:lang w:eastAsia="ja-JP"/>
        </w:rPr>
        <w:t>規則によって、さらに支援されることになる。</w:t>
      </w:r>
    </w:p>
    <w:p w14:paraId="54045422" w14:textId="10EF859C" w:rsidR="0038775E" w:rsidRDefault="00877B9C" w:rsidP="002041D4">
      <w:pPr>
        <w:pBdr>
          <w:top w:val="nil"/>
          <w:left w:val="nil"/>
          <w:bottom w:val="nil"/>
          <w:right w:val="nil"/>
          <w:between w:val="nil"/>
          <w:bar w:val="nil"/>
        </w:pBdr>
        <w:wordWrap w:val="0"/>
        <w:spacing w:before="0" w:after="240"/>
        <w:rPr>
          <w:rFonts w:eastAsia="Arial Unicode MS"/>
          <w:noProof/>
          <w:lang w:eastAsia="ja-JP"/>
        </w:rPr>
      </w:pPr>
      <w:r w:rsidRPr="00DF5C23">
        <w:rPr>
          <w:rFonts w:eastAsia="Arial Unicode MS"/>
          <w:noProof/>
          <w:lang w:eastAsia="ja-JP"/>
        </w:rPr>
        <w:t>最後に、</w:t>
      </w:r>
      <w:r w:rsidRPr="00DF5C23">
        <w:rPr>
          <w:rStyle w:val="af3"/>
          <w:b w:val="0"/>
          <w:bCs w:val="0"/>
          <w:noProof/>
          <w:lang w:eastAsia="ja-JP"/>
        </w:rPr>
        <w:t>本要件は、</w:t>
      </w:r>
      <w:r w:rsidRPr="00DF5C23">
        <w:rPr>
          <w:rStyle w:val="af3"/>
          <w:noProof/>
          <w:lang w:eastAsia="ja-JP"/>
        </w:rPr>
        <w:t>EU</w:t>
      </w:r>
      <w:r w:rsidRPr="00DF5C23">
        <w:rPr>
          <w:rStyle w:val="af3"/>
          <w:noProof/>
          <w:lang w:eastAsia="ja-JP"/>
        </w:rPr>
        <w:t>の気候変動目標の達成にも貢献</w:t>
      </w:r>
      <w:r w:rsidR="002041D4">
        <w:rPr>
          <w:rStyle w:val="af3"/>
          <w:noProof/>
          <w:lang w:eastAsia="ja-JP"/>
        </w:rPr>
        <w:t>する</w:t>
      </w:r>
      <w:r w:rsidRPr="00DF5C23">
        <w:rPr>
          <w:rStyle w:val="af3"/>
          <w:b w:val="0"/>
          <w:bCs w:val="0"/>
          <w:noProof/>
          <w:lang w:eastAsia="ja-JP"/>
        </w:rPr>
        <w:t>。</w:t>
      </w:r>
      <w:r w:rsidRPr="00DF5C23">
        <w:rPr>
          <w:noProof/>
          <w:lang w:eastAsia="ja-JP"/>
        </w:rPr>
        <w:t>基本素材</w:t>
      </w:r>
      <w:r w:rsidRPr="00DF5C23">
        <w:rPr>
          <w:noProof/>
          <w:lang w:eastAsia="ja-JP"/>
        </w:rPr>
        <w:t>/</w:t>
      </w:r>
      <w:r w:rsidRPr="00DF5C23">
        <w:rPr>
          <w:noProof/>
          <w:lang w:eastAsia="ja-JP"/>
        </w:rPr>
        <w:t>基本素材部品の生産に</w:t>
      </w:r>
      <w:r w:rsidRPr="00DF5C23">
        <w:rPr>
          <w:rStyle w:val="af3"/>
          <w:b w:val="0"/>
          <w:bCs w:val="0"/>
          <w:noProof/>
          <w:lang w:eastAsia="ja-JP"/>
        </w:rPr>
        <w:t>留まらず、</w:t>
      </w:r>
      <w:r w:rsidRPr="00DF5C23">
        <w:rPr>
          <w:noProof/>
          <w:lang w:eastAsia="ja-JP"/>
        </w:rPr>
        <w:t>最終製品</w:t>
      </w:r>
      <w:r w:rsidRPr="00DF5C23">
        <w:rPr>
          <w:rStyle w:val="af3"/>
          <w:b w:val="0"/>
          <w:bCs w:val="0"/>
          <w:noProof/>
          <w:lang w:eastAsia="ja-JP"/>
        </w:rPr>
        <w:t>そのものを対象とすることで、より直接的な気候変動に焦点を当てた制度との</w:t>
      </w:r>
      <w:r w:rsidR="00D31C3E" w:rsidRPr="00DF5C23">
        <w:rPr>
          <w:rStyle w:val="af3"/>
          <w:b w:val="0"/>
          <w:bCs w:val="0"/>
          <w:noProof/>
          <w:lang w:eastAsia="ja-JP"/>
        </w:rPr>
        <w:t>相乗</w:t>
      </w:r>
      <w:r w:rsidRPr="00DF5C23">
        <w:rPr>
          <w:rStyle w:val="af3"/>
          <w:b w:val="0"/>
          <w:bCs w:val="0"/>
          <w:noProof/>
          <w:lang w:eastAsia="ja-JP"/>
        </w:rPr>
        <w:t>効果や補完が期待さ</w:t>
      </w:r>
      <w:r w:rsidR="002041D4">
        <w:rPr>
          <w:noProof/>
          <w:lang w:eastAsia="ja-JP"/>
        </w:rPr>
        <w:t>れる</w:t>
      </w:r>
      <w:r w:rsidRPr="00DF5C23">
        <w:rPr>
          <w:rStyle w:val="af3"/>
          <w:b w:val="0"/>
          <w:bCs w:val="0"/>
          <w:noProof/>
          <w:lang w:eastAsia="ja-JP"/>
        </w:rPr>
        <w:t>（</w:t>
      </w:r>
      <w:r w:rsidR="00461A97" w:rsidRPr="23DF1179">
        <w:rPr>
          <w:rStyle w:val="afa"/>
          <w:noProof/>
        </w:rPr>
        <w:footnoteReference w:id="14"/>
      </w:r>
      <w:r w:rsidRPr="00DF5C23">
        <w:rPr>
          <w:rStyle w:val="af3"/>
          <w:b w:val="0"/>
          <w:bCs w:val="0"/>
          <w:noProof/>
          <w:lang w:eastAsia="ja-JP"/>
        </w:rPr>
        <w:t xml:space="preserve"> </w:t>
      </w:r>
      <w:r w:rsidRPr="00DF5C23">
        <w:rPr>
          <w:rStyle w:val="af3"/>
          <w:b w:val="0"/>
          <w:bCs w:val="0"/>
          <w:noProof/>
          <w:lang w:eastAsia="ja-JP"/>
        </w:rPr>
        <w:t>）。</w:t>
      </w:r>
      <w:r w:rsidRPr="00DF5C23">
        <w:rPr>
          <w:noProof/>
          <w:lang w:eastAsia="ja-JP"/>
        </w:rPr>
        <w:t>これにより、</w:t>
      </w:r>
      <w:r w:rsidRPr="00DF5C23">
        <w:rPr>
          <w:noProof/>
          <w:lang w:eastAsia="ja-JP"/>
        </w:rPr>
        <w:t>バリューチェーン全体で発生する負の影響</w:t>
      </w:r>
      <w:r w:rsidR="00577CAB" w:rsidRPr="00DF5C23">
        <w:rPr>
          <w:noProof/>
          <w:lang w:eastAsia="ja-JP"/>
        </w:rPr>
        <w:t>（</w:t>
      </w:r>
      <w:r w:rsidRPr="00DF5C23">
        <w:rPr>
          <w:rStyle w:val="af3"/>
          <w:b w:val="0"/>
          <w:bCs w:val="0"/>
          <w:noProof/>
          <w:lang w:eastAsia="ja-JP"/>
        </w:rPr>
        <w:t>ライフサイクルを通じて製品に組み込まれた排出物やその他の負の影響を</w:t>
      </w:r>
      <w:r w:rsidR="00577CAB" w:rsidRPr="00DF5C23">
        <w:rPr>
          <w:noProof/>
          <w:lang w:eastAsia="ja-JP"/>
        </w:rPr>
        <w:t>含む</w:t>
      </w:r>
      <w:r w:rsidRPr="00DF5C23">
        <w:rPr>
          <w:rStyle w:val="af3"/>
          <w:b w:val="0"/>
          <w:bCs w:val="0"/>
          <w:noProof/>
          <w:lang w:eastAsia="ja-JP"/>
        </w:rPr>
        <w:t>）に対して</w:t>
      </w:r>
      <w:r w:rsidRPr="00DF5C23">
        <w:rPr>
          <w:noProof/>
          <w:lang w:eastAsia="ja-JP"/>
        </w:rPr>
        <w:t>行動を起こすことができ</w:t>
      </w:r>
      <w:r w:rsidR="00184DBD" w:rsidRPr="00DF5C23">
        <w:rPr>
          <w:rStyle w:val="af3"/>
          <w:b w:val="0"/>
          <w:bCs w:val="0"/>
          <w:noProof/>
          <w:lang w:eastAsia="ja-JP"/>
        </w:rPr>
        <w:t>、</w:t>
      </w:r>
      <w:r w:rsidRPr="00DF5C23">
        <w:rPr>
          <w:noProof/>
          <w:lang w:eastAsia="ja-JP"/>
        </w:rPr>
        <w:t>グリーンディールの目的を直接</w:t>
      </w:r>
      <w:r w:rsidR="00184DBD" w:rsidRPr="00DF5C23">
        <w:rPr>
          <w:noProof/>
          <w:lang w:eastAsia="ja-JP"/>
        </w:rPr>
        <w:t>支援</w:t>
      </w:r>
      <w:r w:rsidR="003A097F" w:rsidRPr="00DF5C23">
        <w:rPr>
          <w:noProof/>
          <w:lang w:eastAsia="ja-JP"/>
        </w:rPr>
        <w:t>し、「大きな被害を与えない」原則と一致する</w:t>
      </w:r>
      <w:r w:rsidRPr="00DF5C23">
        <w:rPr>
          <w:noProof/>
          <w:lang w:eastAsia="ja-JP"/>
        </w:rPr>
        <w:t>。</w:t>
      </w:r>
    </w:p>
    <w:p w14:paraId="71285960" w14:textId="77777777" w:rsidR="0038775E" w:rsidRDefault="00877B9C" w:rsidP="002041D4">
      <w:pPr>
        <w:pStyle w:val="ManualHeading1"/>
        <w:wordWrap w:val="0"/>
        <w:rPr>
          <w:noProof/>
        </w:rPr>
      </w:pPr>
      <w:r w:rsidRPr="00DF5C23">
        <w:rPr>
          <w:noProof/>
        </w:rPr>
        <w:t>2.</w:t>
      </w:r>
      <w:r w:rsidRPr="00DF5C23">
        <w:rPr>
          <w:noProof/>
        </w:rPr>
        <w:tab/>
      </w:r>
      <w:r w:rsidRPr="00DF5C23">
        <w:rPr>
          <w:noProof/>
        </w:rPr>
        <w:t>法的根拠、補完性、比例性</w:t>
      </w:r>
    </w:p>
    <w:p w14:paraId="33F99C6E" w14:textId="77777777" w:rsidR="0038775E" w:rsidRDefault="00877B9C" w:rsidP="002041D4">
      <w:pPr>
        <w:pStyle w:val="ManualHeading2"/>
        <w:wordWrap w:val="0"/>
        <w:rPr>
          <w:rFonts w:eastAsia="Arial Unicode MS"/>
          <w:noProof/>
          <w:lang w:val="en-US" w:eastAsia="ja-JP"/>
        </w:rPr>
      </w:pPr>
      <w:r w:rsidRPr="00DF5C23">
        <w:rPr>
          <w:rFonts w:eastAsia="Arial Unicode MS"/>
          <w:noProof/>
          <w:bdr w:val="nil"/>
          <w:lang w:val="en-US" w:eastAsia="ja-JP"/>
        </w:rPr>
        <w:t>-</w:t>
      </w:r>
      <w:r w:rsidRPr="00DF5C23">
        <w:rPr>
          <w:rFonts w:eastAsia="Arial Unicode MS"/>
          <w:noProof/>
          <w:u w:color="000000"/>
          <w:bdr w:val="nil"/>
          <w:lang w:val="en-US" w:eastAsia="ja-JP"/>
        </w:rPr>
        <w:tab/>
      </w:r>
      <w:r w:rsidRPr="00DF5C23">
        <w:rPr>
          <w:rFonts w:eastAsia="Arial Unicode MS"/>
          <w:noProof/>
          <w:bdr w:val="nil"/>
          <w:lang w:val="en-US" w:eastAsia="ja-JP"/>
        </w:rPr>
        <w:t>法的根拠</w:t>
      </w:r>
    </w:p>
    <w:p w14:paraId="09F2F8D0" w14:textId="77777777" w:rsidR="0038775E" w:rsidRDefault="00877B9C" w:rsidP="002041D4">
      <w:pPr>
        <w:pBdr>
          <w:top w:val="nil"/>
          <w:left w:val="nil"/>
          <w:bottom w:val="nil"/>
          <w:right w:val="nil"/>
          <w:between w:val="nil"/>
          <w:bar w:val="nil"/>
        </w:pBdr>
        <w:wordWrap w:val="0"/>
        <w:spacing w:before="0" w:after="240"/>
        <w:rPr>
          <w:noProof/>
          <w:lang w:eastAsia="ja-JP"/>
        </w:rPr>
      </w:pPr>
      <w:r>
        <w:rPr>
          <w:noProof/>
          <w:lang w:eastAsia="ja-JP"/>
        </w:rPr>
        <w:t>この提案は、欧州連合の機能に関する条約（</w:t>
      </w:r>
      <w:r>
        <w:rPr>
          <w:noProof/>
          <w:lang w:eastAsia="ja-JP"/>
        </w:rPr>
        <w:t>TFEU</w:t>
      </w:r>
      <w:r>
        <w:rPr>
          <w:noProof/>
          <w:lang w:eastAsia="ja-JP"/>
        </w:rPr>
        <w:t>）第</w:t>
      </w:r>
      <w:r>
        <w:rPr>
          <w:noProof/>
          <w:lang w:eastAsia="ja-JP"/>
        </w:rPr>
        <w:t>114</w:t>
      </w:r>
      <w:r>
        <w:rPr>
          <w:noProof/>
          <w:lang w:eastAsia="ja-JP"/>
        </w:rPr>
        <w:t>条に基づくもので、内部市場の確立と機能を目的とした措置に用いられることになっている。エコデザイン指令（欧州委員会はこの規則による廃止を提案している）は、それ自体、欧州共同体設立条約第</w:t>
      </w:r>
      <w:r>
        <w:rPr>
          <w:noProof/>
          <w:lang w:eastAsia="ja-JP"/>
        </w:rPr>
        <w:t>95</w:t>
      </w:r>
      <w:r>
        <w:rPr>
          <w:noProof/>
          <w:lang w:eastAsia="ja-JP"/>
        </w:rPr>
        <w:t>条（現在の</w:t>
      </w:r>
      <w:r>
        <w:rPr>
          <w:noProof/>
          <w:lang w:eastAsia="ja-JP"/>
        </w:rPr>
        <w:t>TFEU</w:t>
      </w:r>
      <w:r>
        <w:rPr>
          <w:noProof/>
          <w:lang w:eastAsia="ja-JP"/>
        </w:rPr>
        <w:t>第</w:t>
      </w:r>
      <w:r>
        <w:rPr>
          <w:noProof/>
          <w:lang w:eastAsia="ja-JP"/>
        </w:rPr>
        <w:t>114</w:t>
      </w:r>
      <w:r>
        <w:rPr>
          <w:noProof/>
          <w:lang w:eastAsia="ja-JP"/>
        </w:rPr>
        <w:t>条）に基づくものである。</w:t>
      </w:r>
    </w:p>
    <w:p w14:paraId="493FF6AA" w14:textId="3A01BDE8" w:rsidR="0038775E" w:rsidRDefault="00877B9C" w:rsidP="002041D4">
      <w:pPr>
        <w:wordWrap w:val="0"/>
        <w:rPr>
          <w:noProof/>
          <w:lang w:eastAsia="ja-JP"/>
        </w:rPr>
      </w:pPr>
      <w:r>
        <w:rPr>
          <w:noProof/>
          <w:lang w:eastAsia="ja-JP"/>
        </w:rPr>
        <w:t>このイニシアティブが取り組む課題は、より持続可能なアプローチを実施しようとする企業にとって不均等な競争環境、または現行の</w:t>
      </w:r>
      <w:r>
        <w:rPr>
          <w:noProof/>
          <w:lang w:eastAsia="ja-JP"/>
        </w:rPr>
        <w:t>EU</w:t>
      </w:r>
      <w:r>
        <w:rPr>
          <w:noProof/>
          <w:lang w:eastAsia="ja-JP"/>
        </w:rPr>
        <w:t>規則が製品の持続可能性の側面を部分的にしかカバーしていないという事実など、内部市場に関連するもの</w:t>
      </w:r>
      <w:r w:rsidR="002041D4">
        <w:rPr>
          <w:noProof/>
          <w:lang w:eastAsia="ja-JP"/>
        </w:rPr>
        <w:t>である</w:t>
      </w:r>
      <w:r>
        <w:rPr>
          <w:noProof/>
          <w:lang w:eastAsia="ja-JP"/>
        </w:rPr>
        <w:t>。つまり、</w:t>
      </w:r>
      <w:r>
        <w:rPr>
          <w:noProof/>
          <w:lang w:eastAsia="ja-JP"/>
        </w:rPr>
        <w:t>EU</w:t>
      </w:r>
      <w:r>
        <w:rPr>
          <w:noProof/>
          <w:lang w:eastAsia="ja-JP"/>
        </w:rPr>
        <w:t>市場に投入されるすべての製品がますます持続可能になることを保証するための包括的な要求事項が存在しないの</w:t>
      </w:r>
      <w:r w:rsidR="002041D4">
        <w:rPr>
          <w:noProof/>
          <w:lang w:eastAsia="ja-JP"/>
        </w:rPr>
        <w:t>である</w:t>
      </w:r>
      <w:r>
        <w:rPr>
          <w:noProof/>
          <w:lang w:eastAsia="ja-JP"/>
        </w:rPr>
        <w:t>。その結果、加盟国は国内レベルで複数のアプローチを採用し始め（域内市場の断片化につながる）、現行のエコデザイン規則の</w:t>
      </w:r>
      <w:r>
        <w:rPr>
          <w:noProof/>
          <w:lang w:eastAsia="ja-JP"/>
        </w:rPr>
        <w:t>施行は不十分で不均一なものとなって</w:t>
      </w:r>
      <w:r w:rsidR="002041D4">
        <w:rPr>
          <w:noProof/>
          <w:lang w:eastAsia="ja-JP"/>
        </w:rPr>
        <w:t>いる。</w:t>
      </w:r>
      <w:r>
        <w:rPr>
          <w:noProof/>
          <w:lang w:eastAsia="ja-JP"/>
        </w:rPr>
        <w:t xml:space="preserve"> </w:t>
      </w:r>
    </w:p>
    <w:p w14:paraId="35E6ACF4" w14:textId="4C55CA07" w:rsidR="0038775E" w:rsidRDefault="00877B9C" w:rsidP="002041D4">
      <w:pPr>
        <w:wordWrap w:val="0"/>
        <w:rPr>
          <w:noProof/>
          <w:lang w:eastAsia="ja-JP"/>
        </w:rPr>
      </w:pPr>
      <w:r>
        <w:rPr>
          <w:noProof/>
          <w:lang w:eastAsia="ja-JP"/>
        </w:rPr>
        <w:lastRenderedPageBreak/>
        <w:t>十分かつ包括的な域内市場ルールがないため、加盟国や業界によって開発されたイニシアティブが、潜在的な障壁、断片化、支離滅裂なアプローチを生じさせ、域内市場の機能を損なう余地があ</w:t>
      </w:r>
      <w:r w:rsidR="002041D4">
        <w:rPr>
          <w:noProof/>
          <w:lang w:eastAsia="ja-JP"/>
        </w:rPr>
        <w:t>る</w:t>
      </w:r>
      <w:r>
        <w:rPr>
          <w:noProof/>
          <w:lang w:eastAsia="ja-JP"/>
        </w:rPr>
        <w:t>。さらに、製品の環境持続可能性を定義する包括的な要件、すなわちエコデザイン要件がない場合、ある加盟国で持続可能であると考えられている同じ製品が、別の加盟国では持続可能であると認められない可能性があ</w:t>
      </w:r>
      <w:r w:rsidR="002041D4">
        <w:rPr>
          <w:noProof/>
          <w:lang w:eastAsia="ja-JP"/>
        </w:rPr>
        <w:t>る</w:t>
      </w:r>
      <w:r>
        <w:rPr>
          <w:noProof/>
          <w:lang w:eastAsia="ja-JP"/>
        </w:rPr>
        <w:t>。さらに、最近採択された国内法では、</w:t>
      </w:r>
      <w:r>
        <w:rPr>
          <w:noProof/>
          <w:lang w:eastAsia="ja-JP"/>
        </w:rPr>
        <w:t>EU</w:t>
      </w:r>
      <w:r>
        <w:rPr>
          <w:noProof/>
          <w:lang w:eastAsia="ja-JP"/>
        </w:rPr>
        <w:t>の国境を越えて活動する製造業者（および小売業</w:t>
      </w:r>
      <w:r>
        <w:rPr>
          <w:noProof/>
          <w:lang w:eastAsia="ja-JP"/>
        </w:rPr>
        <w:t>者）に対して、加盟国ごとに異なるさまざまな国内義務を遵守することが義務付けられる可能性があ</w:t>
      </w:r>
      <w:r w:rsidR="002041D4">
        <w:rPr>
          <w:noProof/>
          <w:lang w:eastAsia="ja-JP"/>
        </w:rPr>
        <w:t>る</w:t>
      </w:r>
      <w:r>
        <w:rPr>
          <w:noProof/>
          <w:lang w:eastAsia="ja-JP"/>
        </w:rPr>
        <w:t>。</w:t>
      </w:r>
      <w:r>
        <w:rPr>
          <w:noProof/>
          <w:lang w:eastAsia="ja-JP"/>
        </w:rPr>
        <w:t xml:space="preserve"> </w:t>
      </w:r>
    </w:p>
    <w:p w14:paraId="6D85D445" w14:textId="7AA72AD2" w:rsidR="0038775E" w:rsidRDefault="00877B9C" w:rsidP="002041D4">
      <w:pPr>
        <w:wordWrap w:val="0"/>
        <w:rPr>
          <w:noProof/>
          <w:lang w:eastAsia="ja-JP"/>
        </w:rPr>
      </w:pPr>
      <w:r>
        <w:rPr>
          <w:noProof/>
          <w:lang w:eastAsia="ja-JP"/>
        </w:rPr>
        <w:t>これらの新しい国内義務は、再生電子機器に施された技術的操作に関する情報提供義務、フランスにおけるソフトウェアの互換性期間に関する義務、ドイツにおける売れ残り耐久財の取り扱いに関する報告義務など、商品にエコデザインの要件を設定することで規制措置を講じようとする傾向を明確に示している。その結果、</w:t>
      </w:r>
      <w:r>
        <w:rPr>
          <w:noProof/>
          <w:lang w:eastAsia="ja-JP"/>
        </w:rPr>
        <w:t>EU</w:t>
      </w:r>
      <w:r>
        <w:rPr>
          <w:noProof/>
          <w:lang w:eastAsia="ja-JP"/>
        </w:rPr>
        <w:t>が行動を起こさなければ、必然的に各国の義務が増加し、市場の細分化が進むことにな</w:t>
      </w:r>
      <w:r w:rsidR="002041D4">
        <w:rPr>
          <w:noProof/>
          <w:lang w:eastAsia="ja-JP"/>
        </w:rPr>
        <w:t>る</w:t>
      </w:r>
      <w:r>
        <w:rPr>
          <w:noProof/>
          <w:lang w:eastAsia="ja-JP"/>
        </w:rPr>
        <w:t>。</w:t>
      </w:r>
    </w:p>
    <w:p w14:paraId="422D4DC8" w14:textId="77777777" w:rsidR="0038775E" w:rsidRDefault="00877B9C" w:rsidP="002041D4">
      <w:pPr>
        <w:pBdr>
          <w:top w:val="nil"/>
          <w:left w:val="nil"/>
          <w:bottom w:val="nil"/>
          <w:right w:val="nil"/>
          <w:between w:val="nil"/>
          <w:bar w:val="nil"/>
        </w:pBdr>
        <w:wordWrap w:val="0"/>
        <w:spacing w:before="0" w:after="240"/>
        <w:rPr>
          <w:noProof/>
          <w:lang w:eastAsia="ja-JP"/>
        </w:rPr>
      </w:pPr>
      <w:r>
        <w:rPr>
          <w:noProof/>
          <w:lang w:eastAsia="ja-JP"/>
        </w:rPr>
        <w:t>上記の問題は、本提案が</w:t>
      </w:r>
      <w:r>
        <w:rPr>
          <w:noProof/>
          <w:lang w:eastAsia="ja-JP"/>
        </w:rPr>
        <w:t>TF</w:t>
      </w:r>
      <w:r>
        <w:rPr>
          <w:noProof/>
          <w:lang w:eastAsia="ja-JP"/>
        </w:rPr>
        <w:t>EU114</w:t>
      </w:r>
      <w:r>
        <w:rPr>
          <w:noProof/>
          <w:lang w:eastAsia="ja-JP"/>
        </w:rPr>
        <w:t>条を根拠とする根拠となる。</w:t>
      </w:r>
    </w:p>
    <w:p w14:paraId="5F0DCF17" w14:textId="77777777" w:rsidR="0038775E" w:rsidRDefault="00877B9C" w:rsidP="002041D4">
      <w:pPr>
        <w:pStyle w:val="ManualHeading2"/>
        <w:wordWrap w:val="0"/>
        <w:rPr>
          <w:rFonts w:eastAsia="Arial Unicode MS"/>
          <w:noProof/>
          <w:lang w:val="en-US" w:eastAsia="ja-JP"/>
        </w:rPr>
      </w:pPr>
      <w:r w:rsidRPr="00DF5C23">
        <w:rPr>
          <w:rFonts w:eastAsia="Arial Unicode MS"/>
          <w:noProof/>
          <w:bdr w:val="nil"/>
          <w:lang w:val="en-US" w:eastAsia="ja-JP"/>
        </w:rPr>
        <w:t>-</w:t>
      </w:r>
      <w:r w:rsidRPr="00DF5C23">
        <w:rPr>
          <w:rFonts w:eastAsia="Arial Unicode MS"/>
          <w:noProof/>
          <w:u w:color="000000"/>
          <w:bdr w:val="nil"/>
          <w:lang w:val="en-US" w:eastAsia="ja-JP"/>
        </w:rPr>
        <w:tab/>
      </w:r>
      <w:r w:rsidRPr="00DF5C23">
        <w:rPr>
          <w:rFonts w:eastAsia="Arial Unicode MS"/>
          <w:noProof/>
          <w:bdr w:val="nil"/>
          <w:lang w:val="en-US" w:eastAsia="ja-JP"/>
        </w:rPr>
        <w:t>相補性</w:t>
      </w:r>
      <w:r w:rsidRPr="00DF5C23">
        <w:rPr>
          <w:rFonts w:eastAsia="Arial Unicode MS"/>
          <w:noProof/>
          <w:bdr w:val="nil"/>
          <w:lang w:val="en-US" w:eastAsia="ja-JP"/>
        </w:rPr>
        <w:t xml:space="preserve"> </w:t>
      </w:r>
    </w:p>
    <w:p w14:paraId="2FCE929A" w14:textId="04C34D92" w:rsidR="0038775E" w:rsidRDefault="00877B9C" w:rsidP="002041D4">
      <w:pPr>
        <w:pBdr>
          <w:top w:val="nil"/>
          <w:left w:val="nil"/>
          <w:bottom w:val="nil"/>
          <w:right w:val="nil"/>
          <w:between w:val="nil"/>
          <w:bar w:val="nil"/>
        </w:pBdr>
        <w:wordWrap w:val="0"/>
        <w:spacing w:before="0" w:after="240"/>
        <w:rPr>
          <w:noProof/>
          <w:lang w:eastAsia="ja-JP"/>
        </w:rPr>
      </w:pPr>
      <w:r>
        <w:rPr>
          <w:noProof/>
          <w:lang w:eastAsia="ja-JP"/>
        </w:rPr>
        <w:t>必要性テストは、提案の目的が加盟国による行動のみで十分に達成できるかどうかを問うもの</w:t>
      </w:r>
      <w:r w:rsidR="002041D4">
        <w:rPr>
          <w:noProof/>
          <w:lang w:eastAsia="ja-JP"/>
        </w:rPr>
        <w:t>である</w:t>
      </w:r>
      <w:r>
        <w:rPr>
          <w:noProof/>
          <w:lang w:eastAsia="ja-JP"/>
        </w:rPr>
        <w:t>。このテストでは、</w:t>
      </w:r>
      <w:r w:rsidRPr="23DF1179">
        <w:rPr>
          <w:noProof/>
          <w:lang w:eastAsia="ja-JP"/>
        </w:rPr>
        <w:t>すべての加盟国においてサステナブル製品のための調和</w:t>
      </w:r>
      <w:r>
        <w:rPr>
          <w:noProof/>
          <w:lang w:eastAsia="ja-JP"/>
        </w:rPr>
        <w:t>され</w:t>
      </w:r>
      <w:r w:rsidRPr="23DF1179">
        <w:rPr>
          <w:noProof/>
          <w:lang w:eastAsia="ja-JP"/>
        </w:rPr>
        <w:t>、十分に機能する域内市場を実現するために、</w:t>
      </w:r>
      <w:r>
        <w:rPr>
          <w:noProof/>
          <w:lang w:eastAsia="ja-JP"/>
        </w:rPr>
        <w:t>調和された一連のルールを導入することが不可欠で</w:t>
      </w:r>
      <w:r w:rsidRPr="23DF1179">
        <w:rPr>
          <w:noProof/>
          <w:lang w:eastAsia="ja-JP"/>
        </w:rPr>
        <w:t>あり、したがって</w:t>
      </w:r>
      <w:r w:rsidRPr="23DF1179">
        <w:rPr>
          <w:rFonts w:eastAsia="Arial Unicode MS"/>
          <w:noProof/>
          <w:lang w:eastAsia="ja-JP"/>
        </w:rPr>
        <w:t>域内市場で</w:t>
      </w:r>
      <w:r w:rsidRPr="23DF1179">
        <w:rPr>
          <w:noProof/>
          <w:lang w:eastAsia="ja-JP"/>
        </w:rPr>
        <w:t>活動する企業にとって公平な競争条件となる</w:t>
      </w:r>
      <w:r w:rsidRPr="23DF1179">
        <w:rPr>
          <w:noProof/>
          <w:lang w:eastAsia="ja-JP"/>
        </w:rPr>
        <w:t>。これには、製品要件やユーザーへの信頼できる情報提供の義務などが含ま</w:t>
      </w:r>
      <w:r w:rsidR="002041D4">
        <w:rPr>
          <w:noProof/>
          <w:lang w:eastAsia="ja-JP"/>
        </w:rPr>
        <w:t>れる</w:t>
      </w:r>
      <w:r w:rsidRPr="23DF1179">
        <w:rPr>
          <w:noProof/>
          <w:lang w:eastAsia="ja-JP"/>
        </w:rPr>
        <w:t>。</w:t>
      </w:r>
      <w:r w:rsidRPr="23DF1179">
        <w:rPr>
          <w:noProof/>
          <w:lang w:eastAsia="ja-JP"/>
        </w:rPr>
        <w:t xml:space="preserve"> </w:t>
      </w:r>
    </w:p>
    <w:p w14:paraId="22DAF158" w14:textId="77777777" w:rsidR="0038775E" w:rsidRDefault="00877B9C" w:rsidP="002041D4">
      <w:pPr>
        <w:pBdr>
          <w:top w:val="nil"/>
          <w:left w:val="nil"/>
          <w:bottom w:val="nil"/>
          <w:right w:val="nil"/>
          <w:between w:val="nil"/>
          <w:bar w:val="nil"/>
        </w:pBdr>
        <w:wordWrap w:val="0"/>
        <w:spacing w:before="0" w:after="240"/>
        <w:rPr>
          <w:noProof/>
          <w:lang w:eastAsia="ja-JP"/>
        </w:rPr>
      </w:pPr>
      <w:r>
        <w:rPr>
          <w:noProof/>
          <w:lang w:eastAsia="ja-JP"/>
        </w:rPr>
        <w:t>加盟国だけでは、ビジネスに対する要求の相違や製品の自由な移動に対する障害、規制負担、ビジネスに対する過剰なコストを生じさせることなく、この範囲の措置を制定することはできないだろう。さらに、加盟国が単独で実施する措置は、必然的に異なる手段を生み出し、消費者の選択をより複雑なものにするだろう。加盟国が個別に対応する場合、特に域内市場を越えて取引される製品について、異なる手法やアプローチに基づく競合するシステムが存在することになる危険</w:t>
      </w:r>
      <w:r>
        <w:rPr>
          <w:noProof/>
          <w:lang w:eastAsia="ja-JP"/>
        </w:rPr>
        <w:t>性が高い。これは、市場を分断し、</w:t>
      </w:r>
      <w:r>
        <w:rPr>
          <w:noProof/>
          <w:lang w:eastAsia="ja-JP"/>
        </w:rPr>
        <w:t>EU</w:t>
      </w:r>
      <w:r>
        <w:rPr>
          <w:noProof/>
          <w:lang w:eastAsia="ja-JP"/>
        </w:rPr>
        <w:t>全域で製品の環境性能に関する認識や情報のレベルが異なり、</w:t>
      </w:r>
      <w:r>
        <w:rPr>
          <w:noProof/>
          <w:lang w:eastAsia="ja-JP"/>
        </w:rPr>
        <w:t>EU</w:t>
      </w:r>
      <w:r>
        <w:rPr>
          <w:noProof/>
          <w:lang w:eastAsia="ja-JP"/>
        </w:rPr>
        <w:t>加盟国間で取引する企業にとって追加的なコストにつながる可能性が高い。</w:t>
      </w:r>
      <w:r>
        <w:rPr>
          <w:noProof/>
          <w:lang w:eastAsia="ja-JP"/>
        </w:rPr>
        <w:t xml:space="preserve">   </w:t>
      </w:r>
    </w:p>
    <w:p w14:paraId="446976D0" w14:textId="6345471B" w:rsidR="0038775E" w:rsidRDefault="00877B9C" w:rsidP="002041D4">
      <w:pPr>
        <w:pBdr>
          <w:top w:val="nil"/>
          <w:left w:val="nil"/>
          <w:bottom w:val="nil"/>
          <w:right w:val="nil"/>
          <w:between w:val="nil"/>
          <w:bar w:val="nil"/>
        </w:pBdr>
        <w:wordWrap w:val="0"/>
        <w:spacing w:before="0" w:after="240"/>
        <w:rPr>
          <w:noProof/>
          <w:lang w:eastAsia="ja-JP"/>
        </w:rPr>
      </w:pPr>
      <w:r w:rsidRPr="23DF1179">
        <w:rPr>
          <w:noProof/>
          <w:lang w:eastAsia="ja-JP"/>
        </w:rPr>
        <w:t>有効性テストは、</w:t>
      </w:r>
      <w:r w:rsidRPr="23DF1179">
        <w:rPr>
          <w:noProof/>
          <w:lang w:eastAsia="ja-JP"/>
        </w:rPr>
        <w:t>EU</w:t>
      </w:r>
      <w:r w:rsidRPr="23DF1179">
        <w:rPr>
          <w:noProof/>
          <w:lang w:eastAsia="ja-JP"/>
        </w:rPr>
        <w:t>レベルの行動が、国レベルの行動よりも有効であるかどうかをチェックするもの</w:t>
      </w:r>
      <w:r w:rsidR="002041D4">
        <w:rPr>
          <w:noProof/>
          <w:lang w:eastAsia="ja-JP"/>
        </w:rPr>
        <w:t>である</w:t>
      </w:r>
      <w:r w:rsidRPr="23DF1179">
        <w:rPr>
          <w:noProof/>
          <w:lang w:eastAsia="ja-JP"/>
        </w:rPr>
        <w:t>。このテストでは、</w:t>
      </w:r>
      <w:r>
        <w:rPr>
          <w:noProof/>
          <w:lang w:eastAsia="ja-JP"/>
        </w:rPr>
        <w:t>EU</w:t>
      </w:r>
      <w:r>
        <w:rPr>
          <w:noProof/>
          <w:lang w:eastAsia="ja-JP"/>
        </w:rPr>
        <w:t>レベルの行動のみが、</w:t>
      </w:r>
      <w:r>
        <w:rPr>
          <w:noProof/>
          <w:lang w:eastAsia="ja-JP"/>
        </w:rPr>
        <w:t>EU</w:t>
      </w:r>
      <w:r>
        <w:rPr>
          <w:noProof/>
          <w:lang w:eastAsia="ja-JP"/>
        </w:rPr>
        <w:t>全域に適用される調和された製品要件と持続可能性の側面に関する情報要件を設定し、商品の自由な移動を保証し、消費者に、どの加盟国で購入された製品であっても持続可能な特性や循環機能に関する適切で信頼できる</w:t>
      </w:r>
      <w:r>
        <w:rPr>
          <w:noProof/>
          <w:lang w:eastAsia="ja-JP"/>
        </w:rPr>
        <w:t>情報を提供することができるとされて</w:t>
      </w:r>
      <w:r w:rsidR="002041D4">
        <w:rPr>
          <w:noProof/>
          <w:lang w:eastAsia="ja-JP"/>
        </w:rPr>
        <w:t>いる。</w:t>
      </w:r>
      <w:r>
        <w:rPr>
          <w:noProof/>
          <w:lang w:eastAsia="ja-JP"/>
        </w:rPr>
        <w:t>EU</w:t>
      </w:r>
      <w:r>
        <w:rPr>
          <w:noProof/>
          <w:lang w:eastAsia="ja-JP"/>
        </w:rPr>
        <w:t>レベルで要求事項を設定することには、明確な付加価値があ</w:t>
      </w:r>
      <w:r w:rsidR="002041D4">
        <w:rPr>
          <w:noProof/>
          <w:lang w:eastAsia="ja-JP"/>
        </w:rPr>
        <w:t>る</w:t>
      </w:r>
      <w:r>
        <w:rPr>
          <w:noProof/>
          <w:lang w:eastAsia="ja-JP"/>
        </w:rPr>
        <w:t>。なぜなら、すべての加盟国において調和され、十分に機能する域内市場が形成され、</w:t>
      </w:r>
      <w:r w:rsidRPr="23DF1179">
        <w:rPr>
          <w:rFonts w:eastAsia="Arial Unicode MS"/>
          <w:noProof/>
          <w:lang w:eastAsia="ja-JP"/>
        </w:rPr>
        <w:t>域内市場で</w:t>
      </w:r>
      <w:r>
        <w:rPr>
          <w:noProof/>
          <w:lang w:eastAsia="ja-JP"/>
        </w:rPr>
        <w:t>活動する企業にとって公平な競争の場となるため</w:t>
      </w:r>
      <w:r w:rsidR="002041D4">
        <w:rPr>
          <w:noProof/>
          <w:lang w:eastAsia="ja-JP"/>
        </w:rPr>
        <w:t>である</w:t>
      </w:r>
      <w:r>
        <w:rPr>
          <w:noProof/>
          <w:lang w:eastAsia="ja-JP"/>
        </w:rPr>
        <w:t>。</w:t>
      </w:r>
      <w:r>
        <w:rPr>
          <w:noProof/>
          <w:lang w:eastAsia="ja-JP"/>
        </w:rPr>
        <w:t>EU</w:t>
      </w:r>
      <w:r>
        <w:rPr>
          <w:noProof/>
          <w:lang w:eastAsia="ja-JP"/>
        </w:rPr>
        <w:t>レベルで設定される調和された最低要件と情報要件により、持続可能な製品と循環型社会がすべての加盟国で促進され、より大きく効率的な市場が形成され、したがって、産業界が</w:t>
      </w:r>
      <w:r>
        <w:rPr>
          <w:noProof/>
          <w:lang w:eastAsia="ja-JP"/>
        </w:rPr>
        <w:lastRenderedPageBreak/>
        <w:t>それらを開発するインセンティブが高ま</w:t>
      </w:r>
      <w:r w:rsidR="002041D4">
        <w:rPr>
          <w:noProof/>
          <w:lang w:eastAsia="ja-JP"/>
        </w:rPr>
        <w:t>る</w:t>
      </w:r>
      <w:r>
        <w:rPr>
          <w:noProof/>
          <w:lang w:eastAsia="ja-JP"/>
        </w:rPr>
        <w:t>。最後に、域内市場の規模は、</w:t>
      </w:r>
      <w:r>
        <w:rPr>
          <w:noProof/>
          <w:lang w:eastAsia="ja-JP"/>
        </w:rPr>
        <w:t>EU</w:t>
      </w:r>
      <w:r>
        <w:rPr>
          <w:noProof/>
          <w:lang w:eastAsia="ja-JP"/>
        </w:rPr>
        <w:t>が製品の持続可能性を促進し、</w:t>
      </w:r>
      <w:r>
        <w:rPr>
          <w:noProof/>
          <w:lang w:eastAsia="ja-JP"/>
        </w:rPr>
        <w:t>世界中の製品設計やバリューチェーン・マネジメントに影響を与えることを可能にするクリティカルマスである。</w:t>
      </w:r>
    </w:p>
    <w:p w14:paraId="1CFFEC18" w14:textId="77777777" w:rsidR="0038775E" w:rsidRDefault="00877B9C" w:rsidP="002041D4">
      <w:pPr>
        <w:pStyle w:val="ManualHeading2"/>
        <w:wordWrap w:val="0"/>
        <w:rPr>
          <w:rFonts w:eastAsia="Arial Unicode MS"/>
          <w:noProof/>
          <w:lang w:val="en-US" w:eastAsia="ja-JP"/>
        </w:rPr>
      </w:pPr>
      <w:r w:rsidRPr="00DF5C23">
        <w:rPr>
          <w:rFonts w:eastAsia="Arial Unicode MS"/>
          <w:noProof/>
          <w:bdr w:val="nil"/>
          <w:lang w:val="en-US" w:eastAsia="ja-JP"/>
        </w:rPr>
        <w:t>-</w:t>
      </w:r>
      <w:r w:rsidRPr="00DF5C23">
        <w:rPr>
          <w:rFonts w:eastAsia="Arial Unicode MS"/>
          <w:noProof/>
          <w:u w:color="000000"/>
          <w:bdr w:val="nil"/>
          <w:lang w:val="en-US" w:eastAsia="ja-JP"/>
        </w:rPr>
        <w:tab/>
      </w:r>
      <w:r w:rsidRPr="00DF5C23">
        <w:rPr>
          <w:rFonts w:eastAsia="Arial Unicode MS"/>
          <w:noProof/>
          <w:bdr w:val="nil"/>
          <w:lang w:val="en-US" w:eastAsia="ja-JP"/>
        </w:rPr>
        <w:t>プロポーショナリティ</w:t>
      </w:r>
    </w:p>
    <w:p w14:paraId="21112917" w14:textId="4E1C4812" w:rsidR="0038775E" w:rsidRDefault="00877B9C" w:rsidP="002041D4">
      <w:pPr>
        <w:pBdr>
          <w:top w:val="nil"/>
          <w:left w:val="nil"/>
          <w:bottom w:val="nil"/>
          <w:right w:val="nil"/>
          <w:between w:val="nil"/>
          <w:bar w:val="nil"/>
        </w:pBdr>
        <w:wordWrap w:val="0"/>
        <w:spacing w:before="0" w:after="240"/>
        <w:rPr>
          <w:noProof/>
          <w:lang w:eastAsia="ja-JP"/>
        </w:rPr>
      </w:pPr>
      <w:r>
        <w:rPr>
          <w:noProof/>
          <w:lang w:eastAsia="ja-JP"/>
        </w:rPr>
        <w:t>本提案は、可能な限り広範な製品に対してエコデザイン要件を策定するための規制的枠組みを提供するために必要な範囲を超えるものでは</w:t>
      </w:r>
      <w:r w:rsidR="002041D4">
        <w:rPr>
          <w:noProof/>
          <w:lang w:eastAsia="ja-JP"/>
        </w:rPr>
        <w:t>ない</w:t>
      </w:r>
      <w:r>
        <w:rPr>
          <w:noProof/>
          <w:lang w:eastAsia="ja-JP"/>
        </w:rPr>
        <w:t>。</w:t>
      </w:r>
    </w:p>
    <w:p w14:paraId="2A621F10" w14:textId="77777777" w:rsidR="0038775E" w:rsidRDefault="00877B9C" w:rsidP="002041D4">
      <w:pPr>
        <w:wordWrap w:val="0"/>
        <w:rPr>
          <w:noProof/>
          <w:lang w:eastAsia="ja-JP"/>
        </w:rPr>
      </w:pPr>
      <w:r>
        <w:rPr>
          <w:noProof/>
          <w:lang w:eastAsia="ja-JP"/>
        </w:rPr>
        <w:t>欧州委員会は、欧州委員会の「より良い規制」のガイドラインに沿って実施される影響評価に基づき、実施措置を発行するという、エコデザイン指令で踏襲したアプローチを継続する予定である。そのため、欧州委員会は、一連の要求事項ごとに異なる選択肢の経済的およ</w:t>
      </w:r>
      <w:r>
        <w:rPr>
          <w:noProof/>
          <w:lang w:eastAsia="ja-JP"/>
        </w:rPr>
        <w:t>び環境的影響の分析を実施する予定である。これにより、比例性を維持することができるようになる。</w:t>
      </w:r>
      <w:r>
        <w:rPr>
          <w:noProof/>
          <w:lang w:eastAsia="ja-JP"/>
        </w:rPr>
        <w:t xml:space="preserve"> </w:t>
      </w:r>
    </w:p>
    <w:p w14:paraId="114E7C23" w14:textId="03C00ED7" w:rsidR="0038775E" w:rsidRDefault="00877B9C" w:rsidP="002041D4">
      <w:pPr>
        <w:wordWrap w:val="0"/>
        <w:rPr>
          <w:noProof/>
          <w:lang w:eastAsia="ja-JP"/>
        </w:rPr>
      </w:pPr>
      <w:r>
        <w:rPr>
          <w:noProof/>
          <w:lang w:eastAsia="ja-JP"/>
        </w:rPr>
        <w:t>本提案は、比例性を確保するための手段として、柔軟な枠組みとして設計されて</w:t>
      </w:r>
      <w:r w:rsidR="002041D4">
        <w:rPr>
          <w:noProof/>
          <w:lang w:eastAsia="ja-JP"/>
        </w:rPr>
        <w:t>いる。</w:t>
      </w:r>
      <w:r>
        <w:rPr>
          <w:noProof/>
          <w:lang w:eastAsia="ja-JP"/>
        </w:rPr>
        <w:t>このため、事前評価に基づいて正当化されない限り、要求事項の基準や目標を設定しない。比例を確保するために、個々の要件は、どの製品グループにも適用される前に正当化される必要があ</w:t>
      </w:r>
      <w:r w:rsidR="002041D4">
        <w:rPr>
          <w:noProof/>
          <w:lang w:eastAsia="ja-JP"/>
        </w:rPr>
        <w:t>る</w:t>
      </w:r>
      <w:r>
        <w:rPr>
          <w:noProof/>
          <w:lang w:eastAsia="ja-JP"/>
        </w:rPr>
        <w:t>。</w:t>
      </w:r>
      <w:r w:rsidRPr="23DF1179">
        <w:rPr>
          <w:noProof/>
          <w:lang w:eastAsia="ja-JP"/>
        </w:rPr>
        <w:t>明確に定義された製品グループのレベルで要件、基準または目標を</w:t>
      </w:r>
      <w:r>
        <w:rPr>
          <w:noProof/>
          <w:lang w:eastAsia="ja-JP"/>
        </w:rPr>
        <w:t>設定することで、</w:t>
      </w:r>
      <w:r w:rsidRPr="23DF1179">
        <w:rPr>
          <w:noProof/>
          <w:lang w:eastAsia="ja-JP"/>
        </w:rPr>
        <w:t>影響の慎重な評価が可能になる。また、製品の固有の特性、製造プロセス、市場の状況に</w:t>
      </w:r>
      <w:r w:rsidRPr="23DF1179">
        <w:rPr>
          <w:noProof/>
          <w:lang w:eastAsia="ja-JP"/>
        </w:rPr>
        <w:t>応じて要求事項、目標、基準を設定することの付加価値と比例性を、欧州委員会が考慮することができるようになる。</w:t>
      </w:r>
    </w:p>
    <w:p w14:paraId="0AFCFD98" w14:textId="77777777" w:rsidR="0038775E" w:rsidRDefault="00877B9C" w:rsidP="002041D4">
      <w:pPr>
        <w:pStyle w:val="ManualHeading2"/>
        <w:wordWrap w:val="0"/>
        <w:rPr>
          <w:rFonts w:eastAsia="Arial Unicode MS"/>
          <w:noProof/>
          <w:lang w:val="en-US" w:eastAsia="ja-JP"/>
        </w:rPr>
      </w:pPr>
      <w:r w:rsidRPr="00DF5C23">
        <w:rPr>
          <w:rFonts w:eastAsia="Arial Unicode MS"/>
          <w:noProof/>
          <w:bdr w:val="nil"/>
          <w:lang w:val="en-US" w:eastAsia="ja-JP"/>
        </w:rPr>
        <w:t>-</w:t>
      </w:r>
      <w:r w:rsidRPr="00DF5C23">
        <w:rPr>
          <w:rFonts w:eastAsia="Arial Unicode MS"/>
          <w:noProof/>
          <w:u w:color="000000"/>
          <w:bdr w:val="nil"/>
          <w:lang w:val="en-US" w:eastAsia="ja-JP"/>
        </w:rPr>
        <w:tab/>
      </w:r>
      <w:r w:rsidRPr="00DF5C23">
        <w:rPr>
          <w:rFonts w:eastAsia="Arial Unicode MS"/>
          <w:noProof/>
          <w:bdr w:val="nil"/>
          <w:lang w:val="en-US" w:eastAsia="ja-JP"/>
        </w:rPr>
        <w:t>楽器の選択</w:t>
      </w:r>
    </w:p>
    <w:p w14:paraId="26997082" w14:textId="76D2C965" w:rsidR="0038775E" w:rsidRDefault="00877B9C" w:rsidP="002041D4">
      <w:pPr>
        <w:wordWrap w:val="0"/>
        <w:rPr>
          <w:noProof/>
          <w:lang w:eastAsia="ja-JP"/>
        </w:rPr>
      </w:pPr>
      <w:r w:rsidRPr="23DF1179">
        <w:rPr>
          <w:noProof/>
          <w:lang w:eastAsia="ja-JP"/>
        </w:rPr>
        <w:t>規制は、すべての事業者に対して直接的な要件を設定するため、</w:t>
      </w:r>
      <w:r w:rsidRPr="23DF1179">
        <w:rPr>
          <w:noProof/>
          <w:lang w:eastAsia="ja-JP"/>
        </w:rPr>
        <w:t>EU</w:t>
      </w:r>
      <w:r w:rsidRPr="23DF1179">
        <w:rPr>
          <w:noProof/>
          <w:lang w:eastAsia="ja-JP"/>
        </w:rPr>
        <w:t>全域で完全に統合された市場の施行に必要な法的確実性と範囲を提供することになる。また、規制は、</w:t>
      </w:r>
      <w:r w:rsidRPr="23DF1179">
        <w:rPr>
          <w:noProof/>
          <w:lang w:eastAsia="ja-JP"/>
        </w:rPr>
        <w:t>27</w:t>
      </w:r>
      <w:r w:rsidRPr="23DF1179">
        <w:rPr>
          <w:noProof/>
          <w:lang w:eastAsia="ja-JP"/>
        </w:rPr>
        <w:t>の加盟国すべてにおいて、同じ時期に同じ方法で義務が実施されることを保証</w:t>
      </w:r>
      <w:r w:rsidR="002041D4">
        <w:rPr>
          <w:noProof/>
          <w:lang w:eastAsia="ja-JP"/>
        </w:rPr>
        <w:t>する</w:t>
      </w:r>
      <w:r w:rsidRPr="23DF1179">
        <w:rPr>
          <w:noProof/>
          <w:lang w:eastAsia="ja-JP"/>
        </w:rPr>
        <w:t>。</w:t>
      </w:r>
    </w:p>
    <w:p w14:paraId="677DFF38" w14:textId="77777777" w:rsidR="0038775E" w:rsidRDefault="00877B9C" w:rsidP="002041D4">
      <w:pPr>
        <w:pStyle w:val="ManualHeading1"/>
        <w:wordWrap w:val="0"/>
        <w:rPr>
          <w:noProof/>
          <w:lang w:eastAsia="ja-JP"/>
        </w:rPr>
      </w:pPr>
      <w:r w:rsidRPr="00DF5C23">
        <w:rPr>
          <w:noProof/>
          <w:lang w:eastAsia="ja-JP"/>
        </w:rPr>
        <w:t>3.</w:t>
      </w:r>
      <w:r w:rsidRPr="00DF5C23">
        <w:rPr>
          <w:noProof/>
          <w:lang w:eastAsia="ja-JP"/>
        </w:rPr>
        <w:tab/>
      </w:r>
      <w:r w:rsidRPr="00DF5C23">
        <w:rPr>
          <w:noProof/>
          <w:lang w:eastAsia="ja-JP"/>
        </w:rPr>
        <w:t>事後評価、ステークホルダーとの協議、インパクトアセスメントの結果</w:t>
      </w:r>
    </w:p>
    <w:p w14:paraId="67B4F8EF" w14:textId="77777777" w:rsidR="0038775E" w:rsidRDefault="00877B9C" w:rsidP="002041D4">
      <w:pPr>
        <w:pStyle w:val="ManualHeading2"/>
        <w:wordWrap w:val="0"/>
        <w:rPr>
          <w:rFonts w:eastAsia="Arial Unicode MS"/>
          <w:noProof/>
          <w:lang w:val="en-US" w:eastAsia="ja-JP"/>
        </w:rPr>
      </w:pPr>
      <w:r w:rsidRPr="00DF5C23">
        <w:rPr>
          <w:rFonts w:eastAsia="Arial Unicode MS"/>
          <w:noProof/>
          <w:bdr w:val="nil"/>
          <w:lang w:val="en-US" w:eastAsia="ja-JP"/>
        </w:rPr>
        <w:t>-</w:t>
      </w:r>
      <w:r w:rsidRPr="00DF5C23">
        <w:rPr>
          <w:rFonts w:eastAsia="Arial Unicode MS"/>
          <w:noProof/>
          <w:u w:color="000000"/>
          <w:bdr w:val="nil"/>
          <w:lang w:val="en-US" w:eastAsia="ja-JP"/>
        </w:rPr>
        <w:tab/>
      </w:r>
      <w:r w:rsidRPr="00DF5C23">
        <w:rPr>
          <w:rFonts w:eastAsia="Arial Unicode MS"/>
          <w:noProof/>
          <w:bdr w:val="nil"/>
          <w:lang w:val="en-US" w:eastAsia="ja-JP"/>
        </w:rPr>
        <w:t>既存法の事後評価・適合性チェック</w:t>
      </w:r>
    </w:p>
    <w:p w14:paraId="24BED0C0" w14:textId="77777777" w:rsidR="0038775E" w:rsidRDefault="00877B9C" w:rsidP="002041D4">
      <w:pPr>
        <w:wordWrap w:val="0"/>
        <w:rPr>
          <w:noProof/>
          <w:lang w:eastAsia="ja-JP"/>
        </w:rPr>
      </w:pPr>
      <w:r w:rsidRPr="00DF5C23">
        <w:rPr>
          <w:noProof/>
          <w:lang w:eastAsia="ja-JP"/>
        </w:rPr>
        <w:t>2019</w:t>
      </w:r>
      <w:r w:rsidRPr="00DF5C23">
        <w:rPr>
          <w:noProof/>
          <w:lang w:eastAsia="ja-JP"/>
        </w:rPr>
        <w:t>年</w:t>
      </w:r>
      <w:r w:rsidRPr="00DF5C23">
        <w:rPr>
          <w:noProof/>
          <w:lang w:eastAsia="ja-JP"/>
        </w:rPr>
        <w:t>3</w:t>
      </w:r>
      <w:r w:rsidRPr="00DF5C23">
        <w:rPr>
          <w:noProof/>
          <w:lang w:eastAsia="ja-JP"/>
        </w:rPr>
        <w:t>月、欧州委員会は「</w:t>
      </w:r>
      <w:r w:rsidRPr="23DF1179">
        <w:rPr>
          <w:i/>
          <w:iCs/>
          <w:noProof/>
          <w:lang w:eastAsia="ja-JP"/>
        </w:rPr>
        <w:t>循環型経済</w:t>
      </w:r>
      <w:r w:rsidRPr="23DF1179">
        <w:rPr>
          <w:i/>
          <w:iCs/>
          <w:noProof/>
          <w:lang w:eastAsia="ja-JP"/>
        </w:rPr>
        <w:t>における持続可能な製品</w:t>
      </w:r>
      <w:r w:rsidRPr="23DF1179">
        <w:rPr>
          <w:i/>
          <w:iCs/>
          <w:noProof/>
          <w:lang w:eastAsia="ja-JP"/>
        </w:rPr>
        <w:t>-</w:t>
      </w:r>
      <w:r w:rsidRPr="23DF1179">
        <w:rPr>
          <w:i/>
          <w:iCs/>
          <w:noProof/>
          <w:lang w:eastAsia="ja-JP"/>
        </w:rPr>
        <w:t>循環型経済に貢献する</w:t>
      </w:r>
      <w:r w:rsidRPr="23DF1179">
        <w:rPr>
          <w:i/>
          <w:iCs/>
          <w:noProof/>
          <w:lang w:eastAsia="ja-JP"/>
        </w:rPr>
        <w:t>EU</w:t>
      </w:r>
      <w:r w:rsidRPr="23DF1179">
        <w:rPr>
          <w:i/>
          <w:iCs/>
          <w:noProof/>
          <w:lang w:eastAsia="ja-JP"/>
        </w:rPr>
        <w:t>製品政策フレームワークに向けて</w:t>
      </w:r>
      <w:r w:rsidR="00BA4E97" w:rsidRPr="23DF1179">
        <w:rPr>
          <w:rStyle w:val="afa"/>
          <w:i/>
          <w:iCs/>
          <w:noProof/>
        </w:rPr>
        <w:footnoteReference w:id="15"/>
      </w:r>
      <w:r w:rsidRPr="00DF5C23">
        <w:rPr>
          <w:noProof/>
          <w:lang w:eastAsia="ja-JP"/>
        </w:rPr>
        <w:t xml:space="preserve"> </w:t>
      </w:r>
      <w:r w:rsidRPr="00DF5C23">
        <w:rPr>
          <w:noProof/>
          <w:lang w:eastAsia="ja-JP"/>
        </w:rPr>
        <w:t>」と題するスタッフ作業文書を発表した。これは、製品に影響を与える</w:t>
      </w:r>
      <w:r w:rsidRPr="00DF5C23">
        <w:rPr>
          <w:noProof/>
          <w:lang w:eastAsia="ja-JP"/>
        </w:rPr>
        <w:t>EU</w:t>
      </w:r>
      <w:r w:rsidRPr="00DF5C23">
        <w:rPr>
          <w:noProof/>
          <w:lang w:eastAsia="ja-JP"/>
        </w:rPr>
        <w:t>の政策が、循環型経済への移行にどの程度貢献しているか、また、より強力な貢献をする可能性があるのはどこかについて検討した。その結果、</w:t>
      </w:r>
      <w:r w:rsidRPr="00DF5C23">
        <w:rPr>
          <w:b/>
          <w:bCs/>
          <w:noProof/>
          <w:lang w:eastAsia="ja-JP"/>
        </w:rPr>
        <w:t>すべての製品の持続可能な生産と消費、および</w:t>
      </w:r>
      <w:r w:rsidRPr="00DF5C23">
        <w:rPr>
          <w:b/>
          <w:bCs/>
          <w:noProof/>
          <w:lang w:eastAsia="ja-JP"/>
        </w:rPr>
        <w:t>/</w:t>
      </w:r>
      <w:r w:rsidRPr="00DF5C23">
        <w:rPr>
          <w:b/>
          <w:bCs/>
          <w:noProof/>
          <w:lang w:eastAsia="ja-JP"/>
        </w:rPr>
        <w:t>または、消費者に対するこれらの製品に関する情報の入手可能性と信頼性をカバーする包括的で統合された</w:t>
      </w:r>
      <w:r w:rsidRPr="00DF5C23">
        <w:rPr>
          <w:b/>
          <w:bCs/>
          <w:noProof/>
          <w:lang w:eastAsia="ja-JP"/>
        </w:rPr>
        <w:t>EU</w:t>
      </w:r>
      <w:r w:rsidRPr="00DF5C23">
        <w:rPr>
          <w:b/>
          <w:bCs/>
          <w:noProof/>
          <w:lang w:eastAsia="ja-JP"/>
        </w:rPr>
        <w:t>の政策手段は存在しないことがわかった</w:t>
      </w:r>
      <w:r w:rsidRPr="00DF5C23">
        <w:rPr>
          <w:noProof/>
          <w:lang w:eastAsia="ja-JP"/>
        </w:rPr>
        <w:t>。</w:t>
      </w:r>
      <w:r w:rsidRPr="00DF5C23">
        <w:rPr>
          <w:noProof/>
          <w:lang w:eastAsia="ja-JP"/>
        </w:rPr>
        <w:t xml:space="preserve"> </w:t>
      </w:r>
    </w:p>
    <w:p w14:paraId="0FDEA9CC" w14:textId="54017C98" w:rsidR="0038775E" w:rsidRDefault="00877B9C" w:rsidP="002041D4">
      <w:pPr>
        <w:wordWrap w:val="0"/>
        <w:rPr>
          <w:noProof/>
          <w:lang w:eastAsia="ja-JP"/>
        </w:rPr>
      </w:pPr>
      <w:r w:rsidRPr="00DF5C23">
        <w:rPr>
          <w:noProof/>
          <w:lang w:eastAsia="ja-JP"/>
        </w:rPr>
        <w:t>エコデザイン指令の連続評価（</w:t>
      </w:r>
      <w:r w:rsidRPr="00DF5C23">
        <w:rPr>
          <w:rStyle w:val="afa"/>
          <w:noProof/>
        </w:rPr>
        <w:footnoteReference w:id="16"/>
      </w:r>
      <w:r w:rsidRPr="00DF5C23">
        <w:rPr>
          <w:noProof/>
          <w:vertAlign w:val="superscript"/>
          <w:lang w:eastAsia="ja-JP"/>
        </w:rPr>
        <w:t xml:space="preserve"> </w:t>
      </w:r>
      <w:r w:rsidRPr="00DF5C23">
        <w:rPr>
          <w:noProof/>
          <w:lang w:eastAsia="ja-JP"/>
        </w:rPr>
        <w:t xml:space="preserve"> </w:t>
      </w:r>
      <w:r w:rsidRPr="00DF5C23">
        <w:rPr>
          <w:noProof/>
          <w:lang w:eastAsia="ja-JP"/>
        </w:rPr>
        <w:t>）は、それが規制ツールとして明らかに適切かつ効果的であることを確認したものの、実施と施行を改善する可能性を指摘した。例</w:t>
      </w:r>
      <w:r w:rsidRPr="00DF5C23">
        <w:rPr>
          <w:noProof/>
          <w:lang w:eastAsia="ja-JP"/>
        </w:rPr>
        <w:lastRenderedPageBreak/>
        <w:t>えば、</w:t>
      </w:r>
      <w:r w:rsidR="00342916" w:rsidRPr="00DF5C23">
        <w:rPr>
          <w:noProof/>
          <w:lang w:eastAsia="ja-JP"/>
        </w:rPr>
        <w:t>これらの評価は、</w:t>
      </w:r>
      <w:r w:rsidRPr="00DF5C23">
        <w:rPr>
          <w:noProof/>
          <w:lang w:eastAsia="ja-JP"/>
        </w:rPr>
        <w:t>「</w:t>
      </w:r>
      <w:r w:rsidRPr="00DF5C23">
        <w:rPr>
          <w:noProof/>
          <w:lang w:eastAsia="ja-JP"/>
        </w:rPr>
        <w:t xml:space="preserve">SCP/SIP </w:t>
      </w:r>
      <w:r w:rsidRPr="00DF5C23">
        <w:rPr>
          <w:noProof/>
          <w:lang w:eastAsia="ja-JP"/>
        </w:rPr>
        <w:t>行動計画（</w:t>
      </w:r>
      <w:r w:rsidRPr="00DF5C23">
        <w:rPr>
          <w:rStyle w:val="afa"/>
          <w:noProof/>
        </w:rPr>
        <w:footnoteReference w:id="17"/>
      </w:r>
      <w:r w:rsidRPr="00DF5C23">
        <w:rPr>
          <w:noProof/>
          <w:lang w:eastAsia="ja-JP"/>
        </w:rPr>
        <w:t xml:space="preserve"> </w:t>
      </w:r>
      <w:r w:rsidRPr="00DF5C23">
        <w:rPr>
          <w:noProof/>
          <w:lang w:eastAsia="ja-JP"/>
        </w:rPr>
        <w:t>）のエネルギー効率の側面と</w:t>
      </w:r>
      <w:r w:rsidRPr="00DF5C23">
        <w:rPr>
          <w:noProof/>
          <w:lang w:eastAsia="ja-JP"/>
        </w:rPr>
        <w:t xml:space="preserve"> EU </w:t>
      </w:r>
      <w:r w:rsidRPr="00DF5C23">
        <w:rPr>
          <w:noProof/>
          <w:lang w:eastAsia="ja-JP"/>
        </w:rPr>
        <w:t>の資源効率政策がエコデザイン指令と実施措置によって提供できることは広く認識されているが、一部の加盟国代表と環境</w:t>
      </w:r>
      <w:r w:rsidRPr="00DF5C23">
        <w:rPr>
          <w:noProof/>
          <w:lang w:eastAsia="ja-JP"/>
        </w:rPr>
        <w:t xml:space="preserve"> NGO </w:t>
      </w:r>
      <w:r w:rsidRPr="00DF5C23">
        <w:rPr>
          <w:noProof/>
          <w:lang w:eastAsia="ja-JP"/>
        </w:rPr>
        <w:t>からは、実施措置において他の環境側面への適用範囲が限定されている結果、機会を逃していることも指摘されている」</w:t>
      </w:r>
      <w:r w:rsidRPr="00DF5C23">
        <w:rPr>
          <w:rStyle w:val="afa"/>
          <w:noProof/>
        </w:rPr>
        <w:footnoteReference w:id="18"/>
      </w:r>
      <w:r w:rsidRPr="00DF5C23">
        <w:rPr>
          <w:noProof/>
          <w:lang w:eastAsia="ja-JP"/>
        </w:rPr>
        <w:t xml:space="preserve"> </w:t>
      </w:r>
      <w:r w:rsidRPr="00DF5C23">
        <w:rPr>
          <w:noProof/>
          <w:lang w:eastAsia="ja-JP"/>
        </w:rPr>
        <w:t>と指摘した。また、評価では、エネルギー効率以外の側面を扱う指令の未開</w:t>
      </w:r>
      <w:r w:rsidRPr="00DF5C23">
        <w:rPr>
          <w:noProof/>
          <w:lang w:eastAsia="ja-JP"/>
        </w:rPr>
        <w:t>発の可能性を強調し、「製品範囲、政策選択、基礎的な技術分析の結果として、扱われていないエネルギー以外の改善があったかもしれない」と結論付けて</w:t>
      </w:r>
      <w:r w:rsidR="002041D4">
        <w:rPr>
          <w:noProof/>
          <w:lang w:eastAsia="ja-JP"/>
        </w:rPr>
        <w:t>いる。</w:t>
      </w:r>
    </w:p>
    <w:p w14:paraId="3E3027C2" w14:textId="77777777" w:rsidR="0038775E" w:rsidRDefault="00877B9C" w:rsidP="002041D4">
      <w:pPr>
        <w:pStyle w:val="ManualHeading2"/>
        <w:wordWrap w:val="0"/>
        <w:rPr>
          <w:rFonts w:eastAsia="Arial Unicode MS"/>
          <w:noProof/>
          <w:lang w:val="en-US" w:eastAsia="ja-JP"/>
        </w:rPr>
      </w:pPr>
      <w:r w:rsidRPr="00DF5C23">
        <w:rPr>
          <w:rFonts w:eastAsia="Arial Unicode MS"/>
          <w:noProof/>
          <w:bdr w:val="nil"/>
          <w:lang w:val="en-US" w:eastAsia="ja-JP"/>
        </w:rPr>
        <w:t>-</w:t>
      </w:r>
      <w:r w:rsidRPr="00DF5C23">
        <w:rPr>
          <w:rFonts w:eastAsia="Arial Unicode MS"/>
          <w:noProof/>
          <w:u w:color="000000"/>
          <w:bdr w:val="nil"/>
          <w:lang w:val="en-US" w:eastAsia="ja-JP"/>
        </w:rPr>
        <w:tab/>
      </w:r>
      <w:r w:rsidRPr="00DF5C23">
        <w:rPr>
          <w:rFonts w:eastAsia="Arial Unicode MS"/>
          <w:noProof/>
          <w:bdr w:val="nil"/>
          <w:lang w:val="en-US" w:eastAsia="ja-JP"/>
        </w:rPr>
        <w:t>ステークホルダーとの協議</w:t>
      </w:r>
    </w:p>
    <w:p w14:paraId="587202C9" w14:textId="6FD027EB" w:rsidR="0038775E" w:rsidRDefault="00877B9C" w:rsidP="002041D4">
      <w:pPr>
        <w:pBdr>
          <w:top w:val="nil"/>
          <w:left w:val="nil"/>
          <w:bottom w:val="nil"/>
          <w:right w:val="nil"/>
          <w:between w:val="nil"/>
          <w:bar w:val="nil"/>
        </w:pBdr>
        <w:wordWrap w:val="0"/>
        <w:spacing w:before="0" w:after="240"/>
        <w:rPr>
          <w:noProof/>
          <w:lang w:eastAsia="ja-JP"/>
        </w:rPr>
      </w:pPr>
      <w:r>
        <w:rPr>
          <w:noProof/>
          <w:lang w:eastAsia="ja-JP"/>
        </w:rPr>
        <w:t>Better Regulation</w:t>
      </w:r>
      <w:r>
        <w:rPr>
          <w:noProof/>
          <w:lang w:eastAsia="ja-JP"/>
        </w:rPr>
        <w:t>のガイドラインに沿って、いくつかのコンサルテーション活動が行われ</w:t>
      </w:r>
      <w:r w:rsidR="002041D4">
        <w:rPr>
          <w:noProof/>
          <w:lang w:eastAsia="ja-JP"/>
        </w:rPr>
        <w:t>た。</w:t>
      </w:r>
      <w:r>
        <w:rPr>
          <w:noProof/>
          <w:lang w:eastAsia="ja-JP"/>
        </w:rPr>
        <w:t xml:space="preserve"> </w:t>
      </w:r>
    </w:p>
    <w:p w14:paraId="28E1B389" w14:textId="77777777" w:rsidR="0038775E" w:rsidRDefault="00877B9C" w:rsidP="002041D4">
      <w:pPr>
        <w:pStyle w:val="Tiret0"/>
        <w:numPr>
          <w:ilvl w:val="0"/>
          <w:numId w:val="89"/>
        </w:numPr>
        <w:wordWrap w:val="0"/>
        <w:rPr>
          <w:rFonts w:eastAsia="Arial Unicode MS"/>
          <w:noProof/>
          <w:lang w:eastAsia="ja-JP"/>
        </w:rPr>
      </w:pPr>
      <w:r w:rsidRPr="00DF5C23">
        <w:rPr>
          <w:noProof/>
          <w:lang w:eastAsia="ja-JP"/>
        </w:rPr>
        <w:t>2020</w:t>
      </w:r>
      <w:r w:rsidRPr="00DF5C23">
        <w:rPr>
          <w:noProof/>
          <w:lang w:eastAsia="ja-JP"/>
        </w:rPr>
        <w:t>年</w:t>
      </w:r>
      <w:r w:rsidRPr="00DF5C23">
        <w:rPr>
          <w:noProof/>
          <w:lang w:eastAsia="ja-JP"/>
        </w:rPr>
        <w:t>9</w:t>
      </w:r>
      <w:r w:rsidRPr="00DF5C23">
        <w:rPr>
          <w:noProof/>
          <w:lang w:eastAsia="ja-JP"/>
        </w:rPr>
        <w:t>月</w:t>
      </w:r>
      <w:r w:rsidRPr="00DF5C23">
        <w:rPr>
          <w:noProof/>
          <w:lang w:eastAsia="ja-JP"/>
        </w:rPr>
        <w:t>14</w:t>
      </w:r>
      <w:r w:rsidRPr="00DF5C23">
        <w:rPr>
          <w:noProof/>
          <w:lang w:eastAsia="ja-JP"/>
        </w:rPr>
        <w:t>日から</w:t>
      </w:r>
      <w:r w:rsidRPr="00DF5C23">
        <w:rPr>
          <w:noProof/>
          <w:lang w:eastAsia="ja-JP"/>
        </w:rPr>
        <w:t>11</w:t>
      </w:r>
      <w:r w:rsidRPr="00DF5C23">
        <w:rPr>
          <w:noProof/>
          <w:lang w:eastAsia="ja-JP"/>
        </w:rPr>
        <w:t>月</w:t>
      </w:r>
      <w:r w:rsidRPr="00DF5C23">
        <w:rPr>
          <w:noProof/>
          <w:lang w:eastAsia="ja-JP"/>
        </w:rPr>
        <w:t>16</w:t>
      </w:r>
      <w:r w:rsidRPr="00DF5C23">
        <w:rPr>
          <w:noProof/>
          <w:lang w:eastAsia="ja-JP"/>
        </w:rPr>
        <w:t>日まで、</w:t>
      </w:r>
      <w:r w:rsidRPr="00DF5C23">
        <w:rPr>
          <w:b/>
          <w:bCs/>
          <w:noProof/>
          <w:lang w:eastAsia="ja-JP"/>
        </w:rPr>
        <w:t>インセプション・インパクト・アセスメントに関する</w:t>
      </w:r>
      <w:r w:rsidRPr="00DF5C23">
        <w:rPr>
          <w:noProof/>
          <w:lang w:eastAsia="ja-JP"/>
        </w:rPr>
        <w:t>コンサルテーションを実施</w:t>
      </w:r>
      <w:r w:rsidRPr="00DF5C23">
        <w:rPr>
          <w:rStyle w:val="afa"/>
          <w:noProof/>
        </w:rPr>
        <w:footnoteReference w:id="19"/>
      </w:r>
      <w:r w:rsidRPr="00DF5C23">
        <w:rPr>
          <w:noProof/>
          <w:lang w:eastAsia="ja-JP"/>
        </w:rPr>
        <w:t xml:space="preserve"> .193 </w:t>
      </w:r>
      <w:r w:rsidRPr="00DF5C23">
        <w:rPr>
          <w:noProof/>
          <w:lang w:eastAsia="ja-JP"/>
        </w:rPr>
        <w:t>件の回答を得た。</w:t>
      </w:r>
    </w:p>
    <w:p w14:paraId="2EB420A0" w14:textId="77777777" w:rsidR="0038775E" w:rsidRDefault="00877B9C" w:rsidP="002041D4">
      <w:pPr>
        <w:pStyle w:val="Tiret0"/>
        <w:wordWrap w:val="0"/>
        <w:rPr>
          <w:rFonts w:eastAsia="Arial Unicode MS"/>
          <w:noProof/>
          <w:lang w:eastAsia="ja-JP"/>
        </w:rPr>
      </w:pPr>
      <w:r>
        <w:rPr>
          <w:noProof/>
          <w:lang w:eastAsia="ja-JP"/>
        </w:rPr>
        <w:t>2021</w:t>
      </w:r>
      <w:r>
        <w:rPr>
          <w:noProof/>
          <w:lang w:eastAsia="ja-JP"/>
        </w:rPr>
        <w:t>年</w:t>
      </w:r>
      <w:r>
        <w:rPr>
          <w:noProof/>
          <w:lang w:eastAsia="ja-JP"/>
        </w:rPr>
        <w:t>3</w:t>
      </w:r>
      <w:r>
        <w:rPr>
          <w:noProof/>
          <w:lang w:eastAsia="ja-JP"/>
        </w:rPr>
        <w:t>月</w:t>
      </w:r>
      <w:r>
        <w:rPr>
          <w:noProof/>
          <w:lang w:eastAsia="ja-JP"/>
        </w:rPr>
        <w:t>17</w:t>
      </w:r>
      <w:r>
        <w:rPr>
          <w:noProof/>
          <w:lang w:eastAsia="ja-JP"/>
        </w:rPr>
        <w:t>日から</w:t>
      </w:r>
      <w:r>
        <w:rPr>
          <w:noProof/>
          <w:lang w:eastAsia="ja-JP"/>
        </w:rPr>
        <w:t>6</w:t>
      </w:r>
      <w:r>
        <w:rPr>
          <w:noProof/>
          <w:lang w:eastAsia="ja-JP"/>
        </w:rPr>
        <w:t>月</w:t>
      </w:r>
      <w:r>
        <w:rPr>
          <w:noProof/>
          <w:lang w:eastAsia="ja-JP"/>
        </w:rPr>
        <w:t>9</w:t>
      </w:r>
      <w:r>
        <w:rPr>
          <w:noProof/>
          <w:lang w:eastAsia="ja-JP"/>
        </w:rPr>
        <w:t>日まで</w:t>
      </w:r>
      <w:r w:rsidRPr="23DF1179">
        <w:rPr>
          <w:rFonts w:eastAsia="Arial Unicode MS"/>
          <w:b/>
          <w:bCs/>
          <w:noProof/>
          <w:lang w:eastAsia="ja-JP"/>
        </w:rPr>
        <w:t>公開のパブリックコンサルテーションを実施。</w:t>
      </w:r>
      <w:r>
        <w:rPr>
          <w:noProof/>
          <w:lang w:eastAsia="ja-JP"/>
        </w:rPr>
        <w:t>626</w:t>
      </w:r>
      <w:r>
        <w:rPr>
          <w:noProof/>
          <w:lang w:eastAsia="ja-JP"/>
        </w:rPr>
        <w:t>件の回答が寄せられた。</w:t>
      </w:r>
    </w:p>
    <w:p w14:paraId="4F546BDF" w14:textId="77777777" w:rsidR="0038775E" w:rsidRDefault="00877B9C" w:rsidP="002041D4">
      <w:pPr>
        <w:pStyle w:val="Tiret0"/>
        <w:wordWrap w:val="0"/>
        <w:rPr>
          <w:noProof/>
          <w:lang w:eastAsia="ja-JP"/>
        </w:rPr>
      </w:pPr>
      <w:r>
        <w:rPr>
          <w:noProof/>
          <w:lang w:eastAsia="ja-JP"/>
        </w:rPr>
        <w:t>2021</w:t>
      </w:r>
      <w:r>
        <w:rPr>
          <w:noProof/>
          <w:lang w:eastAsia="ja-JP"/>
        </w:rPr>
        <w:t>年</w:t>
      </w:r>
      <w:r>
        <w:rPr>
          <w:noProof/>
          <w:lang w:eastAsia="ja-JP"/>
        </w:rPr>
        <w:t>4</w:t>
      </w:r>
      <w:r>
        <w:rPr>
          <w:noProof/>
          <w:lang w:eastAsia="ja-JP"/>
        </w:rPr>
        <w:t>月から</w:t>
      </w:r>
      <w:r>
        <w:rPr>
          <w:noProof/>
          <w:lang w:eastAsia="ja-JP"/>
        </w:rPr>
        <w:t>7</w:t>
      </w:r>
      <w:r>
        <w:rPr>
          <w:noProof/>
          <w:lang w:eastAsia="ja-JP"/>
        </w:rPr>
        <w:t>月にかけて、サステナブル・プロダクト・イニシアティブに関連するさまざまなトピックに関する一連の</w:t>
      </w:r>
      <w:r w:rsidRPr="23DF1179">
        <w:rPr>
          <w:b/>
          <w:bCs/>
          <w:noProof/>
          <w:lang w:eastAsia="ja-JP"/>
        </w:rPr>
        <w:t>ワークショップが開催さ</w:t>
      </w:r>
      <w:r>
        <w:rPr>
          <w:noProof/>
          <w:lang w:eastAsia="ja-JP"/>
        </w:rPr>
        <w:t>れ、複数のステークホルダー・グループからの参加者が広く参加した。</w:t>
      </w:r>
    </w:p>
    <w:p w14:paraId="74BB2A5E" w14:textId="77777777" w:rsidR="0038775E" w:rsidRDefault="00877B9C" w:rsidP="002041D4">
      <w:pPr>
        <w:pStyle w:val="Tiret0"/>
        <w:wordWrap w:val="0"/>
        <w:rPr>
          <w:noProof/>
        </w:rPr>
      </w:pPr>
      <w:r>
        <w:rPr>
          <w:noProof/>
          <w:lang w:eastAsia="ja-JP"/>
        </w:rPr>
        <w:t>2021</w:t>
      </w:r>
      <w:r>
        <w:rPr>
          <w:noProof/>
          <w:lang w:eastAsia="ja-JP"/>
        </w:rPr>
        <w:t>年</w:t>
      </w:r>
      <w:r>
        <w:rPr>
          <w:noProof/>
          <w:lang w:eastAsia="ja-JP"/>
        </w:rPr>
        <w:t>4</w:t>
      </w:r>
      <w:r>
        <w:rPr>
          <w:noProof/>
          <w:lang w:eastAsia="ja-JP"/>
        </w:rPr>
        <w:t>月</w:t>
      </w:r>
      <w:r>
        <w:rPr>
          <w:noProof/>
          <w:lang w:eastAsia="ja-JP"/>
        </w:rPr>
        <w:t>26</w:t>
      </w:r>
      <w:r>
        <w:rPr>
          <w:noProof/>
          <w:lang w:eastAsia="ja-JP"/>
        </w:rPr>
        <w:t>日～</w:t>
      </w:r>
      <w:r>
        <w:rPr>
          <w:noProof/>
          <w:lang w:eastAsia="ja-JP"/>
        </w:rPr>
        <w:t>6</w:t>
      </w:r>
      <w:r>
        <w:rPr>
          <w:noProof/>
          <w:lang w:eastAsia="ja-JP"/>
        </w:rPr>
        <w:t>月</w:t>
      </w:r>
      <w:r>
        <w:rPr>
          <w:noProof/>
          <w:lang w:eastAsia="ja-JP"/>
        </w:rPr>
        <w:t>15</w:t>
      </w:r>
      <w:r>
        <w:rPr>
          <w:noProof/>
          <w:lang w:eastAsia="ja-JP"/>
        </w:rPr>
        <w:t>日、</w:t>
      </w:r>
      <w:r w:rsidRPr="23DF1179">
        <w:rPr>
          <w:b/>
          <w:bCs/>
          <w:noProof/>
          <w:lang w:eastAsia="ja-JP"/>
        </w:rPr>
        <w:t>中小企業を対象とした</w:t>
      </w:r>
      <w:r>
        <w:rPr>
          <w:noProof/>
          <w:lang w:eastAsia="ja-JP"/>
        </w:rPr>
        <w:t>アンケート調査。</w:t>
      </w:r>
      <w:r>
        <w:rPr>
          <w:noProof/>
        </w:rPr>
        <w:t>332</w:t>
      </w:r>
      <w:r>
        <w:rPr>
          <w:noProof/>
        </w:rPr>
        <w:t>件の回答を得た。</w:t>
      </w:r>
    </w:p>
    <w:p w14:paraId="4B55489E" w14:textId="3404B369" w:rsidR="0038775E" w:rsidRDefault="00877B9C" w:rsidP="002041D4">
      <w:pPr>
        <w:pStyle w:val="Tiret0"/>
        <w:wordWrap w:val="0"/>
        <w:rPr>
          <w:noProof/>
        </w:rPr>
      </w:pPr>
      <w:r>
        <w:rPr>
          <w:noProof/>
          <w:lang w:eastAsia="ja-JP"/>
        </w:rPr>
        <w:t>2021</w:t>
      </w:r>
      <w:r>
        <w:rPr>
          <w:noProof/>
          <w:lang w:eastAsia="ja-JP"/>
        </w:rPr>
        <w:t>年</w:t>
      </w:r>
      <w:r>
        <w:rPr>
          <w:noProof/>
          <w:lang w:eastAsia="ja-JP"/>
        </w:rPr>
        <w:t>10</w:t>
      </w:r>
      <w:r>
        <w:rPr>
          <w:noProof/>
          <w:lang w:eastAsia="ja-JP"/>
        </w:rPr>
        <w:t>月</w:t>
      </w:r>
      <w:r>
        <w:rPr>
          <w:noProof/>
          <w:lang w:eastAsia="ja-JP"/>
        </w:rPr>
        <w:t>20</w:t>
      </w:r>
      <w:r>
        <w:rPr>
          <w:noProof/>
          <w:lang w:eastAsia="ja-JP"/>
        </w:rPr>
        <w:t>日から</w:t>
      </w:r>
      <w:r>
        <w:rPr>
          <w:noProof/>
          <w:lang w:eastAsia="ja-JP"/>
        </w:rPr>
        <w:t>11</w:t>
      </w:r>
      <w:r>
        <w:rPr>
          <w:noProof/>
          <w:lang w:eastAsia="ja-JP"/>
        </w:rPr>
        <w:t>月</w:t>
      </w:r>
      <w:r>
        <w:rPr>
          <w:noProof/>
          <w:lang w:eastAsia="ja-JP"/>
        </w:rPr>
        <w:t>4</w:t>
      </w:r>
      <w:r>
        <w:rPr>
          <w:noProof/>
          <w:lang w:eastAsia="ja-JP"/>
        </w:rPr>
        <w:t>日まで、中小企業（</w:t>
      </w:r>
      <w:r>
        <w:rPr>
          <w:noProof/>
          <w:lang w:eastAsia="ja-JP"/>
        </w:rPr>
        <w:t>SME</w:t>
      </w:r>
      <w:r>
        <w:rPr>
          <w:noProof/>
          <w:lang w:eastAsia="ja-JP"/>
        </w:rPr>
        <w:t>）を</w:t>
      </w:r>
      <w:r w:rsidRPr="23DF1179">
        <w:rPr>
          <w:b/>
          <w:bCs/>
          <w:noProof/>
          <w:lang w:eastAsia="ja-JP"/>
        </w:rPr>
        <w:t>対象とした</w:t>
      </w:r>
      <w:r w:rsidRPr="23DF1179">
        <w:rPr>
          <w:b/>
          <w:bCs/>
          <w:noProof/>
          <w:lang w:eastAsia="ja-JP"/>
        </w:rPr>
        <w:t>2</w:t>
      </w:r>
      <w:r w:rsidRPr="23DF1179">
        <w:rPr>
          <w:b/>
          <w:bCs/>
          <w:noProof/>
          <w:lang w:eastAsia="ja-JP"/>
        </w:rPr>
        <w:t>回目のターゲット調査を</w:t>
      </w:r>
      <w:r>
        <w:rPr>
          <w:noProof/>
          <w:lang w:eastAsia="ja-JP"/>
        </w:rPr>
        <w:t>実施し</w:t>
      </w:r>
      <w:r w:rsidR="002041D4">
        <w:rPr>
          <w:noProof/>
          <w:lang w:eastAsia="ja-JP"/>
        </w:rPr>
        <w:t>た。</w:t>
      </w:r>
      <w:r>
        <w:rPr>
          <w:noProof/>
          <w:lang w:eastAsia="ja-JP"/>
        </w:rPr>
        <w:t>これは、主に中小企業を代表する組織</w:t>
      </w:r>
      <w:r>
        <w:rPr>
          <w:noProof/>
          <w:lang w:eastAsia="ja-JP"/>
        </w:rPr>
        <w:t>の専門知識を活用した。</w:t>
      </w:r>
      <w:r>
        <w:rPr>
          <w:noProof/>
        </w:rPr>
        <w:t>35</w:t>
      </w:r>
      <w:r>
        <w:rPr>
          <w:noProof/>
        </w:rPr>
        <w:t>件の返信があった。</w:t>
      </w:r>
      <w:r>
        <w:rPr>
          <w:noProof/>
        </w:rPr>
        <w:t xml:space="preserve"> </w:t>
      </w:r>
    </w:p>
    <w:p w14:paraId="21CFA19A" w14:textId="77777777" w:rsidR="0038775E" w:rsidRDefault="00877B9C" w:rsidP="002041D4">
      <w:pPr>
        <w:pStyle w:val="Tiret0"/>
        <w:wordWrap w:val="0"/>
        <w:rPr>
          <w:noProof/>
          <w:lang w:eastAsia="ja-JP"/>
        </w:rPr>
      </w:pPr>
      <w:r>
        <w:rPr>
          <w:noProof/>
          <w:lang w:eastAsia="ja-JP"/>
        </w:rPr>
        <w:t>2021</w:t>
      </w:r>
      <w:r>
        <w:rPr>
          <w:noProof/>
          <w:lang w:eastAsia="ja-JP"/>
        </w:rPr>
        <w:t>年</w:t>
      </w:r>
      <w:r>
        <w:rPr>
          <w:noProof/>
          <w:lang w:eastAsia="ja-JP"/>
        </w:rPr>
        <w:t>5</w:t>
      </w:r>
      <w:r>
        <w:rPr>
          <w:noProof/>
          <w:lang w:eastAsia="ja-JP"/>
        </w:rPr>
        <w:t>月</w:t>
      </w:r>
      <w:r>
        <w:rPr>
          <w:noProof/>
          <w:lang w:eastAsia="ja-JP"/>
        </w:rPr>
        <w:t>20</w:t>
      </w:r>
      <w:r>
        <w:rPr>
          <w:noProof/>
          <w:lang w:eastAsia="ja-JP"/>
        </w:rPr>
        <w:t>日から</w:t>
      </w:r>
      <w:r>
        <w:rPr>
          <w:noProof/>
          <w:lang w:eastAsia="ja-JP"/>
        </w:rPr>
        <w:t>6</w:t>
      </w:r>
      <w:r>
        <w:rPr>
          <w:noProof/>
          <w:lang w:eastAsia="ja-JP"/>
        </w:rPr>
        <w:t>月</w:t>
      </w:r>
      <w:r>
        <w:rPr>
          <w:noProof/>
          <w:lang w:eastAsia="ja-JP"/>
        </w:rPr>
        <w:t>9</w:t>
      </w:r>
      <w:r>
        <w:rPr>
          <w:noProof/>
          <w:lang w:eastAsia="ja-JP"/>
        </w:rPr>
        <w:t>日まで、選ばれたステークホルダーの代表者に</w:t>
      </w:r>
      <w:r w:rsidRPr="23DF1179">
        <w:rPr>
          <w:b/>
          <w:bCs/>
          <w:noProof/>
          <w:lang w:eastAsia="ja-JP"/>
        </w:rPr>
        <w:t>テーラーメイドのアンケートを</w:t>
      </w:r>
      <w:r>
        <w:rPr>
          <w:noProof/>
          <w:lang w:eastAsia="ja-JP"/>
        </w:rPr>
        <w:t>提出。</w:t>
      </w:r>
    </w:p>
    <w:p w14:paraId="3577605F" w14:textId="77777777" w:rsidR="0038775E" w:rsidRDefault="00877B9C" w:rsidP="002041D4">
      <w:pPr>
        <w:pStyle w:val="Tiret0"/>
        <w:wordWrap w:val="0"/>
        <w:rPr>
          <w:noProof/>
          <w:lang w:eastAsia="ja-JP"/>
        </w:rPr>
      </w:pPr>
      <w:r>
        <w:rPr>
          <w:noProof/>
          <w:lang w:eastAsia="ja-JP"/>
        </w:rPr>
        <w:t>選ばれたステークホルダーの代表者に、多くの</w:t>
      </w:r>
      <w:r w:rsidRPr="23DF1179">
        <w:rPr>
          <w:b/>
          <w:bCs/>
          <w:noProof/>
          <w:lang w:eastAsia="ja-JP"/>
        </w:rPr>
        <w:t>ステークホルダーインタビューを</w:t>
      </w:r>
      <w:r>
        <w:rPr>
          <w:noProof/>
          <w:lang w:eastAsia="ja-JP"/>
        </w:rPr>
        <w:t>実施した。</w:t>
      </w:r>
    </w:p>
    <w:p w14:paraId="3FB8E4AB" w14:textId="0C00C9F6" w:rsidR="0038775E" w:rsidRDefault="00877B9C" w:rsidP="002041D4">
      <w:pPr>
        <w:wordWrap w:val="0"/>
        <w:rPr>
          <w:noProof/>
          <w:lang w:eastAsia="ja-JP"/>
        </w:rPr>
      </w:pPr>
      <w:r>
        <w:rPr>
          <w:noProof/>
          <w:lang w:eastAsia="ja-JP"/>
        </w:rPr>
        <w:t>全体として、協議活動では、製品の持続可能性をカバーする規制イニシアチブに対する</w:t>
      </w:r>
      <w:r w:rsidRPr="23DF1179">
        <w:rPr>
          <w:b/>
          <w:bCs/>
          <w:noProof/>
          <w:lang w:eastAsia="ja-JP"/>
        </w:rPr>
        <w:t>強い一般的な支持が</w:t>
      </w:r>
      <w:r>
        <w:rPr>
          <w:noProof/>
          <w:lang w:eastAsia="ja-JP"/>
        </w:rPr>
        <w:t>示された。ほとんどの関係者は、このイニシアチブが幅広い製品範囲をカバーし、製品規制に対して全ライフサイクル的なアプローチを取ることを提唱した。また、現行のエコデザイン指令の適用</w:t>
      </w:r>
      <w:r>
        <w:rPr>
          <w:noProof/>
          <w:lang w:eastAsia="ja-JP"/>
        </w:rPr>
        <w:t>範囲を拡大することへの強い支持が示され、</w:t>
      </w:r>
      <w:r>
        <w:rPr>
          <w:noProof/>
          <w:lang w:eastAsia="ja-JP"/>
        </w:rPr>
        <w:t>2020</w:t>
      </w:r>
      <w:r>
        <w:rPr>
          <w:noProof/>
          <w:lang w:eastAsia="ja-JP"/>
        </w:rPr>
        <w:t>年の循環型経済行動計画で特定されたセクターを優先させるべきとの意見も一般的</w:t>
      </w:r>
      <w:r w:rsidR="002041D4">
        <w:rPr>
          <w:noProof/>
          <w:lang w:eastAsia="ja-JP"/>
        </w:rPr>
        <w:t>だった</w:t>
      </w:r>
      <w:r>
        <w:rPr>
          <w:noProof/>
          <w:lang w:eastAsia="ja-JP"/>
        </w:rPr>
        <w:t>。フィードバックでは、製品の特異性をしっかりと考慮したアプローチを（特にメーカー</w:t>
      </w:r>
      <w:r>
        <w:rPr>
          <w:noProof/>
          <w:lang w:eastAsia="ja-JP"/>
        </w:rPr>
        <w:t>/</w:t>
      </w:r>
      <w:r>
        <w:rPr>
          <w:noProof/>
          <w:lang w:eastAsia="ja-JP"/>
        </w:rPr>
        <w:t>輸入業者が）好むことが示され</w:t>
      </w:r>
      <w:r w:rsidR="002041D4">
        <w:rPr>
          <w:noProof/>
          <w:lang w:eastAsia="ja-JP"/>
        </w:rPr>
        <w:t>た。</w:t>
      </w:r>
      <w:r>
        <w:rPr>
          <w:noProof/>
          <w:lang w:eastAsia="ja-JP"/>
        </w:rPr>
        <w:t>明確で包括的な拘束力のある法律がないこと、信頼できる情報がないことは、エコデザイン要求の不均一な実施と同様に、</w:t>
      </w:r>
      <w:r>
        <w:rPr>
          <w:noProof/>
          <w:lang w:eastAsia="ja-JP"/>
        </w:rPr>
        <w:t>EU</w:t>
      </w:r>
      <w:r>
        <w:rPr>
          <w:noProof/>
          <w:lang w:eastAsia="ja-JP"/>
        </w:rPr>
        <w:t>市場で持続可能な製品の利用を増やすための障壁であるという点で、一般的な合意が得られて</w:t>
      </w:r>
      <w:r w:rsidR="002041D4">
        <w:rPr>
          <w:noProof/>
          <w:lang w:eastAsia="ja-JP"/>
        </w:rPr>
        <w:t>いる。</w:t>
      </w:r>
      <w:r>
        <w:rPr>
          <w:noProof/>
          <w:lang w:eastAsia="ja-JP"/>
        </w:rPr>
        <w:t>デジタル製品パスポートを導入す</w:t>
      </w:r>
      <w:r>
        <w:rPr>
          <w:noProof/>
          <w:lang w:eastAsia="ja-JP"/>
        </w:rPr>
        <w:lastRenderedPageBreak/>
        <w:t>るというアイデアは、サステナブ</w:t>
      </w:r>
      <w:r>
        <w:rPr>
          <w:noProof/>
          <w:lang w:eastAsia="ja-JP"/>
        </w:rPr>
        <w:t>ル製品の需要を喚起するためのインセンティブやツール同様、すべてのステークホルダーグループにおいて、一般的に明確な多数決で支持されて</w:t>
      </w:r>
      <w:r w:rsidR="002041D4">
        <w:rPr>
          <w:noProof/>
          <w:lang w:eastAsia="ja-JP"/>
        </w:rPr>
        <w:t>いる。</w:t>
      </w:r>
      <w:r>
        <w:rPr>
          <w:noProof/>
          <w:lang w:eastAsia="ja-JP"/>
        </w:rPr>
        <w:t>このイニシアチブの実施に伴い、より強力な執行と市場監視活動（例：検査や監査）が必要であると考えられている。</w:t>
      </w:r>
    </w:p>
    <w:p w14:paraId="33294AE4" w14:textId="77777777" w:rsidR="0038775E" w:rsidRDefault="00877B9C" w:rsidP="002041D4">
      <w:pPr>
        <w:pBdr>
          <w:top w:val="nil"/>
          <w:left w:val="nil"/>
          <w:bottom w:val="nil"/>
          <w:right w:val="nil"/>
          <w:between w:val="nil"/>
          <w:bar w:val="nil"/>
        </w:pBdr>
        <w:wordWrap w:val="0"/>
        <w:spacing w:before="0" w:after="240"/>
        <w:rPr>
          <w:rFonts w:eastAsia="Arial Unicode MS"/>
          <w:noProof/>
          <w:lang w:eastAsia="ja-JP"/>
        </w:rPr>
      </w:pPr>
      <w:r>
        <w:rPr>
          <w:noProof/>
          <w:lang w:eastAsia="ja-JP"/>
        </w:rPr>
        <w:t>ステークホルダーとの協議による詳細な結論は、影響評価書の</w:t>
      </w:r>
      <w:r w:rsidRPr="23DF1179">
        <w:rPr>
          <w:b/>
          <w:bCs/>
          <w:noProof/>
          <w:lang w:eastAsia="ja-JP"/>
        </w:rPr>
        <w:t>付属書</w:t>
      </w:r>
      <w:r w:rsidRPr="23DF1179">
        <w:rPr>
          <w:b/>
          <w:bCs/>
          <w:noProof/>
          <w:lang w:eastAsia="ja-JP"/>
        </w:rPr>
        <w:t>2</w:t>
      </w:r>
      <w:r w:rsidRPr="23DF1179">
        <w:rPr>
          <w:b/>
          <w:bCs/>
          <w:noProof/>
          <w:lang w:eastAsia="ja-JP"/>
        </w:rPr>
        <w:t>に記載されている。</w:t>
      </w:r>
    </w:p>
    <w:p w14:paraId="522ACD57" w14:textId="77777777" w:rsidR="0038775E" w:rsidRDefault="00877B9C" w:rsidP="002041D4">
      <w:pPr>
        <w:pStyle w:val="ManualHeading2"/>
        <w:wordWrap w:val="0"/>
        <w:rPr>
          <w:rFonts w:eastAsia="Arial Unicode MS"/>
          <w:noProof/>
          <w:lang w:val="en-US" w:eastAsia="ja-JP"/>
        </w:rPr>
      </w:pPr>
      <w:r w:rsidRPr="00DF5C23">
        <w:rPr>
          <w:rFonts w:eastAsia="Arial Unicode MS"/>
          <w:noProof/>
          <w:bdr w:val="nil"/>
          <w:lang w:val="en-US" w:eastAsia="ja-JP"/>
        </w:rPr>
        <w:t>-</w:t>
      </w:r>
      <w:r w:rsidRPr="00DF5C23">
        <w:rPr>
          <w:rFonts w:eastAsia="Arial Unicode MS"/>
          <w:noProof/>
          <w:u w:color="000000"/>
          <w:bdr w:val="nil"/>
          <w:lang w:val="en-US" w:eastAsia="ja-JP"/>
        </w:rPr>
        <w:tab/>
      </w:r>
      <w:r w:rsidRPr="00DF5C23">
        <w:rPr>
          <w:rFonts w:eastAsia="Arial Unicode MS"/>
          <w:noProof/>
          <w:bdr w:val="nil"/>
          <w:lang w:val="en-US" w:eastAsia="ja-JP"/>
        </w:rPr>
        <w:t>専門知識の収集と活用</w:t>
      </w:r>
    </w:p>
    <w:p w14:paraId="4F146B81" w14:textId="77777777" w:rsidR="0038775E" w:rsidRDefault="00877B9C" w:rsidP="002041D4">
      <w:pPr>
        <w:pBdr>
          <w:top w:val="nil"/>
          <w:left w:val="nil"/>
          <w:bottom w:val="nil"/>
          <w:right w:val="nil"/>
          <w:between w:val="nil"/>
          <w:bar w:val="nil"/>
        </w:pBdr>
        <w:wordWrap w:val="0"/>
        <w:spacing w:before="0" w:after="240"/>
        <w:rPr>
          <w:noProof/>
          <w:lang w:eastAsia="ja-JP"/>
        </w:rPr>
      </w:pPr>
      <w:r>
        <w:rPr>
          <w:noProof/>
          <w:lang w:eastAsia="ja-JP"/>
        </w:rPr>
        <w:t>欧州委員会は、本提案に付随する影響評価に反映させるための</w:t>
      </w:r>
      <w:r w:rsidRPr="23DF1179">
        <w:rPr>
          <w:b/>
          <w:bCs/>
          <w:noProof/>
          <w:lang w:eastAsia="ja-JP"/>
        </w:rPr>
        <w:t>調査を</w:t>
      </w:r>
      <w:r>
        <w:rPr>
          <w:noProof/>
          <w:lang w:eastAsia="ja-JP"/>
        </w:rPr>
        <w:t>外部の専門家に発注した。</w:t>
      </w:r>
      <w:r>
        <w:rPr>
          <w:noProof/>
          <w:lang w:eastAsia="ja-JP"/>
        </w:rPr>
        <w:t>この研究は、同文書に記載された政策オプションの分析の基礎となるデータの一部を提供し、ひいては今回の提案に含まれる施策に反映させるものである。外部専門家は、研究のさまざまな段階を通じて、欧州委員会と緊密に協力して作業を行った。</w:t>
      </w:r>
    </w:p>
    <w:p w14:paraId="5D6D1917" w14:textId="77777777" w:rsidR="0038775E" w:rsidRDefault="00877B9C" w:rsidP="002041D4">
      <w:pPr>
        <w:pStyle w:val="ManualHeading2"/>
        <w:wordWrap w:val="0"/>
        <w:rPr>
          <w:rFonts w:eastAsia="Arial Unicode MS"/>
          <w:noProof/>
          <w:lang w:val="en-US" w:eastAsia="ja-JP"/>
        </w:rPr>
      </w:pPr>
      <w:r w:rsidRPr="00DF5C23">
        <w:rPr>
          <w:rFonts w:eastAsia="Arial Unicode MS"/>
          <w:noProof/>
          <w:bdr w:val="nil"/>
          <w:lang w:val="en-US" w:eastAsia="ja-JP"/>
        </w:rPr>
        <w:t>-</w:t>
      </w:r>
      <w:r w:rsidRPr="00DF5C23">
        <w:rPr>
          <w:rFonts w:eastAsia="Arial Unicode MS"/>
          <w:noProof/>
          <w:u w:color="000000"/>
          <w:bdr w:val="nil"/>
          <w:lang w:val="en-US" w:eastAsia="ja-JP"/>
        </w:rPr>
        <w:tab/>
      </w:r>
      <w:r w:rsidRPr="00DF5C23">
        <w:rPr>
          <w:rFonts w:eastAsia="Arial Unicode MS"/>
          <w:noProof/>
          <w:bdr w:val="nil"/>
          <w:lang w:val="en-US" w:eastAsia="ja-JP"/>
        </w:rPr>
        <w:t>インパクトアセスメント</w:t>
      </w:r>
    </w:p>
    <w:p w14:paraId="3D687068" w14:textId="02283BC1" w:rsidR="0038775E" w:rsidRDefault="00877B9C" w:rsidP="002041D4">
      <w:pPr>
        <w:pBdr>
          <w:top w:val="nil"/>
          <w:left w:val="nil"/>
          <w:bottom w:val="nil"/>
          <w:right w:val="nil"/>
          <w:between w:val="nil"/>
          <w:bar w:val="nil"/>
        </w:pBdr>
        <w:wordWrap w:val="0"/>
        <w:spacing w:before="0" w:after="240"/>
        <w:rPr>
          <w:noProof/>
          <w:lang w:eastAsia="ja-JP"/>
        </w:rPr>
      </w:pPr>
      <w:r>
        <w:rPr>
          <w:noProof/>
          <w:lang w:eastAsia="ja-JP"/>
        </w:rPr>
        <w:t>この提案は、影響評価に基づくもの</w:t>
      </w:r>
      <w:r w:rsidR="002041D4">
        <w:rPr>
          <w:noProof/>
          <w:lang w:eastAsia="ja-JP"/>
        </w:rPr>
        <w:t>である</w:t>
      </w:r>
      <w:r>
        <w:rPr>
          <w:noProof/>
          <w:lang w:eastAsia="ja-JP"/>
        </w:rPr>
        <w:t>。</w:t>
      </w:r>
      <w:r>
        <w:rPr>
          <w:noProof/>
          <w:lang w:eastAsia="ja-JP"/>
        </w:rPr>
        <w:t>2021</w:t>
      </w:r>
      <w:r>
        <w:rPr>
          <w:noProof/>
          <w:lang w:eastAsia="ja-JP"/>
        </w:rPr>
        <w:t>年</w:t>
      </w:r>
      <w:r>
        <w:rPr>
          <w:noProof/>
          <w:lang w:eastAsia="ja-JP"/>
        </w:rPr>
        <w:t>9</w:t>
      </w:r>
      <w:r>
        <w:rPr>
          <w:noProof/>
          <w:lang w:eastAsia="ja-JP"/>
        </w:rPr>
        <w:t>月</w:t>
      </w:r>
      <w:r>
        <w:rPr>
          <w:noProof/>
          <w:lang w:eastAsia="ja-JP"/>
        </w:rPr>
        <w:t>17</w:t>
      </w:r>
      <w:r>
        <w:rPr>
          <w:noProof/>
          <w:lang w:eastAsia="ja-JP"/>
        </w:rPr>
        <w:t>日に出された規制精査委員会の否定的意見で指摘された問題を解決した後、影響評価は</w:t>
      </w:r>
      <w:r>
        <w:rPr>
          <w:noProof/>
          <w:lang w:eastAsia="ja-JP"/>
        </w:rPr>
        <w:t>2022</w:t>
      </w:r>
      <w:r>
        <w:rPr>
          <w:noProof/>
          <w:lang w:eastAsia="ja-JP"/>
        </w:rPr>
        <w:t>年</w:t>
      </w:r>
      <w:r>
        <w:rPr>
          <w:noProof/>
          <w:lang w:eastAsia="ja-JP"/>
        </w:rPr>
        <w:t>1</w:t>
      </w:r>
      <w:r>
        <w:rPr>
          <w:noProof/>
          <w:lang w:eastAsia="ja-JP"/>
        </w:rPr>
        <w:t>月</w:t>
      </w:r>
      <w:r>
        <w:rPr>
          <w:noProof/>
          <w:lang w:eastAsia="ja-JP"/>
        </w:rPr>
        <w:t>21</w:t>
      </w:r>
      <w:r>
        <w:rPr>
          <w:noProof/>
          <w:lang w:eastAsia="ja-JP"/>
        </w:rPr>
        <w:t>日に肯定的意見を得て</w:t>
      </w:r>
      <w:r w:rsidR="002041D4">
        <w:rPr>
          <w:noProof/>
          <w:lang w:eastAsia="ja-JP"/>
        </w:rPr>
        <w:t>いる。</w:t>
      </w:r>
      <w:r>
        <w:rPr>
          <w:noProof/>
          <w:lang w:eastAsia="ja-JP"/>
        </w:rPr>
        <w:t>最終意見では、選択肢の選択、規制の下で採用される方法、デジタル製品パスポートの</w:t>
      </w:r>
      <w:r>
        <w:rPr>
          <w:noProof/>
          <w:lang w:eastAsia="ja-JP"/>
        </w:rPr>
        <w:t>ルールが実際にどのように敷かれるのかについて、追加で詳細を求めた。</w:t>
      </w:r>
    </w:p>
    <w:p w14:paraId="6AAD1295" w14:textId="77777777" w:rsidR="0038775E" w:rsidRDefault="00877B9C" w:rsidP="002041D4">
      <w:pPr>
        <w:pBdr>
          <w:top w:val="nil"/>
          <w:left w:val="nil"/>
          <w:bottom w:val="nil"/>
          <w:right w:val="nil"/>
          <w:between w:val="nil"/>
          <w:bar w:val="nil"/>
        </w:pBdr>
        <w:wordWrap w:val="0"/>
        <w:spacing w:before="0" w:after="240"/>
        <w:rPr>
          <w:noProof/>
          <w:lang w:eastAsia="ja-JP"/>
        </w:rPr>
      </w:pPr>
      <w:r>
        <w:rPr>
          <w:noProof/>
          <w:lang w:eastAsia="ja-JP"/>
        </w:rPr>
        <w:t>このイニシアティブが改善しようとする主な問題、それに関連する副問題、および特定された政策オプションは、影響評価の</w:t>
      </w:r>
      <w:r w:rsidRPr="23DF1179">
        <w:rPr>
          <w:b/>
          <w:bCs/>
          <w:noProof/>
          <w:lang w:eastAsia="ja-JP"/>
        </w:rPr>
        <w:t>セクション</w:t>
      </w:r>
      <w:r>
        <w:rPr>
          <w:noProof/>
          <w:lang w:eastAsia="ja-JP"/>
        </w:rPr>
        <w:t>2</w:t>
      </w:r>
      <w:r>
        <w:rPr>
          <w:noProof/>
          <w:lang w:eastAsia="ja-JP"/>
        </w:rPr>
        <w:t>と</w:t>
      </w:r>
      <w:r w:rsidRPr="23DF1179">
        <w:rPr>
          <w:b/>
          <w:bCs/>
          <w:noProof/>
          <w:lang w:eastAsia="ja-JP"/>
        </w:rPr>
        <w:t>5.</w:t>
      </w:r>
      <w:r>
        <w:rPr>
          <w:noProof/>
          <w:lang w:eastAsia="ja-JP"/>
        </w:rPr>
        <w:t>2</w:t>
      </w:r>
      <w:r>
        <w:rPr>
          <w:noProof/>
          <w:lang w:eastAsia="ja-JP"/>
        </w:rPr>
        <w:t>に詳述されている。望ましい選択肢の組み合わせは、影響評価の</w:t>
      </w:r>
      <w:r w:rsidRPr="23DF1179">
        <w:rPr>
          <w:b/>
          <w:bCs/>
          <w:noProof/>
          <w:lang w:eastAsia="ja-JP"/>
        </w:rPr>
        <w:t>セクション</w:t>
      </w:r>
      <w:r w:rsidRPr="23DF1179">
        <w:rPr>
          <w:b/>
          <w:bCs/>
          <w:noProof/>
          <w:lang w:eastAsia="ja-JP"/>
        </w:rPr>
        <w:t>7</w:t>
      </w:r>
      <w:r w:rsidRPr="23DF1179">
        <w:rPr>
          <w:b/>
          <w:bCs/>
          <w:noProof/>
          <w:lang w:eastAsia="ja-JP"/>
        </w:rPr>
        <w:t>で</w:t>
      </w:r>
      <w:r>
        <w:rPr>
          <w:noProof/>
          <w:lang w:eastAsia="ja-JP"/>
        </w:rPr>
        <w:t>詳細に説明されている。影響評価の</w:t>
      </w:r>
      <w:r w:rsidRPr="23DF1179">
        <w:rPr>
          <w:b/>
          <w:bCs/>
          <w:noProof/>
          <w:lang w:eastAsia="ja-JP"/>
        </w:rPr>
        <w:t>付属書</w:t>
      </w:r>
      <w:r w:rsidRPr="23DF1179">
        <w:rPr>
          <w:b/>
          <w:bCs/>
          <w:noProof/>
          <w:lang w:eastAsia="ja-JP"/>
        </w:rPr>
        <w:t>10</w:t>
      </w:r>
      <w:r w:rsidRPr="23DF1179">
        <w:rPr>
          <w:b/>
          <w:bCs/>
          <w:noProof/>
          <w:lang w:eastAsia="ja-JP"/>
        </w:rPr>
        <w:t>は、</w:t>
      </w:r>
      <w:r>
        <w:rPr>
          <w:noProof/>
          <w:lang w:eastAsia="ja-JP"/>
        </w:rPr>
        <w:t>分析したすべてのサブオプションのコストと便益の概要を示しており、</w:t>
      </w:r>
      <w:r w:rsidRPr="23DF1179">
        <w:rPr>
          <w:b/>
          <w:bCs/>
          <w:noProof/>
          <w:lang w:eastAsia="ja-JP"/>
        </w:rPr>
        <w:t>付属書</w:t>
      </w:r>
      <w:r w:rsidRPr="23DF1179">
        <w:rPr>
          <w:b/>
          <w:bCs/>
          <w:noProof/>
          <w:lang w:eastAsia="ja-JP"/>
        </w:rPr>
        <w:t>12</w:t>
      </w:r>
      <w:r w:rsidRPr="23DF1179">
        <w:rPr>
          <w:b/>
          <w:bCs/>
          <w:noProof/>
          <w:lang w:eastAsia="ja-JP"/>
        </w:rPr>
        <w:t>は、</w:t>
      </w:r>
      <w:r>
        <w:rPr>
          <w:noProof/>
          <w:lang w:eastAsia="ja-JP"/>
        </w:rPr>
        <w:t>好ましいオプションの組み合わせに関連すると思われるコストと便益に関する詳細情報を示している。これらすべての側面は、影</w:t>
      </w:r>
      <w:r>
        <w:rPr>
          <w:noProof/>
          <w:lang w:eastAsia="ja-JP"/>
        </w:rPr>
        <w:t>響評価に付随する</w:t>
      </w:r>
      <w:r w:rsidRPr="23DF1179">
        <w:rPr>
          <w:b/>
          <w:bCs/>
          <w:noProof/>
          <w:lang w:eastAsia="ja-JP"/>
        </w:rPr>
        <w:t>エグゼクティブサマリーにまとめられている。</w:t>
      </w:r>
    </w:p>
    <w:p w14:paraId="0CAEBEF1" w14:textId="698349E2" w:rsidR="0038775E" w:rsidRDefault="00877B9C" w:rsidP="002041D4">
      <w:pPr>
        <w:pBdr>
          <w:top w:val="nil"/>
          <w:left w:val="nil"/>
          <w:bottom w:val="nil"/>
          <w:right w:val="nil"/>
          <w:between w:val="nil"/>
          <w:bar w:val="nil"/>
        </w:pBdr>
        <w:wordWrap w:val="0"/>
        <w:spacing w:before="0" w:after="240"/>
        <w:rPr>
          <w:noProof/>
          <w:lang w:eastAsia="ja-JP"/>
        </w:rPr>
      </w:pPr>
      <w:r>
        <w:rPr>
          <w:noProof/>
          <w:lang w:eastAsia="ja-JP"/>
        </w:rPr>
        <w:t>フレームワーク・アーキテクチャを想定しているため、要件に起因する正確なコストを見積もることは困難である。大半は、二次法の制定後、第二段階で発生することにな</w:t>
      </w:r>
      <w:r w:rsidR="002041D4">
        <w:rPr>
          <w:noProof/>
          <w:lang w:eastAsia="ja-JP"/>
        </w:rPr>
        <w:t>る</w:t>
      </w:r>
      <w:r>
        <w:rPr>
          <w:noProof/>
          <w:lang w:eastAsia="ja-JP"/>
        </w:rPr>
        <w:t>。</w:t>
      </w:r>
      <w:r>
        <w:rPr>
          <w:noProof/>
          <w:lang w:eastAsia="ja-JP"/>
        </w:rPr>
        <w:t xml:space="preserve"> </w:t>
      </w:r>
    </w:p>
    <w:p w14:paraId="26DFCABD" w14:textId="02300FC1" w:rsidR="0038775E" w:rsidRDefault="00877B9C" w:rsidP="002041D4">
      <w:pPr>
        <w:pBdr>
          <w:top w:val="nil"/>
          <w:left w:val="nil"/>
          <w:bottom w:val="nil"/>
          <w:right w:val="nil"/>
          <w:between w:val="nil"/>
          <w:bar w:val="nil"/>
        </w:pBdr>
        <w:wordWrap w:val="0"/>
        <w:spacing w:before="0" w:after="240"/>
        <w:rPr>
          <w:noProof/>
          <w:szCs w:val="24"/>
          <w:lang w:eastAsia="ja-JP"/>
        </w:rPr>
      </w:pPr>
      <w:r>
        <w:rPr>
          <w:noProof/>
          <w:lang w:eastAsia="ja-JP"/>
        </w:rPr>
        <w:t>今後、各委任法に関連して行われる専用の影響評価では、第三国の事業者を含め、予想される影響を、</w:t>
      </w:r>
      <w:r>
        <w:rPr>
          <w:noProof/>
          <w:lang w:eastAsia="ja-JP"/>
        </w:rPr>
        <w:t>WTO</w:t>
      </w:r>
      <w:r>
        <w:rPr>
          <w:noProof/>
          <w:lang w:eastAsia="ja-JP"/>
        </w:rPr>
        <w:t>の通達も踏まえて詳細に評価</w:t>
      </w:r>
      <w:r w:rsidR="002041D4">
        <w:rPr>
          <w:noProof/>
          <w:lang w:eastAsia="ja-JP"/>
        </w:rPr>
        <w:t>する</w:t>
      </w:r>
      <w:r>
        <w:rPr>
          <w:noProof/>
          <w:lang w:eastAsia="ja-JP"/>
        </w:rPr>
        <w:t>。</w:t>
      </w:r>
    </w:p>
    <w:p w14:paraId="72718E6C" w14:textId="3366D17F" w:rsidR="0038775E" w:rsidRDefault="00877B9C" w:rsidP="002041D4">
      <w:pPr>
        <w:pBdr>
          <w:top w:val="nil"/>
          <w:left w:val="nil"/>
          <w:bottom w:val="nil"/>
          <w:right w:val="nil"/>
          <w:between w:val="nil"/>
          <w:bar w:val="nil"/>
        </w:pBdr>
        <w:wordWrap w:val="0"/>
        <w:spacing w:before="0" w:after="240"/>
        <w:rPr>
          <w:noProof/>
          <w:szCs w:val="24"/>
          <w:lang w:eastAsia="ja-JP"/>
        </w:rPr>
      </w:pPr>
      <w:r w:rsidRPr="00DF5C23">
        <w:rPr>
          <w:noProof/>
          <w:lang w:eastAsia="ja-JP"/>
        </w:rPr>
        <w:t>なお、</w:t>
      </w:r>
      <w:r w:rsidR="00C0235D" w:rsidRPr="00DF5C23">
        <w:rPr>
          <w:noProof/>
          <w:lang w:eastAsia="ja-JP"/>
        </w:rPr>
        <w:t>このイニシアチブの</w:t>
      </w:r>
      <w:r w:rsidRPr="00DF5C23">
        <w:rPr>
          <w:noProof/>
          <w:lang w:eastAsia="ja-JP"/>
        </w:rPr>
        <w:t>準備中に、「</w:t>
      </w:r>
      <w:r w:rsidR="00C0235D" w:rsidRPr="23DF1179">
        <w:rPr>
          <w:rFonts w:eastAsia="Arial Unicode MS"/>
          <w:b/>
          <w:bCs/>
          <w:noProof/>
          <w:lang w:eastAsia="ja-JP"/>
        </w:rPr>
        <w:t>企業の持続可能なデューデリジェンスに関する</w:t>
      </w:r>
      <w:r w:rsidR="00C0235D" w:rsidRPr="00DF5C23">
        <w:rPr>
          <w:noProof/>
          <w:lang w:eastAsia="ja-JP"/>
        </w:rPr>
        <w:t>指令の</w:t>
      </w:r>
      <w:r w:rsidR="007E6AEA" w:rsidRPr="00DF5C23">
        <w:rPr>
          <w:noProof/>
          <w:lang w:eastAsia="ja-JP"/>
        </w:rPr>
        <w:t>ための委員会提案」</w:t>
      </w:r>
      <w:r w:rsidR="00461A97" w:rsidRPr="23DF1179">
        <w:rPr>
          <w:rStyle w:val="afa"/>
          <w:rFonts w:eastAsia="Arial Unicode MS"/>
          <w:b/>
          <w:bCs/>
          <w:noProof/>
        </w:rPr>
        <w:footnoteReference w:id="20"/>
      </w:r>
      <w:r w:rsidR="00C0235D" w:rsidRPr="23DF1179">
        <w:rPr>
          <w:rFonts w:eastAsia="Arial Unicode MS"/>
          <w:b/>
          <w:bCs/>
          <w:noProof/>
          <w:lang w:eastAsia="ja-JP"/>
        </w:rPr>
        <w:t xml:space="preserve"> </w:t>
      </w:r>
      <w:r w:rsidR="00C0235D" w:rsidRPr="23DF1179">
        <w:rPr>
          <w:rFonts w:eastAsia="Arial Unicode MS"/>
          <w:b/>
          <w:bCs/>
          <w:noProof/>
          <w:lang w:eastAsia="ja-JP"/>
        </w:rPr>
        <w:t>が</w:t>
      </w:r>
      <w:r w:rsidRPr="00DF5C23">
        <w:rPr>
          <w:noProof/>
          <w:lang w:eastAsia="ja-JP"/>
        </w:rPr>
        <w:t>採択されたため、</w:t>
      </w:r>
      <w:r w:rsidR="00C0235D" w:rsidRPr="00DF5C23">
        <w:rPr>
          <w:noProof/>
          <w:lang w:eastAsia="ja-JP"/>
        </w:rPr>
        <w:t>この立法提案の</w:t>
      </w:r>
      <w:r w:rsidR="007E6AEA" w:rsidRPr="00DF5C23">
        <w:rPr>
          <w:noProof/>
          <w:lang w:eastAsia="ja-JP"/>
        </w:rPr>
        <w:t>範囲から</w:t>
      </w:r>
      <w:r w:rsidRPr="00DF5C23">
        <w:rPr>
          <w:noProof/>
          <w:lang w:eastAsia="ja-JP"/>
        </w:rPr>
        <w:t>社会的側面に関する</w:t>
      </w:r>
      <w:r w:rsidR="007E6AEA" w:rsidRPr="00DF5C23">
        <w:rPr>
          <w:noProof/>
          <w:lang w:eastAsia="ja-JP"/>
        </w:rPr>
        <w:t>要件を除外することが</w:t>
      </w:r>
      <w:r w:rsidRPr="00DF5C23">
        <w:rPr>
          <w:noProof/>
          <w:lang w:eastAsia="ja-JP"/>
        </w:rPr>
        <w:t>適切と判断されたことを付記してお</w:t>
      </w:r>
      <w:r w:rsidR="002041D4">
        <w:rPr>
          <w:noProof/>
          <w:lang w:eastAsia="ja-JP"/>
        </w:rPr>
        <w:t>く</w:t>
      </w:r>
      <w:r w:rsidRPr="00DF5C23">
        <w:rPr>
          <w:noProof/>
          <w:lang w:eastAsia="ja-JP"/>
        </w:rPr>
        <w:t>。</w:t>
      </w:r>
      <w:r w:rsidRPr="00DF5C23">
        <w:rPr>
          <w:noProof/>
          <w:lang w:eastAsia="ja-JP"/>
        </w:rPr>
        <w:t xml:space="preserve"> </w:t>
      </w:r>
    </w:p>
    <w:p w14:paraId="6A6B858E" w14:textId="1FF8E2EE" w:rsidR="0038775E" w:rsidRDefault="00877B9C" w:rsidP="002041D4">
      <w:pPr>
        <w:pBdr>
          <w:top w:val="nil"/>
          <w:left w:val="nil"/>
          <w:bottom w:val="nil"/>
          <w:right w:val="nil"/>
          <w:between w:val="nil"/>
          <w:bar w:val="nil"/>
        </w:pBdr>
        <w:wordWrap w:val="0"/>
        <w:spacing w:before="0" w:after="240"/>
        <w:rPr>
          <w:noProof/>
          <w:lang w:eastAsia="ja-JP"/>
        </w:rPr>
      </w:pPr>
      <w:r>
        <w:rPr>
          <w:noProof/>
          <w:lang w:eastAsia="ja-JP"/>
        </w:rPr>
        <w:t>法文に明記されているように、</w:t>
      </w:r>
      <w:r w:rsidRPr="23DF1179">
        <w:rPr>
          <w:rFonts w:eastAsia="Times New Roman"/>
          <w:noProof/>
          <w:color w:val="000000" w:themeColor="text1"/>
          <w:lang w:val="en-IE" w:eastAsia="fr-BE"/>
        </w:rPr>
        <w:t>本規則の適用日から8年</w:t>
      </w:r>
      <w:r>
        <w:rPr>
          <w:noProof/>
          <w:lang w:eastAsia="ja-JP"/>
        </w:rPr>
        <w:t>後に評価が行わ</w:t>
      </w:r>
      <w:r w:rsidR="002041D4">
        <w:rPr>
          <w:noProof/>
          <w:lang w:eastAsia="ja-JP"/>
        </w:rPr>
        <w:t>れる</w:t>
      </w:r>
      <w:r>
        <w:rPr>
          <w:noProof/>
          <w:lang w:eastAsia="ja-JP"/>
        </w:rPr>
        <w:t>。この評価では、特に、規制の枠組みに社会的要件を盛り込むことが検討される可能性があ</w:t>
      </w:r>
      <w:r w:rsidR="002041D4">
        <w:rPr>
          <w:noProof/>
          <w:lang w:eastAsia="ja-JP"/>
        </w:rPr>
        <w:t>る</w:t>
      </w:r>
      <w:r>
        <w:rPr>
          <w:noProof/>
          <w:lang w:eastAsia="ja-JP"/>
        </w:rPr>
        <w:t>。</w:t>
      </w:r>
      <w:r>
        <w:rPr>
          <w:noProof/>
          <w:lang w:eastAsia="ja-JP"/>
        </w:rPr>
        <w:t xml:space="preserve">     </w:t>
      </w:r>
    </w:p>
    <w:p w14:paraId="39EF93C5" w14:textId="77777777" w:rsidR="0038775E" w:rsidRDefault="00877B9C" w:rsidP="002041D4">
      <w:pPr>
        <w:pStyle w:val="ManualHeading2"/>
        <w:wordWrap w:val="0"/>
        <w:rPr>
          <w:rFonts w:eastAsia="Arial Unicode MS"/>
          <w:noProof/>
          <w:lang w:val="en-US" w:eastAsia="ja-JP"/>
        </w:rPr>
      </w:pPr>
      <w:r w:rsidRPr="00DF5C23">
        <w:rPr>
          <w:rFonts w:eastAsia="Arial Unicode MS"/>
          <w:noProof/>
          <w:bdr w:val="nil"/>
          <w:lang w:val="en-US" w:eastAsia="ja-JP"/>
        </w:rPr>
        <w:lastRenderedPageBreak/>
        <w:t>-</w:t>
      </w:r>
      <w:r w:rsidRPr="00DF5C23">
        <w:rPr>
          <w:rFonts w:eastAsia="Arial Unicode MS"/>
          <w:noProof/>
          <w:u w:color="000000"/>
          <w:bdr w:val="nil"/>
          <w:lang w:val="en-US" w:eastAsia="ja-JP"/>
        </w:rPr>
        <w:tab/>
      </w:r>
      <w:r w:rsidRPr="00DF5C23">
        <w:rPr>
          <w:rFonts w:eastAsia="Arial Unicode MS"/>
          <w:noProof/>
          <w:bdr w:val="nil"/>
          <w:lang w:val="en-US" w:eastAsia="ja-JP"/>
        </w:rPr>
        <w:t>規制の適正化と簡素化</w:t>
      </w:r>
    </w:p>
    <w:p w14:paraId="3704B7B8" w14:textId="77777777" w:rsidR="0038775E" w:rsidRDefault="00877B9C" w:rsidP="002041D4">
      <w:pPr>
        <w:pBdr>
          <w:top w:val="nil"/>
          <w:left w:val="nil"/>
          <w:bottom w:val="nil"/>
          <w:right w:val="nil"/>
          <w:between w:val="nil"/>
          <w:bar w:val="nil"/>
        </w:pBdr>
        <w:wordWrap w:val="0"/>
        <w:spacing w:before="0" w:after="240"/>
        <w:rPr>
          <w:noProof/>
          <w:lang w:eastAsia="ja-JP"/>
        </w:rPr>
      </w:pPr>
      <w:r>
        <w:rPr>
          <w:noProof/>
          <w:lang w:eastAsia="ja-JP"/>
        </w:rPr>
        <w:t>この規制は、</w:t>
      </w:r>
      <w:r w:rsidRPr="23DF1179">
        <w:rPr>
          <w:rFonts w:eastAsia="Arial Unicode MS"/>
          <w:noProof/>
          <w:lang w:eastAsia="ja-JP"/>
        </w:rPr>
        <w:t>域内市場で</w:t>
      </w:r>
      <w:r>
        <w:rPr>
          <w:noProof/>
          <w:lang w:eastAsia="ja-JP"/>
        </w:rPr>
        <w:t>活動する</w:t>
      </w:r>
      <w:r w:rsidRPr="23DF1179">
        <w:rPr>
          <w:noProof/>
          <w:lang w:eastAsia="ja-JP"/>
        </w:rPr>
        <w:t>企業にとって</w:t>
      </w:r>
      <w:r>
        <w:rPr>
          <w:noProof/>
          <w:lang w:eastAsia="ja-JP"/>
        </w:rPr>
        <w:t>公平な競争条件を作り出すことが期待される。</w:t>
      </w:r>
      <w:r>
        <w:rPr>
          <w:noProof/>
          <w:lang w:eastAsia="ja-JP"/>
        </w:rPr>
        <w:t>EU</w:t>
      </w:r>
      <w:r>
        <w:rPr>
          <w:noProof/>
          <w:lang w:eastAsia="ja-JP"/>
        </w:rPr>
        <w:t>レベルで提案されている調和された要件は、国レベルの複数の既存または計画された要件に取って代わる可能性があることから、全体的</w:t>
      </w:r>
      <w:r>
        <w:rPr>
          <w:noProof/>
          <w:lang w:eastAsia="ja-JP"/>
        </w:rPr>
        <w:t>なコンプライアンス・コストを削減する可能性が高い。</w:t>
      </w:r>
      <w:r>
        <w:rPr>
          <w:noProof/>
          <w:lang w:eastAsia="ja-JP"/>
        </w:rPr>
        <w:t xml:space="preserve"> </w:t>
      </w:r>
    </w:p>
    <w:p w14:paraId="4B08EECD" w14:textId="239CE3CA" w:rsidR="0038775E" w:rsidRDefault="00877B9C" w:rsidP="002041D4">
      <w:pPr>
        <w:pBdr>
          <w:top w:val="nil"/>
          <w:left w:val="nil"/>
          <w:bottom w:val="nil"/>
          <w:right w:val="nil"/>
          <w:between w:val="nil"/>
          <w:bar w:val="nil"/>
        </w:pBdr>
        <w:wordWrap w:val="0"/>
        <w:spacing w:before="0" w:after="240"/>
        <w:rPr>
          <w:noProof/>
          <w:lang w:eastAsia="ja-JP"/>
        </w:rPr>
      </w:pPr>
      <w:r>
        <w:rPr>
          <w:noProof/>
          <w:lang w:eastAsia="ja-JP"/>
        </w:rPr>
        <w:t>より持続可能な生産と透明性の高いサプライチェーンを用いる生産者は、持続可能性の低い方法を用いる生産者よりも</w:t>
      </w:r>
      <w:r>
        <w:rPr>
          <w:noProof/>
          <w:lang w:eastAsia="ja-JP"/>
        </w:rPr>
        <w:t>EU</w:t>
      </w:r>
      <w:r>
        <w:rPr>
          <w:noProof/>
          <w:lang w:eastAsia="ja-JP"/>
        </w:rPr>
        <w:t>の市場シェアを獲得し、競争力を高めることが期待さ</w:t>
      </w:r>
      <w:r w:rsidR="002041D4">
        <w:rPr>
          <w:noProof/>
          <w:lang w:eastAsia="ja-JP"/>
        </w:rPr>
        <w:t>れる</w:t>
      </w:r>
      <w:r>
        <w:rPr>
          <w:noProof/>
          <w:lang w:eastAsia="ja-JP"/>
        </w:rPr>
        <w:t>。</w:t>
      </w:r>
    </w:p>
    <w:p w14:paraId="30BE09F6" w14:textId="77777777" w:rsidR="0038775E" w:rsidRDefault="00877B9C" w:rsidP="002041D4">
      <w:pPr>
        <w:pBdr>
          <w:top w:val="nil"/>
          <w:left w:val="nil"/>
          <w:bottom w:val="nil"/>
          <w:right w:val="nil"/>
          <w:between w:val="nil"/>
          <w:bar w:val="nil"/>
        </w:pBdr>
        <w:wordWrap w:val="0"/>
        <w:spacing w:before="0" w:after="240"/>
        <w:rPr>
          <w:noProof/>
          <w:lang w:eastAsia="ja-JP"/>
        </w:rPr>
      </w:pPr>
      <w:r>
        <w:rPr>
          <w:noProof/>
          <w:lang w:eastAsia="ja-JP"/>
        </w:rPr>
        <w:t>中小企業は、影響評価で特定された政策オプションの好ましい組み合わせの下で、いくつかの対策から一定のマイナスの影響が生じる可能性があることを示唆したが、多くの企業が、これらの影響は相殺でき、時間とともに付加価値をもたらす（材料費の削減、顧客ロイヤルティの向上、より環境に優しい製品の市場へのア</w:t>
      </w:r>
      <w:r>
        <w:rPr>
          <w:noProof/>
          <w:lang w:eastAsia="ja-JP"/>
        </w:rPr>
        <w:t>クセス向上、評判上の利益などによる）、という考えも表明している。さらに、欧州委員会は、</w:t>
      </w:r>
      <w:r w:rsidRPr="23DF1179">
        <w:rPr>
          <w:rFonts w:eastAsia="Times New Roman"/>
          <w:noProof/>
          <w:lang w:eastAsia="ja-JP"/>
        </w:rPr>
        <w:t>中小企業への悪影響を軽減する方法を特に</w:t>
      </w:r>
      <w:r>
        <w:rPr>
          <w:noProof/>
          <w:lang w:eastAsia="ja-JP"/>
        </w:rPr>
        <w:t>検討した。</w:t>
      </w:r>
      <w:r w:rsidRPr="23DF1179">
        <w:rPr>
          <w:rFonts w:eastAsia="Times New Roman"/>
          <w:noProof/>
          <w:lang w:eastAsia="ja-JP"/>
        </w:rPr>
        <w:t xml:space="preserve">これらは、付属の影響評価書の付属書19と、今回の提案の特定の条項に詳述されている。 </w:t>
      </w:r>
    </w:p>
    <w:p w14:paraId="0590F3E5" w14:textId="77777777" w:rsidR="0038775E" w:rsidRDefault="00877B9C" w:rsidP="002041D4">
      <w:pPr>
        <w:pBdr>
          <w:top w:val="nil"/>
          <w:left w:val="nil"/>
          <w:bottom w:val="nil"/>
          <w:right w:val="nil"/>
          <w:between w:val="nil"/>
          <w:bar w:val="nil"/>
        </w:pBdr>
        <w:wordWrap w:val="0"/>
        <w:spacing w:before="0" w:after="240"/>
        <w:rPr>
          <w:noProof/>
          <w:lang w:eastAsia="ja-JP"/>
        </w:rPr>
      </w:pPr>
      <w:r w:rsidRPr="00DF5C23">
        <w:rPr>
          <w:noProof/>
          <w:lang w:eastAsia="ja-JP"/>
        </w:rPr>
        <w:t>協議の目的については、エコデザイン指令に基づく既存の協議フォーラムの成功例を</w:t>
      </w:r>
      <w:r w:rsidR="008344BB" w:rsidRPr="00DF5C23">
        <w:rPr>
          <w:noProof/>
          <w:lang w:eastAsia="ja-JP"/>
        </w:rPr>
        <w:t>引き継ぎ、</w:t>
      </w:r>
      <w:r w:rsidRPr="00DF5C23">
        <w:rPr>
          <w:rFonts w:eastAsia="Times New Roman"/>
          <w:noProof/>
          <w:color w:val="000000" w:themeColor="text1"/>
          <w:lang w:eastAsia="fr-BE"/>
        </w:rPr>
        <w:t>加盟国の代表と、</w:t>
      </w:r>
      <w:r w:rsidRPr="00DF5C23">
        <w:rPr>
          <w:noProof/>
          <w:lang w:eastAsia="fr-BE"/>
        </w:rPr>
        <w:t>中小</w:t>
      </w:r>
      <w:r w:rsidRPr="00DF5C23">
        <w:rPr>
          <w:rFonts w:eastAsia="Times New Roman"/>
          <w:noProof/>
          <w:color w:val="000000" w:themeColor="text1"/>
          <w:lang w:eastAsia="fr-BE"/>
        </w:rPr>
        <w:t>企業や工芸品を含む産業界、労働組合、商社、小売業者、輸入業者、環境保護団体、消費者団体などすべての利害関係者がバランスよく参加</w:t>
      </w:r>
      <w:r w:rsidRPr="00DF5C23">
        <w:rPr>
          <w:noProof/>
          <w:lang w:eastAsia="ja-JP"/>
        </w:rPr>
        <w:t>するエコデザインフォーラムを設立することを提案している。</w:t>
      </w:r>
      <w:r w:rsidR="008344BB" w:rsidRPr="00DF5C23">
        <w:rPr>
          <w:rFonts w:eastAsia="Times New Roman"/>
          <w:noProof/>
          <w:color w:val="000000" w:themeColor="text1"/>
          <w:lang w:eastAsia="fr-BE"/>
        </w:rPr>
        <w:t>エコデザインフォーラムは、欧州委員会が委任された権限を正式に行使する前に、作業計画およびエコデザイン要求事項の作成に関する専門知識を欧州委員会に提供することに限定される。</w:t>
      </w:r>
      <w:r w:rsidR="008344BB" w:rsidRPr="00DF5C23">
        <w:rPr>
          <w:noProof/>
          <w:lang w:eastAsia="ja-JP"/>
        </w:rPr>
        <w:t>欧州委員会は、</w:t>
      </w:r>
      <w:r w:rsidR="008344BB" w:rsidRPr="00DF5C23">
        <w:rPr>
          <w:noProof/>
          <w:lang w:eastAsia="ja-JP"/>
        </w:rPr>
        <w:t>2016</w:t>
      </w:r>
      <w:r w:rsidR="008344BB" w:rsidRPr="00DF5C23">
        <w:rPr>
          <w:noProof/>
          <w:lang w:eastAsia="ja-JP"/>
        </w:rPr>
        <w:t>年</w:t>
      </w:r>
      <w:r w:rsidR="008344BB" w:rsidRPr="00DF5C23">
        <w:rPr>
          <w:noProof/>
          <w:lang w:eastAsia="ja-JP"/>
        </w:rPr>
        <w:t>4</w:t>
      </w:r>
      <w:r w:rsidR="008344BB" w:rsidRPr="00DF5C23">
        <w:rPr>
          <w:noProof/>
          <w:lang w:eastAsia="ja-JP"/>
        </w:rPr>
        <w:t>月</w:t>
      </w:r>
      <w:r w:rsidR="008344BB" w:rsidRPr="00DF5C23">
        <w:rPr>
          <w:noProof/>
          <w:lang w:eastAsia="ja-JP"/>
        </w:rPr>
        <w:t>13</w:t>
      </w:r>
      <w:r w:rsidR="008344BB" w:rsidRPr="00DF5C23">
        <w:rPr>
          <w:noProof/>
          <w:lang w:eastAsia="ja-JP"/>
        </w:rPr>
        <w:t>日の「より良い法作りに関する機関間合意」</w:t>
      </w:r>
      <w:r w:rsidR="008344BB" w:rsidRPr="00DF5C23">
        <w:rPr>
          <w:rStyle w:val="afa"/>
          <w:noProof/>
        </w:rPr>
        <w:footnoteReference w:id="21"/>
      </w:r>
      <w:r w:rsidR="008344BB" w:rsidRPr="00DF5C23">
        <w:rPr>
          <w:noProof/>
          <w:lang w:eastAsia="ja-JP"/>
        </w:rPr>
        <w:t xml:space="preserve"> </w:t>
      </w:r>
      <w:r w:rsidR="008344BB" w:rsidRPr="00DF5C23">
        <w:rPr>
          <w:noProof/>
          <w:lang w:eastAsia="ja-JP"/>
        </w:rPr>
        <w:t>に従い、</w:t>
      </w:r>
      <w:r w:rsidR="0016047A" w:rsidRPr="00DF5C23">
        <w:rPr>
          <w:noProof/>
          <w:lang w:eastAsia="ja-JP"/>
        </w:rPr>
        <w:t>本規則に基づき採択される</w:t>
      </w:r>
      <w:r w:rsidR="008344BB" w:rsidRPr="00DF5C23">
        <w:rPr>
          <w:noProof/>
          <w:lang w:eastAsia="ja-JP"/>
        </w:rPr>
        <w:t>委任法について</w:t>
      </w:r>
      <w:r w:rsidR="0016047A" w:rsidRPr="00DF5C23">
        <w:rPr>
          <w:noProof/>
          <w:lang w:eastAsia="ja-JP"/>
        </w:rPr>
        <w:t>加盟国と協議</w:t>
      </w:r>
      <w:r w:rsidR="008344BB" w:rsidRPr="00DF5C23">
        <w:rPr>
          <w:noProof/>
          <w:lang w:eastAsia="ja-JP"/>
        </w:rPr>
        <w:t>するための専門家グループを追加設置することができる。</w:t>
      </w:r>
    </w:p>
    <w:p w14:paraId="22E0C9A0" w14:textId="117A431A" w:rsidR="0038775E" w:rsidRDefault="00877B9C" w:rsidP="002041D4">
      <w:pPr>
        <w:pBdr>
          <w:top w:val="nil"/>
          <w:left w:val="nil"/>
          <w:bottom w:val="nil"/>
          <w:right w:val="nil"/>
          <w:between w:val="nil"/>
          <w:bar w:val="nil"/>
        </w:pBdr>
        <w:wordWrap w:val="0"/>
        <w:spacing w:before="0" w:after="240"/>
        <w:rPr>
          <w:noProof/>
          <w:lang w:eastAsia="ja-JP"/>
        </w:rPr>
      </w:pPr>
      <w:r>
        <w:rPr>
          <w:noProof/>
          <w:lang w:eastAsia="ja-JP"/>
        </w:rPr>
        <w:t>また、サプライチェーン事業者、当局、消費者の間で製品関連情報を電子的に登録、処理、共有するためのデジタル製品パスポートの創設も提案されて</w:t>
      </w:r>
      <w:r w:rsidR="002041D4">
        <w:rPr>
          <w:noProof/>
          <w:lang w:eastAsia="ja-JP"/>
        </w:rPr>
        <w:t>いる。</w:t>
      </w:r>
      <w:r>
        <w:rPr>
          <w:noProof/>
          <w:lang w:eastAsia="ja-JP"/>
        </w:rPr>
        <w:t>これにより、サプライチェーン事業者と一般消費者の双方にとって透明性が向上し、情報伝達の効率化が図られることが期待さ</w:t>
      </w:r>
      <w:r w:rsidR="002041D4">
        <w:rPr>
          <w:noProof/>
          <w:lang w:eastAsia="ja-JP"/>
        </w:rPr>
        <w:t>れる</w:t>
      </w:r>
      <w:r>
        <w:rPr>
          <w:noProof/>
          <w:lang w:eastAsia="ja-JP"/>
        </w:rPr>
        <w:t>。特に、</w:t>
      </w:r>
      <w:r>
        <w:rPr>
          <w:noProof/>
          <w:lang w:eastAsia="ja-JP"/>
        </w:rPr>
        <w:t>EU</w:t>
      </w:r>
      <w:r>
        <w:rPr>
          <w:noProof/>
          <w:lang w:eastAsia="ja-JP"/>
        </w:rPr>
        <w:t>および加盟国の当局が行う規制の監視と執行の円滑化と合理化に役立つと思われる。また、将来的に義務を改訂・改善する際に利用される可能性のある市場情報ツールを提供する可能性がある。</w:t>
      </w:r>
    </w:p>
    <w:p w14:paraId="24A3CA21" w14:textId="4E917CA6" w:rsidR="0038775E" w:rsidRDefault="00877B9C" w:rsidP="002041D4">
      <w:pPr>
        <w:wordWrap w:val="0"/>
        <w:spacing w:before="0" w:after="240"/>
        <w:rPr>
          <w:noProof/>
          <w:lang w:eastAsia="ja-JP"/>
        </w:rPr>
      </w:pPr>
      <w:r w:rsidRPr="00DF5C23">
        <w:rPr>
          <w:noProof/>
          <w:lang w:eastAsia="ja-JP"/>
        </w:rPr>
        <w:t>エコデザインに関する</w:t>
      </w:r>
      <w:r w:rsidRPr="00DF5C23">
        <w:rPr>
          <w:noProof/>
          <w:lang w:eastAsia="ja-JP"/>
        </w:rPr>
        <w:t>Fit for Future Platf</w:t>
      </w:r>
      <w:r w:rsidRPr="00DF5C23">
        <w:rPr>
          <w:noProof/>
          <w:lang w:eastAsia="ja-JP"/>
        </w:rPr>
        <w:t>orm</w:t>
      </w:r>
      <w:r w:rsidRPr="00DF5C23">
        <w:rPr>
          <w:noProof/>
          <w:lang w:eastAsia="ja-JP"/>
        </w:rPr>
        <w:t>の意見</w:t>
      </w:r>
      <w:r w:rsidR="00461A97" w:rsidRPr="00DF5C23">
        <w:rPr>
          <w:rStyle w:val="afa"/>
          <w:noProof/>
        </w:rPr>
        <w:footnoteReference w:id="22"/>
      </w:r>
      <w:r w:rsidRPr="00DF5C23">
        <w:rPr>
          <w:noProof/>
          <w:lang w:eastAsia="ja-JP"/>
        </w:rPr>
        <w:t xml:space="preserve"> </w:t>
      </w:r>
      <w:r w:rsidRPr="00DF5C23">
        <w:rPr>
          <w:noProof/>
          <w:lang w:eastAsia="ja-JP"/>
        </w:rPr>
        <w:t>は、製品の持続可能性を向上さ</w:t>
      </w:r>
      <w:r w:rsidR="00CD52A7" w:rsidRPr="00DF5C23">
        <w:rPr>
          <w:noProof/>
          <w:lang w:eastAsia="ja-JP"/>
        </w:rPr>
        <w:t>せる</w:t>
      </w:r>
      <w:r w:rsidRPr="00DF5C23">
        <w:rPr>
          <w:noProof/>
          <w:lang w:eastAsia="ja-JP"/>
        </w:rPr>
        <w:t>必要性と、ビジネスへの負担を最小限に抑えつつ新しい義務を導入する必要性を認識し</w:t>
      </w:r>
      <w:r w:rsidR="002041D4">
        <w:rPr>
          <w:noProof/>
          <w:lang w:eastAsia="ja-JP"/>
        </w:rPr>
        <w:t>た。</w:t>
      </w:r>
      <w:r w:rsidRPr="00DF5C23">
        <w:rPr>
          <w:noProof/>
          <w:lang w:eastAsia="ja-JP"/>
        </w:rPr>
        <w:t>同プラットフォームは、デジタル化</w:t>
      </w:r>
      <w:r w:rsidR="005B6230" w:rsidRPr="00DF5C23">
        <w:rPr>
          <w:noProof/>
          <w:lang w:eastAsia="ja-JP"/>
        </w:rPr>
        <w:t>、</w:t>
      </w:r>
      <w:r w:rsidRPr="00DF5C23">
        <w:rPr>
          <w:noProof/>
          <w:lang w:eastAsia="ja-JP"/>
        </w:rPr>
        <w:t>中小企業への負担の考慮</w:t>
      </w:r>
      <w:r w:rsidR="005B6230" w:rsidRPr="00DF5C23">
        <w:rPr>
          <w:noProof/>
          <w:lang w:eastAsia="ja-JP"/>
        </w:rPr>
        <w:t>、</w:t>
      </w:r>
      <w:r w:rsidRPr="00DF5C23">
        <w:rPr>
          <w:noProof/>
          <w:lang w:eastAsia="ja-JP"/>
        </w:rPr>
        <w:t>一貫性と明確性の確保に関する新しい法律の設計において考慮された</w:t>
      </w:r>
      <w:r w:rsidRPr="00DF5C23">
        <w:rPr>
          <w:noProof/>
          <w:lang w:eastAsia="ja-JP"/>
        </w:rPr>
        <w:t>9</w:t>
      </w:r>
      <w:r w:rsidRPr="00DF5C23">
        <w:rPr>
          <w:noProof/>
          <w:lang w:eastAsia="ja-JP"/>
        </w:rPr>
        <w:t>つの提案を行った。例えば、消費者がより良い情報にアクセスできるようにする一方で、デジタル製品パスポートがベストプラクティスに従って効率的な情報の流れを可能にするこ</w:t>
      </w:r>
      <w:r w:rsidRPr="00DF5C23">
        <w:rPr>
          <w:noProof/>
          <w:lang w:eastAsia="ja-JP"/>
        </w:rPr>
        <w:lastRenderedPageBreak/>
        <w:t>と、また、中小企業への影響が比例して残るように、</w:t>
      </w:r>
      <w:r w:rsidR="003050D7" w:rsidRPr="00DF5C23">
        <w:rPr>
          <w:noProof/>
          <w:lang w:eastAsia="ja-JP"/>
        </w:rPr>
        <w:t>本規則に基づく措置に</w:t>
      </w:r>
      <w:r w:rsidRPr="00DF5C23">
        <w:rPr>
          <w:noProof/>
          <w:lang w:eastAsia="ja-JP"/>
        </w:rPr>
        <w:t>緩和策を付随させる可能性</w:t>
      </w:r>
      <w:r w:rsidRPr="00DF5C23">
        <w:rPr>
          <w:noProof/>
          <w:lang w:eastAsia="ja-JP"/>
        </w:rPr>
        <w:t>があることなどが挙げら</w:t>
      </w:r>
      <w:r w:rsidR="002041D4">
        <w:rPr>
          <w:noProof/>
          <w:lang w:eastAsia="ja-JP"/>
        </w:rPr>
        <w:t>れる</w:t>
      </w:r>
      <w:r w:rsidRPr="00DF5C23">
        <w:rPr>
          <w:noProof/>
          <w:lang w:eastAsia="ja-JP"/>
        </w:rPr>
        <w:t>。</w:t>
      </w:r>
      <w:r w:rsidRPr="00DF5C23">
        <w:rPr>
          <w:noProof/>
          <w:lang w:eastAsia="ja-JP"/>
        </w:rPr>
        <w:t xml:space="preserve"> </w:t>
      </w:r>
    </w:p>
    <w:p w14:paraId="7A7B5B74" w14:textId="77777777" w:rsidR="0038775E" w:rsidRDefault="00877B9C" w:rsidP="002041D4">
      <w:pPr>
        <w:pStyle w:val="ManualHeading2"/>
        <w:wordWrap w:val="0"/>
        <w:rPr>
          <w:rFonts w:eastAsia="Arial Unicode MS"/>
          <w:noProof/>
          <w:lang w:val="en-US" w:eastAsia="ja-JP"/>
        </w:rPr>
      </w:pPr>
      <w:r w:rsidRPr="00DF5C23">
        <w:rPr>
          <w:rFonts w:eastAsia="Arial Unicode MS"/>
          <w:noProof/>
          <w:bdr w:val="nil"/>
          <w:lang w:val="en-US" w:eastAsia="ja-JP"/>
        </w:rPr>
        <w:t>-</w:t>
      </w:r>
      <w:r w:rsidRPr="00DF5C23">
        <w:rPr>
          <w:rFonts w:eastAsia="Arial Unicode MS"/>
          <w:noProof/>
          <w:u w:color="000000"/>
          <w:bdr w:val="nil"/>
          <w:lang w:val="en-US" w:eastAsia="ja-JP"/>
        </w:rPr>
        <w:tab/>
      </w:r>
      <w:r w:rsidRPr="00DF5C23">
        <w:rPr>
          <w:rFonts w:eastAsia="Arial Unicode MS"/>
          <w:noProof/>
          <w:bdr w:val="nil"/>
          <w:lang w:val="en-US" w:eastAsia="ja-JP"/>
        </w:rPr>
        <w:t>基本的人権</w:t>
      </w:r>
    </w:p>
    <w:p w14:paraId="69706846" w14:textId="77777777" w:rsidR="0038775E" w:rsidRDefault="00877B9C" w:rsidP="002041D4">
      <w:pPr>
        <w:pBdr>
          <w:top w:val="nil"/>
          <w:left w:val="nil"/>
          <w:bottom w:val="nil"/>
          <w:right w:val="nil"/>
          <w:between w:val="nil"/>
          <w:bar w:val="nil"/>
        </w:pBdr>
        <w:wordWrap w:val="0"/>
        <w:spacing w:before="0" w:after="240"/>
        <w:rPr>
          <w:rFonts w:eastAsia="Arial Unicode MS"/>
          <w:noProof/>
          <w:lang w:eastAsia="ja-JP"/>
        </w:rPr>
      </w:pPr>
      <w:r>
        <w:rPr>
          <w:noProof/>
          <w:lang w:eastAsia="ja-JP"/>
        </w:rPr>
        <w:t xml:space="preserve"> </w:t>
      </w:r>
      <w:r>
        <w:rPr>
          <w:noProof/>
          <w:lang w:eastAsia="ja-JP"/>
        </w:rPr>
        <w:t>エコデザインの要件は、</w:t>
      </w:r>
      <w:r>
        <w:rPr>
          <w:noProof/>
          <w:lang w:eastAsia="ja-JP"/>
        </w:rPr>
        <w:t>EU</w:t>
      </w:r>
      <w:r>
        <w:rPr>
          <w:noProof/>
          <w:lang w:eastAsia="ja-JP"/>
        </w:rPr>
        <w:t>基本権憲章に規定されている基本的権利の保護と促進にとって有益であり、事業遂行の自由（</w:t>
      </w:r>
      <w:r>
        <w:rPr>
          <w:noProof/>
          <w:lang w:eastAsia="ja-JP"/>
        </w:rPr>
        <w:t>16</w:t>
      </w:r>
      <w:r>
        <w:rPr>
          <w:noProof/>
          <w:lang w:eastAsia="ja-JP"/>
        </w:rPr>
        <w:t>条）、環境保護の権利（</w:t>
      </w:r>
      <w:r>
        <w:rPr>
          <w:noProof/>
          <w:lang w:eastAsia="ja-JP"/>
        </w:rPr>
        <w:t>37</w:t>
      </w:r>
      <w:r>
        <w:rPr>
          <w:noProof/>
          <w:lang w:eastAsia="ja-JP"/>
        </w:rPr>
        <w:t>条）、消費者保護の権利（</w:t>
      </w:r>
      <w:r>
        <w:rPr>
          <w:noProof/>
          <w:lang w:eastAsia="ja-JP"/>
        </w:rPr>
        <w:t>38</w:t>
      </w:r>
      <w:r>
        <w:rPr>
          <w:noProof/>
          <w:lang w:eastAsia="ja-JP"/>
        </w:rPr>
        <w:t>条）を含む。</w:t>
      </w:r>
    </w:p>
    <w:p w14:paraId="185D3E71" w14:textId="77777777" w:rsidR="0038775E" w:rsidRDefault="00877B9C" w:rsidP="002041D4">
      <w:pPr>
        <w:pStyle w:val="ManualHeading1"/>
        <w:wordWrap w:val="0"/>
        <w:rPr>
          <w:noProof/>
          <w:lang w:eastAsia="ja-JP"/>
        </w:rPr>
      </w:pPr>
      <w:r w:rsidRPr="00DF5C23">
        <w:rPr>
          <w:noProof/>
          <w:lang w:eastAsia="ja-JP"/>
        </w:rPr>
        <w:t>4.</w:t>
      </w:r>
      <w:r w:rsidRPr="00DF5C23">
        <w:rPr>
          <w:noProof/>
          <w:lang w:eastAsia="ja-JP"/>
        </w:rPr>
        <w:tab/>
      </w:r>
      <w:r w:rsidRPr="00DF5C23">
        <w:rPr>
          <w:noProof/>
          <w:lang w:eastAsia="ja-JP"/>
        </w:rPr>
        <w:t>予算上の影響</w:t>
      </w:r>
    </w:p>
    <w:p w14:paraId="4C3135F0" w14:textId="77777777" w:rsidR="0038775E" w:rsidRDefault="00877B9C" w:rsidP="002041D4">
      <w:pPr>
        <w:wordWrap w:val="0"/>
        <w:spacing w:after="240"/>
        <w:rPr>
          <w:noProof/>
          <w:lang w:eastAsia="ja-JP"/>
        </w:rPr>
      </w:pPr>
      <w:r>
        <w:rPr>
          <w:noProof/>
          <w:lang w:eastAsia="ja-JP"/>
        </w:rPr>
        <w:t>本提案が欧州委員会に与える予算的影響は限定的である。具体的には、</w:t>
      </w:r>
      <w:r>
        <w:rPr>
          <w:noProof/>
          <w:lang w:eastAsia="ja-JP"/>
        </w:rPr>
        <w:t>EU</w:t>
      </w:r>
      <w:r>
        <w:rPr>
          <w:noProof/>
          <w:lang w:eastAsia="ja-JP"/>
        </w:rPr>
        <w:t>の多年次財政枠組み（</w:t>
      </w:r>
      <w:r>
        <w:rPr>
          <w:noProof/>
          <w:lang w:eastAsia="ja-JP"/>
        </w:rPr>
        <w:t>MFF</w:t>
      </w:r>
      <w:r>
        <w:rPr>
          <w:noProof/>
          <w:lang w:eastAsia="ja-JP"/>
        </w:rPr>
        <w:t>）の</w:t>
      </w:r>
      <w:r>
        <w:rPr>
          <w:noProof/>
          <w:lang w:eastAsia="ja-JP"/>
        </w:rPr>
        <w:t>2022</w:t>
      </w:r>
      <w:r>
        <w:rPr>
          <w:noProof/>
          <w:lang w:eastAsia="ja-JP"/>
        </w:rPr>
        <w:t>年から</w:t>
      </w:r>
      <w:r>
        <w:rPr>
          <w:noProof/>
          <w:lang w:eastAsia="ja-JP"/>
        </w:rPr>
        <w:t>2027</w:t>
      </w:r>
      <w:r>
        <w:rPr>
          <w:noProof/>
          <w:lang w:eastAsia="ja-JP"/>
        </w:rPr>
        <w:t>年にかけて、同規則と関連する委任法を完全に実施するために、</w:t>
      </w:r>
      <w:r>
        <w:rPr>
          <w:noProof/>
          <w:lang w:eastAsia="ja-JP"/>
        </w:rPr>
        <w:t>54</w:t>
      </w:r>
      <w:r>
        <w:rPr>
          <w:noProof/>
          <w:lang w:eastAsia="ja-JP"/>
        </w:rPr>
        <w:t>人の常勤職員が必要となる。既存の予算枠に新たなコミットメントが必要となり、そ</w:t>
      </w:r>
      <w:r>
        <w:rPr>
          <w:noProof/>
          <w:lang w:eastAsia="ja-JP"/>
        </w:rPr>
        <w:t>の額は、</w:t>
      </w:r>
      <w:r>
        <w:rPr>
          <w:noProof/>
          <w:lang w:eastAsia="ja-JP"/>
        </w:rPr>
        <w:t>MFF</w:t>
      </w:r>
      <w:r>
        <w:rPr>
          <w:noProof/>
          <w:lang w:eastAsia="ja-JP"/>
        </w:rPr>
        <w:t>の見出し</w:t>
      </w:r>
      <w:r>
        <w:rPr>
          <w:noProof/>
          <w:lang w:eastAsia="ja-JP"/>
        </w:rPr>
        <w:t>1</w:t>
      </w:r>
      <w:r>
        <w:rPr>
          <w:noProof/>
          <w:lang w:eastAsia="ja-JP"/>
        </w:rPr>
        <w:t>（単一市場、イノベーション、デジタル）に</w:t>
      </w:r>
      <w:r>
        <w:rPr>
          <w:noProof/>
          <w:lang w:eastAsia="ja-JP"/>
        </w:rPr>
        <w:t>233</w:t>
      </w:r>
      <w:r>
        <w:rPr>
          <w:noProof/>
          <w:lang w:eastAsia="ja-JP"/>
        </w:rPr>
        <w:t>億</w:t>
      </w:r>
      <w:r>
        <w:rPr>
          <w:noProof/>
          <w:lang w:eastAsia="ja-JP"/>
        </w:rPr>
        <w:t>3800</w:t>
      </w:r>
      <w:r>
        <w:rPr>
          <w:noProof/>
          <w:lang w:eastAsia="ja-JP"/>
        </w:rPr>
        <w:t>万ユーロ、見出し</w:t>
      </w:r>
      <w:r>
        <w:rPr>
          <w:noProof/>
          <w:lang w:eastAsia="ja-JP"/>
        </w:rPr>
        <w:t>3</w:t>
      </w:r>
      <w:r>
        <w:rPr>
          <w:noProof/>
          <w:lang w:eastAsia="ja-JP"/>
        </w:rPr>
        <w:t>（天然資源と環境）に</w:t>
      </w:r>
      <w:r>
        <w:rPr>
          <w:noProof/>
          <w:lang w:eastAsia="ja-JP"/>
        </w:rPr>
        <w:t>439</w:t>
      </w:r>
      <w:r>
        <w:rPr>
          <w:noProof/>
          <w:lang w:eastAsia="ja-JP"/>
        </w:rPr>
        <w:t>億</w:t>
      </w:r>
      <w:r>
        <w:rPr>
          <w:noProof/>
          <w:lang w:eastAsia="ja-JP"/>
        </w:rPr>
        <w:t>1200</w:t>
      </w:r>
      <w:r>
        <w:rPr>
          <w:noProof/>
          <w:lang w:eastAsia="ja-JP"/>
        </w:rPr>
        <w:t>万ユーロ、見出し</w:t>
      </w:r>
      <w:r>
        <w:rPr>
          <w:noProof/>
          <w:lang w:eastAsia="ja-JP"/>
        </w:rPr>
        <w:t>7</w:t>
      </w:r>
      <w:r>
        <w:rPr>
          <w:noProof/>
          <w:lang w:eastAsia="ja-JP"/>
        </w:rPr>
        <w:t>（行政支出）に</w:t>
      </w:r>
      <w:r>
        <w:rPr>
          <w:noProof/>
          <w:lang w:eastAsia="ja-JP"/>
        </w:rPr>
        <w:t>386</w:t>
      </w:r>
      <w:r>
        <w:rPr>
          <w:noProof/>
          <w:lang w:eastAsia="ja-JP"/>
        </w:rPr>
        <w:t>億</w:t>
      </w:r>
      <w:r>
        <w:rPr>
          <w:noProof/>
          <w:lang w:eastAsia="ja-JP"/>
        </w:rPr>
        <w:t>2100</w:t>
      </w:r>
      <w:r>
        <w:rPr>
          <w:noProof/>
          <w:lang w:eastAsia="ja-JP"/>
        </w:rPr>
        <w:t>万ユーロとなる。新たなコミットメントは、関連プログラムの既存の予算枠から賄われる予定である。</w:t>
      </w:r>
    </w:p>
    <w:p w14:paraId="16EF1D91" w14:textId="77777777" w:rsidR="0038775E" w:rsidRDefault="00877B9C" w:rsidP="002041D4">
      <w:pPr>
        <w:wordWrap w:val="0"/>
        <w:spacing w:after="240"/>
        <w:rPr>
          <w:noProof/>
          <w:lang w:eastAsia="ja-JP"/>
        </w:rPr>
      </w:pPr>
      <w:r>
        <w:rPr>
          <w:noProof/>
          <w:lang w:eastAsia="ja-JP"/>
        </w:rPr>
        <w:t>予算への影響は、主に以下の作業から生じています：</w:t>
      </w:r>
    </w:p>
    <w:p w14:paraId="6E4E144C" w14:textId="77777777" w:rsidR="0038775E" w:rsidRDefault="00877B9C" w:rsidP="002041D4">
      <w:pPr>
        <w:pStyle w:val="Tiret0"/>
        <w:wordWrap w:val="0"/>
        <w:rPr>
          <w:noProof/>
          <w:lang w:eastAsia="ja-JP"/>
        </w:rPr>
      </w:pPr>
      <w:r>
        <w:rPr>
          <w:noProof/>
          <w:lang w:eastAsia="ja-JP"/>
        </w:rPr>
        <w:t>2022</w:t>
      </w:r>
      <w:r>
        <w:rPr>
          <w:noProof/>
          <w:lang w:eastAsia="ja-JP"/>
        </w:rPr>
        <w:t>年から</w:t>
      </w:r>
      <w:r>
        <w:rPr>
          <w:noProof/>
          <w:lang w:eastAsia="ja-JP"/>
        </w:rPr>
        <w:t>2026</w:t>
      </w:r>
      <w:r>
        <w:rPr>
          <w:noProof/>
          <w:lang w:eastAsia="ja-JP"/>
        </w:rPr>
        <w:t>年の間に、現行のエコデザイン指令に基づく</w:t>
      </w:r>
      <w:r>
        <w:rPr>
          <w:noProof/>
          <w:lang w:eastAsia="ja-JP"/>
        </w:rPr>
        <w:t>33</w:t>
      </w:r>
      <w:r>
        <w:rPr>
          <w:noProof/>
          <w:lang w:eastAsia="ja-JP"/>
        </w:rPr>
        <w:t>の欧州委員会規制を見直し、</w:t>
      </w:r>
      <w:r>
        <w:rPr>
          <w:noProof/>
          <w:lang w:eastAsia="ja-JP"/>
        </w:rPr>
        <w:t>5</w:t>
      </w:r>
      <w:r>
        <w:rPr>
          <w:noProof/>
          <w:lang w:eastAsia="ja-JP"/>
        </w:rPr>
        <w:t>つの新たな措置を採択するが、これは現在指令の実施に従事しているスタッフでは実施することが不可</w:t>
      </w:r>
      <w:r>
        <w:rPr>
          <w:noProof/>
          <w:lang w:eastAsia="ja-JP"/>
        </w:rPr>
        <w:t>能である；</w:t>
      </w:r>
    </w:p>
    <w:p w14:paraId="446D9288" w14:textId="77777777" w:rsidR="0038775E" w:rsidRDefault="00877B9C" w:rsidP="002041D4">
      <w:pPr>
        <w:pStyle w:val="Tiret0"/>
        <w:wordWrap w:val="0"/>
        <w:rPr>
          <w:noProof/>
          <w:lang w:eastAsia="ja-JP"/>
        </w:rPr>
      </w:pPr>
      <w:r>
        <w:rPr>
          <w:noProof/>
          <w:lang w:eastAsia="ja-JP"/>
        </w:rPr>
        <w:t>2024</w:t>
      </w:r>
      <w:r>
        <w:rPr>
          <w:noProof/>
          <w:lang w:eastAsia="ja-JP"/>
        </w:rPr>
        <w:t>年から</w:t>
      </w:r>
      <w:r>
        <w:rPr>
          <w:noProof/>
          <w:lang w:eastAsia="ja-JP"/>
        </w:rPr>
        <w:t>2027</w:t>
      </w:r>
      <w:r>
        <w:rPr>
          <w:noProof/>
          <w:lang w:eastAsia="ja-JP"/>
        </w:rPr>
        <w:t>年の間に最大</w:t>
      </w:r>
      <w:r>
        <w:rPr>
          <w:noProof/>
          <w:lang w:eastAsia="ja-JP"/>
        </w:rPr>
        <w:t>18</w:t>
      </w:r>
      <w:r>
        <w:rPr>
          <w:noProof/>
          <w:lang w:eastAsia="ja-JP"/>
        </w:rPr>
        <w:t>の新しい委任法を準備・採択し、</w:t>
      </w:r>
      <w:r>
        <w:rPr>
          <w:noProof/>
          <w:lang w:eastAsia="ja-JP"/>
        </w:rPr>
        <w:t>2028</w:t>
      </w:r>
      <w:r>
        <w:rPr>
          <w:noProof/>
          <w:lang w:eastAsia="ja-JP"/>
        </w:rPr>
        <w:t>年から</w:t>
      </w:r>
      <w:r>
        <w:rPr>
          <w:noProof/>
          <w:lang w:eastAsia="ja-JP"/>
        </w:rPr>
        <w:t>2030</w:t>
      </w:r>
      <w:r>
        <w:rPr>
          <w:noProof/>
          <w:lang w:eastAsia="ja-JP"/>
        </w:rPr>
        <w:t>年の間に</w:t>
      </w:r>
      <w:r>
        <w:rPr>
          <w:noProof/>
          <w:lang w:eastAsia="ja-JP"/>
        </w:rPr>
        <w:t>12</w:t>
      </w:r>
      <w:r>
        <w:rPr>
          <w:noProof/>
          <w:lang w:eastAsia="ja-JP"/>
        </w:rPr>
        <w:t>の新しい委任法も採択し、</w:t>
      </w:r>
      <w:r>
        <w:rPr>
          <w:noProof/>
          <w:lang w:eastAsia="ja-JP"/>
        </w:rPr>
        <w:t>2025</w:t>
      </w:r>
      <w:r>
        <w:rPr>
          <w:noProof/>
          <w:lang w:eastAsia="ja-JP"/>
        </w:rPr>
        <w:t>年から</w:t>
      </w:r>
      <w:r>
        <w:rPr>
          <w:noProof/>
          <w:lang w:eastAsia="ja-JP"/>
        </w:rPr>
        <w:t>2027</w:t>
      </w:r>
      <w:r>
        <w:rPr>
          <w:noProof/>
          <w:lang w:eastAsia="ja-JP"/>
        </w:rPr>
        <w:t>年にスタッフと予算の影響を与える；</w:t>
      </w:r>
    </w:p>
    <w:p w14:paraId="3A9B4D0A" w14:textId="77777777" w:rsidR="0038775E" w:rsidRDefault="00877B9C" w:rsidP="002041D4">
      <w:pPr>
        <w:pStyle w:val="Tiret0"/>
        <w:wordWrap w:val="0"/>
        <w:rPr>
          <w:noProof/>
          <w:lang w:eastAsia="ja-JP"/>
        </w:rPr>
      </w:pPr>
      <w:r>
        <w:rPr>
          <w:noProof/>
          <w:lang w:eastAsia="ja-JP"/>
        </w:rPr>
        <w:t>市場監視、売れ残り消費財の破棄に関する情報の開示、自主規制措置の承認など、本規則の実施のための統一的な条件を確保するために必要な場合、実施法を作成する（</w:t>
      </w:r>
      <w:r>
        <w:rPr>
          <w:noProof/>
          <w:lang w:eastAsia="ja-JP"/>
        </w:rPr>
        <w:t>2024</w:t>
      </w:r>
      <w:r>
        <w:rPr>
          <w:noProof/>
          <w:lang w:eastAsia="ja-JP"/>
        </w:rPr>
        <w:t>年から平均して</w:t>
      </w:r>
      <w:r>
        <w:rPr>
          <w:noProof/>
          <w:lang w:eastAsia="ja-JP"/>
        </w:rPr>
        <w:t>1</w:t>
      </w:r>
      <w:r>
        <w:rPr>
          <w:noProof/>
          <w:lang w:eastAsia="ja-JP"/>
        </w:rPr>
        <w:t>年に</w:t>
      </w:r>
      <w:r>
        <w:rPr>
          <w:noProof/>
          <w:lang w:eastAsia="ja-JP"/>
        </w:rPr>
        <w:t>1</w:t>
      </w:r>
      <w:r>
        <w:rPr>
          <w:noProof/>
          <w:lang w:eastAsia="ja-JP"/>
        </w:rPr>
        <w:t>回）こと。</w:t>
      </w:r>
    </w:p>
    <w:p w14:paraId="72E7461B" w14:textId="77777777" w:rsidR="0038775E" w:rsidRDefault="00877B9C" w:rsidP="002041D4">
      <w:pPr>
        <w:pStyle w:val="Tiret0"/>
        <w:wordWrap w:val="0"/>
        <w:rPr>
          <w:noProof/>
          <w:lang w:eastAsia="ja-JP"/>
        </w:rPr>
      </w:pPr>
      <w:r w:rsidRPr="00DF5C23">
        <w:rPr>
          <w:noProof/>
          <w:lang w:eastAsia="ja-JP"/>
        </w:rPr>
        <w:t>デジタル製品パスポート、市場監視と</w:t>
      </w:r>
      <w:r w:rsidR="00C21F3B" w:rsidRPr="00DF5C23">
        <w:rPr>
          <w:noProof/>
          <w:lang w:eastAsia="ja-JP"/>
        </w:rPr>
        <w:t>税関管理の</w:t>
      </w:r>
      <w:r w:rsidRPr="00DF5C23">
        <w:rPr>
          <w:noProof/>
          <w:lang w:eastAsia="ja-JP"/>
        </w:rPr>
        <w:t>支援、</w:t>
      </w:r>
      <w:r w:rsidR="00493695" w:rsidRPr="00DF5C23">
        <w:rPr>
          <w:noProof/>
          <w:lang w:eastAsia="ja-JP"/>
        </w:rPr>
        <w:t>製品設計と製造に循環性を取り入れるための経済主体間の経験交換を支援する</w:t>
      </w:r>
      <w:r w:rsidR="004231B4" w:rsidRPr="00DF5C23">
        <w:rPr>
          <w:noProof/>
          <w:lang w:eastAsia="ja-JP"/>
        </w:rPr>
        <w:t>欧州</w:t>
      </w:r>
      <w:r w:rsidRPr="00DF5C23">
        <w:rPr>
          <w:noProof/>
          <w:lang w:eastAsia="ja-JP"/>
        </w:rPr>
        <w:t>循環ビジネスハブ</w:t>
      </w:r>
      <w:r w:rsidR="00F45629" w:rsidRPr="00DF5C23">
        <w:rPr>
          <w:rStyle w:val="afa"/>
          <w:noProof/>
        </w:rPr>
        <w:footnoteReference w:id="23"/>
      </w:r>
      <w:r w:rsidRPr="00DF5C23">
        <w:rPr>
          <w:noProof/>
          <w:lang w:eastAsia="ja-JP"/>
        </w:rPr>
        <w:t xml:space="preserve"> </w:t>
      </w:r>
      <w:r w:rsidRPr="00DF5C23">
        <w:rPr>
          <w:noProof/>
          <w:lang w:eastAsia="ja-JP"/>
        </w:rPr>
        <w:t>に関する水平方向のタスクを実行する。</w:t>
      </w:r>
    </w:p>
    <w:p w14:paraId="273C62FF" w14:textId="77777777" w:rsidR="0038775E" w:rsidRDefault="00877B9C" w:rsidP="002041D4">
      <w:pPr>
        <w:wordWrap w:val="0"/>
        <w:spacing w:after="240"/>
        <w:rPr>
          <w:noProof/>
          <w:lang w:eastAsia="ja-JP"/>
        </w:rPr>
      </w:pPr>
      <w:r>
        <w:rPr>
          <w:noProof/>
          <w:lang w:eastAsia="ja-JP"/>
        </w:rPr>
        <w:t>スタッフの必要性という点では、欧州委員会は、主管</w:t>
      </w:r>
      <w:r>
        <w:rPr>
          <w:noProof/>
          <w:lang w:eastAsia="ja-JP"/>
        </w:rPr>
        <w:t>DG</w:t>
      </w:r>
      <w:r>
        <w:rPr>
          <w:noProof/>
          <w:lang w:eastAsia="ja-JP"/>
        </w:rPr>
        <w:t>間で業務を分担し、可能な限りスタッフを再配置し、委任法および実施法の準備や横断的な</w:t>
      </w:r>
      <w:r>
        <w:rPr>
          <w:noProof/>
          <w:lang w:eastAsia="ja-JP"/>
        </w:rPr>
        <w:t>業務のための科学技術支援を外注する方法を慎重に検討した。</w:t>
      </w:r>
    </w:p>
    <w:p w14:paraId="52AE8E60" w14:textId="77777777" w:rsidR="0038775E" w:rsidRDefault="00877B9C" w:rsidP="002041D4">
      <w:pPr>
        <w:pStyle w:val="ManualHeading1"/>
        <w:wordWrap w:val="0"/>
        <w:rPr>
          <w:noProof/>
          <w:lang w:eastAsia="ja-JP"/>
        </w:rPr>
      </w:pPr>
      <w:r w:rsidRPr="00DF5C23">
        <w:rPr>
          <w:noProof/>
          <w:lang w:eastAsia="ja-JP"/>
        </w:rPr>
        <w:lastRenderedPageBreak/>
        <w:t>5.</w:t>
      </w:r>
      <w:r w:rsidRPr="00DF5C23">
        <w:rPr>
          <w:noProof/>
          <w:lang w:eastAsia="ja-JP"/>
        </w:rPr>
        <w:tab/>
      </w:r>
      <w:r w:rsidRPr="00DF5C23">
        <w:rPr>
          <w:noProof/>
          <w:lang w:eastAsia="ja-JP"/>
        </w:rPr>
        <w:t>その他の要素</w:t>
      </w:r>
    </w:p>
    <w:p w14:paraId="0D98EC7E" w14:textId="77777777" w:rsidR="0038775E" w:rsidRDefault="00877B9C" w:rsidP="002041D4">
      <w:pPr>
        <w:pStyle w:val="ManualHeading2"/>
        <w:wordWrap w:val="0"/>
        <w:rPr>
          <w:rFonts w:eastAsia="Arial Unicode MS"/>
          <w:noProof/>
          <w:lang w:val="en-US" w:eastAsia="ja-JP"/>
        </w:rPr>
      </w:pPr>
      <w:r w:rsidRPr="00DF5C23">
        <w:rPr>
          <w:rFonts w:eastAsia="Arial Unicode MS"/>
          <w:noProof/>
          <w:bdr w:val="nil"/>
          <w:lang w:val="en-US" w:eastAsia="ja-JP"/>
        </w:rPr>
        <w:t>-</w:t>
      </w:r>
      <w:r w:rsidRPr="00DF5C23">
        <w:rPr>
          <w:rFonts w:eastAsia="Arial Unicode MS"/>
          <w:noProof/>
          <w:u w:color="000000"/>
          <w:bdr w:val="nil"/>
          <w:lang w:val="en-US" w:eastAsia="ja-JP"/>
        </w:rPr>
        <w:tab/>
      </w:r>
      <w:r w:rsidRPr="00DF5C23">
        <w:rPr>
          <w:rFonts w:eastAsia="Arial Unicode MS"/>
          <w:noProof/>
          <w:bdr w:val="nil"/>
          <w:lang w:val="en-US" w:eastAsia="ja-JP"/>
        </w:rPr>
        <w:t>実施計画およびモニタリング、評価、報告の取り決め</w:t>
      </w:r>
    </w:p>
    <w:p w14:paraId="3EB55BAA" w14:textId="77777777" w:rsidR="0038775E" w:rsidRDefault="00877B9C" w:rsidP="002041D4">
      <w:pPr>
        <w:wordWrap w:val="0"/>
        <w:spacing w:after="240"/>
        <w:rPr>
          <w:noProof/>
          <w:lang w:eastAsia="ja-JP"/>
        </w:rPr>
      </w:pPr>
      <w:r>
        <w:rPr>
          <w:noProof/>
          <w:lang w:eastAsia="ja-JP"/>
        </w:rPr>
        <w:t>2021</w:t>
      </w:r>
      <w:r>
        <w:rPr>
          <w:noProof/>
          <w:lang w:eastAsia="ja-JP"/>
        </w:rPr>
        <w:t>年</w:t>
      </w:r>
      <w:r>
        <w:rPr>
          <w:noProof/>
          <w:lang w:eastAsia="ja-JP"/>
        </w:rPr>
        <w:t>11</w:t>
      </w:r>
      <w:r>
        <w:rPr>
          <w:noProof/>
          <w:lang w:eastAsia="ja-JP"/>
        </w:rPr>
        <w:t>月に発表された「より良い規制」のガイドライン、特にツール</w:t>
      </w:r>
      <w:r>
        <w:rPr>
          <w:noProof/>
          <w:lang w:eastAsia="ja-JP"/>
        </w:rPr>
        <w:t>38</w:t>
      </w:r>
      <w:r>
        <w:rPr>
          <w:noProof/>
          <w:lang w:eastAsia="ja-JP"/>
        </w:rPr>
        <w:t>に従って、欧州委員会は、立法案が共同立法者によって採択された後、実施戦略を作成することになる。この戦略には、使用されるさまざまなコンプライアンス推進ツールが示され、デジタル技術の導入に関連する側面も含まれる予定である。</w:t>
      </w:r>
      <w:r>
        <w:rPr>
          <w:noProof/>
          <w:lang w:eastAsia="ja-JP"/>
        </w:rPr>
        <w:t xml:space="preserve"> </w:t>
      </w:r>
    </w:p>
    <w:p w14:paraId="4E8A63F2" w14:textId="77777777" w:rsidR="0038775E" w:rsidRDefault="00877B9C" w:rsidP="002041D4">
      <w:pPr>
        <w:pStyle w:val="ManualHeading2"/>
        <w:wordWrap w:val="0"/>
        <w:rPr>
          <w:rFonts w:eastAsia="Arial Unicode MS"/>
          <w:noProof/>
          <w:lang w:val="en-US" w:eastAsia="ja-JP"/>
        </w:rPr>
      </w:pPr>
      <w:r w:rsidRPr="00DF5C23">
        <w:rPr>
          <w:rFonts w:eastAsia="Arial Unicode MS"/>
          <w:noProof/>
          <w:bdr w:val="nil"/>
          <w:lang w:val="en-US" w:eastAsia="ja-JP"/>
        </w:rPr>
        <w:t>-</w:t>
      </w:r>
      <w:r w:rsidRPr="00DF5C23">
        <w:rPr>
          <w:rFonts w:eastAsia="Arial Unicode MS"/>
          <w:noProof/>
          <w:u w:color="000000"/>
          <w:bdr w:val="nil"/>
          <w:lang w:val="en-US" w:eastAsia="ja-JP"/>
        </w:rPr>
        <w:tab/>
      </w:r>
      <w:r w:rsidRPr="00DF5C23">
        <w:rPr>
          <w:rFonts w:eastAsia="Arial Unicode MS"/>
          <w:noProof/>
          <w:bdr w:val="nil"/>
          <w:lang w:val="en-US" w:eastAsia="ja-JP"/>
        </w:rPr>
        <w:t>提案の具体的な条項の詳細説明</w:t>
      </w:r>
    </w:p>
    <w:p w14:paraId="2E2916ED" w14:textId="60AD1D5C" w:rsidR="0038775E" w:rsidRDefault="00877B9C" w:rsidP="002041D4">
      <w:pPr>
        <w:wordWrap w:val="0"/>
        <w:rPr>
          <w:noProof/>
          <w:lang w:eastAsia="ja-JP"/>
        </w:rPr>
      </w:pPr>
      <w:r w:rsidRPr="23DF1179">
        <w:rPr>
          <w:i/>
          <w:iCs/>
          <w:noProof/>
          <w:lang w:eastAsia="ja-JP"/>
        </w:rPr>
        <w:t>第</w:t>
      </w:r>
      <w:r w:rsidRPr="23DF1179">
        <w:rPr>
          <w:i/>
          <w:iCs/>
          <w:noProof/>
          <w:lang w:eastAsia="ja-JP"/>
        </w:rPr>
        <w:t>1</w:t>
      </w:r>
      <w:r w:rsidRPr="23DF1179">
        <w:rPr>
          <w:i/>
          <w:iCs/>
          <w:noProof/>
          <w:lang w:eastAsia="ja-JP"/>
        </w:rPr>
        <w:t>条は、</w:t>
      </w:r>
      <w:r>
        <w:rPr>
          <w:noProof/>
          <w:lang w:eastAsia="ja-JP"/>
        </w:rPr>
        <w:t>本規則の主題であるエコデザイン要求事項の</w:t>
      </w:r>
      <w:r>
        <w:rPr>
          <w:noProof/>
          <w:lang w:eastAsia="ja-JP"/>
        </w:rPr>
        <w:t>設定、デジタル製品パスポートの作成、および売れ残った消費者製品の破棄の禁止に関する枠組みを規定している。第</w:t>
      </w:r>
      <w:r>
        <w:rPr>
          <w:noProof/>
          <w:lang w:eastAsia="ja-JP"/>
        </w:rPr>
        <w:t>1</w:t>
      </w:r>
      <w:r>
        <w:rPr>
          <w:noProof/>
          <w:lang w:eastAsia="ja-JP"/>
        </w:rPr>
        <w:t>条では、耐久性と信頼性、再利用性、アップグレード性、修理性、メンテナンスと改修の可能性、懸念物質の存在、エネルギーと資源の効率、リサイクル素材など、エコデザイン要件に関連する製品の側面を示して</w:t>
      </w:r>
      <w:r w:rsidR="002041D4">
        <w:rPr>
          <w:noProof/>
          <w:lang w:eastAsia="ja-JP"/>
        </w:rPr>
        <w:t>いる。</w:t>
      </w:r>
      <w:r>
        <w:rPr>
          <w:noProof/>
          <w:lang w:eastAsia="ja-JP"/>
        </w:rPr>
        <w:t>さらに、食品、飼料、医薬品など一部の分野のみが対象外であるなど、規制の適用範囲を定めている。</w:t>
      </w:r>
    </w:p>
    <w:p w14:paraId="79615E08" w14:textId="45E2831E" w:rsidR="0038775E" w:rsidRDefault="00877B9C" w:rsidP="002041D4">
      <w:pPr>
        <w:wordWrap w:val="0"/>
        <w:rPr>
          <w:noProof/>
          <w:lang w:eastAsia="ja-JP"/>
        </w:rPr>
      </w:pPr>
      <w:r w:rsidRPr="23DF1179">
        <w:rPr>
          <w:i/>
          <w:iCs/>
          <w:noProof/>
          <w:lang w:eastAsia="ja-JP"/>
        </w:rPr>
        <w:t>第</w:t>
      </w:r>
      <w:r w:rsidRPr="23DF1179">
        <w:rPr>
          <w:i/>
          <w:iCs/>
          <w:noProof/>
          <w:lang w:eastAsia="ja-JP"/>
        </w:rPr>
        <w:t xml:space="preserve"> 2 </w:t>
      </w:r>
      <w:r w:rsidRPr="23DF1179">
        <w:rPr>
          <w:i/>
          <w:iCs/>
          <w:noProof/>
          <w:lang w:eastAsia="ja-JP"/>
        </w:rPr>
        <w:t>条は、</w:t>
      </w:r>
      <w:r>
        <w:rPr>
          <w:noProof/>
          <w:lang w:eastAsia="ja-JP"/>
        </w:rPr>
        <w:t>本規則の目的に必要な定義を定めている。</w:t>
      </w:r>
      <w:r>
        <w:rPr>
          <w:noProof/>
          <w:lang w:eastAsia="ja-JP"/>
        </w:rPr>
        <w:t>これらの定義の多くは、新規制枠組み（規則（</w:t>
      </w:r>
      <w:r>
        <w:rPr>
          <w:noProof/>
          <w:lang w:eastAsia="ja-JP"/>
        </w:rPr>
        <w:t>EC</w:t>
      </w:r>
      <w:r>
        <w:rPr>
          <w:noProof/>
          <w:lang w:eastAsia="ja-JP"/>
        </w:rPr>
        <w:t>）</w:t>
      </w:r>
      <w:r>
        <w:rPr>
          <w:noProof/>
          <w:lang w:eastAsia="ja-JP"/>
        </w:rPr>
        <w:t>No 765/2008</w:t>
      </w:r>
      <w:r>
        <w:rPr>
          <w:noProof/>
          <w:lang w:eastAsia="ja-JP"/>
        </w:rPr>
        <w:t>および決定</w:t>
      </w:r>
      <w:r>
        <w:rPr>
          <w:noProof/>
          <w:lang w:eastAsia="ja-JP"/>
        </w:rPr>
        <w:t>768/2008/EC</w:t>
      </w:r>
      <w:r>
        <w:rPr>
          <w:noProof/>
          <w:lang w:eastAsia="ja-JP"/>
        </w:rPr>
        <w:t>）、廃止されたエコデザイン指令、または既存の連合環境法（廃棄物枠組み指令など）から引き継が</w:t>
      </w:r>
      <w:r w:rsidR="002041D4">
        <w:rPr>
          <w:noProof/>
          <w:lang w:eastAsia="ja-JP"/>
        </w:rPr>
        <w:t>れる</w:t>
      </w:r>
      <w:r>
        <w:rPr>
          <w:noProof/>
          <w:lang w:eastAsia="ja-JP"/>
        </w:rPr>
        <w:t>。製品パスポートや売れ残った消費財の廃棄に関する規定など、新しい定義が追加されて</w:t>
      </w:r>
      <w:r w:rsidR="002041D4">
        <w:rPr>
          <w:noProof/>
          <w:lang w:eastAsia="ja-JP"/>
        </w:rPr>
        <w:t>いる。</w:t>
      </w:r>
    </w:p>
    <w:p w14:paraId="2761543D" w14:textId="77777777" w:rsidR="0038775E" w:rsidRDefault="00877B9C" w:rsidP="002041D4">
      <w:pPr>
        <w:wordWrap w:val="0"/>
        <w:rPr>
          <w:noProof/>
          <w:lang w:eastAsia="ja-JP"/>
        </w:rPr>
      </w:pPr>
      <w:r w:rsidRPr="23DF1179">
        <w:rPr>
          <w:i/>
          <w:iCs/>
          <w:noProof/>
          <w:lang w:eastAsia="ja-JP"/>
        </w:rPr>
        <w:t>第</w:t>
      </w:r>
      <w:r w:rsidRPr="23DF1179">
        <w:rPr>
          <w:i/>
          <w:iCs/>
          <w:noProof/>
          <w:lang w:eastAsia="ja-JP"/>
        </w:rPr>
        <w:t>3</w:t>
      </w:r>
      <w:r w:rsidRPr="23DF1179">
        <w:rPr>
          <w:i/>
          <w:iCs/>
          <w:noProof/>
          <w:lang w:eastAsia="ja-JP"/>
        </w:rPr>
        <w:t>条は、</w:t>
      </w:r>
      <w:r>
        <w:rPr>
          <w:noProof/>
          <w:lang w:eastAsia="ja-JP"/>
        </w:rPr>
        <w:t>この規則に従って採択された委任法に適合する製品の自由な移動に関連する一般原則を規定する。</w:t>
      </w:r>
      <w:r>
        <w:rPr>
          <w:noProof/>
          <w:lang w:eastAsia="ja-JP"/>
        </w:rPr>
        <w:t xml:space="preserve"> </w:t>
      </w:r>
    </w:p>
    <w:p w14:paraId="5BE98166" w14:textId="2475474D" w:rsidR="0038775E" w:rsidRDefault="00877B9C" w:rsidP="002041D4">
      <w:pPr>
        <w:wordWrap w:val="0"/>
        <w:rPr>
          <w:noProof/>
          <w:lang w:eastAsia="ja-JP"/>
        </w:rPr>
      </w:pPr>
      <w:r w:rsidRPr="23DF1179">
        <w:rPr>
          <w:i/>
          <w:iCs/>
          <w:noProof/>
          <w:lang w:eastAsia="ja-JP"/>
        </w:rPr>
        <w:t>第</w:t>
      </w:r>
      <w:r w:rsidRPr="23DF1179">
        <w:rPr>
          <w:i/>
          <w:iCs/>
          <w:noProof/>
          <w:lang w:eastAsia="ja-JP"/>
        </w:rPr>
        <w:t>4</w:t>
      </w:r>
      <w:r w:rsidRPr="23DF1179">
        <w:rPr>
          <w:i/>
          <w:iCs/>
          <w:noProof/>
          <w:lang w:eastAsia="ja-JP"/>
        </w:rPr>
        <w:t>条は、</w:t>
      </w:r>
      <w:r>
        <w:rPr>
          <w:noProof/>
          <w:lang w:eastAsia="ja-JP"/>
        </w:rPr>
        <w:t>欧州委員会が、エコデザインの要件、適合性評価手続きに関する要件、エネルギー消費量またはその他のパラメータに関する</w:t>
      </w:r>
      <w:r>
        <w:rPr>
          <w:noProof/>
          <w:lang w:eastAsia="ja-JP"/>
        </w:rPr>
        <w:t>性能の測定に関する要件、製造業者、認定代理人または輸入業者が欧州委員会または市場監視当局に情報を提供するための要件、製品の性能を計算するオンラインツールの使用に関する要件、適合宣言または表示の代替規則に関する要件、最後に、加盟国のインセンティブおよび公的調達基準に関する要件を定めることによって、本規則を補足する委任法の採択を行う権限を規定したもの</w:t>
      </w:r>
      <w:r w:rsidR="002041D4">
        <w:rPr>
          <w:noProof/>
          <w:lang w:eastAsia="ja-JP"/>
        </w:rPr>
        <w:t>である</w:t>
      </w:r>
      <w:r>
        <w:rPr>
          <w:noProof/>
          <w:lang w:eastAsia="ja-JP"/>
        </w:rPr>
        <w:t>。</w:t>
      </w:r>
    </w:p>
    <w:p w14:paraId="28160CB5" w14:textId="579957F8" w:rsidR="0038775E" w:rsidRDefault="00877B9C" w:rsidP="002041D4">
      <w:pPr>
        <w:wordWrap w:val="0"/>
        <w:rPr>
          <w:noProof/>
          <w:lang w:eastAsia="ja-JP"/>
        </w:rPr>
      </w:pPr>
      <w:r w:rsidRPr="23DF1179">
        <w:rPr>
          <w:i/>
          <w:iCs/>
          <w:noProof/>
          <w:lang w:eastAsia="ja-JP"/>
        </w:rPr>
        <w:t>第</w:t>
      </w:r>
      <w:r w:rsidRPr="23DF1179">
        <w:rPr>
          <w:i/>
          <w:iCs/>
          <w:noProof/>
          <w:lang w:eastAsia="ja-JP"/>
        </w:rPr>
        <w:t>5</w:t>
      </w:r>
      <w:r w:rsidRPr="23DF1179">
        <w:rPr>
          <w:i/>
          <w:iCs/>
          <w:noProof/>
          <w:lang w:eastAsia="ja-JP"/>
        </w:rPr>
        <w:t>条は、</w:t>
      </w:r>
      <w:r>
        <w:rPr>
          <w:noProof/>
          <w:lang w:eastAsia="ja-JP"/>
        </w:rPr>
        <w:t>エコデザイン要求事項を採用するための一般的な枠組みを定めて</w:t>
      </w:r>
      <w:r w:rsidR="002041D4">
        <w:rPr>
          <w:noProof/>
          <w:lang w:eastAsia="ja-JP"/>
        </w:rPr>
        <w:t>いる。</w:t>
      </w:r>
      <w:r>
        <w:rPr>
          <w:noProof/>
          <w:lang w:eastAsia="ja-JP"/>
        </w:rPr>
        <w:t>また、これらの要求事項が改善できる製品の側面を示している。これらの要求事項は、あ</w:t>
      </w:r>
      <w:r>
        <w:rPr>
          <w:noProof/>
          <w:lang w:eastAsia="ja-JP"/>
        </w:rPr>
        <w:t>る特定の製品グループに適用されることもあれば、技術的な類似性により共通の要求事項を設定することができる場合には、より多くの製品グループに水平的に適用されることもあると説明して</w:t>
      </w:r>
      <w:r w:rsidR="002041D4">
        <w:rPr>
          <w:noProof/>
          <w:lang w:eastAsia="ja-JP"/>
        </w:rPr>
        <w:t>いる。</w:t>
      </w:r>
      <w:r>
        <w:rPr>
          <w:noProof/>
          <w:lang w:eastAsia="ja-JP"/>
        </w:rPr>
        <w:t>また、エコデザイン要件には性能要件と情報要件が含まれることを明記しています）。</w:t>
      </w:r>
      <w:r>
        <w:rPr>
          <w:noProof/>
          <w:lang w:eastAsia="ja-JP"/>
        </w:rPr>
        <w:t xml:space="preserve">  </w:t>
      </w:r>
      <w:r>
        <w:rPr>
          <w:noProof/>
          <w:lang w:eastAsia="ja-JP"/>
        </w:rPr>
        <w:t>最後に、欧州委員会がエコデザイン要求事項を作成する際に満たすべき条件と、それらの要求事項が満たすべき基準の数々を定めている。</w:t>
      </w:r>
    </w:p>
    <w:p w14:paraId="70F24FBF" w14:textId="77777777" w:rsidR="0038775E" w:rsidRDefault="00877B9C" w:rsidP="002041D4">
      <w:pPr>
        <w:wordWrap w:val="0"/>
        <w:rPr>
          <w:noProof/>
          <w:lang w:eastAsia="ja-JP"/>
        </w:rPr>
      </w:pPr>
      <w:r>
        <w:rPr>
          <w:noProof/>
          <w:lang w:eastAsia="ja-JP"/>
        </w:rPr>
        <w:t>また、欧州委員会は、サプライチェーンの関係者が、製品がエコデザイン要件に適合していることを検証するために、メーカー、通知機</w:t>
      </w:r>
      <w:r>
        <w:rPr>
          <w:noProof/>
          <w:lang w:eastAsia="ja-JP"/>
        </w:rPr>
        <w:t>関、管轄の国家当局と協力することを求めることができる</w:t>
      </w:r>
      <w:r w:rsidRPr="23DF1179">
        <w:rPr>
          <w:noProof/>
          <w:lang w:val="en-IE" w:eastAsia="fr-BE"/>
        </w:rPr>
        <w:t>。</w:t>
      </w:r>
      <w:r w:rsidRPr="23DF1179">
        <w:rPr>
          <w:noProof/>
          <w:lang w:val="en-IE" w:eastAsia="fr-BE"/>
        </w:rPr>
        <w:t xml:space="preserve"> </w:t>
      </w:r>
    </w:p>
    <w:p w14:paraId="1AEA43FB" w14:textId="62F214C1" w:rsidR="0038775E" w:rsidRDefault="00877B9C" w:rsidP="002041D4">
      <w:pPr>
        <w:wordWrap w:val="0"/>
        <w:rPr>
          <w:noProof/>
          <w:lang w:eastAsia="ja-JP"/>
        </w:rPr>
      </w:pPr>
      <w:r w:rsidRPr="23DF1179">
        <w:rPr>
          <w:i/>
          <w:iCs/>
          <w:noProof/>
          <w:lang w:eastAsia="ja-JP"/>
        </w:rPr>
        <w:t>第</w:t>
      </w:r>
      <w:r w:rsidRPr="23DF1179">
        <w:rPr>
          <w:i/>
          <w:iCs/>
          <w:noProof/>
          <w:lang w:eastAsia="ja-JP"/>
        </w:rPr>
        <w:t>6</w:t>
      </w:r>
      <w:r w:rsidRPr="23DF1179">
        <w:rPr>
          <w:i/>
          <w:iCs/>
          <w:noProof/>
          <w:lang w:eastAsia="ja-JP"/>
        </w:rPr>
        <w:t>条</w:t>
      </w:r>
      <w:r>
        <w:rPr>
          <w:noProof/>
          <w:lang w:eastAsia="ja-JP"/>
        </w:rPr>
        <w:t>では、性能要件についてより詳しく説明して</w:t>
      </w:r>
      <w:r w:rsidR="002041D4">
        <w:rPr>
          <w:noProof/>
          <w:lang w:eastAsia="ja-JP"/>
        </w:rPr>
        <w:t>いる。</w:t>
      </w:r>
      <w:r>
        <w:rPr>
          <w:noProof/>
          <w:lang w:eastAsia="ja-JP"/>
        </w:rPr>
        <w:t>例えば、性能要件は、選択された製品パラメータ（そのリストは附属書</w:t>
      </w:r>
      <w:r>
        <w:rPr>
          <w:noProof/>
          <w:lang w:eastAsia="ja-JP"/>
        </w:rPr>
        <w:t>I</w:t>
      </w:r>
      <w:r>
        <w:rPr>
          <w:noProof/>
          <w:lang w:eastAsia="ja-JP"/>
        </w:rPr>
        <w:t>にある）に基づいて、製品の側面を改</w:t>
      </w:r>
      <w:r>
        <w:rPr>
          <w:noProof/>
          <w:lang w:eastAsia="ja-JP"/>
        </w:rPr>
        <w:lastRenderedPageBreak/>
        <w:t>善するために設定された定量的レベルまたは非定量的要件のいずれかの形態をとることができることを説明して</w:t>
      </w:r>
      <w:r w:rsidR="002041D4">
        <w:rPr>
          <w:noProof/>
          <w:lang w:eastAsia="ja-JP"/>
        </w:rPr>
        <w:t>いる。</w:t>
      </w:r>
      <w:r>
        <w:rPr>
          <w:noProof/>
          <w:lang w:eastAsia="ja-JP"/>
        </w:rPr>
        <w:t xml:space="preserve"> </w:t>
      </w:r>
    </w:p>
    <w:p w14:paraId="283EB5BF" w14:textId="77777777" w:rsidR="0038775E" w:rsidRDefault="00877B9C" w:rsidP="002041D4">
      <w:pPr>
        <w:wordWrap w:val="0"/>
        <w:rPr>
          <w:noProof/>
          <w:lang w:eastAsia="ja-JP"/>
        </w:rPr>
      </w:pPr>
      <w:r w:rsidRPr="23DF1179">
        <w:rPr>
          <w:i/>
          <w:iCs/>
          <w:noProof/>
          <w:lang w:val="fr-BE" w:eastAsia="ja-JP"/>
        </w:rPr>
        <w:t>第</w:t>
      </w:r>
      <w:r w:rsidRPr="23DF1179">
        <w:rPr>
          <w:i/>
          <w:iCs/>
          <w:noProof/>
          <w:lang w:val="fr-BE" w:eastAsia="ja-JP"/>
        </w:rPr>
        <w:t>7</w:t>
      </w:r>
      <w:r w:rsidRPr="23DF1179">
        <w:rPr>
          <w:i/>
          <w:iCs/>
          <w:noProof/>
          <w:lang w:val="fr-BE" w:eastAsia="ja-JP"/>
        </w:rPr>
        <w:t>条は、</w:t>
      </w:r>
      <w:r w:rsidRPr="23DF1179">
        <w:rPr>
          <w:noProof/>
          <w:lang w:val="fr-BE" w:eastAsia="ja-JP"/>
        </w:rPr>
        <w:t>情報要件に焦点を当てている。</w:t>
      </w:r>
      <w:r w:rsidRPr="23DF1179">
        <w:rPr>
          <w:noProof/>
          <w:lang w:val="en-IE" w:eastAsia="ja-JP"/>
        </w:rPr>
        <w:t>同</w:t>
      </w:r>
      <w:r>
        <w:rPr>
          <w:noProof/>
          <w:lang w:eastAsia="ja-JP"/>
        </w:rPr>
        <w:t>条はさらに、製品の性能に関する情報、製品の設置方法や使用方法に関する消費者向けの情報など、提供可能な他のタイプの情報についても詳述している。この情報は、製品間の比較を容易にするために、例えば</w:t>
      </w:r>
      <w:r>
        <w:rPr>
          <w:noProof/>
          <w:lang w:eastAsia="ja-JP"/>
        </w:rPr>
        <w:t>A</w:t>
      </w:r>
      <w:r>
        <w:rPr>
          <w:noProof/>
          <w:lang w:eastAsia="ja-JP"/>
        </w:rPr>
        <w:t>から</w:t>
      </w:r>
      <w:r>
        <w:rPr>
          <w:noProof/>
          <w:lang w:eastAsia="ja-JP"/>
        </w:rPr>
        <w:t>G</w:t>
      </w:r>
      <w:r>
        <w:rPr>
          <w:noProof/>
          <w:lang w:eastAsia="ja-JP"/>
        </w:rPr>
        <w:t>までの「性能のクラス」の形をとることができる。</w:t>
      </w:r>
      <w:r>
        <w:rPr>
          <w:noProof/>
          <w:lang w:eastAsia="ja-JP"/>
        </w:rPr>
        <w:t xml:space="preserve"> </w:t>
      </w:r>
    </w:p>
    <w:p w14:paraId="08CF37C2" w14:textId="0570F947" w:rsidR="0038775E" w:rsidRDefault="00877B9C" w:rsidP="002041D4">
      <w:pPr>
        <w:wordWrap w:val="0"/>
        <w:rPr>
          <w:noProof/>
          <w:lang w:eastAsia="ja-JP"/>
        </w:rPr>
      </w:pPr>
      <w:r>
        <w:rPr>
          <w:noProof/>
          <w:lang w:eastAsia="ja-JP"/>
        </w:rPr>
        <w:t>最後に、同条は、情報を提供するさまざまな方法（パスポート、ウェブサイト、ラベルなど）を明記して</w:t>
      </w:r>
      <w:r w:rsidR="002041D4">
        <w:rPr>
          <w:noProof/>
          <w:lang w:eastAsia="ja-JP"/>
        </w:rPr>
        <w:t>いる。</w:t>
      </w:r>
    </w:p>
    <w:p w14:paraId="109AB903" w14:textId="22F106FF" w:rsidR="0038775E" w:rsidRDefault="00877B9C" w:rsidP="002041D4">
      <w:pPr>
        <w:wordWrap w:val="0"/>
        <w:rPr>
          <w:noProof/>
          <w:lang w:eastAsia="ja-JP"/>
        </w:rPr>
      </w:pPr>
      <w:r w:rsidRPr="23DF1179">
        <w:rPr>
          <w:i/>
          <w:iCs/>
          <w:noProof/>
          <w:lang w:eastAsia="ja-JP"/>
        </w:rPr>
        <w:t>第</w:t>
      </w:r>
      <w:r w:rsidRPr="23DF1179">
        <w:rPr>
          <w:i/>
          <w:iCs/>
          <w:noProof/>
          <w:lang w:eastAsia="ja-JP"/>
        </w:rPr>
        <w:t>8</w:t>
      </w:r>
      <w:r w:rsidRPr="23DF1179">
        <w:rPr>
          <w:i/>
          <w:iCs/>
          <w:noProof/>
          <w:lang w:eastAsia="ja-JP"/>
        </w:rPr>
        <w:t>条は、</w:t>
      </w:r>
      <w:r>
        <w:rPr>
          <w:noProof/>
          <w:lang w:eastAsia="ja-JP"/>
        </w:rPr>
        <w:t>デジタル製品パスポートに関連する情報要件において、欧州委員会が指定する必要のある要素、例えば、含まれるべき情報、誰がどの情報にアクセスできるのかについ</w:t>
      </w:r>
      <w:r>
        <w:rPr>
          <w:noProof/>
          <w:lang w:eastAsia="ja-JP"/>
        </w:rPr>
        <w:t>て定めている。</w:t>
      </w:r>
      <w:r w:rsidRPr="23DF1179">
        <w:rPr>
          <w:i/>
          <w:iCs/>
          <w:noProof/>
          <w:lang w:eastAsia="ja-JP"/>
        </w:rPr>
        <w:t>第</w:t>
      </w:r>
      <w:r w:rsidRPr="23DF1179">
        <w:rPr>
          <w:i/>
          <w:iCs/>
          <w:noProof/>
          <w:lang w:eastAsia="ja-JP"/>
        </w:rPr>
        <w:t>9</w:t>
      </w:r>
      <w:r w:rsidRPr="23DF1179">
        <w:rPr>
          <w:i/>
          <w:iCs/>
          <w:noProof/>
          <w:lang w:eastAsia="ja-JP"/>
        </w:rPr>
        <w:t>条から第</w:t>
      </w:r>
      <w:r w:rsidRPr="23DF1179">
        <w:rPr>
          <w:i/>
          <w:iCs/>
          <w:noProof/>
          <w:lang w:eastAsia="ja-JP"/>
        </w:rPr>
        <w:t>11</w:t>
      </w:r>
      <w:r w:rsidRPr="23DF1179">
        <w:rPr>
          <w:i/>
          <w:iCs/>
          <w:noProof/>
          <w:lang w:eastAsia="ja-JP"/>
        </w:rPr>
        <w:t>条は、</w:t>
      </w:r>
      <w:r>
        <w:rPr>
          <w:noProof/>
          <w:lang w:eastAsia="ja-JP"/>
        </w:rPr>
        <w:t>プロダクトパスポートを実施するために必要な規定を定めて</w:t>
      </w:r>
      <w:r w:rsidR="002041D4">
        <w:rPr>
          <w:noProof/>
          <w:lang w:eastAsia="ja-JP"/>
        </w:rPr>
        <w:t>いる。</w:t>
      </w:r>
      <w:r w:rsidRPr="23DF1179">
        <w:rPr>
          <w:i/>
          <w:iCs/>
          <w:noProof/>
          <w:lang w:eastAsia="ja-JP"/>
        </w:rPr>
        <w:t>第</w:t>
      </w:r>
      <w:r w:rsidRPr="23DF1179">
        <w:rPr>
          <w:i/>
          <w:iCs/>
          <w:noProof/>
          <w:lang w:eastAsia="ja-JP"/>
        </w:rPr>
        <w:t>9</w:t>
      </w:r>
      <w:r w:rsidRPr="23DF1179">
        <w:rPr>
          <w:i/>
          <w:iCs/>
          <w:noProof/>
          <w:lang w:eastAsia="ja-JP"/>
        </w:rPr>
        <w:t>条は、</w:t>
      </w:r>
      <w:r>
        <w:rPr>
          <w:noProof/>
          <w:lang w:eastAsia="ja-JP"/>
        </w:rPr>
        <w:t>プロダクトパスポートに関連する一般的な要件を定めて</w:t>
      </w:r>
      <w:r w:rsidR="002041D4">
        <w:rPr>
          <w:noProof/>
          <w:lang w:eastAsia="ja-JP"/>
        </w:rPr>
        <w:t>いる。</w:t>
      </w:r>
      <w:r w:rsidRPr="23DF1179">
        <w:rPr>
          <w:i/>
          <w:iCs/>
          <w:noProof/>
          <w:lang w:eastAsia="ja-JP"/>
        </w:rPr>
        <w:t>第</w:t>
      </w:r>
      <w:r w:rsidRPr="23DF1179">
        <w:rPr>
          <w:i/>
          <w:iCs/>
          <w:noProof/>
          <w:lang w:eastAsia="ja-JP"/>
        </w:rPr>
        <w:t>10</w:t>
      </w:r>
      <w:r w:rsidRPr="23DF1179">
        <w:rPr>
          <w:i/>
          <w:iCs/>
          <w:noProof/>
          <w:lang w:eastAsia="ja-JP"/>
        </w:rPr>
        <w:t>条は、</w:t>
      </w:r>
      <w:r w:rsidRPr="23DF1179">
        <w:rPr>
          <w:noProof/>
          <w:lang w:val="en-IE" w:eastAsia="ja-JP"/>
        </w:rPr>
        <w:t>プロダクトパスポートの技術的な設計および運用に関する</w:t>
      </w:r>
      <w:r>
        <w:rPr>
          <w:noProof/>
          <w:lang w:eastAsia="ja-JP"/>
        </w:rPr>
        <w:t>必須要件を規定する。</w:t>
      </w:r>
      <w:r w:rsidRPr="23DF1179">
        <w:rPr>
          <w:i/>
          <w:iCs/>
          <w:noProof/>
          <w:lang w:eastAsia="ja-JP"/>
        </w:rPr>
        <w:t>第</w:t>
      </w:r>
      <w:r w:rsidRPr="23DF1179">
        <w:rPr>
          <w:i/>
          <w:iCs/>
          <w:noProof/>
          <w:lang w:eastAsia="ja-JP"/>
        </w:rPr>
        <w:t>11</w:t>
      </w:r>
      <w:r w:rsidRPr="23DF1179">
        <w:rPr>
          <w:i/>
          <w:iCs/>
          <w:noProof/>
          <w:lang w:eastAsia="ja-JP"/>
        </w:rPr>
        <w:t>条は、</w:t>
      </w:r>
      <w:r>
        <w:rPr>
          <w:noProof/>
          <w:lang w:eastAsia="ja-JP"/>
        </w:rPr>
        <w:t>事業者及び施設の固有識別子に関連する規則を規定する。</w:t>
      </w:r>
      <w:r>
        <w:rPr>
          <w:noProof/>
          <w:lang w:eastAsia="ja-JP"/>
        </w:rPr>
        <w:t xml:space="preserve"> </w:t>
      </w:r>
    </w:p>
    <w:p w14:paraId="1AB87006" w14:textId="77777777" w:rsidR="0038775E" w:rsidRDefault="00877B9C" w:rsidP="002041D4">
      <w:pPr>
        <w:wordWrap w:val="0"/>
        <w:rPr>
          <w:noProof/>
          <w:lang w:eastAsia="ja-JP"/>
        </w:rPr>
      </w:pPr>
      <w:r w:rsidRPr="23DF1179">
        <w:rPr>
          <w:i/>
          <w:iCs/>
          <w:noProof/>
          <w:lang w:eastAsia="ja-JP"/>
        </w:rPr>
        <w:t>第</w:t>
      </w:r>
      <w:r w:rsidRPr="23DF1179">
        <w:rPr>
          <w:i/>
          <w:iCs/>
          <w:noProof/>
          <w:lang w:eastAsia="ja-JP"/>
        </w:rPr>
        <w:t>12</w:t>
      </w:r>
      <w:r w:rsidRPr="23DF1179">
        <w:rPr>
          <w:i/>
          <w:iCs/>
          <w:noProof/>
          <w:lang w:eastAsia="ja-JP"/>
        </w:rPr>
        <w:t>条では、</w:t>
      </w:r>
      <w:r>
        <w:rPr>
          <w:noProof/>
          <w:lang w:eastAsia="ja-JP"/>
        </w:rPr>
        <w:t>プロダクトパスポートに含まれる情報を保存する登録簿を設置することを規定し、欧州委員会がどの情報をアップロードする必要があるかを指定できるようにしている。</w:t>
      </w:r>
    </w:p>
    <w:p w14:paraId="30AE580B" w14:textId="682B48DB" w:rsidR="0038775E" w:rsidRDefault="00877B9C" w:rsidP="002041D4">
      <w:pPr>
        <w:wordWrap w:val="0"/>
        <w:rPr>
          <w:noProof/>
          <w:lang w:eastAsia="ja-JP"/>
        </w:rPr>
      </w:pPr>
      <w:r w:rsidRPr="23DF1179">
        <w:rPr>
          <w:i/>
          <w:iCs/>
          <w:noProof/>
          <w:lang w:eastAsia="ja-JP"/>
        </w:rPr>
        <w:t>第</w:t>
      </w:r>
      <w:r w:rsidRPr="23DF1179">
        <w:rPr>
          <w:i/>
          <w:iCs/>
          <w:noProof/>
          <w:lang w:eastAsia="ja-JP"/>
        </w:rPr>
        <w:t>13</w:t>
      </w:r>
      <w:r>
        <w:rPr>
          <w:noProof/>
          <w:lang w:eastAsia="ja-JP"/>
        </w:rPr>
        <w:t>条には、製品パスポー</w:t>
      </w:r>
      <w:r>
        <w:rPr>
          <w:noProof/>
          <w:lang w:eastAsia="ja-JP"/>
        </w:rPr>
        <w:t>トに関連して税関当局に期待されること、および税関当局がその業務を円滑に進めるためにアクセスすべき情報を規定した条項が含まれて</w:t>
      </w:r>
      <w:r w:rsidR="002041D4">
        <w:rPr>
          <w:noProof/>
          <w:lang w:eastAsia="ja-JP"/>
        </w:rPr>
        <w:t>いる。</w:t>
      </w:r>
      <w:r>
        <w:rPr>
          <w:noProof/>
          <w:lang w:eastAsia="ja-JP"/>
        </w:rPr>
        <w:t xml:space="preserve"> </w:t>
      </w:r>
    </w:p>
    <w:p w14:paraId="2B746AE0" w14:textId="77777777" w:rsidR="0038775E" w:rsidRDefault="00877B9C" w:rsidP="002041D4">
      <w:pPr>
        <w:wordWrap w:val="0"/>
        <w:rPr>
          <w:noProof/>
          <w:lang w:eastAsia="ja-JP"/>
        </w:rPr>
      </w:pPr>
      <w:r w:rsidRPr="23DF1179">
        <w:rPr>
          <w:i/>
          <w:iCs/>
          <w:noProof/>
          <w:lang w:eastAsia="ja-JP"/>
        </w:rPr>
        <w:t>第</w:t>
      </w:r>
      <w:r w:rsidRPr="23DF1179">
        <w:rPr>
          <w:i/>
          <w:iCs/>
          <w:noProof/>
          <w:lang w:eastAsia="ja-JP"/>
        </w:rPr>
        <w:t>14</w:t>
      </w:r>
      <w:r w:rsidRPr="23DF1179">
        <w:rPr>
          <w:i/>
          <w:iCs/>
          <w:noProof/>
          <w:lang w:eastAsia="ja-JP"/>
        </w:rPr>
        <w:t>条は、</w:t>
      </w:r>
      <w:r>
        <w:rPr>
          <w:noProof/>
          <w:lang w:eastAsia="ja-JP"/>
        </w:rPr>
        <w:t>ラベルが特定の製品群に使用される場合に、ラベルに付随する要件を規定している。その場合、委任法はラベルの内容（性能のクラスを含む）とレイアウト、および消費者への表示方法を規定しなければならないと説明している。製品がすでにエネルギーラベル規則（</w:t>
      </w:r>
      <w:r>
        <w:rPr>
          <w:noProof/>
          <w:lang w:eastAsia="ja-JP"/>
        </w:rPr>
        <w:t>EU</w:t>
      </w:r>
      <w:r>
        <w:rPr>
          <w:noProof/>
          <w:lang w:eastAsia="ja-JP"/>
        </w:rPr>
        <w:t>）</w:t>
      </w:r>
      <w:r>
        <w:rPr>
          <w:noProof/>
          <w:lang w:eastAsia="ja-JP"/>
        </w:rPr>
        <w:t>2017/1369</w:t>
      </w:r>
      <w:r>
        <w:rPr>
          <w:noProof/>
          <w:lang w:eastAsia="ja-JP"/>
        </w:rPr>
        <w:t>に規定されたラベルでカバーされており、他の性能クラスを含む他のパラメータに関する情報をそのラベルに含</w:t>
      </w:r>
      <w:r>
        <w:rPr>
          <w:noProof/>
          <w:lang w:eastAsia="ja-JP"/>
        </w:rPr>
        <w:t>めることができない場合、委員会が適切と判断すれば、その情報を別のラベルに含めることができる。</w:t>
      </w:r>
    </w:p>
    <w:p w14:paraId="2C34D4CA" w14:textId="77777777" w:rsidR="0038775E" w:rsidRDefault="00877B9C" w:rsidP="002041D4">
      <w:pPr>
        <w:wordWrap w:val="0"/>
        <w:rPr>
          <w:noProof/>
          <w:lang w:eastAsia="ja-JP"/>
        </w:rPr>
      </w:pPr>
      <w:r w:rsidRPr="23DF1179">
        <w:rPr>
          <w:i/>
          <w:iCs/>
          <w:noProof/>
          <w:lang w:eastAsia="ja-JP"/>
        </w:rPr>
        <w:t>第</w:t>
      </w:r>
      <w:r w:rsidRPr="23DF1179">
        <w:rPr>
          <w:i/>
          <w:iCs/>
          <w:noProof/>
          <w:lang w:eastAsia="ja-JP"/>
        </w:rPr>
        <w:t>15</w:t>
      </w:r>
      <w:r w:rsidRPr="23DF1179">
        <w:rPr>
          <w:i/>
          <w:iCs/>
          <w:noProof/>
          <w:lang w:eastAsia="ja-JP"/>
        </w:rPr>
        <w:t>条は、</w:t>
      </w:r>
      <w:r>
        <w:rPr>
          <w:noProof/>
          <w:lang w:eastAsia="ja-JP"/>
        </w:rPr>
        <w:t>経済事業者が本規則に規定されたラベルを模倣したラベルを表示できないことを明記している。</w:t>
      </w:r>
      <w:r>
        <w:rPr>
          <w:noProof/>
          <w:lang w:eastAsia="ja-JP"/>
        </w:rPr>
        <w:t xml:space="preserve"> </w:t>
      </w:r>
    </w:p>
    <w:p w14:paraId="01D412D1" w14:textId="77777777" w:rsidR="0038775E" w:rsidRDefault="00877B9C" w:rsidP="002041D4">
      <w:pPr>
        <w:wordWrap w:val="0"/>
        <w:rPr>
          <w:noProof/>
          <w:lang w:eastAsia="ja-JP"/>
        </w:rPr>
      </w:pPr>
      <w:r w:rsidRPr="23DF1179">
        <w:rPr>
          <w:i/>
          <w:iCs/>
          <w:noProof/>
          <w:lang w:eastAsia="ja-JP"/>
        </w:rPr>
        <w:t>第</w:t>
      </w:r>
      <w:r w:rsidRPr="23DF1179">
        <w:rPr>
          <w:i/>
          <w:iCs/>
          <w:noProof/>
          <w:lang w:eastAsia="ja-JP"/>
        </w:rPr>
        <w:t>16</w:t>
      </w:r>
      <w:r w:rsidRPr="23DF1179">
        <w:rPr>
          <w:i/>
          <w:iCs/>
          <w:noProof/>
          <w:lang w:eastAsia="ja-JP"/>
        </w:rPr>
        <w:t>条は、</w:t>
      </w:r>
      <w:r>
        <w:rPr>
          <w:noProof/>
          <w:lang w:eastAsia="ja-JP"/>
        </w:rPr>
        <w:t>欧州委員会が少なくとも</w:t>
      </w:r>
      <w:r>
        <w:rPr>
          <w:noProof/>
          <w:lang w:eastAsia="ja-JP"/>
        </w:rPr>
        <w:t>3</w:t>
      </w:r>
      <w:r>
        <w:rPr>
          <w:noProof/>
          <w:lang w:eastAsia="ja-JP"/>
        </w:rPr>
        <w:t>年間をカバーする作業計画を採択することを規定し、製品の優先順位をつけるための基準を示している。作業計画には、欧州委員会が今後数年間に取り組む予定の製品群のリストが示されている。</w:t>
      </w:r>
      <w:r>
        <w:rPr>
          <w:noProof/>
          <w:lang w:eastAsia="ja-JP"/>
        </w:rPr>
        <w:t xml:space="preserve"> </w:t>
      </w:r>
    </w:p>
    <w:p w14:paraId="3FE28FB4" w14:textId="77777777" w:rsidR="0038775E" w:rsidRDefault="00877B9C" w:rsidP="002041D4">
      <w:pPr>
        <w:wordWrap w:val="0"/>
        <w:rPr>
          <w:noProof/>
          <w:lang w:eastAsia="ja-JP"/>
        </w:rPr>
      </w:pPr>
      <w:r w:rsidRPr="23DF1179">
        <w:rPr>
          <w:i/>
          <w:iCs/>
          <w:noProof/>
          <w:lang w:eastAsia="ja-JP"/>
        </w:rPr>
        <w:t>第</w:t>
      </w:r>
      <w:r w:rsidRPr="23DF1179">
        <w:rPr>
          <w:i/>
          <w:iCs/>
          <w:noProof/>
          <w:lang w:eastAsia="ja-JP"/>
        </w:rPr>
        <w:t>17</w:t>
      </w:r>
      <w:r w:rsidRPr="23DF1179">
        <w:rPr>
          <w:i/>
          <w:iCs/>
          <w:noProof/>
          <w:lang w:eastAsia="ja-JP"/>
        </w:rPr>
        <w:t>条では、</w:t>
      </w:r>
      <w:r>
        <w:rPr>
          <w:noProof/>
          <w:lang w:eastAsia="ja-JP"/>
        </w:rPr>
        <w:t>エコデザインフォーラム（専門家集団）を設置する。これは、指令</w:t>
      </w:r>
      <w:r>
        <w:rPr>
          <w:noProof/>
          <w:lang w:eastAsia="ja-JP"/>
        </w:rPr>
        <w:t>2009/125/EC</w:t>
      </w:r>
      <w:r>
        <w:rPr>
          <w:noProof/>
          <w:lang w:eastAsia="ja-JP"/>
        </w:rPr>
        <w:t>の下</w:t>
      </w:r>
      <w:r>
        <w:rPr>
          <w:noProof/>
          <w:lang w:eastAsia="ja-JP"/>
        </w:rPr>
        <w:t>で設立された既存の協議フォーラムに基づくものである。</w:t>
      </w:r>
      <w:r>
        <w:rPr>
          <w:noProof/>
          <w:lang w:eastAsia="ja-JP"/>
        </w:rPr>
        <w:t xml:space="preserve"> </w:t>
      </w:r>
    </w:p>
    <w:p w14:paraId="71AFB392" w14:textId="36D6CD84" w:rsidR="0038775E" w:rsidRDefault="00877B9C" w:rsidP="002041D4">
      <w:pPr>
        <w:wordWrap w:val="0"/>
        <w:rPr>
          <w:noProof/>
          <w:lang w:eastAsia="ja-JP"/>
        </w:rPr>
      </w:pPr>
      <w:r w:rsidRPr="23DF1179">
        <w:rPr>
          <w:i/>
          <w:iCs/>
          <w:noProof/>
          <w:lang w:eastAsia="ja-JP"/>
        </w:rPr>
        <w:t>第</w:t>
      </w:r>
      <w:r w:rsidRPr="23DF1179">
        <w:rPr>
          <w:i/>
          <w:iCs/>
          <w:noProof/>
          <w:lang w:eastAsia="ja-JP"/>
        </w:rPr>
        <w:t xml:space="preserve"> </w:t>
      </w:r>
      <w:r w:rsidR="001C4673" w:rsidRPr="23DF1179">
        <w:rPr>
          <w:i/>
          <w:iCs/>
          <w:noProof/>
          <w:lang w:eastAsia="ja-JP"/>
        </w:rPr>
        <w:t xml:space="preserve">18 </w:t>
      </w:r>
      <w:r w:rsidR="001C4673" w:rsidRPr="23DF1179">
        <w:rPr>
          <w:i/>
          <w:iCs/>
          <w:noProof/>
          <w:lang w:eastAsia="ja-JP"/>
        </w:rPr>
        <w:t>条は</w:t>
      </w:r>
      <w:r w:rsidRPr="00DF5C23">
        <w:rPr>
          <w:noProof/>
          <w:lang w:eastAsia="ja-JP"/>
        </w:rPr>
        <w:t>、自主規制</w:t>
      </w:r>
      <w:r w:rsidR="006C7D06" w:rsidRPr="00DF5C23">
        <w:rPr>
          <w:noProof/>
          <w:lang w:eastAsia="ja-JP"/>
        </w:rPr>
        <w:t>措置に関するものである。これらは</w:t>
      </w:r>
      <w:r w:rsidRPr="00DF5C23">
        <w:rPr>
          <w:noProof/>
          <w:lang w:eastAsia="ja-JP"/>
        </w:rPr>
        <w:t>業界主導の対策であり、第</w:t>
      </w:r>
      <w:r w:rsidRPr="00DF5C23">
        <w:rPr>
          <w:noProof/>
          <w:lang w:eastAsia="ja-JP"/>
        </w:rPr>
        <w:t xml:space="preserve"> 5 </w:t>
      </w:r>
      <w:r w:rsidRPr="00DF5C23">
        <w:rPr>
          <w:noProof/>
          <w:lang w:eastAsia="ja-JP"/>
        </w:rPr>
        <w:t>条に従って採択された</w:t>
      </w:r>
      <w:r w:rsidR="00E76850" w:rsidRPr="00DF5C23">
        <w:rPr>
          <w:noProof/>
          <w:lang w:eastAsia="ja-JP"/>
        </w:rPr>
        <w:t>エコデザイン</w:t>
      </w:r>
      <w:r w:rsidRPr="00DF5C23">
        <w:rPr>
          <w:noProof/>
          <w:lang w:eastAsia="ja-JP"/>
        </w:rPr>
        <w:t>要件を定める委任法の代替とし</w:t>
      </w:r>
      <w:r w:rsidRPr="00DF5C23">
        <w:rPr>
          <w:noProof/>
          <w:lang w:eastAsia="ja-JP"/>
        </w:rPr>
        <w:t xml:space="preserve"> </w:t>
      </w:r>
      <w:r w:rsidRPr="00DF5C23">
        <w:rPr>
          <w:noProof/>
          <w:lang w:eastAsia="ja-JP"/>
        </w:rPr>
        <w:t>て使用することができる。指令</w:t>
      </w:r>
      <w:r w:rsidRPr="00DF5C23">
        <w:rPr>
          <w:noProof/>
          <w:lang w:eastAsia="ja-JP"/>
        </w:rPr>
        <w:t xml:space="preserve"> 2009/125/EC</w:t>
      </w:r>
      <w:r w:rsidR="009A606A" w:rsidRPr="00DF5C23">
        <w:rPr>
          <w:rStyle w:val="afa"/>
          <w:noProof/>
        </w:rPr>
        <w:footnoteReference w:id="24"/>
      </w:r>
      <w:r w:rsidRPr="00DF5C23">
        <w:rPr>
          <w:noProof/>
          <w:lang w:eastAsia="ja-JP"/>
        </w:rPr>
        <w:t xml:space="preserve"> </w:t>
      </w:r>
      <w:r w:rsidRPr="00DF5C23">
        <w:rPr>
          <w:noProof/>
          <w:lang w:eastAsia="ja-JP"/>
        </w:rPr>
        <w:t>には、自主的な合意に関する条文が既に含まれて</w:t>
      </w:r>
      <w:r w:rsidR="002041D4">
        <w:rPr>
          <w:noProof/>
          <w:lang w:eastAsia="ja-JP"/>
        </w:rPr>
        <w:t>い</w:t>
      </w:r>
      <w:r w:rsidR="002041D4">
        <w:rPr>
          <w:noProof/>
          <w:lang w:eastAsia="ja-JP"/>
        </w:rPr>
        <w:lastRenderedPageBreak/>
        <w:t>る。</w:t>
      </w:r>
      <w:r w:rsidRPr="00DF5C23">
        <w:rPr>
          <w:noProof/>
          <w:lang w:eastAsia="ja-JP"/>
        </w:rPr>
        <w:t>本規則の第</w:t>
      </w:r>
      <w:r w:rsidRPr="00DF5C23">
        <w:rPr>
          <w:noProof/>
          <w:lang w:eastAsia="ja-JP"/>
        </w:rPr>
        <w:t xml:space="preserve"> </w:t>
      </w:r>
      <w:r w:rsidR="004C104C" w:rsidRPr="00DF5C23">
        <w:rPr>
          <w:noProof/>
          <w:lang w:eastAsia="ja-JP"/>
        </w:rPr>
        <w:t xml:space="preserve">17 </w:t>
      </w:r>
      <w:r w:rsidRPr="00DF5C23">
        <w:rPr>
          <w:noProof/>
          <w:lang w:eastAsia="ja-JP"/>
        </w:rPr>
        <w:t>条は、指令</w:t>
      </w:r>
      <w:r w:rsidRPr="00DF5C23">
        <w:rPr>
          <w:noProof/>
          <w:lang w:eastAsia="ja-JP"/>
        </w:rPr>
        <w:t xml:space="preserve"> 2009/125/EC </w:t>
      </w:r>
      <w:r w:rsidRPr="00DF5C23">
        <w:rPr>
          <w:noProof/>
          <w:lang w:eastAsia="ja-JP"/>
        </w:rPr>
        <w:t>の元の条文を拡大したものである。特に、自主規制措置が含むべき内容、業界が欧州委員会に証拠として提出すべき内容、欧州委員会が自主規制措置を委任法の</w:t>
      </w:r>
      <w:r w:rsidRPr="00DF5C23">
        <w:rPr>
          <w:noProof/>
          <w:lang w:eastAsia="ja-JP"/>
        </w:rPr>
        <w:t>有効な代替案として承認するための手続きについて定めて</w:t>
      </w:r>
      <w:r w:rsidR="002041D4">
        <w:rPr>
          <w:noProof/>
          <w:lang w:eastAsia="ja-JP"/>
        </w:rPr>
        <w:t>いる。</w:t>
      </w:r>
    </w:p>
    <w:p w14:paraId="2C2B39B9" w14:textId="77777777" w:rsidR="0038775E" w:rsidRDefault="00877B9C" w:rsidP="002041D4">
      <w:pPr>
        <w:wordWrap w:val="0"/>
        <w:rPr>
          <w:noProof/>
          <w:lang w:eastAsia="ja-JP"/>
        </w:rPr>
      </w:pPr>
      <w:r w:rsidRPr="23DF1179">
        <w:rPr>
          <w:i/>
          <w:iCs/>
          <w:noProof/>
          <w:lang w:eastAsia="ja-JP"/>
        </w:rPr>
        <w:t>第</w:t>
      </w:r>
      <w:r w:rsidRPr="23DF1179">
        <w:rPr>
          <w:i/>
          <w:iCs/>
          <w:noProof/>
          <w:lang w:eastAsia="ja-JP"/>
        </w:rPr>
        <w:t>19</w:t>
      </w:r>
      <w:r w:rsidRPr="23DF1179">
        <w:rPr>
          <w:i/>
          <w:iCs/>
          <w:noProof/>
          <w:lang w:eastAsia="ja-JP"/>
        </w:rPr>
        <w:t>条は、</w:t>
      </w:r>
      <w:r>
        <w:rPr>
          <w:noProof/>
          <w:lang w:eastAsia="ja-JP"/>
        </w:rPr>
        <w:t>本規則および今後の委任法の一般的な実施に際して、中小企業を支援するために加盟国および欧州委員会が講じることが求められるいくつかの措置を定めている。このような措置には、ガイドライン、財政支援、研修が含まれる。</w:t>
      </w:r>
    </w:p>
    <w:p w14:paraId="11522CC6" w14:textId="63817FB6" w:rsidR="0038775E" w:rsidRDefault="00877B9C" w:rsidP="002041D4">
      <w:pPr>
        <w:wordWrap w:val="0"/>
        <w:rPr>
          <w:noProof/>
          <w:lang w:eastAsia="ja-JP"/>
        </w:rPr>
      </w:pPr>
      <w:r w:rsidRPr="23DF1179">
        <w:rPr>
          <w:i/>
          <w:iCs/>
          <w:noProof/>
          <w:lang w:eastAsia="ja-JP"/>
        </w:rPr>
        <w:t>第</w:t>
      </w:r>
      <w:r w:rsidRPr="23DF1179">
        <w:rPr>
          <w:i/>
          <w:iCs/>
          <w:noProof/>
          <w:lang w:eastAsia="ja-JP"/>
        </w:rPr>
        <w:t>20</w:t>
      </w:r>
      <w:r w:rsidRPr="23DF1179">
        <w:rPr>
          <w:i/>
          <w:iCs/>
          <w:noProof/>
          <w:lang w:eastAsia="ja-JP"/>
        </w:rPr>
        <w:t>条は</w:t>
      </w:r>
      <w:r>
        <w:rPr>
          <w:noProof/>
          <w:lang w:eastAsia="ja-JP"/>
        </w:rPr>
        <w:t>、まず、売れ残った消費者製品を廃棄する経済事業者の透明性の一般的な義務を定めて</w:t>
      </w:r>
      <w:r w:rsidR="002041D4">
        <w:rPr>
          <w:noProof/>
          <w:lang w:eastAsia="ja-JP"/>
        </w:rPr>
        <w:t>いる。</w:t>
      </w:r>
      <w:r>
        <w:rPr>
          <w:noProof/>
          <w:lang w:eastAsia="ja-JP"/>
        </w:rPr>
        <w:t>また、経済事業者が売れ残った消費者製品を廃棄することを禁止するための委任法を採択する可能性を規定している。これらの委任法には、例えば健</w:t>
      </w:r>
      <w:r>
        <w:rPr>
          <w:noProof/>
          <w:lang w:eastAsia="ja-JP"/>
        </w:rPr>
        <w:t>康や安全を理由とする一般的な禁止事項の適用除外を含めることもできる。このような適用除外を用いる場合、経済事業者は透明性の義務も負う（廃棄した製品の数、廃棄の理由などを開示する）。この条文は中小企業には適用さ</w:t>
      </w:r>
      <w:r w:rsidR="002041D4">
        <w:rPr>
          <w:noProof/>
          <w:lang w:eastAsia="ja-JP"/>
        </w:rPr>
        <w:t>れない</w:t>
      </w:r>
      <w:r>
        <w:rPr>
          <w:noProof/>
          <w:lang w:eastAsia="ja-JP"/>
        </w:rPr>
        <w:t>が、製品の破壊を禁止する委任法は、一部の義務が特定のカテゴリーの中小企業（零細、小規模、中規模）に適用されると規定することがで</w:t>
      </w:r>
      <w:r w:rsidR="002041D4">
        <w:rPr>
          <w:noProof/>
          <w:lang w:eastAsia="ja-JP"/>
        </w:rPr>
        <w:t>く</w:t>
      </w:r>
      <w:r>
        <w:rPr>
          <w:noProof/>
          <w:lang w:eastAsia="ja-JP"/>
        </w:rPr>
        <w:t>。</w:t>
      </w:r>
      <w:r>
        <w:rPr>
          <w:noProof/>
          <w:lang w:eastAsia="ja-JP"/>
        </w:rPr>
        <w:t xml:space="preserve">  </w:t>
      </w:r>
    </w:p>
    <w:p w14:paraId="188C751C" w14:textId="6CD0E004" w:rsidR="0038775E" w:rsidRDefault="00877B9C" w:rsidP="002041D4">
      <w:pPr>
        <w:wordWrap w:val="0"/>
        <w:rPr>
          <w:noProof/>
          <w:lang w:eastAsia="ja-JP"/>
        </w:rPr>
      </w:pPr>
      <w:r w:rsidRPr="23DF1179">
        <w:rPr>
          <w:i/>
          <w:iCs/>
          <w:noProof/>
          <w:lang w:eastAsia="ja-JP"/>
        </w:rPr>
        <w:t>第</w:t>
      </w:r>
      <w:r w:rsidRPr="23DF1179">
        <w:rPr>
          <w:i/>
          <w:iCs/>
          <w:noProof/>
          <w:lang w:eastAsia="ja-JP"/>
        </w:rPr>
        <w:t>21</w:t>
      </w:r>
      <w:r w:rsidRPr="23DF1179">
        <w:rPr>
          <w:i/>
          <w:iCs/>
          <w:noProof/>
          <w:lang w:eastAsia="ja-JP"/>
        </w:rPr>
        <w:t>条、第</w:t>
      </w:r>
      <w:r w:rsidRPr="23DF1179">
        <w:rPr>
          <w:i/>
          <w:iCs/>
          <w:noProof/>
          <w:lang w:eastAsia="ja-JP"/>
        </w:rPr>
        <w:t>22</w:t>
      </w:r>
      <w:r w:rsidRPr="23DF1179">
        <w:rPr>
          <w:i/>
          <w:iCs/>
          <w:noProof/>
          <w:lang w:eastAsia="ja-JP"/>
        </w:rPr>
        <w:t>条、第</w:t>
      </w:r>
      <w:r w:rsidRPr="23DF1179">
        <w:rPr>
          <w:i/>
          <w:iCs/>
          <w:noProof/>
          <w:lang w:eastAsia="ja-JP"/>
        </w:rPr>
        <w:t>23</w:t>
      </w:r>
      <w:r w:rsidRPr="23DF1179">
        <w:rPr>
          <w:i/>
          <w:iCs/>
          <w:noProof/>
          <w:lang w:eastAsia="ja-JP"/>
        </w:rPr>
        <w:t>条および第</w:t>
      </w:r>
      <w:r w:rsidRPr="23DF1179">
        <w:rPr>
          <w:i/>
          <w:iCs/>
          <w:noProof/>
          <w:lang w:eastAsia="ja-JP"/>
        </w:rPr>
        <w:t>24</w:t>
      </w:r>
      <w:r w:rsidRPr="23DF1179">
        <w:rPr>
          <w:i/>
          <w:iCs/>
          <w:noProof/>
          <w:lang w:eastAsia="ja-JP"/>
        </w:rPr>
        <w:t>条は、</w:t>
      </w:r>
      <w:r>
        <w:rPr>
          <w:noProof/>
          <w:lang w:eastAsia="ja-JP"/>
        </w:rPr>
        <w:t>製造者、公認代理店、輸入業者および販売業者の義務を規定する。これらは、決定</w:t>
      </w:r>
      <w:r>
        <w:rPr>
          <w:noProof/>
          <w:lang w:eastAsia="ja-JP"/>
        </w:rPr>
        <w:t>768/2008/EC</w:t>
      </w:r>
      <w:r>
        <w:rPr>
          <w:noProof/>
          <w:lang w:eastAsia="ja-JP"/>
        </w:rPr>
        <w:t>の標準規定に基づ</w:t>
      </w:r>
      <w:r>
        <w:rPr>
          <w:noProof/>
          <w:lang w:eastAsia="ja-JP"/>
        </w:rPr>
        <w:t>いて</w:t>
      </w:r>
      <w:r w:rsidR="002041D4">
        <w:rPr>
          <w:noProof/>
          <w:lang w:eastAsia="ja-JP"/>
        </w:rPr>
        <w:t>いる。</w:t>
      </w:r>
      <w:r>
        <w:rPr>
          <w:noProof/>
          <w:lang w:eastAsia="ja-JP"/>
        </w:rPr>
        <w:t xml:space="preserve"> </w:t>
      </w:r>
    </w:p>
    <w:p w14:paraId="5F756A18" w14:textId="77777777" w:rsidR="0038775E" w:rsidRDefault="00877B9C" w:rsidP="002041D4">
      <w:pPr>
        <w:wordWrap w:val="0"/>
        <w:rPr>
          <w:noProof/>
          <w:lang w:eastAsia="ja-JP"/>
        </w:rPr>
      </w:pPr>
      <w:r w:rsidRPr="23DF1179">
        <w:rPr>
          <w:i/>
          <w:iCs/>
          <w:noProof/>
          <w:lang w:eastAsia="ja-JP"/>
        </w:rPr>
        <w:t>第</w:t>
      </w:r>
      <w:r w:rsidRPr="23DF1179">
        <w:rPr>
          <w:i/>
          <w:iCs/>
          <w:noProof/>
          <w:lang w:eastAsia="ja-JP"/>
        </w:rPr>
        <w:t>25</w:t>
      </w:r>
      <w:r w:rsidRPr="23DF1179">
        <w:rPr>
          <w:i/>
          <w:iCs/>
          <w:noProof/>
          <w:lang w:eastAsia="ja-JP"/>
        </w:rPr>
        <w:t>条は、</w:t>
      </w:r>
      <w:r>
        <w:rPr>
          <w:noProof/>
          <w:lang w:eastAsia="ja-JP"/>
        </w:rPr>
        <w:t>特にラベルの表示と、（オンライン）遠隔販売の場合を含む製品パスポートへのアクセスに関する販売店（一般的には小売業者または販売業者）の義務を規定している。</w:t>
      </w:r>
      <w:r>
        <w:rPr>
          <w:noProof/>
          <w:lang w:eastAsia="ja-JP"/>
        </w:rPr>
        <w:t xml:space="preserve"> </w:t>
      </w:r>
    </w:p>
    <w:p w14:paraId="3673FA07" w14:textId="77777777" w:rsidR="0038775E" w:rsidRDefault="00877B9C" w:rsidP="002041D4">
      <w:pPr>
        <w:wordWrap w:val="0"/>
        <w:rPr>
          <w:noProof/>
          <w:lang w:eastAsia="ja-JP"/>
        </w:rPr>
      </w:pPr>
      <w:r w:rsidRPr="23DF1179">
        <w:rPr>
          <w:i/>
          <w:iCs/>
          <w:noProof/>
          <w:lang w:eastAsia="ja-JP"/>
        </w:rPr>
        <w:t>第</w:t>
      </w:r>
      <w:r w:rsidRPr="23DF1179">
        <w:rPr>
          <w:i/>
          <w:iCs/>
          <w:noProof/>
          <w:lang w:eastAsia="ja-JP"/>
        </w:rPr>
        <w:t>26</w:t>
      </w:r>
      <w:r w:rsidRPr="23DF1179">
        <w:rPr>
          <w:i/>
          <w:iCs/>
          <w:noProof/>
          <w:lang w:eastAsia="ja-JP"/>
        </w:rPr>
        <w:t>条は、</w:t>
      </w:r>
      <w:r>
        <w:rPr>
          <w:noProof/>
          <w:lang w:eastAsia="ja-JP"/>
        </w:rPr>
        <w:t>委任法が製品にラベルを貼ることを要求している場合、経済事業者が遵守しなければならないさまざまな義務（例：販売店へのラベルの提供）をまとめたものである。</w:t>
      </w:r>
      <w:r>
        <w:rPr>
          <w:noProof/>
          <w:lang w:eastAsia="ja-JP"/>
        </w:rPr>
        <w:t xml:space="preserve"> </w:t>
      </w:r>
    </w:p>
    <w:p w14:paraId="1A4BBA2F" w14:textId="77777777" w:rsidR="0038775E" w:rsidRDefault="00877B9C" w:rsidP="002041D4">
      <w:pPr>
        <w:wordWrap w:val="0"/>
        <w:rPr>
          <w:noProof/>
          <w:lang w:eastAsia="ja-JP"/>
        </w:rPr>
      </w:pPr>
      <w:r w:rsidRPr="23DF1179">
        <w:rPr>
          <w:i/>
          <w:iCs/>
          <w:noProof/>
          <w:lang w:eastAsia="ja-JP"/>
        </w:rPr>
        <w:t>第</w:t>
      </w:r>
      <w:r w:rsidRPr="23DF1179">
        <w:rPr>
          <w:i/>
          <w:iCs/>
          <w:noProof/>
          <w:lang w:eastAsia="ja-JP"/>
        </w:rPr>
        <w:t>27</w:t>
      </w:r>
      <w:r w:rsidRPr="23DF1179">
        <w:rPr>
          <w:i/>
          <w:iCs/>
          <w:noProof/>
          <w:lang w:eastAsia="ja-JP"/>
        </w:rPr>
        <w:t>条は</w:t>
      </w:r>
      <w:r>
        <w:rPr>
          <w:noProof/>
          <w:lang w:eastAsia="ja-JP"/>
        </w:rPr>
        <w:t>、フルフィルメントサービスプロバイダーの義務、すなわち、製品を取り扱う際に、倉庫保管、包装、宛名書き、発送の際の条件が、製品のエコデザイン要件への適合を危うくしないことを保証することに関わる。</w:t>
      </w:r>
      <w:r>
        <w:rPr>
          <w:noProof/>
          <w:lang w:eastAsia="ja-JP"/>
        </w:rPr>
        <w:t xml:space="preserve"> </w:t>
      </w:r>
    </w:p>
    <w:p w14:paraId="6632562B" w14:textId="77777777" w:rsidR="0038775E" w:rsidRDefault="00877B9C" w:rsidP="002041D4">
      <w:pPr>
        <w:wordWrap w:val="0"/>
        <w:rPr>
          <w:noProof/>
          <w:lang w:eastAsia="ja-JP"/>
        </w:rPr>
      </w:pPr>
      <w:r w:rsidRPr="23DF1179">
        <w:rPr>
          <w:i/>
          <w:iCs/>
          <w:noProof/>
          <w:lang w:eastAsia="ja-JP"/>
        </w:rPr>
        <w:t>第</w:t>
      </w:r>
      <w:r w:rsidRPr="23DF1179">
        <w:rPr>
          <w:i/>
          <w:iCs/>
          <w:noProof/>
          <w:lang w:eastAsia="ja-JP"/>
        </w:rPr>
        <w:t>28</w:t>
      </w:r>
      <w:r w:rsidRPr="23DF1179">
        <w:rPr>
          <w:i/>
          <w:iCs/>
          <w:noProof/>
          <w:lang w:eastAsia="ja-JP"/>
        </w:rPr>
        <w:t>条は、</w:t>
      </w:r>
      <w:r>
        <w:rPr>
          <w:noProof/>
          <w:lang w:eastAsia="ja-JP"/>
        </w:rPr>
        <w:t>決定</w:t>
      </w:r>
      <w:r>
        <w:rPr>
          <w:noProof/>
          <w:lang w:eastAsia="ja-JP"/>
        </w:rPr>
        <w:t>768/2008/EC</w:t>
      </w:r>
      <w:r>
        <w:rPr>
          <w:noProof/>
          <w:lang w:eastAsia="ja-JP"/>
        </w:rPr>
        <w:t>の標準条文で、製造者の義務が輸入業者と販売業者に適用される</w:t>
      </w:r>
      <w:r>
        <w:rPr>
          <w:noProof/>
          <w:lang w:eastAsia="ja-JP"/>
        </w:rPr>
        <w:t>2</w:t>
      </w:r>
      <w:r>
        <w:rPr>
          <w:noProof/>
          <w:lang w:eastAsia="ja-JP"/>
        </w:rPr>
        <w:t>つのケースを定めている。</w:t>
      </w:r>
    </w:p>
    <w:p w14:paraId="34209932" w14:textId="1041F30C" w:rsidR="0038775E" w:rsidRDefault="00877B9C" w:rsidP="002041D4">
      <w:pPr>
        <w:wordWrap w:val="0"/>
        <w:rPr>
          <w:noProof/>
          <w:lang w:eastAsia="ja-JP"/>
        </w:rPr>
      </w:pPr>
      <w:r w:rsidRPr="23DF1179">
        <w:rPr>
          <w:i/>
          <w:iCs/>
          <w:noProof/>
          <w:lang w:eastAsia="ja-JP"/>
        </w:rPr>
        <w:t>第</w:t>
      </w:r>
      <w:r w:rsidRPr="23DF1179">
        <w:rPr>
          <w:i/>
          <w:iCs/>
          <w:noProof/>
          <w:lang w:eastAsia="ja-JP"/>
        </w:rPr>
        <w:t>29</w:t>
      </w:r>
      <w:r w:rsidRPr="23DF1179">
        <w:rPr>
          <w:i/>
          <w:iCs/>
          <w:noProof/>
          <w:lang w:eastAsia="ja-JP"/>
        </w:rPr>
        <w:t>条は、</w:t>
      </w:r>
      <w:r>
        <w:rPr>
          <w:noProof/>
          <w:lang w:eastAsia="ja-JP"/>
        </w:rPr>
        <w:t>特に市場監視当局との協力に関するオンラインマーケットプレイスおよびオンライン検索エンジンの義務を定めて</w:t>
      </w:r>
      <w:r w:rsidR="002041D4">
        <w:rPr>
          <w:noProof/>
          <w:lang w:eastAsia="ja-JP"/>
        </w:rPr>
        <w:t>いる。</w:t>
      </w:r>
      <w:r>
        <w:rPr>
          <w:noProof/>
          <w:lang w:eastAsia="ja-JP"/>
        </w:rPr>
        <w:t>また、市場監視当局がオンラインマーケットプレイスに対して違法コンテンツ</w:t>
      </w:r>
      <w:r>
        <w:rPr>
          <w:noProof/>
          <w:lang w:eastAsia="ja-JP"/>
        </w:rPr>
        <w:t>の削除を命じる権限を持つべきことを明記して</w:t>
      </w:r>
      <w:r w:rsidR="002041D4">
        <w:rPr>
          <w:noProof/>
          <w:lang w:eastAsia="ja-JP"/>
        </w:rPr>
        <w:t>いる。</w:t>
      </w:r>
      <w:r>
        <w:rPr>
          <w:noProof/>
          <w:lang w:eastAsia="ja-JP"/>
        </w:rPr>
        <w:t xml:space="preserve"> </w:t>
      </w:r>
    </w:p>
    <w:p w14:paraId="61A1EA61" w14:textId="66EEA7B7" w:rsidR="0038775E" w:rsidRDefault="00877B9C" w:rsidP="002041D4">
      <w:pPr>
        <w:wordWrap w:val="0"/>
        <w:rPr>
          <w:noProof/>
          <w:lang w:eastAsia="ja-JP"/>
        </w:rPr>
      </w:pPr>
      <w:r w:rsidRPr="23DF1179">
        <w:rPr>
          <w:i/>
          <w:iCs/>
          <w:noProof/>
          <w:lang w:eastAsia="ja-JP"/>
        </w:rPr>
        <w:t>第</w:t>
      </w:r>
      <w:r w:rsidRPr="23DF1179">
        <w:rPr>
          <w:i/>
          <w:iCs/>
          <w:noProof/>
          <w:lang w:eastAsia="ja-JP"/>
        </w:rPr>
        <w:t>30</w:t>
      </w:r>
      <w:r w:rsidRPr="23DF1179">
        <w:rPr>
          <w:i/>
          <w:iCs/>
          <w:noProof/>
          <w:lang w:eastAsia="ja-JP"/>
        </w:rPr>
        <w:t>条では、</w:t>
      </w:r>
      <w:r>
        <w:rPr>
          <w:noProof/>
          <w:lang w:eastAsia="ja-JP"/>
        </w:rPr>
        <w:t>将来の委任法として、経済事業者が技術文書を要求なしにデジタルで利用できるようにする可能性を示して</w:t>
      </w:r>
      <w:r w:rsidR="002041D4">
        <w:rPr>
          <w:noProof/>
          <w:lang w:eastAsia="ja-JP"/>
        </w:rPr>
        <w:t>いる。</w:t>
      </w:r>
      <w:r>
        <w:rPr>
          <w:noProof/>
          <w:lang w:eastAsia="ja-JP"/>
        </w:rPr>
        <w:t>さらに、エコデザイン要件が設定された製品の市場浸透度を評価するため、同条は経済事業者に供給された製品に関する情報を提供することを求めて</w:t>
      </w:r>
      <w:r w:rsidR="002041D4">
        <w:rPr>
          <w:noProof/>
          <w:lang w:eastAsia="ja-JP"/>
        </w:rPr>
        <w:t>いる。</w:t>
      </w:r>
    </w:p>
    <w:p w14:paraId="1BA97590" w14:textId="77777777" w:rsidR="0038775E" w:rsidRDefault="00877B9C" w:rsidP="002041D4">
      <w:pPr>
        <w:wordWrap w:val="0"/>
        <w:rPr>
          <w:noProof/>
          <w:lang w:eastAsia="ja-JP"/>
        </w:rPr>
      </w:pPr>
      <w:r w:rsidRPr="23DF1179">
        <w:rPr>
          <w:i/>
          <w:iCs/>
          <w:noProof/>
          <w:lang w:eastAsia="ja-JP"/>
        </w:rPr>
        <w:t>第</w:t>
      </w:r>
      <w:r w:rsidRPr="23DF1179">
        <w:rPr>
          <w:i/>
          <w:iCs/>
          <w:noProof/>
          <w:lang w:eastAsia="ja-JP"/>
        </w:rPr>
        <w:t>31</w:t>
      </w:r>
      <w:r w:rsidRPr="23DF1179">
        <w:rPr>
          <w:i/>
          <w:iCs/>
          <w:noProof/>
          <w:lang w:eastAsia="ja-JP"/>
        </w:rPr>
        <w:t>条は、</w:t>
      </w:r>
      <w:r>
        <w:rPr>
          <w:noProof/>
          <w:lang w:eastAsia="ja-JP"/>
        </w:rPr>
        <w:t>適切な場合、製品が使用中に消費するエネルギー、またはその他の関連パラメータとの関連でその性能を測定し、このデータをエンドユーザーが利用できるようにすべきであると規定している。委任法で定</w:t>
      </w:r>
      <w:r>
        <w:rPr>
          <w:noProof/>
          <w:lang w:eastAsia="ja-JP"/>
        </w:rPr>
        <w:t>められている場合、製造者はこのデータを収集、匿名化し、欧州委員会に報告しなければならない。</w:t>
      </w:r>
      <w:r>
        <w:rPr>
          <w:noProof/>
          <w:lang w:eastAsia="ja-JP"/>
        </w:rPr>
        <w:t xml:space="preserve"> </w:t>
      </w:r>
    </w:p>
    <w:p w14:paraId="4F0FE57C" w14:textId="0F90FF8A" w:rsidR="0038775E" w:rsidRDefault="00877B9C" w:rsidP="002041D4">
      <w:pPr>
        <w:wordWrap w:val="0"/>
        <w:rPr>
          <w:noProof/>
          <w:lang w:eastAsia="ja-JP"/>
        </w:rPr>
      </w:pPr>
      <w:r>
        <w:rPr>
          <w:noProof/>
          <w:lang w:eastAsia="ja-JP"/>
        </w:rPr>
        <w:lastRenderedPageBreak/>
        <w:t>製品の適合性に関する</w:t>
      </w:r>
      <w:r w:rsidRPr="23DF1179">
        <w:rPr>
          <w:i/>
          <w:iCs/>
          <w:noProof/>
          <w:lang w:eastAsia="ja-JP"/>
        </w:rPr>
        <w:t>第</w:t>
      </w:r>
      <w:r w:rsidRPr="23DF1179">
        <w:rPr>
          <w:i/>
          <w:iCs/>
          <w:noProof/>
          <w:lang w:eastAsia="ja-JP"/>
        </w:rPr>
        <w:t>8</w:t>
      </w:r>
      <w:r w:rsidRPr="23DF1179">
        <w:rPr>
          <w:i/>
          <w:iCs/>
          <w:noProof/>
          <w:lang w:eastAsia="ja-JP"/>
        </w:rPr>
        <w:t>章</w:t>
      </w:r>
      <w:r>
        <w:rPr>
          <w:noProof/>
          <w:lang w:eastAsia="ja-JP"/>
        </w:rPr>
        <w:t>は、製品の適合性を評価する方法に関する標準的な規定が中心となって</w:t>
      </w:r>
      <w:r w:rsidR="002041D4">
        <w:rPr>
          <w:noProof/>
          <w:lang w:eastAsia="ja-JP"/>
        </w:rPr>
        <w:t>いる。</w:t>
      </w:r>
      <w:r>
        <w:rPr>
          <w:noProof/>
          <w:lang w:eastAsia="ja-JP"/>
        </w:rPr>
        <w:t>に関するものである：</w:t>
      </w:r>
      <w:r>
        <w:rPr>
          <w:noProof/>
          <w:lang w:eastAsia="ja-JP"/>
        </w:rPr>
        <w:t xml:space="preserve"> </w:t>
      </w:r>
    </w:p>
    <w:p w14:paraId="2FE3AD86" w14:textId="77777777" w:rsidR="0038775E" w:rsidRDefault="00877B9C" w:rsidP="002041D4">
      <w:pPr>
        <w:pStyle w:val="Tiret0"/>
        <w:wordWrap w:val="0"/>
        <w:rPr>
          <w:noProof/>
          <w:lang w:eastAsia="ja-JP"/>
        </w:rPr>
      </w:pPr>
      <w:r>
        <w:rPr>
          <w:noProof/>
          <w:lang w:eastAsia="ja-JP"/>
        </w:rPr>
        <w:t>試験、測定及び計算のために、信頼でき、正確で再現性のある方法を使用すること（</w:t>
      </w:r>
      <w:r w:rsidRPr="23DF1179">
        <w:rPr>
          <w:i/>
          <w:iCs/>
          <w:noProof/>
          <w:lang w:eastAsia="ja-JP"/>
        </w:rPr>
        <w:t>第</w:t>
      </w:r>
      <w:r w:rsidRPr="23DF1179">
        <w:rPr>
          <w:i/>
          <w:iCs/>
          <w:noProof/>
          <w:lang w:eastAsia="ja-JP"/>
        </w:rPr>
        <w:t>32</w:t>
      </w:r>
      <w:r w:rsidRPr="23DF1179">
        <w:rPr>
          <w:i/>
          <w:iCs/>
          <w:noProof/>
          <w:lang w:eastAsia="ja-JP"/>
        </w:rPr>
        <w:t>条</w:t>
      </w:r>
      <w:r>
        <w:rPr>
          <w:noProof/>
          <w:lang w:eastAsia="ja-JP"/>
        </w:rPr>
        <w:t>）；</w:t>
      </w:r>
      <w:r>
        <w:rPr>
          <w:noProof/>
          <w:lang w:eastAsia="ja-JP"/>
        </w:rPr>
        <w:t xml:space="preserve"> </w:t>
      </w:r>
    </w:p>
    <w:p w14:paraId="4C84C199" w14:textId="77777777" w:rsidR="0038775E" w:rsidRDefault="00877B9C" w:rsidP="002041D4">
      <w:pPr>
        <w:pStyle w:val="Tiret0"/>
        <w:wordWrap w:val="0"/>
        <w:rPr>
          <w:noProof/>
          <w:lang w:eastAsia="ja-JP"/>
        </w:rPr>
      </w:pPr>
      <w:r>
        <w:rPr>
          <w:noProof/>
          <w:lang w:eastAsia="ja-JP"/>
        </w:rPr>
        <w:t>適合の推定を提供する調和された基準（</w:t>
      </w:r>
      <w:r w:rsidRPr="23DF1179">
        <w:rPr>
          <w:i/>
          <w:iCs/>
          <w:noProof/>
          <w:lang w:eastAsia="ja-JP"/>
        </w:rPr>
        <w:t>第</w:t>
      </w:r>
      <w:r w:rsidRPr="23DF1179">
        <w:rPr>
          <w:i/>
          <w:iCs/>
          <w:noProof/>
          <w:lang w:eastAsia="ja-JP"/>
        </w:rPr>
        <w:t>34</w:t>
      </w:r>
      <w:r w:rsidRPr="23DF1179">
        <w:rPr>
          <w:i/>
          <w:iCs/>
          <w:noProof/>
          <w:lang w:eastAsia="ja-JP"/>
        </w:rPr>
        <w:t>条</w:t>
      </w:r>
      <w:r>
        <w:rPr>
          <w:noProof/>
          <w:lang w:eastAsia="ja-JP"/>
        </w:rPr>
        <w:t>）；</w:t>
      </w:r>
      <w:r>
        <w:rPr>
          <w:noProof/>
          <w:lang w:eastAsia="ja-JP"/>
        </w:rPr>
        <w:t xml:space="preserve"> </w:t>
      </w:r>
    </w:p>
    <w:p w14:paraId="1C03F535" w14:textId="77777777" w:rsidR="0038775E" w:rsidRDefault="00877B9C" w:rsidP="002041D4">
      <w:pPr>
        <w:pStyle w:val="Tiret0"/>
        <w:wordWrap w:val="0"/>
        <w:rPr>
          <w:noProof/>
          <w:lang w:eastAsia="ja-JP"/>
        </w:rPr>
      </w:pPr>
      <w:r>
        <w:rPr>
          <w:noProof/>
          <w:lang w:eastAsia="ja-JP"/>
        </w:rPr>
        <w:t>調和された規格がない場合、欧州委員会が共通の仕様を採用する可能性（</w:t>
      </w:r>
      <w:r w:rsidRPr="23DF1179">
        <w:rPr>
          <w:i/>
          <w:iCs/>
          <w:noProof/>
          <w:lang w:eastAsia="ja-JP"/>
        </w:rPr>
        <w:t>第</w:t>
      </w:r>
      <w:r w:rsidRPr="23DF1179">
        <w:rPr>
          <w:i/>
          <w:iCs/>
          <w:noProof/>
          <w:lang w:eastAsia="ja-JP"/>
        </w:rPr>
        <w:t>35</w:t>
      </w:r>
      <w:r w:rsidRPr="23DF1179">
        <w:rPr>
          <w:i/>
          <w:iCs/>
          <w:noProof/>
          <w:lang w:eastAsia="ja-JP"/>
        </w:rPr>
        <w:t>条</w:t>
      </w:r>
      <w:r>
        <w:rPr>
          <w:noProof/>
          <w:lang w:eastAsia="ja-JP"/>
        </w:rPr>
        <w:t>）；</w:t>
      </w:r>
      <w:r>
        <w:rPr>
          <w:noProof/>
          <w:lang w:eastAsia="ja-JP"/>
        </w:rPr>
        <w:t xml:space="preserve"> </w:t>
      </w:r>
    </w:p>
    <w:p w14:paraId="5EE2B7F0" w14:textId="77777777" w:rsidR="0038775E" w:rsidRDefault="00877B9C" w:rsidP="002041D4">
      <w:pPr>
        <w:pStyle w:val="Tiret0"/>
        <w:wordWrap w:val="0"/>
        <w:rPr>
          <w:noProof/>
          <w:lang w:eastAsia="ja-JP"/>
        </w:rPr>
      </w:pPr>
      <w:r>
        <w:rPr>
          <w:noProof/>
          <w:lang w:eastAsia="ja-JP"/>
        </w:rPr>
        <w:t>適合性評価手続き（</w:t>
      </w:r>
      <w:r w:rsidRPr="23DF1179">
        <w:rPr>
          <w:i/>
          <w:iCs/>
          <w:noProof/>
          <w:lang w:eastAsia="ja-JP"/>
        </w:rPr>
        <w:t>第</w:t>
      </w:r>
      <w:r w:rsidRPr="23DF1179">
        <w:rPr>
          <w:i/>
          <w:iCs/>
          <w:noProof/>
          <w:lang w:eastAsia="ja-JP"/>
        </w:rPr>
        <w:t>36</w:t>
      </w:r>
      <w:r w:rsidRPr="23DF1179">
        <w:rPr>
          <w:i/>
          <w:iCs/>
          <w:noProof/>
          <w:lang w:eastAsia="ja-JP"/>
        </w:rPr>
        <w:t>条</w:t>
      </w:r>
      <w:r>
        <w:rPr>
          <w:noProof/>
          <w:lang w:eastAsia="ja-JP"/>
        </w:rPr>
        <w:t>）；</w:t>
      </w:r>
      <w:r>
        <w:rPr>
          <w:noProof/>
          <w:lang w:eastAsia="ja-JP"/>
        </w:rPr>
        <w:t xml:space="preserve"> </w:t>
      </w:r>
    </w:p>
    <w:p w14:paraId="3AB7492E" w14:textId="77777777" w:rsidR="0038775E" w:rsidRDefault="00877B9C" w:rsidP="002041D4">
      <w:pPr>
        <w:pStyle w:val="Tiret0"/>
        <w:wordWrap w:val="0"/>
        <w:rPr>
          <w:noProof/>
          <w:lang w:eastAsia="ja-JP"/>
        </w:rPr>
      </w:pPr>
      <w:r>
        <w:rPr>
          <w:noProof/>
          <w:lang w:eastAsia="ja-JP"/>
        </w:rPr>
        <w:t>EU</w:t>
      </w:r>
      <w:r>
        <w:rPr>
          <w:noProof/>
          <w:lang w:eastAsia="ja-JP"/>
        </w:rPr>
        <w:t>適合宣言（</w:t>
      </w:r>
      <w:r w:rsidRPr="23DF1179">
        <w:rPr>
          <w:i/>
          <w:iCs/>
          <w:noProof/>
          <w:lang w:eastAsia="ja-JP"/>
        </w:rPr>
        <w:t>第</w:t>
      </w:r>
      <w:r w:rsidRPr="23DF1179">
        <w:rPr>
          <w:i/>
          <w:iCs/>
          <w:noProof/>
          <w:lang w:eastAsia="ja-JP"/>
        </w:rPr>
        <w:t>37</w:t>
      </w:r>
      <w:r w:rsidRPr="23DF1179">
        <w:rPr>
          <w:i/>
          <w:iCs/>
          <w:noProof/>
          <w:lang w:eastAsia="ja-JP"/>
        </w:rPr>
        <w:t>条</w:t>
      </w:r>
      <w:r>
        <w:rPr>
          <w:noProof/>
          <w:lang w:eastAsia="ja-JP"/>
        </w:rPr>
        <w:t>）、および</w:t>
      </w:r>
      <w:r>
        <w:rPr>
          <w:noProof/>
          <w:lang w:eastAsia="ja-JP"/>
        </w:rPr>
        <w:t xml:space="preserve"> </w:t>
      </w:r>
    </w:p>
    <w:p w14:paraId="247F3F22" w14:textId="77777777" w:rsidR="0038775E" w:rsidRDefault="00877B9C" w:rsidP="002041D4">
      <w:pPr>
        <w:pStyle w:val="Tiret0"/>
        <w:wordWrap w:val="0"/>
        <w:rPr>
          <w:noProof/>
          <w:lang w:eastAsia="ja-JP"/>
        </w:rPr>
      </w:pPr>
      <w:r>
        <w:rPr>
          <w:noProof/>
          <w:lang w:eastAsia="ja-JP"/>
        </w:rPr>
        <w:t>CE</w:t>
      </w:r>
      <w:r>
        <w:rPr>
          <w:noProof/>
          <w:lang w:eastAsia="ja-JP"/>
        </w:rPr>
        <w:t>マーキング（</w:t>
      </w:r>
      <w:r w:rsidRPr="23DF1179">
        <w:rPr>
          <w:i/>
          <w:iCs/>
          <w:noProof/>
          <w:lang w:eastAsia="ja-JP"/>
        </w:rPr>
        <w:t>第</w:t>
      </w:r>
      <w:r w:rsidRPr="23DF1179">
        <w:rPr>
          <w:i/>
          <w:iCs/>
          <w:noProof/>
          <w:lang w:eastAsia="ja-JP"/>
        </w:rPr>
        <w:t>38</w:t>
      </w:r>
      <w:r w:rsidRPr="23DF1179">
        <w:rPr>
          <w:i/>
          <w:iCs/>
          <w:noProof/>
          <w:lang w:eastAsia="ja-JP"/>
        </w:rPr>
        <w:t>条および第</w:t>
      </w:r>
      <w:r w:rsidRPr="23DF1179">
        <w:rPr>
          <w:i/>
          <w:iCs/>
          <w:noProof/>
          <w:lang w:eastAsia="ja-JP"/>
        </w:rPr>
        <w:t>39</w:t>
      </w:r>
      <w:r w:rsidRPr="23DF1179">
        <w:rPr>
          <w:i/>
          <w:iCs/>
          <w:noProof/>
          <w:lang w:eastAsia="ja-JP"/>
        </w:rPr>
        <w:t>条</w:t>
      </w:r>
      <w:r>
        <w:rPr>
          <w:noProof/>
          <w:lang w:eastAsia="ja-JP"/>
        </w:rPr>
        <w:t>）および代替マーキング（</w:t>
      </w:r>
      <w:r w:rsidRPr="23DF1179">
        <w:rPr>
          <w:i/>
          <w:iCs/>
          <w:noProof/>
          <w:lang w:eastAsia="ja-JP"/>
        </w:rPr>
        <w:t>第</w:t>
      </w:r>
      <w:r w:rsidRPr="23DF1179">
        <w:rPr>
          <w:i/>
          <w:iCs/>
          <w:noProof/>
          <w:lang w:eastAsia="ja-JP"/>
        </w:rPr>
        <w:t>40</w:t>
      </w:r>
      <w:r w:rsidRPr="23DF1179">
        <w:rPr>
          <w:i/>
          <w:iCs/>
          <w:noProof/>
          <w:lang w:eastAsia="ja-JP"/>
        </w:rPr>
        <w:t>条）を使用することができる</w:t>
      </w:r>
      <w:r>
        <w:rPr>
          <w:noProof/>
          <w:lang w:eastAsia="ja-JP"/>
        </w:rPr>
        <w:t>。</w:t>
      </w:r>
      <w:r>
        <w:rPr>
          <w:noProof/>
          <w:lang w:eastAsia="ja-JP"/>
        </w:rPr>
        <w:t xml:space="preserve"> </w:t>
      </w:r>
    </w:p>
    <w:p w14:paraId="40A5B186" w14:textId="3EA74557" w:rsidR="0038775E" w:rsidRDefault="00877B9C" w:rsidP="002041D4">
      <w:pPr>
        <w:wordWrap w:val="0"/>
        <w:rPr>
          <w:noProof/>
          <w:lang w:eastAsia="ja-JP"/>
        </w:rPr>
      </w:pPr>
      <w:r>
        <w:rPr>
          <w:noProof/>
          <w:lang w:eastAsia="ja-JP"/>
        </w:rPr>
        <w:t>本標準章において注目すべきは、ユニオンエコラベルを貼付した製品については、エコデザイン要件に適合していると推定されること（</w:t>
      </w:r>
      <w:r w:rsidRPr="23DF1179">
        <w:rPr>
          <w:i/>
          <w:iCs/>
          <w:noProof/>
          <w:lang w:eastAsia="ja-JP"/>
        </w:rPr>
        <w:t>第</w:t>
      </w:r>
      <w:r w:rsidRPr="23DF1179">
        <w:rPr>
          <w:i/>
          <w:iCs/>
          <w:noProof/>
          <w:lang w:eastAsia="ja-JP"/>
        </w:rPr>
        <w:t>34</w:t>
      </w:r>
      <w:r w:rsidRPr="23DF1179">
        <w:rPr>
          <w:i/>
          <w:iCs/>
          <w:noProof/>
          <w:lang w:eastAsia="ja-JP"/>
        </w:rPr>
        <w:t>条</w:t>
      </w:r>
      <w:r>
        <w:rPr>
          <w:noProof/>
          <w:lang w:eastAsia="ja-JP"/>
        </w:rPr>
        <w:t>）と、委任法において、対象となる製品に応じて関連する適合性評価モジュールを修正することができること（</w:t>
      </w:r>
      <w:r w:rsidRPr="23DF1179">
        <w:rPr>
          <w:i/>
          <w:iCs/>
          <w:noProof/>
          <w:lang w:eastAsia="ja-JP"/>
        </w:rPr>
        <w:t>第</w:t>
      </w:r>
      <w:r w:rsidRPr="23DF1179">
        <w:rPr>
          <w:i/>
          <w:iCs/>
          <w:noProof/>
          <w:lang w:eastAsia="ja-JP"/>
        </w:rPr>
        <w:t>36</w:t>
      </w:r>
      <w:r w:rsidRPr="23DF1179">
        <w:rPr>
          <w:i/>
          <w:iCs/>
          <w:noProof/>
          <w:lang w:eastAsia="ja-JP"/>
        </w:rPr>
        <w:t>条）</w:t>
      </w:r>
      <w:r w:rsidR="002041D4">
        <w:rPr>
          <w:i/>
          <w:iCs/>
          <w:noProof/>
          <w:lang w:eastAsia="ja-JP"/>
        </w:rPr>
        <w:t>である</w:t>
      </w:r>
      <w:r>
        <w:rPr>
          <w:noProof/>
          <w:lang w:eastAsia="ja-JP"/>
        </w:rPr>
        <w:t>。</w:t>
      </w:r>
      <w:r>
        <w:rPr>
          <w:noProof/>
          <w:lang w:eastAsia="ja-JP"/>
        </w:rPr>
        <w:t xml:space="preserve"> </w:t>
      </w:r>
    </w:p>
    <w:p w14:paraId="2F984808" w14:textId="75A5C946" w:rsidR="0038775E" w:rsidRDefault="00877B9C" w:rsidP="002041D4">
      <w:pPr>
        <w:wordWrap w:val="0"/>
        <w:rPr>
          <w:noProof/>
          <w:lang w:eastAsia="ja-JP"/>
        </w:rPr>
      </w:pPr>
      <w:r w:rsidRPr="23DF1179">
        <w:rPr>
          <w:i/>
          <w:iCs/>
          <w:noProof/>
          <w:lang w:eastAsia="ja-JP"/>
        </w:rPr>
        <w:t>第</w:t>
      </w:r>
      <w:r w:rsidRPr="23DF1179">
        <w:rPr>
          <w:i/>
          <w:iCs/>
          <w:noProof/>
          <w:lang w:eastAsia="ja-JP"/>
        </w:rPr>
        <w:t>33</w:t>
      </w:r>
      <w:r w:rsidRPr="23DF1179">
        <w:rPr>
          <w:i/>
          <w:iCs/>
          <w:noProof/>
          <w:lang w:eastAsia="ja-JP"/>
        </w:rPr>
        <w:t>条は、</w:t>
      </w:r>
      <w:r>
        <w:rPr>
          <w:noProof/>
          <w:lang w:eastAsia="ja-JP"/>
        </w:rPr>
        <w:t>迂回行為の防止に関するもの</w:t>
      </w:r>
      <w:r w:rsidR="002041D4">
        <w:rPr>
          <w:noProof/>
          <w:lang w:eastAsia="ja-JP"/>
        </w:rPr>
        <w:t>である</w:t>
      </w:r>
      <w:r>
        <w:rPr>
          <w:noProof/>
          <w:lang w:eastAsia="ja-JP"/>
        </w:rPr>
        <w:t>。例えば、試験中であることを検知し、より有利な結果になるように自動的に性能を変更することができるように設計</w:t>
      </w:r>
      <w:r>
        <w:rPr>
          <w:noProof/>
          <w:lang w:eastAsia="ja-JP"/>
        </w:rPr>
        <w:t>された製品は、市場での販売が許可されない。</w:t>
      </w:r>
      <w:r>
        <w:rPr>
          <w:noProof/>
          <w:lang w:eastAsia="ja-JP"/>
        </w:rPr>
        <w:t xml:space="preserve">  </w:t>
      </w:r>
    </w:p>
    <w:p w14:paraId="00103965" w14:textId="7418800F" w:rsidR="0038775E" w:rsidRDefault="00877B9C" w:rsidP="002041D4">
      <w:pPr>
        <w:wordWrap w:val="0"/>
        <w:rPr>
          <w:noProof/>
          <w:lang w:eastAsia="ja-JP"/>
        </w:rPr>
      </w:pPr>
      <w:r w:rsidRPr="23DF1179">
        <w:rPr>
          <w:i/>
          <w:iCs/>
          <w:noProof/>
          <w:lang w:eastAsia="ja-JP"/>
        </w:rPr>
        <w:t>第</w:t>
      </w:r>
      <w:r w:rsidRPr="23DF1179">
        <w:rPr>
          <w:i/>
          <w:iCs/>
          <w:noProof/>
          <w:lang w:eastAsia="ja-JP"/>
        </w:rPr>
        <w:t>IX</w:t>
      </w:r>
      <w:r w:rsidRPr="23DF1179">
        <w:rPr>
          <w:i/>
          <w:iCs/>
          <w:noProof/>
          <w:lang w:eastAsia="ja-JP"/>
        </w:rPr>
        <w:t>章</w:t>
      </w:r>
      <w:r>
        <w:rPr>
          <w:noProof/>
          <w:lang w:eastAsia="ja-JP"/>
        </w:rPr>
        <w:t>（</w:t>
      </w:r>
      <w:r w:rsidRPr="23DF1179">
        <w:rPr>
          <w:i/>
          <w:iCs/>
          <w:noProof/>
          <w:lang w:eastAsia="ja-JP"/>
        </w:rPr>
        <w:t>第</w:t>
      </w:r>
      <w:r w:rsidRPr="23DF1179">
        <w:rPr>
          <w:i/>
          <w:iCs/>
          <w:noProof/>
          <w:lang w:eastAsia="ja-JP"/>
        </w:rPr>
        <w:t>41</w:t>
      </w:r>
      <w:r>
        <w:rPr>
          <w:noProof/>
          <w:lang w:eastAsia="ja-JP"/>
        </w:rPr>
        <w:t>条から</w:t>
      </w:r>
      <w:r w:rsidRPr="23DF1179">
        <w:rPr>
          <w:i/>
          <w:iCs/>
          <w:noProof/>
          <w:lang w:eastAsia="ja-JP"/>
        </w:rPr>
        <w:t>第</w:t>
      </w:r>
      <w:r w:rsidRPr="23DF1179">
        <w:rPr>
          <w:i/>
          <w:iCs/>
          <w:noProof/>
          <w:lang w:eastAsia="ja-JP"/>
        </w:rPr>
        <w:t>56</w:t>
      </w:r>
      <w:r w:rsidRPr="23DF1179">
        <w:rPr>
          <w:i/>
          <w:iCs/>
          <w:noProof/>
          <w:lang w:eastAsia="ja-JP"/>
        </w:rPr>
        <w:t>条</w:t>
      </w:r>
      <w:r>
        <w:rPr>
          <w:noProof/>
          <w:lang w:eastAsia="ja-JP"/>
        </w:rPr>
        <w:t>）は、適合性評価機関の届出に関するもので、決定</w:t>
      </w:r>
      <w:r>
        <w:rPr>
          <w:noProof/>
          <w:lang w:eastAsia="ja-JP"/>
        </w:rPr>
        <w:t>768/2008/EC</w:t>
      </w:r>
      <w:r>
        <w:rPr>
          <w:noProof/>
          <w:lang w:eastAsia="ja-JP"/>
        </w:rPr>
        <w:t>に基づく標準規定と、法的明確性を確保し、届出機関の独立性、能力、監視をさらに強化するためのこれらの規定の的を絞った強化から構成されて</w:t>
      </w:r>
      <w:r w:rsidR="002041D4">
        <w:rPr>
          <w:noProof/>
          <w:lang w:eastAsia="ja-JP"/>
        </w:rPr>
        <w:t>いる。</w:t>
      </w:r>
      <w:r>
        <w:rPr>
          <w:noProof/>
          <w:lang w:eastAsia="ja-JP"/>
        </w:rPr>
        <w:t xml:space="preserve">  </w:t>
      </w:r>
    </w:p>
    <w:p w14:paraId="09768D0B" w14:textId="6044525A" w:rsidR="0038775E" w:rsidRDefault="00877B9C" w:rsidP="002041D4">
      <w:pPr>
        <w:wordWrap w:val="0"/>
        <w:rPr>
          <w:noProof/>
          <w:lang w:eastAsia="ja-JP"/>
        </w:rPr>
      </w:pPr>
      <w:r w:rsidRPr="23DF1179">
        <w:rPr>
          <w:i/>
          <w:iCs/>
          <w:noProof/>
          <w:lang w:eastAsia="ja-JP"/>
        </w:rPr>
        <w:t>第</w:t>
      </w:r>
      <w:r w:rsidRPr="23DF1179">
        <w:rPr>
          <w:i/>
          <w:iCs/>
          <w:noProof/>
          <w:lang w:eastAsia="ja-JP"/>
        </w:rPr>
        <w:t>57</w:t>
      </w:r>
      <w:r w:rsidRPr="23DF1179">
        <w:rPr>
          <w:i/>
          <w:iCs/>
          <w:noProof/>
          <w:lang w:eastAsia="ja-JP"/>
        </w:rPr>
        <w:t>条は、加盟</w:t>
      </w:r>
      <w:r>
        <w:rPr>
          <w:noProof/>
          <w:lang w:eastAsia="ja-JP"/>
        </w:rPr>
        <w:t>国が製品に報いるためのインセンティブを採用する場合、それらのインセンティブは、原則として、最も高い</w:t>
      </w:r>
      <w:r>
        <w:rPr>
          <w:noProof/>
          <w:lang w:eastAsia="ja-JP"/>
        </w:rPr>
        <w:t>2</w:t>
      </w:r>
      <w:r>
        <w:rPr>
          <w:noProof/>
          <w:lang w:eastAsia="ja-JP"/>
        </w:rPr>
        <w:t>つの性能クラス、または</w:t>
      </w:r>
      <w:r>
        <w:rPr>
          <w:noProof/>
          <w:lang w:eastAsia="ja-JP"/>
        </w:rPr>
        <w:t>EU</w:t>
      </w:r>
      <w:r>
        <w:rPr>
          <w:noProof/>
          <w:lang w:eastAsia="ja-JP"/>
        </w:rPr>
        <w:t>エコラベルが貼付された製品を対象とすべきであると規定している。性能クラスが設定</w:t>
      </w:r>
      <w:r>
        <w:rPr>
          <w:noProof/>
          <w:lang w:eastAsia="ja-JP"/>
        </w:rPr>
        <w:t>されていない場合、または性能クラスが複数の製品パラメータに基づいている場合、欧州委員会は、加盟国のインセンティブがどのように機能しなければならないかを委任法でさらに規定することがで</w:t>
      </w:r>
      <w:r w:rsidR="002041D4">
        <w:rPr>
          <w:noProof/>
          <w:lang w:eastAsia="ja-JP"/>
        </w:rPr>
        <w:t>く</w:t>
      </w:r>
      <w:r>
        <w:rPr>
          <w:noProof/>
          <w:lang w:eastAsia="ja-JP"/>
        </w:rPr>
        <w:t>。</w:t>
      </w:r>
      <w:r>
        <w:rPr>
          <w:noProof/>
          <w:lang w:eastAsia="ja-JP"/>
        </w:rPr>
        <w:t xml:space="preserve"> </w:t>
      </w:r>
    </w:p>
    <w:p w14:paraId="240D9F10" w14:textId="71DFEEBD" w:rsidR="0038775E" w:rsidRDefault="00CD6A37" w:rsidP="002041D4">
      <w:pPr>
        <w:wordWrap w:val="0"/>
        <w:rPr>
          <w:noProof/>
          <w:lang w:eastAsia="ja-JP"/>
        </w:rPr>
      </w:pPr>
      <w:r w:rsidRPr="00DF5C23">
        <w:rPr>
          <w:i/>
          <w:noProof/>
          <w:lang w:eastAsia="ja-JP"/>
        </w:rPr>
        <w:t>第</w:t>
      </w:r>
      <w:r w:rsidRPr="00DF5C23">
        <w:rPr>
          <w:i/>
          <w:noProof/>
          <w:lang w:eastAsia="ja-JP"/>
        </w:rPr>
        <w:t>58</w:t>
      </w:r>
      <w:r w:rsidR="00877B9C" w:rsidRPr="00DF5C23">
        <w:rPr>
          <w:i/>
          <w:noProof/>
          <w:lang w:eastAsia="ja-JP"/>
        </w:rPr>
        <w:t>条は</w:t>
      </w:r>
      <w:r w:rsidR="00877B9C" w:rsidRPr="00DF5C23">
        <w:rPr>
          <w:noProof/>
          <w:lang w:eastAsia="ja-JP"/>
        </w:rPr>
        <w:t>、グリーン公共調達に関するもので、より具体的には、本規則に従って採択された委任法が、本規則の付属書に記載された</w:t>
      </w:r>
      <w:r w:rsidR="00214C38" w:rsidRPr="00DF5C23">
        <w:rPr>
          <w:noProof/>
          <w:lang w:eastAsia="ja-JP"/>
        </w:rPr>
        <w:t>製品</w:t>
      </w:r>
      <w:r w:rsidR="00877B9C" w:rsidRPr="00DF5C23">
        <w:rPr>
          <w:noProof/>
          <w:lang w:eastAsia="ja-JP"/>
        </w:rPr>
        <w:t>パラメータに基づき、公共契約に適用される要件（</w:t>
      </w:r>
      <w:r w:rsidR="00877B9C" w:rsidRPr="00DF5C23">
        <w:rPr>
          <w:noProof/>
          <w:lang w:val="en-IE" w:eastAsia="fr-BE"/>
        </w:rPr>
        <w:t>技術仕様、選定基準、授与基準など）を</w:t>
      </w:r>
      <w:r w:rsidR="00877B9C" w:rsidRPr="00DF5C23">
        <w:rPr>
          <w:noProof/>
          <w:lang w:eastAsia="ja-JP"/>
        </w:rPr>
        <w:t>定める可能性について述べて</w:t>
      </w:r>
      <w:r w:rsidR="002041D4">
        <w:rPr>
          <w:noProof/>
          <w:lang w:eastAsia="ja-JP"/>
        </w:rPr>
        <w:t>いる。</w:t>
      </w:r>
      <w:r w:rsidR="00877B9C" w:rsidRPr="00DF5C23">
        <w:rPr>
          <w:noProof/>
          <w:lang w:eastAsia="ja-JP"/>
        </w:rPr>
        <w:t xml:space="preserve"> </w:t>
      </w:r>
    </w:p>
    <w:p w14:paraId="399BF58F" w14:textId="66D96F91" w:rsidR="0038775E" w:rsidRDefault="00877B9C" w:rsidP="002041D4">
      <w:pPr>
        <w:wordWrap w:val="0"/>
        <w:rPr>
          <w:noProof/>
          <w:lang w:eastAsia="ja-JP"/>
        </w:rPr>
      </w:pPr>
      <w:r w:rsidRPr="23DF1179">
        <w:rPr>
          <w:i/>
          <w:iCs/>
          <w:noProof/>
          <w:lang w:val="fr-BE" w:eastAsia="ja-JP"/>
        </w:rPr>
        <w:t>第</w:t>
      </w:r>
      <w:r w:rsidRPr="23DF1179">
        <w:rPr>
          <w:i/>
          <w:iCs/>
          <w:noProof/>
          <w:lang w:val="fr-BE" w:eastAsia="ja-JP"/>
        </w:rPr>
        <w:t xml:space="preserve"> XI </w:t>
      </w:r>
      <w:r w:rsidRPr="23DF1179">
        <w:rPr>
          <w:i/>
          <w:iCs/>
          <w:noProof/>
          <w:lang w:val="fr-BE" w:eastAsia="ja-JP"/>
        </w:rPr>
        <w:t>章は、</w:t>
      </w:r>
      <w:r w:rsidRPr="23DF1179">
        <w:rPr>
          <w:noProof/>
          <w:lang w:val="fr-BE" w:eastAsia="ja-JP"/>
        </w:rPr>
        <w:t>市場サーベイランスに関するものである。</w:t>
      </w:r>
      <w:r>
        <w:rPr>
          <w:noProof/>
          <w:lang w:eastAsia="ja-JP"/>
        </w:rPr>
        <w:t>一般的に市場監視規則（</w:t>
      </w:r>
      <w:r>
        <w:rPr>
          <w:noProof/>
          <w:lang w:eastAsia="ja-JP"/>
        </w:rPr>
        <w:t>EU</w:t>
      </w:r>
      <w:r>
        <w:rPr>
          <w:noProof/>
          <w:lang w:eastAsia="ja-JP"/>
        </w:rPr>
        <w:t>）</w:t>
      </w:r>
      <w:r>
        <w:rPr>
          <w:noProof/>
          <w:lang w:eastAsia="ja-JP"/>
        </w:rPr>
        <w:t>2019/1020</w:t>
      </w:r>
      <w:r>
        <w:rPr>
          <w:noProof/>
          <w:lang w:eastAsia="ja-JP"/>
        </w:rPr>
        <w:t>の下で存在する義務を基礎としつつ、本規則に関連する場合、より具体的な義務をいくつか規定して</w:t>
      </w:r>
      <w:r w:rsidR="002041D4">
        <w:rPr>
          <w:noProof/>
          <w:lang w:eastAsia="ja-JP"/>
        </w:rPr>
        <w:t>いる。</w:t>
      </w:r>
      <w:r>
        <w:rPr>
          <w:noProof/>
          <w:lang w:eastAsia="ja-JP"/>
        </w:rPr>
        <w:t xml:space="preserve"> </w:t>
      </w:r>
    </w:p>
    <w:p w14:paraId="2F2840EC" w14:textId="357834E8" w:rsidR="0038775E" w:rsidRDefault="00CD6A37" w:rsidP="002041D4">
      <w:pPr>
        <w:wordWrap w:val="0"/>
        <w:rPr>
          <w:noProof/>
          <w:lang w:eastAsia="fr-BE"/>
        </w:rPr>
      </w:pPr>
      <w:r w:rsidRPr="00DF5C23">
        <w:rPr>
          <w:i/>
          <w:noProof/>
          <w:lang w:eastAsia="ja-JP"/>
        </w:rPr>
        <w:t>第</w:t>
      </w:r>
      <w:r w:rsidRPr="00DF5C23">
        <w:rPr>
          <w:i/>
          <w:noProof/>
          <w:lang w:eastAsia="ja-JP"/>
        </w:rPr>
        <w:t>59</w:t>
      </w:r>
      <w:r w:rsidR="00877B9C" w:rsidRPr="00DF5C23">
        <w:rPr>
          <w:i/>
          <w:noProof/>
          <w:lang w:eastAsia="ja-JP"/>
        </w:rPr>
        <w:t>条では</w:t>
      </w:r>
      <w:r w:rsidR="00877B9C" w:rsidRPr="00DF5C23">
        <w:rPr>
          <w:noProof/>
          <w:lang w:eastAsia="ja-JP"/>
        </w:rPr>
        <w:t>、加盟国に対し、市場監視活動のための行動計画を策定することを求めて</w:t>
      </w:r>
      <w:r w:rsidR="002041D4">
        <w:rPr>
          <w:noProof/>
          <w:lang w:eastAsia="ja-JP"/>
        </w:rPr>
        <w:t>いる。</w:t>
      </w:r>
      <w:r w:rsidR="00877B9C" w:rsidRPr="00DF5C23">
        <w:rPr>
          <w:noProof/>
          <w:lang w:eastAsia="ja-JP"/>
        </w:rPr>
        <w:t>この計画には、同条に定められたいくつかの基準に基づいて特定される「市場監視の優先順位」と、</w:t>
      </w:r>
      <w:r w:rsidR="00877B9C" w:rsidRPr="00DF5C23">
        <w:rPr>
          <w:noProof/>
          <w:lang w:eastAsia="fr-BE"/>
        </w:rPr>
        <w:t>計画されているチェックの性質と数が</w:t>
      </w:r>
      <w:r w:rsidR="00877B9C" w:rsidRPr="00DF5C23">
        <w:rPr>
          <w:noProof/>
          <w:lang w:eastAsia="ja-JP"/>
        </w:rPr>
        <w:t>含まれていなければ</w:t>
      </w:r>
      <w:r w:rsidR="002041D4">
        <w:rPr>
          <w:noProof/>
          <w:lang w:eastAsia="ja-JP"/>
        </w:rPr>
        <w:t>ならない</w:t>
      </w:r>
      <w:r w:rsidR="00877B9C" w:rsidRPr="00DF5C23">
        <w:rPr>
          <w:noProof/>
          <w:lang w:eastAsia="ja-JP"/>
        </w:rPr>
        <w:t>。</w:t>
      </w:r>
      <w:r w:rsidR="00877B9C" w:rsidRPr="00DF5C23">
        <w:rPr>
          <w:noProof/>
          <w:lang w:eastAsia="ja-JP"/>
        </w:rPr>
        <w:t xml:space="preserve"> </w:t>
      </w:r>
    </w:p>
    <w:p w14:paraId="364F6CA3" w14:textId="77777777" w:rsidR="0038775E" w:rsidRDefault="00CD6A37" w:rsidP="002041D4">
      <w:pPr>
        <w:wordWrap w:val="0"/>
        <w:rPr>
          <w:noProof/>
          <w:lang w:eastAsia="fr-BE"/>
        </w:rPr>
      </w:pPr>
      <w:r w:rsidRPr="00DF5C23">
        <w:rPr>
          <w:i/>
          <w:noProof/>
          <w:lang w:eastAsia="fr-BE"/>
        </w:rPr>
        <w:lastRenderedPageBreak/>
        <w:t>第</w:t>
      </w:r>
      <w:r w:rsidRPr="00DF5C23">
        <w:rPr>
          <w:i/>
          <w:noProof/>
          <w:lang w:eastAsia="fr-BE"/>
        </w:rPr>
        <w:t>60</w:t>
      </w:r>
      <w:r w:rsidR="00877B9C" w:rsidRPr="00DF5C23">
        <w:rPr>
          <w:i/>
          <w:noProof/>
          <w:lang w:eastAsia="fr-BE"/>
        </w:rPr>
        <w:t>条は、</w:t>
      </w:r>
      <w:r w:rsidR="00E70B9D" w:rsidRPr="00DF5C23">
        <w:rPr>
          <w:noProof/>
          <w:lang w:eastAsia="fr-BE"/>
        </w:rPr>
        <w:t>欧州委員会に対し、特定の製品について実施すべき最小限の検査回数を定めた委任法を採択する</w:t>
      </w:r>
      <w:r w:rsidR="00877B9C" w:rsidRPr="00DF5C23">
        <w:rPr>
          <w:noProof/>
          <w:lang w:eastAsia="fr-BE"/>
        </w:rPr>
        <w:t>権限を与えている。</w:t>
      </w:r>
      <w:r w:rsidR="00877B9C" w:rsidRPr="00DF5C23">
        <w:rPr>
          <w:noProof/>
          <w:lang w:eastAsia="fr-BE"/>
        </w:rPr>
        <w:t xml:space="preserve"> </w:t>
      </w:r>
    </w:p>
    <w:p w14:paraId="200766F5" w14:textId="77777777" w:rsidR="0038775E" w:rsidRDefault="00CD6A37" w:rsidP="002041D4">
      <w:pPr>
        <w:wordWrap w:val="0"/>
        <w:rPr>
          <w:noProof/>
          <w:lang w:val="en-IE" w:eastAsia="fr-BE"/>
        </w:rPr>
      </w:pPr>
      <w:r w:rsidRPr="00DF5C23">
        <w:rPr>
          <w:i/>
          <w:noProof/>
          <w:lang w:eastAsia="fr-BE"/>
        </w:rPr>
        <w:t>第</w:t>
      </w:r>
      <w:r w:rsidRPr="00DF5C23">
        <w:rPr>
          <w:i/>
          <w:noProof/>
          <w:lang w:eastAsia="fr-BE"/>
        </w:rPr>
        <w:t>61</w:t>
      </w:r>
      <w:r w:rsidR="00877B9C" w:rsidRPr="00DF5C23">
        <w:rPr>
          <w:i/>
          <w:noProof/>
          <w:lang w:eastAsia="fr-BE"/>
        </w:rPr>
        <w:t>条では、</w:t>
      </w:r>
      <w:r w:rsidR="00877B9C" w:rsidRPr="00DF5C23">
        <w:rPr>
          <w:noProof/>
          <w:lang w:val="en-IE" w:eastAsia="fr-BE"/>
        </w:rPr>
        <w:t>市場監視規則（</w:t>
      </w:r>
      <w:r w:rsidR="00877B9C" w:rsidRPr="00DF5C23">
        <w:rPr>
          <w:noProof/>
          <w:lang w:val="en-IE" w:eastAsia="fr-BE"/>
        </w:rPr>
        <w:t>ICSMS</w:t>
      </w:r>
      <w:r w:rsidR="00877B9C" w:rsidRPr="00DF5C23">
        <w:rPr>
          <w:noProof/>
          <w:lang w:val="en-IE" w:eastAsia="fr-BE"/>
        </w:rPr>
        <w:t>）に基づく情報通信システムに</w:t>
      </w:r>
      <w:r w:rsidR="00877B9C" w:rsidRPr="00DF5C23">
        <w:rPr>
          <w:noProof/>
          <w:lang w:eastAsia="fr-BE"/>
        </w:rPr>
        <w:t>言及</w:t>
      </w:r>
      <w:r w:rsidR="00877B9C" w:rsidRPr="00DF5C23">
        <w:rPr>
          <w:noProof/>
          <w:lang w:val="en-IE" w:eastAsia="fr-BE"/>
        </w:rPr>
        <w:t>し、加盟国に対し、本規則に基づき科される罰則に関する情報の入力を求めている。これに基づき、欧州委員会は、</w:t>
      </w:r>
      <w:r w:rsidR="00877B9C" w:rsidRPr="00DF5C23">
        <w:rPr>
          <w:noProof/>
          <w:lang w:eastAsia="fr-BE"/>
        </w:rPr>
        <w:t>検査の頻度、科される罰則の性質と厳し</w:t>
      </w:r>
      <w:r w:rsidR="00877B9C" w:rsidRPr="00DF5C23">
        <w:rPr>
          <w:noProof/>
          <w:lang w:val="en-IE" w:eastAsia="fr-BE"/>
        </w:rPr>
        <w:t>さに関する指標となるベンチマークを含む報告書を採択することが求められている。</w:t>
      </w:r>
    </w:p>
    <w:p w14:paraId="57059241" w14:textId="625B7AC3" w:rsidR="0038775E" w:rsidRDefault="00CD6A37" w:rsidP="002041D4">
      <w:pPr>
        <w:wordWrap w:val="0"/>
        <w:rPr>
          <w:noProof/>
          <w:lang w:val="en-IE" w:eastAsia="fr-BE"/>
        </w:rPr>
      </w:pPr>
      <w:r w:rsidRPr="00DF5C23">
        <w:rPr>
          <w:i/>
          <w:noProof/>
          <w:lang w:val="en-IE" w:eastAsia="fr-BE"/>
        </w:rPr>
        <w:t>第</w:t>
      </w:r>
      <w:r w:rsidRPr="00DF5C23">
        <w:rPr>
          <w:i/>
          <w:noProof/>
          <w:lang w:val="en-IE" w:eastAsia="fr-BE"/>
        </w:rPr>
        <w:t>62</w:t>
      </w:r>
      <w:r w:rsidR="00877B9C" w:rsidRPr="00DF5C23">
        <w:rPr>
          <w:i/>
          <w:noProof/>
          <w:lang w:val="en-IE" w:eastAsia="fr-BE"/>
        </w:rPr>
        <w:t>条は、</w:t>
      </w:r>
      <w:r w:rsidR="00877B9C" w:rsidRPr="00DF5C23">
        <w:rPr>
          <w:noProof/>
          <w:lang w:val="en-IE" w:eastAsia="fr-BE"/>
        </w:rPr>
        <w:t>市場監視規則に従って設置された行政協力グループ（</w:t>
      </w:r>
      <w:r w:rsidR="00877B9C" w:rsidRPr="00DF5C23">
        <w:rPr>
          <w:noProof/>
          <w:lang w:val="en-IE" w:eastAsia="fr-BE"/>
        </w:rPr>
        <w:t>'ADCO'</w:t>
      </w:r>
      <w:r w:rsidR="00877B9C" w:rsidRPr="00DF5C23">
        <w:rPr>
          <w:noProof/>
          <w:lang w:val="en-IE" w:eastAsia="fr-BE"/>
        </w:rPr>
        <w:t>）に言及し、</w:t>
      </w:r>
      <w:r w:rsidR="006C7D06" w:rsidRPr="00DF5C23">
        <w:rPr>
          <w:noProof/>
          <w:lang w:eastAsia="fr-BE"/>
        </w:rPr>
        <w:t>本規則の</w:t>
      </w:r>
      <w:r w:rsidR="00877B9C" w:rsidRPr="00DF5C23">
        <w:rPr>
          <w:noProof/>
          <w:lang w:val="en-IE" w:eastAsia="fr-BE"/>
        </w:rPr>
        <w:t>文脈におけるその役割を定めている。</w:t>
      </w:r>
      <w:r w:rsidR="006C7D06" w:rsidRPr="00DF5C23">
        <w:rPr>
          <w:noProof/>
          <w:lang w:eastAsia="fr-BE"/>
        </w:rPr>
        <w:t>この役割には、</w:t>
      </w:r>
      <w:r w:rsidR="00877B9C" w:rsidRPr="00DF5C23">
        <w:rPr>
          <w:noProof/>
          <w:lang w:val="en-IE" w:eastAsia="fr-BE"/>
        </w:rPr>
        <w:t>加盟国の行動計画における共通の優先事項や、欧州連合の支援の優先事項（共同市場監視およ</w:t>
      </w:r>
      <w:r w:rsidR="00877B9C" w:rsidRPr="00DF5C23">
        <w:rPr>
          <w:noProof/>
          <w:lang w:val="en-IE" w:eastAsia="fr-BE"/>
        </w:rPr>
        <w:t>び試験プロジェクト、機器や</w:t>
      </w:r>
      <w:r w:rsidR="00877B9C" w:rsidRPr="00DF5C23">
        <w:rPr>
          <w:noProof/>
          <w:lang w:val="en-IE" w:eastAsia="fr-BE"/>
        </w:rPr>
        <w:t>IT</w:t>
      </w:r>
      <w:r w:rsidR="00877B9C" w:rsidRPr="00DF5C23">
        <w:rPr>
          <w:noProof/>
          <w:lang w:val="en-IE" w:eastAsia="fr-BE"/>
        </w:rPr>
        <w:t>ツールを含む市場監視能力への共同投資、共通の</w:t>
      </w:r>
      <w:r w:rsidR="006C7D06" w:rsidRPr="00DF5C23">
        <w:rPr>
          <w:noProof/>
          <w:lang w:eastAsia="fr-BE"/>
        </w:rPr>
        <w:t>研修会</w:t>
      </w:r>
      <w:r w:rsidR="00877B9C" w:rsidRPr="00DF5C23">
        <w:rPr>
          <w:noProof/>
          <w:lang w:val="en-IE" w:eastAsia="fr-BE"/>
        </w:rPr>
        <w:t>、ガイドラインなど）の特定が</w:t>
      </w:r>
      <w:r w:rsidR="006C7D06" w:rsidRPr="00DF5C23">
        <w:rPr>
          <w:noProof/>
          <w:lang w:eastAsia="fr-BE"/>
        </w:rPr>
        <w:t>含ま</w:t>
      </w:r>
      <w:r w:rsidR="002041D4">
        <w:rPr>
          <w:noProof/>
          <w:lang w:eastAsia="fr-BE"/>
        </w:rPr>
        <w:t>れる</w:t>
      </w:r>
      <w:r w:rsidR="006C7D06" w:rsidRPr="00DF5C23">
        <w:rPr>
          <w:noProof/>
          <w:lang w:eastAsia="fr-BE"/>
        </w:rPr>
        <w:t>。</w:t>
      </w:r>
      <w:r w:rsidR="006C7D06" w:rsidRPr="00DF5C23">
        <w:rPr>
          <w:noProof/>
          <w:lang w:eastAsia="fr-BE"/>
        </w:rPr>
        <w:t xml:space="preserve"> </w:t>
      </w:r>
    </w:p>
    <w:p w14:paraId="0BC8ABDF" w14:textId="77777777" w:rsidR="0038775E" w:rsidRDefault="00877B9C" w:rsidP="002041D4">
      <w:pPr>
        <w:wordWrap w:val="0"/>
        <w:rPr>
          <w:noProof/>
          <w:lang w:val="en-IE" w:eastAsia="fr-BE"/>
        </w:rPr>
      </w:pPr>
      <w:r w:rsidRPr="00DF5C23">
        <w:rPr>
          <w:i/>
          <w:noProof/>
          <w:lang w:val="en-IE" w:eastAsia="fr-BE"/>
        </w:rPr>
        <w:t>第</w:t>
      </w:r>
      <w:r w:rsidRPr="00DF5C23">
        <w:rPr>
          <w:i/>
          <w:noProof/>
          <w:lang w:val="en-IE" w:eastAsia="fr-BE"/>
        </w:rPr>
        <w:t>XII</w:t>
      </w:r>
      <w:r w:rsidRPr="00DF5C23">
        <w:rPr>
          <w:i/>
          <w:noProof/>
          <w:lang w:val="en-IE" w:eastAsia="fr-BE"/>
        </w:rPr>
        <w:t>章は</w:t>
      </w:r>
      <w:r w:rsidRPr="00DF5C23">
        <w:rPr>
          <w:noProof/>
          <w:lang w:val="en-IE" w:eastAsia="fr-BE"/>
        </w:rPr>
        <w:t>，セーフガード手続に関するもので，標準的な規定に基づくものである。</w:t>
      </w:r>
      <w:r w:rsidR="001B7A95" w:rsidRPr="00DF5C23">
        <w:rPr>
          <w:i/>
          <w:noProof/>
          <w:lang w:val="en-IE" w:eastAsia="fr-BE"/>
        </w:rPr>
        <w:t>第</w:t>
      </w:r>
      <w:r w:rsidR="001B7A95" w:rsidRPr="00DF5C23">
        <w:rPr>
          <w:i/>
          <w:noProof/>
          <w:lang w:val="en-IE" w:eastAsia="fr-BE"/>
        </w:rPr>
        <w:t>61</w:t>
      </w:r>
      <w:r w:rsidR="001B7A95" w:rsidRPr="00DF5C23">
        <w:rPr>
          <w:i/>
          <w:noProof/>
          <w:lang w:val="en-IE" w:eastAsia="fr-BE"/>
        </w:rPr>
        <w:t>条は，</w:t>
      </w:r>
      <w:r w:rsidRPr="00DF5C23">
        <w:rPr>
          <w:noProof/>
          <w:lang w:val="en-IE" w:eastAsia="fr-BE"/>
        </w:rPr>
        <w:t>国内市場監視当局が製品にリスクがあると判断した場合に従うべき手続を定めている。</w:t>
      </w:r>
      <w:r w:rsidR="006C7D06" w:rsidRPr="00DF5C23">
        <w:rPr>
          <w:noProof/>
          <w:lang w:eastAsia="fr-BE"/>
        </w:rPr>
        <w:t>この場合，国内市場監視当局は，他の市場監視当局に，取られた措置（製品の入手の禁止又は制限，撤回又は回収）を通知する手続を開始しなければならない。</w:t>
      </w:r>
    </w:p>
    <w:p w14:paraId="2C763ED6" w14:textId="77777777" w:rsidR="0038775E" w:rsidRDefault="00CD6A37" w:rsidP="002041D4">
      <w:pPr>
        <w:wordWrap w:val="0"/>
        <w:rPr>
          <w:noProof/>
          <w:lang w:val="en-IE" w:eastAsia="fr-BE"/>
        </w:rPr>
      </w:pPr>
      <w:r w:rsidRPr="00DF5C23">
        <w:rPr>
          <w:i/>
          <w:noProof/>
          <w:lang w:val="en-IE" w:eastAsia="fr-BE"/>
        </w:rPr>
        <w:t>第</w:t>
      </w:r>
      <w:r w:rsidRPr="00DF5C23">
        <w:rPr>
          <w:i/>
          <w:noProof/>
          <w:lang w:val="en-IE" w:eastAsia="fr-BE"/>
        </w:rPr>
        <w:t>64</w:t>
      </w:r>
      <w:r w:rsidR="00877B9C" w:rsidRPr="00DF5C23">
        <w:rPr>
          <w:i/>
          <w:noProof/>
          <w:lang w:val="en-IE" w:eastAsia="fr-BE"/>
        </w:rPr>
        <w:t>条は、</w:t>
      </w:r>
      <w:r w:rsidR="00877B9C" w:rsidRPr="00DF5C23">
        <w:rPr>
          <w:noProof/>
          <w:lang w:val="en-IE" w:eastAsia="fr-BE"/>
        </w:rPr>
        <w:t>加盟国または欧州委員会が、</w:t>
      </w:r>
      <w:r w:rsidRPr="00DF5C23">
        <w:rPr>
          <w:i/>
          <w:noProof/>
          <w:lang w:val="en-IE" w:eastAsia="fr-BE"/>
        </w:rPr>
        <w:t>第</w:t>
      </w:r>
      <w:r w:rsidRPr="00DF5C23">
        <w:rPr>
          <w:i/>
          <w:noProof/>
          <w:lang w:val="en-IE" w:eastAsia="fr-BE"/>
        </w:rPr>
        <w:t>63</w:t>
      </w:r>
      <w:r w:rsidRPr="00DF5C23">
        <w:rPr>
          <w:i/>
          <w:noProof/>
          <w:lang w:val="en-IE" w:eastAsia="fr-BE"/>
        </w:rPr>
        <w:t>条に規定された</w:t>
      </w:r>
      <w:r w:rsidR="00877B9C" w:rsidRPr="00DF5C23">
        <w:rPr>
          <w:noProof/>
          <w:lang w:val="en-IE" w:eastAsia="fr-BE"/>
        </w:rPr>
        <w:t>セーフガード手続きに基づいて国内レベルで行われた措置に同意しない場合に使用される連邦セーフガード手続きを定</w:t>
      </w:r>
      <w:r w:rsidRPr="00DF5C23">
        <w:rPr>
          <w:noProof/>
          <w:lang w:val="en-IE" w:eastAsia="fr-BE"/>
        </w:rPr>
        <w:t>めている</w:t>
      </w:r>
      <w:r w:rsidR="00877B9C" w:rsidRPr="00DF5C23">
        <w:rPr>
          <w:noProof/>
          <w:lang w:val="en-IE" w:eastAsia="fr-BE"/>
        </w:rPr>
        <w:t>。協議の結果、欧州委員会は、当該措置が正当化されるか否かを決定する実施法を採択</w:t>
      </w:r>
      <w:r w:rsidR="006C7D06" w:rsidRPr="00DF5C23">
        <w:rPr>
          <w:noProof/>
          <w:lang w:val="en-IE" w:eastAsia="fr-BE"/>
        </w:rPr>
        <w:t>する。</w:t>
      </w:r>
      <w:r w:rsidR="00877B9C" w:rsidRPr="00DF5C23">
        <w:rPr>
          <w:noProof/>
          <w:lang w:val="en-IE" w:eastAsia="fr-BE"/>
        </w:rPr>
        <w:t>採択されると、すべての加盟国は、非適合製品が市場から撤去されることを保証しなければならない。</w:t>
      </w:r>
      <w:r w:rsidR="00877B9C" w:rsidRPr="00DF5C23">
        <w:rPr>
          <w:noProof/>
          <w:lang w:val="en-IE" w:eastAsia="fr-BE"/>
        </w:rPr>
        <w:t xml:space="preserve"> </w:t>
      </w:r>
    </w:p>
    <w:p w14:paraId="4F5573C1" w14:textId="77777777" w:rsidR="0038775E" w:rsidRDefault="00CD6A37" w:rsidP="002041D4">
      <w:pPr>
        <w:wordWrap w:val="0"/>
        <w:rPr>
          <w:noProof/>
          <w:lang w:eastAsia="ja-JP"/>
        </w:rPr>
      </w:pPr>
      <w:r w:rsidRPr="00DF5C23">
        <w:rPr>
          <w:i/>
          <w:noProof/>
          <w:lang w:val="en-IE" w:eastAsia="fr-BE"/>
        </w:rPr>
        <w:t>第</w:t>
      </w:r>
      <w:r w:rsidRPr="00DF5C23">
        <w:rPr>
          <w:i/>
          <w:noProof/>
          <w:lang w:val="en-IE" w:eastAsia="fr-BE"/>
        </w:rPr>
        <w:t>65</w:t>
      </w:r>
      <w:r w:rsidR="00877B9C" w:rsidRPr="00DF5C23">
        <w:rPr>
          <w:i/>
          <w:noProof/>
          <w:lang w:val="en-IE" w:eastAsia="fr-BE"/>
        </w:rPr>
        <w:t>条は、</w:t>
      </w:r>
      <w:r w:rsidR="006C7D06" w:rsidRPr="00DF5C23">
        <w:rPr>
          <w:noProof/>
          <w:lang w:eastAsia="fr-BE"/>
        </w:rPr>
        <w:t>非遵守の事例が形式的な義務（</w:t>
      </w:r>
      <w:r w:rsidR="006C7D06" w:rsidRPr="00DF5C23">
        <w:rPr>
          <w:noProof/>
          <w:lang w:eastAsia="fr-BE"/>
        </w:rPr>
        <w:t>CE</w:t>
      </w:r>
      <w:r w:rsidR="006C7D06" w:rsidRPr="00DF5C23">
        <w:rPr>
          <w:noProof/>
          <w:lang w:eastAsia="fr-BE"/>
        </w:rPr>
        <w:t>マーキングの貼付、</w:t>
      </w:r>
      <w:r w:rsidR="006C7D06" w:rsidRPr="00DF5C23">
        <w:rPr>
          <w:noProof/>
          <w:lang w:eastAsia="fr-BE"/>
        </w:rPr>
        <w:t>EU</w:t>
      </w:r>
      <w:r w:rsidR="006C7D06" w:rsidRPr="00DF5C23">
        <w:rPr>
          <w:noProof/>
          <w:lang w:eastAsia="fr-BE"/>
        </w:rPr>
        <w:t>適合宣言など）に関連する</w:t>
      </w:r>
      <w:r w:rsidR="00877B9C" w:rsidRPr="00DF5C23">
        <w:rPr>
          <w:noProof/>
          <w:lang w:val="en-IE" w:eastAsia="fr-BE"/>
        </w:rPr>
        <w:t>場合について特に言及している。</w:t>
      </w:r>
      <w:r w:rsidR="00877B9C" w:rsidRPr="00DF5C23">
        <w:rPr>
          <w:noProof/>
          <w:lang w:val="en-IE" w:eastAsia="fr-BE"/>
        </w:rPr>
        <w:t xml:space="preserve">  </w:t>
      </w:r>
    </w:p>
    <w:p w14:paraId="1C468F0E" w14:textId="27D474BE" w:rsidR="0038775E" w:rsidRDefault="00877B9C" w:rsidP="002041D4">
      <w:pPr>
        <w:wordWrap w:val="0"/>
        <w:rPr>
          <w:noProof/>
          <w:lang w:eastAsia="ja-JP"/>
        </w:rPr>
      </w:pPr>
      <w:r w:rsidRPr="00DF5C23">
        <w:rPr>
          <w:i/>
          <w:noProof/>
          <w:lang w:eastAsia="ja-JP"/>
        </w:rPr>
        <w:t>第</w:t>
      </w:r>
      <w:r w:rsidRPr="00DF5C23">
        <w:rPr>
          <w:i/>
          <w:noProof/>
          <w:lang w:eastAsia="ja-JP"/>
        </w:rPr>
        <w:t>XIII</w:t>
      </w:r>
      <w:r w:rsidRPr="00DF5C23">
        <w:rPr>
          <w:i/>
          <w:noProof/>
          <w:lang w:eastAsia="ja-JP"/>
        </w:rPr>
        <w:t>章は、</w:t>
      </w:r>
      <w:r w:rsidRPr="00DF5C23">
        <w:rPr>
          <w:noProof/>
          <w:lang w:eastAsia="ja-JP"/>
        </w:rPr>
        <w:t>委任行為に関する条文（</w:t>
      </w:r>
      <w:r w:rsidR="00CD6A37" w:rsidRPr="00DF5C23">
        <w:rPr>
          <w:i/>
          <w:noProof/>
          <w:lang w:eastAsia="ja-JP"/>
        </w:rPr>
        <w:t>第</w:t>
      </w:r>
      <w:r w:rsidR="00CD6A37" w:rsidRPr="00DF5C23">
        <w:rPr>
          <w:i/>
          <w:noProof/>
          <w:lang w:eastAsia="ja-JP"/>
        </w:rPr>
        <w:t>66</w:t>
      </w:r>
      <w:r w:rsidRPr="00DF5C23">
        <w:rPr>
          <w:i/>
          <w:noProof/>
          <w:lang w:eastAsia="ja-JP"/>
        </w:rPr>
        <w:t>条</w:t>
      </w:r>
      <w:r w:rsidR="009A606A" w:rsidRPr="00DF5C23">
        <w:rPr>
          <w:noProof/>
          <w:lang w:eastAsia="ja-JP"/>
        </w:rPr>
        <w:t>）と</w:t>
      </w:r>
      <w:r w:rsidRPr="00DF5C23">
        <w:rPr>
          <w:noProof/>
          <w:lang w:eastAsia="ja-JP"/>
        </w:rPr>
        <w:t>実施行為に関する条文（</w:t>
      </w:r>
      <w:r w:rsidR="00CD6A37" w:rsidRPr="00DF5C23">
        <w:rPr>
          <w:i/>
          <w:noProof/>
          <w:lang w:eastAsia="ja-JP"/>
        </w:rPr>
        <w:t>第</w:t>
      </w:r>
      <w:r w:rsidR="00CD6A37" w:rsidRPr="00DF5C23">
        <w:rPr>
          <w:i/>
          <w:noProof/>
          <w:lang w:eastAsia="ja-JP"/>
        </w:rPr>
        <w:t>67</w:t>
      </w:r>
      <w:r w:rsidR="00CD6A37" w:rsidRPr="00DF5C23">
        <w:rPr>
          <w:i/>
          <w:noProof/>
          <w:lang w:eastAsia="ja-JP"/>
        </w:rPr>
        <w:t>条）を</w:t>
      </w:r>
      <w:r w:rsidRPr="00DF5C23">
        <w:rPr>
          <w:noProof/>
          <w:lang w:eastAsia="ja-JP"/>
        </w:rPr>
        <w:t>含む標準的な章</w:t>
      </w:r>
      <w:r w:rsidR="002041D4">
        <w:rPr>
          <w:noProof/>
          <w:lang w:eastAsia="ja-JP"/>
        </w:rPr>
        <w:t>である</w:t>
      </w:r>
      <w:r w:rsidRPr="00DF5C23">
        <w:rPr>
          <w:noProof/>
          <w:lang w:eastAsia="ja-JP"/>
        </w:rPr>
        <w:t>。</w:t>
      </w:r>
    </w:p>
    <w:p w14:paraId="59EABAB1" w14:textId="77777777" w:rsidR="0038775E" w:rsidRDefault="00877B9C" w:rsidP="002041D4">
      <w:pPr>
        <w:wordWrap w:val="0"/>
        <w:rPr>
          <w:noProof/>
          <w:lang w:eastAsia="ja-JP"/>
        </w:rPr>
      </w:pPr>
      <w:r w:rsidRPr="23DF1179">
        <w:rPr>
          <w:i/>
          <w:iCs/>
          <w:noProof/>
          <w:lang w:eastAsia="ja-JP"/>
        </w:rPr>
        <w:t>第十四章は</w:t>
      </w:r>
      <w:r>
        <w:rPr>
          <w:noProof/>
          <w:lang w:eastAsia="ja-JP"/>
        </w:rPr>
        <w:t>最終規定に関する標準的な章であり、罰則（</w:t>
      </w:r>
      <w:r w:rsidRPr="23DF1179">
        <w:rPr>
          <w:i/>
          <w:iCs/>
          <w:noProof/>
          <w:lang w:eastAsia="ja-JP"/>
        </w:rPr>
        <w:t>第</w:t>
      </w:r>
      <w:r w:rsidRPr="23DF1179">
        <w:rPr>
          <w:i/>
          <w:iCs/>
          <w:noProof/>
          <w:lang w:eastAsia="ja-JP"/>
        </w:rPr>
        <w:t>68</w:t>
      </w:r>
      <w:r w:rsidRPr="23DF1179">
        <w:rPr>
          <w:i/>
          <w:iCs/>
          <w:noProof/>
          <w:lang w:eastAsia="ja-JP"/>
        </w:rPr>
        <w:t>条</w:t>
      </w:r>
      <w:r>
        <w:rPr>
          <w:noProof/>
          <w:lang w:eastAsia="ja-JP"/>
        </w:rPr>
        <w:t>）、採択から</w:t>
      </w:r>
      <w:r>
        <w:rPr>
          <w:noProof/>
          <w:lang w:eastAsia="ja-JP"/>
        </w:rPr>
        <w:t>8</w:t>
      </w:r>
      <w:r>
        <w:rPr>
          <w:noProof/>
          <w:lang w:eastAsia="ja-JP"/>
        </w:rPr>
        <w:t>年後の規則評価の実施（</w:t>
      </w:r>
      <w:r w:rsidRPr="23DF1179">
        <w:rPr>
          <w:i/>
          <w:iCs/>
          <w:noProof/>
          <w:lang w:eastAsia="ja-JP"/>
        </w:rPr>
        <w:t>第</w:t>
      </w:r>
      <w:r w:rsidRPr="23DF1179">
        <w:rPr>
          <w:i/>
          <w:iCs/>
          <w:noProof/>
          <w:lang w:eastAsia="ja-JP"/>
        </w:rPr>
        <w:t>69</w:t>
      </w:r>
      <w:r w:rsidRPr="23DF1179">
        <w:rPr>
          <w:i/>
          <w:iCs/>
          <w:noProof/>
          <w:lang w:eastAsia="ja-JP"/>
        </w:rPr>
        <w:t>条）、</w:t>
      </w:r>
      <w:r>
        <w:rPr>
          <w:noProof/>
          <w:lang w:eastAsia="ja-JP"/>
        </w:rPr>
        <w:t>廃止および移行規定（</w:t>
      </w:r>
      <w:r w:rsidRPr="23DF1179">
        <w:rPr>
          <w:i/>
          <w:iCs/>
          <w:noProof/>
          <w:lang w:eastAsia="ja-JP"/>
        </w:rPr>
        <w:t>第</w:t>
      </w:r>
      <w:r w:rsidRPr="23DF1179">
        <w:rPr>
          <w:i/>
          <w:iCs/>
          <w:noProof/>
          <w:lang w:eastAsia="ja-JP"/>
        </w:rPr>
        <w:t>70</w:t>
      </w:r>
      <w:r w:rsidRPr="23DF1179">
        <w:rPr>
          <w:i/>
          <w:iCs/>
          <w:noProof/>
          <w:lang w:eastAsia="ja-JP"/>
        </w:rPr>
        <w:t>条</w:t>
      </w:r>
      <w:r>
        <w:rPr>
          <w:noProof/>
          <w:lang w:eastAsia="ja-JP"/>
        </w:rPr>
        <w:t>）に関する記事がある。注目すべきは、エコデザイン指令に基づいて採用された実施措置が、本規則に従って採択された委任法によって廃止されるまで適用され続けるという事実</w:t>
      </w:r>
      <w:r>
        <w:rPr>
          <w:noProof/>
          <w:lang w:eastAsia="ja-JP"/>
        </w:rPr>
        <w:t>である。</w:t>
      </w:r>
      <w:r>
        <w:rPr>
          <w:noProof/>
          <w:lang w:eastAsia="ja-JP"/>
        </w:rPr>
        <w:t xml:space="preserve"> </w:t>
      </w:r>
    </w:p>
    <w:p w14:paraId="1D08F165" w14:textId="77777777" w:rsidR="0038775E" w:rsidRDefault="00877B9C" w:rsidP="002041D4">
      <w:pPr>
        <w:wordWrap w:val="0"/>
        <w:rPr>
          <w:noProof/>
          <w:lang w:eastAsia="ja-JP"/>
        </w:rPr>
      </w:pPr>
      <w:r w:rsidRPr="00DF5C23">
        <w:rPr>
          <w:i/>
          <w:noProof/>
          <w:lang w:eastAsia="ja-JP"/>
        </w:rPr>
        <w:t>付属書</w:t>
      </w:r>
      <w:r w:rsidRPr="00DF5C23">
        <w:rPr>
          <w:i/>
          <w:noProof/>
          <w:lang w:eastAsia="ja-JP"/>
        </w:rPr>
        <w:t xml:space="preserve"> I </w:t>
      </w:r>
      <w:r w:rsidRPr="00DF5C23">
        <w:rPr>
          <w:i/>
          <w:noProof/>
          <w:lang w:eastAsia="ja-JP"/>
        </w:rPr>
        <w:t>は、</w:t>
      </w:r>
      <w:r w:rsidRPr="00DF5C23">
        <w:rPr>
          <w:noProof/>
          <w:lang w:eastAsia="ja-JP"/>
        </w:rPr>
        <w:t>本規則に基づく製品の性能および情報要件の</w:t>
      </w:r>
      <w:r w:rsidR="001B7A95" w:rsidRPr="00DF5C23">
        <w:rPr>
          <w:noProof/>
          <w:lang w:eastAsia="ja-JP"/>
        </w:rPr>
        <w:t>設定に</w:t>
      </w:r>
      <w:r w:rsidRPr="00DF5C23">
        <w:rPr>
          <w:noProof/>
          <w:lang w:eastAsia="ja-JP"/>
        </w:rPr>
        <w:t>使用される</w:t>
      </w:r>
      <w:r w:rsidR="00214C38" w:rsidRPr="00DF5C23">
        <w:rPr>
          <w:noProof/>
          <w:lang w:eastAsia="ja-JP"/>
        </w:rPr>
        <w:t>製品</w:t>
      </w:r>
      <w:r w:rsidRPr="00DF5C23">
        <w:rPr>
          <w:noProof/>
          <w:lang w:eastAsia="ja-JP"/>
        </w:rPr>
        <w:t>パラメータを規定する。</w:t>
      </w:r>
      <w:r w:rsidRPr="00DF5C23">
        <w:rPr>
          <w:noProof/>
          <w:lang w:eastAsia="ja-JP"/>
        </w:rPr>
        <w:t xml:space="preserve"> </w:t>
      </w:r>
    </w:p>
    <w:p w14:paraId="7B21620A" w14:textId="77777777" w:rsidR="0038775E" w:rsidRDefault="00877B9C" w:rsidP="002041D4">
      <w:pPr>
        <w:wordWrap w:val="0"/>
        <w:rPr>
          <w:noProof/>
          <w:lang w:eastAsia="ja-JP"/>
        </w:rPr>
      </w:pPr>
      <w:r w:rsidRPr="00DF5C23">
        <w:rPr>
          <w:i/>
          <w:noProof/>
          <w:lang w:eastAsia="ja-JP"/>
        </w:rPr>
        <w:t>附属書</w:t>
      </w:r>
      <w:r w:rsidRPr="00DF5C23">
        <w:rPr>
          <w:i/>
          <w:noProof/>
          <w:lang w:eastAsia="ja-JP"/>
        </w:rPr>
        <w:t>II</w:t>
      </w:r>
      <w:r w:rsidRPr="00DF5C23">
        <w:rPr>
          <w:i/>
          <w:noProof/>
          <w:lang w:eastAsia="ja-JP"/>
        </w:rPr>
        <w:t>は、</w:t>
      </w:r>
      <w:r w:rsidRPr="00DF5C23">
        <w:rPr>
          <w:noProof/>
          <w:lang w:eastAsia="ja-JP"/>
        </w:rPr>
        <w:t>このような性能要件を</w:t>
      </w:r>
      <w:r w:rsidR="006C7D06" w:rsidRPr="00DF5C23">
        <w:rPr>
          <w:noProof/>
          <w:lang w:eastAsia="ja-JP"/>
        </w:rPr>
        <w:t>設定</w:t>
      </w:r>
      <w:r w:rsidRPr="00DF5C23">
        <w:rPr>
          <w:noProof/>
          <w:lang w:eastAsia="ja-JP"/>
        </w:rPr>
        <w:t>するための手続きを定めている。</w:t>
      </w:r>
      <w:r w:rsidRPr="00DF5C23">
        <w:rPr>
          <w:noProof/>
          <w:lang w:eastAsia="ja-JP"/>
        </w:rPr>
        <w:t xml:space="preserve"> </w:t>
      </w:r>
    </w:p>
    <w:p w14:paraId="4ABB1C3C" w14:textId="77777777" w:rsidR="0038775E" w:rsidRDefault="00877B9C" w:rsidP="002041D4">
      <w:pPr>
        <w:wordWrap w:val="0"/>
        <w:rPr>
          <w:noProof/>
          <w:lang w:eastAsia="ja-JP"/>
        </w:rPr>
      </w:pPr>
      <w:r w:rsidRPr="00DF5C23">
        <w:rPr>
          <w:i/>
          <w:noProof/>
          <w:lang w:eastAsia="ja-JP"/>
        </w:rPr>
        <w:t>付属書</w:t>
      </w:r>
      <w:r w:rsidR="004B060C" w:rsidRPr="00DF5C23">
        <w:rPr>
          <w:i/>
          <w:noProof/>
          <w:lang w:eastAsia="ja-JP"/>
        </w:rPr>
        <w:t>Ⅲ</w:t>
      </w:r>
      <w:r w:rsidR="004B060C" w:rsidRPr="00DF5C23">
        <w:rPr>
          <w:i/>
          <w:noProof/>
          <w:lang w:eastAsia="ja-JP"/>
        </w:rPr>
        <w:t>は、</w:t>
      </w:r>
      <w:r w:rsidRPr="00DF5C23">
        <w:rPr>
          <w:noProof/>
          <w:lang w:eastAsia="ja-JP"/>
        </w:rPr>
        <w:t>製品パスポートに記載</w:t>
      </w:r>
      <w:r w:rsidR="00B66BA0" w:rsidRPr="00DF5C23">
        <w:rPr>
          <w:noProof/>
          <w:lang w:eastAsia="ja-JP"/>
        </w:rPr>
        <w:t>できる</w:t>
      </w:r>
      <w:r w:rsidRPr="00DF5C23">
        <w:rPr>
          <w:noProof/>
          <w:lang w:eastAsia="ja-JP"/>
        </w:rPr>
        <w:t>情報を</w:t>
      </w:r>
      <w:r w:rsidR="00B66BA0" w:rsidRPr="00DF5C23">
        <w:rPr>
          <w:noProof/>
          <w:lang w:eastAsia="ja-JP"/>
        </w:rPr>
        <w:t>列挙</w:t>
      </w:r>
      <w:r w:rsidR="006C7D06" w:rsidRPr="00DF5C23">
        <w:rPr>
          <w:noProof/>
          <w:lang w:eastAsia="ja-JP"/>
        </w:rPr>
        <w:t>し、記載すべき情報を規定したものである</w:t>
      </w:r>
      <w:r w:rsidRPr="00DF5C23">
        <w:rPr>
          <w:noProof/>
          <w:lang w:eastAsia="ja-JP"/>
        </w:rPr>
        <w:t>。</w:t>
      </w:r>
      <w:r w:rsidRPr="00DF5C23">
        <w:rPr>
          <w:noProof/>
          <w:lang w:eastAsia="ja-JP"/>
        </w:rPr>
        <w:t xml:space="preserve"> </w:t>
      </w:r>
    </w:p>
    <w:p w14:paraId="0736F45B" w14:textId="0ED97C01" w:rsidR="0038775E" w:rsidRDefault="00877B9C" w:rsidP="002041D4">
      <w:pPr>
        <w:wordWrap w:val="0"/>
        <w:rPr>
          <w:noProof/>
          <w:lang w:eastAsia="ja-JP"/>
        </w:rPr>
      </w:pPr>
      <w:r w:rsidRPr="00DF5C23">
        <w:rPr>
          <w:i/>
          <w:noProof/>
          <w:lang w:eastAsia="ja-JP"/>
        </w:rPr>
        <w:t>付属書</w:t>
      </w:r>
      <w:r w:rsidRPr="00DF5C23">
        <w:rPr>
          <w:i/>
          <w:noProof/>
          <w:lang w:eastAsia="ja-JP"/>
        </w:rPr>
        <w:t>IV</w:t>
      </w:r>
      <w:r w:rsidRPr="00DF5C23">
        <w:rPr>
          <w:i/>
          <w:noProof/>
          <w:lang w:eastAsia="ja-JP"/>
        </w:rPr>
        <w:t>は、</w:t>
      </w:r>
      <w:r w:rsidR="001B7A95" w:rsidRPr="00DF5C23">
        <w:rPr>
          <w:noProof/>
          <w:lang w:eastAsia="ja-JP"/>
        </w:rPr>
        <w:t>第</w:t>
      </w:r>
      <w:r w:rsidR="001B7A95" w:rsidRPr="00DF5C23">
        <w:rPr>
          <w:noProof/>
          <w:lang w:eastAsia="ja-JP"/>
        </w:rPr>
        <w:t>35</w:t>
      </w:r>
      <w:r w:rsidRPr="00DF5C23">
        <w:rPr>
          <w:noProof/>
          <w:lang w:eastAsia="ja-JP"/>
        </w:rPr>
        <w:t>条（決定</w:t>
      </w:r>
      <w:r w:rsidRPr="00DF5C23">
        <w:rPr>
          <w:noProof/>
          <w:lang w:eastAsia="ja-JP"/>
        </w:rPr>
        <w:t>768/2008/EC</w:t>
      </w:r>
      <w:r w:rsidRPr="00DF5C23">
        <w:rPr>
          <w:noProof/>
          <w:lang w:eastAsia="ja-JP"/>
        </w:rPr>
        <w:t>より）で言及された標準適合性評価モジュールを再現して</w:t>
      </w:r>
      <w:r w:rsidR="002041D4">
        <w:rPr>
          <w:noProof/>
          <w:lang w:eastAsia="ja-JP"/>
        </w:rPr>
        <w:t>いる。</w:t>
      </w:r>
    </w:p>
    <w:p w14:paraId="6248F044" w14:textId="12FAAAB0" w:rsidR="0038775E" w:rsidRDefault="00877B9C" w:rsidP="002041D4">
      <w:pPr>
        <w:wordWrap w:val="0"/>
        <w:rPr>
          <w:noProof/>
          <w:lang w:eastAsia="ja-JP"/>
        </w:rPr>
      </w:pPr>
      <w:r w:rsidRPr="00DF5C23">
        <w:rPr>
          <w:i/>
          <w:noProof/>
          <w:lang w:eastAsia="ja-JP"/>
        </w:rPr>
        <w:t>付属書</w:t>
      </w:r>
      <w:r w:rsidRPr="00DF5C23">
        <w:rPr>
          <w:i/>
          <w:noProof/>
          <w:lang w:eastAsia="ja-JP"/>
        </w:rPr>
        <w:t>V</w:t>
      </w:r>
      <w:r w:rsidRPr="00DF5C23">
        <w:rPr>
          <w:i/>
          <w:noProof/>
          <w:lang w:eastAsia="ja-JP"/>
        </w:rPr>
        <w:t>は</w:t>
      </w:r>
      <w:r w:rsidRPr="00DF5C23">
        <w:rPr>
          <w:noProof/>
          <w:lang w:eastAsia="ja-JP"/>
        </w:rPr>
        <w:t>、</w:t>
      </w:r>
      <w:r w:rsidRPr="00DF5C23">
        <w:rPr>
          <w:noProof/>
          <w:lang w:eastAsia="ja-JP"/>
        </w:rPr>
        <w:t>EU</w:t>
      </w:r>
      <w:r w:rsidRPr="00DF5C23">
        <w:rPr>
          <w:noProof/>
          <w:lang w:eastAsia="ja-JP"/>
        </w:rPr>
        <w:t>の標準的な適合性宣言を再現して</w:t>
      </w:r>
      <w:r w:rsidR="002041D4">
        <w:rPr>
          <w:noProof/>
          <w:lang w:eastAsia="ja-JP"/>
        </w:rPr>
        <w:t>いる。</w:t>
      </w:r>
      <w:r w:rsidRPr="00DF5C23">
        <w:rPr>
          <w:noProof/>
          <w:lang w:eastAsia="ja-JP"/>
        </w:rPr>
        <w:t xml:space="preserve"> </w:t>
      </w:r>
    </w:p>
    <w:p w14:paraId="23365D29" w14:textId="77777777" w:rsidR="0038775E" w:rsidRDefault="00877B9C" w:rsidP="002041D4">
      <w:pPr>
        <w:wordWrap w:val="0"/>
        <w:rPr>
          <w:noProof/>
          <w:lang w:eastAsia="ja-JP"/>
        </w:rPr>
      </w:pPr>
      <w:r w:rsidRPr="23DF1179">
        <w:rPr>
          <w:i/>
          <w:iCs/>
          <w:noProof/>
          <w:lang w:eastAsia="ja-JP"/>
        </w:rPr>
        <w:t>付属書</w:t>
      </w:r>
      <w:r w:rsidRPr="23DF1179">
        <w:rPr>
          <w:i/>
          <w:iCs/>
          <w:noProof/>
          <w:lang w:eastAsia="ja-JP"/>
        </w:rPr>
        <w:t>VI</w:t>
      </w:r>
      <w:r w:rsidRPr="23DF1179">
        <w:rPr>
          <w:i/>
          <w:iCs/>
          <w:noProof/>
          <w:lang w:eastAsia="ja-JP"/>
        </w:rPr>
        <w:t>は、</w:t>
      </w:r>
      <w:r>
        <w:rPr>
          <w:noProof/>
          <w:lang w:eastAsia="ja-JP"/>
        </w:rPr>
        <w:t>本規則に従って採択されるエコデザイン要件を定める委任法の内容に関するより詳細な情報を提供する。</w:t>
      </w:r>
      <w:r>
        <w:rPr>
          <w:noProof/>
          <w:lang w:eastAsia="ja-JP"/>
        </w:rPr>
        <w:t xml:space="preserve"> </w:t>
      </w:r>
    </w:p>
    <w:p w14:paraId="77A0BC6B" w14:textId="77777777" w:rsidR="0038775E" w:rsidRDefault="00877B9C" w:rsidP="002041D4">
      <w:pPr>
        <w:wordWrap w:val="0"/>
        <w:rPr>
          <w:noProof/>
          <w:lang w:eastAsia="ja-JP"/>
        </w:rPr>
      </w:pPr>
      <w:r w:rsidRPr="00DF5C23">
        <w:rPr>
          <w:i/>
          <w:noProof/>
          <w:lang w:eastAsia="ja-JP"/>
        </w:rPr>
        <w:lastRenderedPageBreak/>
        <w:t>附属書</w:t>
      </w:r>
      <w:r w:rsidRPr="00DF5C23">
        <w:rPr>
          <w:i/>
          <w:noProof/>
          <w:lang w:eastAsia="ja-JP"/>
        </w:rPr>
        <w:t>VII</w:t>
      </w:r>
      <w:r w:rsidRPr="00DF5C23">
        <w:rPr>
          <w:i/>
          <w:noProof/>
          <w:lang w:eastAsia="ja-JP"/>
        </w:rPr>
        <w:t>は、</w:t>
      </w:r>
      <w:r w:rsidRPr="00DF5C23">
        <w:rPr>
          <w:noProof/>
          <w:lang w:eastAsia="ja-JP"/>
        </w:rPr>
        <w:t>自主規制措置に適用される一般的な</w:t>
      </w:r>
      <w:r w:rsidR="00CD6A37" w:rsidRPr="00DF5C23">
        <w:rPr>
          <w:noProof/>
          <w:lang w:eastAsia="ja-JP"/>
        </w:rPr>
        <w:t>基準を定めている</w:t>
      </w:r>
      <w:r w:rsidRPr="00DF5C23">
        <w:rPr>
          <w:noProof/>
          <w:lang w:eastAsia="ja-JP"/>
        </w:rPr>
        <w:t>（</w:t>
      </w:r>
      <w:r w:rsidR="00CD6A37" w:rsidRPr="00DF5C23">
        <w:rPr>
          <w:noProof/>
          <w:lang w:eastAsia="ja-JP"/>
        </w:rPr>
        <w:t>第</w:t>
      </w:r>
      <w:r w:rsidR="00CD6A37" w:rsidRPr="00DF5C23">
        <w:rPr>
          <w:noProof/>
          <w:lang w:eastAsia="ja-JP"/>
        </w:rPr>
        <w:t>18</w:t>
      </w:r>
      <w:r w:rsidRPr="00DF5C23">
        <w:rPr>
          <w:noProof/>
          <w:lang w:eastAsia="ja-JP"/>
        </w:rPr>
        <w:t>条）。</w:t>
      </w:r>
      <w:r w:rsidRPr="00DF5C23">
        <w:rPr>
          <w:noProof/>
          <w:lang w:eastAsia="ja-JP"/>
        </w:rPr>
        <w:t xml:space="preserve"> </w:t>
      </w:r>
    </w:p>
    <w:p w14:paraId="6C693C7F" w14:textId="77777777" w:rsidR="0038775E" w:rsidRDefault="00877B9C" w:rsidP="002041D4">
      <w:pPr>
        <w:wordWrap w:val="0"/>
        <w:rPr>
          <w:noProof/>
          <w:lang w:eastAsia="ja-JP"/>
        </w:rPr>
      </w:pPr>
      <w:r w:rsidRPr="23DF1179">
        <w:rPr>
          <w:i/>
          <w:iCs/>
          <w:noProof/>
          <w:lang w:eastAsia="ja-JP"/>
        </w:rPr>
        <w:t>付属書</w:t>
      </w:r>
      <w:r>
        <w:rPr>
          <w:noProof/>
          <w:lang w:eastAsia="ja-JP"/>
        </w:rPr>
        <w:t>VIII</w:t>
      </w:r>
      <w:r>
        <w:rPr>
          <w:noProof/>
          <w:lang w:eastAsia="ja-JP"/>
        </w:rPr>
        <w:t>は、エコデザイン指令との相関表を含む標準付属書である。</w:t>
      </w:r>
      <w:r>
        <w:rPr>
          <w:noProof/>
          <w:lang w:eastAsia="ja-JP"/>
        </w:rPr>
        <w:t xml:space="preserve"> </w:t>
      </w:r>
    </w:p>
    <w:p w14:paraId="2C3A5576" w14:textId="77777777" w:rsidR="006F44D0" w:rsidRPr="00DF5C23" w:rsidRDefault="006F44D0" w:rsidP="002041D4">
      <w:pPr>
        <w:wordWrap w:val="0"/>
        <w:rPr>
          <w:noProof/>
          <w:lang w:eastAsia="ja-JP"/>
        </w:rPr>
        <w:sectPr w:rsidR="006F44D0" w:rsidRPr="00DF5C23" w:rsidSect="008B42B0">
          <w:footerReference w:type="default" r:id="rId13"/>
          <w:footerReference w:type="first" r:id="rId14"/>
          <w:pgSz w:w="11907" w:h="16839"/>
          <w:pgMar w:top="1134" w:right="1417" w:bottom="1134" w:left="1417" w:header="709" w:footer="709" w:gutter="0"/>
          <w:cols w:space="708"/>
          <w:docGrid w:linePitch="360"/>
        </w:sectPr>
      </w:pPr>
    </w:p>
    <w:p w14:paraId="6AEC3145" w14:textId="77777777" w:rsidR="0038775E" w:rsidRDefault="00877B9C" w:rsidP="002041D4">
      <w:pPr>
        <w:pStyle w:val="Rfrenceinterinstitutionnelle"/>
        <w:wordWrap w:val="0"/>
        <w:rPr>
          <w:noProof/>
          <w:lang w:eastAsia="ja-JP"/>
        </w:rPr>
      </w:pPr>
      <w:r w:rsidRPr="007C3B02">
        <w:rPr>
          <w:lang w:eastAsia="ja-JP"/>
        </w:rPr>
        <w:lastRenderedPageBreak/>
        <w:t>2022/0095(</w:t>
      </w:r>
      <w:r w:rsidRPr="007C3B02">
        <w:rPr>
          <w:lang w:eastAsia="ja-JP"/>
        </w:rPr>
        <w:t>コッド</w:t>
      </w:r>
      <w:r w:rsidRPr="007C3B02">
        <w:rPr>
          <w:lang w:eastAsia="ja-JP"/>
        </w:rPr>
        <w:t>)</w:t>
      </w:r>
    </w:p>
    <w:p w14:paraId="022B19EF" w14:textId="3DF5DAA9" w:rsidR="0038775E" w:rsidRDefault="00877B9C" w:rsidP="002041D4">
      <w:pPr>
        <w:pStyle w:val="Statut"/>
        <w:wordWrap w:val="0"/>
        <w:rPr>
          <w:rFonts w:hint="eastAsia"/>
          <w:noProof/>
          <w:lang w:eastAsia="ja-JP"/>
        </w:rPr>
      </w:pPr>
      <w:r w:rsidRPr="007735B6">
        <w:rPr>
          <w:noProof/>
          <w:lang w:eastAsia="ja-JP"/>
        </w:rPr>
        <w:t>提</w:t>
      </w:r>
      <w:r w:rsidRPr="007735B6">
        <w:rPr>
          <w:noProof/>
          <w:lang w:eastAsia="ja-JP"/>
        </w:rPr>
        <w:t>案</w:t>
      </w:r>
    </w:p>
    <w:p w14:paraId="4A8E8EA9" w14:textId="77777777" w:rsidR="0038775E" w:rsidRDefault="00877B9C" w:rsidP="002041D4">
      <w:pPr>
        <w:pStyle w:val="Typedudocument"/>
        <w:wordWrap w:val="0"/>
        <w:rPr>
          <w:noProof/>
          <w:lang w:eastAsia="ja-JP"/>
        </w:rPr>
      </w:pPr>
      <w:r w:rsidRPr="007735B6">
        <w:rPr>
          <w:noProof/>
          <w:lang w:eastAsia="ja-JP"/>
        </w:rPr>
        <w:t>欧州議会および欧州理事会規則</w:t>
      </w:r>
    </w:p>
    <w:p w14:paraId="5A03C303" w14:textId="77777777" w:rsidR="0038775E" w:rsidRDefault="00877B9C" w:rsidP="002041D4">
      <w:pPr>
        <w:pStyle w:val="Titreobjet"/>
        <w:wordWrap w:val="0"/>
        <w:rPr>
          <w:noProof/>
          <w:lang w:eastAsia="ja-JP"/>
        </w:rPr>
      </w:pPr>
      <w:r w:rsidRPr="007735B6">
        <w:rPr>
          <w:noProof/>
          <w:lang w:eastAsia="ja-JP"/>
        </w:rPr>
        <w:t>持続可能な製品のエコデザイン要件を設定するための枠組みを確立し、指令</w:t>
      </w:r>
      <w:r w:rsidRPr="007735B6">
        <w:rPr>
          <w:noProof/>
          <w:lang w:eastAsia="ja-JP"/>
        </w:rPr>
        <w:t xml:space="preserve"> 2009/125/EC </w:t>
      </w:r>
      <w:r w:rsidRPr="007735B6">
        <w:rPr>
          <w:noProof/>
          <w:lang w:eastAsia="ja-JP"/>
        </w:rPr>
        <w:t>を廃止すること。</w:t>
      </w:r>
    </w:p>
    <w:p w14:paraId="5D5D1DDC" w14:textId="77777777" w:rsidR="0038775E" w:rsidRDefault="00877B9C" w:rsidP="002041D4">
      <w:pPr>
        <w:pStyle w:val="IntrtEEE"/>
        <w:wordWrap w:val="0"/>
        <w:rPr>
          <w:noProof/>
          <w:lang w:eastAsia="ja-JP"/>
        </w:rPr>
      </w:pPr>
      <w:r w:rsidRPr="007735B6">
        <w:rPr>
          <w:noProof/>
          <w:lang w:eastAsia="ja-JP"/>
        </w:rPr>
        <w:t>(EEA</w:t>
      </w:r>
      <w:r w:rsidRPr="007735B6">
        <w:rPr>
          <w:noProof/>
          <w:lang w:eastAsia="ja-JP"/>
        </w:rPr>
        <w:t>に関連するテキスト）。</w:t>
      </w:r>
    </w:p>
    <w:p w14:paraId="584F5D9B" w14:textId="65B5604E" w:rsidR="0038775E" w:rsidRDefault="00877B9C" w:rsidP="002041D4">
      <w:pPr>
        <w:pStyle w:val="Institutionquiagit"/>
        <w:wordWrap w:val="0"/>
        <w:rPr>
          <w:noProof/>
          <w:lang w:eastAsia="ja-JP"/>
        </w:rPr>
      </w:pPr>
      <w:r w:rsidRPr="00DF5C23">
        <w:rPr>
          <w:noProof/>
          <w:lang w:eastAsia="ja-JP"/>
        </w:rPr>
        <w:t>欧州議会と欧州連合理事会</w:t>
      </w:r>
      <w:r w:rsidR="002041D4">
        <w:rPr>
          <w:rFonts w:hint="eastAsia"/>
          <w:noProof/>
          <w:lang w:eastAsia="ja-JP"/>
        </w:rPr>
        <w:t>は</w:t>
      </w:r>
      <w:r w:rsidRPr="00DF5C23">
        <w:rPr>
          <w:noProof/>
          <w:lang w:eastAsia="ja-JP"/>
        </w:rPr>
        <w:t>、</w:t>
      </w:r>
    </w:p>
    <w:p w14:paraId="77C6F798" w14:textId="77777777" w:rsidR="0038775E" w:rsidRDefault="00877B9C" w:rsidP="002041D4">
      <w:pPr>
        <w:wordWrap w:val="0"/>
        <w:rPr>
          <w:noProof/>
          <w:lang w:eastAsia="ja-JP"/>
        </w:rPr>
      </w:pPr>
      <w:r w:rsidRPr="00DF5C23">
        <w:rPr>
          <w:noProof/>
          <w:lang w:eastAsia="ja-JP"/>
        </w:rPr>
        <w:t>欧州連合の機能に関する条約、特にその第</w:t>
      </w:r>
      <w:r w:rsidRPr="00DF5C23">
        <w:rPr>
          <w:noProof/>
          <w:lang w:eastAsia="ja-JP"/>
        </w:rPr>
        <w:t>114</w:t>
      </w:r>
      <w:r w:rsidRPr="00DF5C23">
        <w:rPr>
          <w:noProof/>
          <w:lang w:eastAsia="ja-JP"/>
        </w:rPr>
        <w:t>条を考慮すること、</w:t>
      </w:r>
    </w:p>
    <w:p w14:paraId="27157ED4" w14:textId="77777777" w:rsidR="0038775E" w:rsidRDefault="00877B9C" w:rsidP="002041D4">
      <w:pPr>
        <w:wordWrap w:val="0"/>
        <w:rPr>
          <w:noProof/>
          <w:lang w:eastAsia="ja-JP"/>
        </w:rPr>
      </w:pPr>
      <w:r w:rsidRPr="00DF5C23">
        <w:rPr>
          <w:noProof/>
          <w:lang w:eastAsia="ja-JP"/>
        </w:rPr>
        <w:t>欧州委員会からの提案に配慮して、</w:t>
      </w:r>
    </w:p>
    <w:p w14:paraId="7EAF412F" w14:textId="77777777" w:rsidR="0038775E" w:rsidRDefault="00877B9C" w:rsidP="002041D4">
      <w:pPr>
        <w:wordWrap w:val="0"/>
        <w:rPr>
          <w:noProof/>
          <w:lang w:eastAsia="ja-JP"/>
        </w:rPr>
      </w:pPr>
      <w:r w:rsidRPr="00DF5C23">
        <w:rPr>
          <w:noProof/>
          <w:lang w:eastAsia="ja-JP"/>
        </w:rPr>
        <w:t>立法草案が各国議会に伝達された後、</w:t>
      </w:r>
    </w:p>
    <w:p w14:paraId="2464B4CB" w14:textId="77777777" w:rsidR="0038775E" w:rsidRDefault="00877B9C" w:rsidP="002041D4">
      <w:pPr>
        <w:wordWrap w:val="0"/>
        <w:rPr>
          <w:noProof/>
          <w:lang w:eastAsia="ja-JP"/>
        </w:rPr>
      </w:pPr>
      <w:r w:rsidRPr="00DF5C23">
        <w:rPr>
          <w:noProof/>
          <w:lang w:eastAsia="ja-JP"/>
        </w:rPr>
        <w:t>欧州経済社会委員会の意見に配慮し、</w:t>
      </w:r>
      <w:r w:rsidR="00FE2355" w:rsidRPr="00DF5C23">
        <w:rPr>
          <w:rStyle w:val="afa"/>
          <w:noProof/>
        </w:rPr>
        <w:footnoteReference w:id="25"/>
      </w:r>
      <w:r w:rsidRPr="00DF5C23">
        <w:rPr>
          <w:noProof/>
          <w:lang w:eastAsia="ja-JP"/>
        </w:rPr>
        <w:t xml:space="preserve"> </w:t>
      </w:r>
      <w:r w:rsidRPr="00DF5C23">
        <w:rPr>
          <w:noProof/>
          <w:lang w:eastAsia="ja-JP"/>
        </w:rPr>
        <w:t>、</w:t>
      </w:r>
      <w:r w:rsidRPr="00DF5C23">
        <w:rPr>
          <w:noProof/>
          <w:lang w:eastAsia="ja-JP"/>
        </w:rPr>
        <w:t xml:space="preserve"> </w:t>
      </w:r>
    </w:p>
    <w:p w14:paraId="1906EB1B" w14:textId="77777777" w:rsidR="0038775E" w:rsidRDefault="00877B9C" w:rsidP="002041D4">
      <w:pPr>
        <w:wordWrap w:val="0"/>
        <w:rPr>
          <w:noProof/>
          <w:lang w:eastAsia="ja-JP"/>
        </w:rPr>
      </w:pPr>
      <w:r w:rsidRPr="00DF5C23">
        <w:rPr>
          <w:noProof/>
          <w:lang w:eastAsia="ja-JP"/>
        </w:rPr>
        <w:t>通常の立法手続きに則って行動すること、</w:t>
      </w:r>
    </w:p>
    <w:p w14:paraId="397622A2" w14:textId="6CD27C37" w:rsidR="0038775E" w:rsidRDefault="002041D4" w:rsidP="002041D4">
      <w:pPr>
        <w:wordWrap w:val="0"/>
        <w:rPr>
          <w:noProof/>
          <w:lang w:eastAsia="ja-JP"/>
        </w:rPr>
      </w:pPr>
      <w:r>
        <w:rPr>
          <w:rFonts w:hint="eastAsia"/>
          <w:noProof/>
          <w:lang w:eastAsia="ja-JP"/>
        </w:rPr>
        <w:t>一方</w:t>
      </w:r>
      <w:r w:rsidR="00877B9C" w:rsidRPr="00DF5C23">
        <w:rPr>
          <w:noProof/>
          <w:lang w:eastAsia="ja-JP"/>
        </w:rPr>
        <w:t>：</w:t>
      </w:r>
    </w:p>
    <w:p w14:paraId="041B60B2" w14:textId="3BB10E9B" w:rsidR="0038775E" w:rsidRDefault="00877B9C" w:rsidP="002041D4">
      <w:pPr>
        <w:pStyle w:val="ManualConsidrant"/>
        <w:wordWrap w:val="0"/>
        <w:rPr>
          <w:noProof/>
          <w:lang w:eastAsia="ja-JP"/>
        </w:rPr>
      </w:pPr>
      <w:r w:rsidRPr="004F5E59">
        <w:rPr>
          <w:lang w:eastAsia="ja-JP"/>
        </w:rPr>
        <w:t>(1)</w:t>
      </w:r>
      <w:r w:rsidRPr="004F5E59">
        <w:rPr>
          <w:lang w:eastAsia="ja-JP"/>
        </w:rPr>
        <w:tab/>
      </w:r>
      <w:r w:rsidR="00D81745" w:rsidRPr="00DF5C23">
        <w:rPr>
          <w:noProof/>
          <w:lang w:eastAsia="ja-JP"/>
        </w:rPr>
        <w:t>欧州グリーンディール</w:t>
      </w:r>
      <w:r w:rsidR="00BA4E97" w:rsidRPr="00DF5C23">
        <w:rPr>
          <w:rStyle w:val="afa"/>
          <w:noProof/>
        </w:rPr>
        <w:footnoteReference w:id="26"/>
      </w:r>
      <w:r w:rsidR="00D81745" w:rsidRPr="00DF5C23">
        <w:rPr>
          <w:noProof/>
          <w:vertAlign w:val="superscript"/>
          <w:lang w:eastAsia="ja-JP"/>
        </w:rPr>
        <w:t xml:space="preserve"> </w:t>
      </w:r>
      <w:r w:rsidR="00D81745" w:rsidRPr="00DF5C23">
        <w:rPr>
          <w:noProof/>
          <w:lang w:eastAsia="ja-JP"/>
        </w:rPr>
        <w:t xml:space="preserve"> </w:t>
      </w:r>
      <w:r w:rsidR="00D81745" w:rsidRPr="00DF5C23">
        <w:rPr>
          <w:noProof/>
          <w:lang w:eastAsia="ja-JP"/>
        </w:rPr>
        <w:t>は、欧州の持続可能な成長戦略であり、欧州連合を、近代的で競争力のある、気候ニュートラルで循環型の経済を持つ、公平で豊かな社会へと変革することを目的として</w:t>
      </w:r>
      <w:r w:rsidR="002041D4">
        <w:rPr>
          <w:noProof/>
          <w:lang w:eastAsia="ja-JP"/>
        </w:rPr>
        <w:t>いる。</w:t>
      </w:r>
      <w:r w:rsidR="00D81745" w:rsidRPr="00DF5C23">
        <w:rPr>
          <w:noProof/>
          <w:lang w:eastAsia="ja-JP"/>
        </w:rPr>
        <w:t>2050</w:t>
      </w:r>
      <w:r w:rsidR="00D81745" w:rsidRPr="00DF5C23">
        <w:rPr>
          <w:noProof/>
          <w:lang w:eastAsia="ja-JP"/>
        </w:rPr>
        <w:t>年までに欧州で初めて気候変動に左右されない大陸となるという野心的な目標を掲げて</w:t>
      </w:r>
      <w:r w:rsidR="002041D4">
        <w:rPr>
          <w:noProof/>
          <w:lang w:eastAsia="ja-JP"/>
        </w:rPr>
        <w:t>いる。</w:t>
      </w:r>
      <w:r w:rsidR="00D81745" w:rsidRPr="00DF5C23">
        <w:rPr>
          <w:noProof/>
          <w:lang w:eastAsia="ja-JP"/>
        </w:rPr>
        <w:t>また、より公平で、</w:t>
      </w:r>
      <w:r w:rsidR="00287D86" w:rsidRPr="00DF5C23">
        <w:rPr>
          <w:noProof/>
          <w:lang w:eastAsia="ja-JP"/>
        </w:rPr>
        <w:t>より環境に優しく、よりデジタルな欧州を</w:t>
      </w:r>
      <w:r w:rsidR="00D81745" w:rsidRPr="00DF5C23">
        <w:rPr>
          <w:noProof/>
          <w:lang w:eastAsia="ja-JP"/>
        </w:rPr>
        <w:t>構築することで、欧州連合の競争力維持に投資することの利点を認識して</w:t>
      </w:r>
      <w:r w:rsidR="002041D4">
        <w:rPr>
          <w:noProof/>
          <w:lang w:eastAsia="ja-JP"/>
        </w:rPr>
        <w:t>いる。</w:t>
      </w:r>
      <w:r w:rsidR="00D81745" w:rsidRPr="00DF5C23">
        <w:rPr>
          <w:noProof/>
          <w:lang w:eastAsia="ja-JP"/>
        </w:rPr>
        <w:t>製品は、このグリーンな移行において極めて重要な役割を担って</w:t>
      </w:r>
      <w:r w:rsidR="002041D4">
        <w:rPr>
          <w:noProof/>
          <w:lang w:eastAsia="ja-JP"/>
        </w:rPr>
        <w:t>いる。</w:t>
      </w:r>
      <w:r w:rsidR="00D81745" w:rsidRPr="00DF5C23">
        <w:rPr>
          <w:noProof/>
          <w:lang w:eastAsia="ja-JP"/>
        </w:rPr>
        <w:t>現在の生産プロセスと消費パターンは直線的で、新素材の抽出、商品の取引、加工、そして最終的に廃棄物や排出物として処分される処理能力に依存していることを強調し、欧州グリーンディールは、循環経済モデルへの移行が急務であることを強調するとともに、まだ大きな進展があることを強調している。また、エネルギー部門の脱炭素化、</w:t>
      </w:r>
      <w:r w:rsidR="00D81745" w:rsidRPr="00DF5C23">
        <w:rPr>
          <w:noProof/>
          <w:lang w:eastAsia="ja-JP"/>
        </w:rPr>
        <w:t>2030</w:t>
      </w:r>
      <w:r w:rsidR="00D81745" w:rsidRPr="00DF5C23">
        <w:rPr>
          <w:noProof/>
          <w:lang w:eastAsia="ja-JP"/>
        </w:rPr>
        <w:t>年および</w:t>
      </w:r>
      <w:r w:rsidR="00D81745" w:rsidRPr="00DF5C23">
        <w:rPr>
          <w:noProof/>
          <w:lang w:eastAsia="ja-JP"/>
        </w:rPr>
        <w:t>2050</w:t>
      </w:r>
      <w:r w:rsidR="00D81745" w:rsidRPr="00DF5C23">
        <w:rPr>
          <w:noProof/>
          <w:lang w:eastAsia="ja-JP"/>
        </w:rPr>
        <w:t>年の気候変動目標の達成のために、エネルギー効率を優先課題として挙げて</w:t>
      </w:r>
      <w:r w:rsidR="002041D4">
        <w:rPr>
          <w:noProof/>
          <w:lang w:eastAsia="ja-JP"/>
        </w:rPr>
        <w:t>いる。</w:t>
      </w:r>
      <w:r w:rsidR="00D81745" w:rsidRPr="00DF5C23">
        <w:rPr>
          <w:noProof/>
          <w:lang w:eastAsia="ja-JP"/>
        </w:rPr>
        <w:t xml:space="preserve"> </w:t>
      </w:r>
    </w:p>
    <w:p w14:paraId="5E9A06C9" w14:textId="315106C6" w:rsidR="0038775E" w:rsidRDefault="00877B9C" w:rsidP="002041D4">
      <w:pPr>
        <w:pStyle w:val="ManualConsidrant"/>
        <w:wordWrap w:val="0"/>
        <w:rPr>
          <w:noProof/>
          <w:lang w:eastAsia="ja-JP"/>
        </w:rPr>
      </w:pPr>
      <w:r w:rsidRPr="004F5E59">
        <w:rPr>
          <w:lang w:eastAsia="ja-JP"/>
        </w:rPr>
        <w:t>(2)</w:t>
      </w:r>
      <w:r w:rsidRPr="004F5E59">
        <w:rPr>
          <w:lang w:eastAsia="ja-JP"/>
        </w:rPr>
        <w:tab/>
      </w:r>
      <w:r w:rsidR="00D81745" w:rsidRPr="00DF5C23">
        <w:rPr>
          <w:noProof/>
          <w:lang w:eastAsia="ja-JP"/>
        </w:rPr>
        <w:t>循環型経済モデルへの移行を加速させるため、欧州委員会は、より</w:t>
      </w:r>
      <w:r w:rsidR="005B4E97" w:rsidRPr="00DF5C23">
        <w:rPr>
          <w:noProof/>
          <w:lang w:eastAsia="ja-JP"/>
        </w:rPr>
        <w:t>クリーンで競争力のある欧州のための</w:t>
      </w:r>
      <w:r w:rsidR="00D81745" w:rsidRPr="00DF5C23">
        <w:rPr>
          <w:noProof/>
          <w:lang w:eastAsia="ja-JP"/>
        </w:rPr>
        <w:t>循環型経済行動計画</w:t>
      </w:r>
      <w:r w:rsidR="00BA4E97" w:rsidRPr="00DF5C23">
        <w:rPr>
          <w:rStyle w:val="afa"/>
          <w:noProof/>
        </w:rPr>
        <w:footnoteReference w:id="27"/>
      </w:r>
      <w:r w:rsidR="00085A32" w:rsidRPr="00DF5C23">
        <w:rPr>
          <w:noProof/>
          <w:lang w:eastAsia="ja-JP"/>
        </w:rPr>
        <w:t xml:space="preserve"> </w:t>
      </w:r>
      <w:r w:rsidR="00085A32" w:rsidRPr="00DF5C23">
        <w:rPr>
          <w:noProof/>
          <w:lang w:eastAsia="ja-JP"/>
        </w:rPr>
        <w:t>（</w:t>
      </w:r>
      <w:r w:rsidR="00085A32" w:rsidRPr="00DF5C23">
        <w:rPr>
          <w:noProof/>
          <w:lang w:eastAsia="ja-JP"/>
        </w:rPr>
        <w:t>CEAP</w:t>
      </w:r>
      <w:r w:rsidR="00D81745" w:rsidRPr="00DF5C23">
        <w:rPr>
          <w:noProof/>
          <w:lang w:eastAsia="ja-JP"/>
        </w:rPr>
        <w:t>）において、規制の枠組みを持続可能な未来に適合させることを目的とした未来志向のアジェ</w:t>
      </w:r>
      <w:r w:rsidR="00D81745" w:rsidRPr="00DF5C23">
        <w:rPr>
          <w:noProof/>
          <w:lang w:eastAsia="ja-JP"/>
        </w:rPr>
        <w:lastRenderedPageBreak/>
        <w:t>ンダを設計し</w:t>
      </w:r>
      <w:r w:rsidR="002041D4">
        <w:rPr>
          <w:noProof/>
          <w:lang w:eastAsia="ja-JP"/>
        </w:rPr>
        <w:t>た。</w:t>
      </w:r>
      <w:r w:rsidR="005B4E97" w:rsidRPr="00DF5C23">
        <w:rPr>
          <w:noProof/>
          <w:lang w:eastAsia="ja-JP"/>
        </w:rPr>
        <w:t>この計画にある</w:t>
      </w:r>
      <w:r w:rsidR="00D81745" w:rsidRPr="00DF5C23">
        <w:rPr>
          <w:noProof/>
          <w:lang w:eastAsia="ja-JP"/>
        </w:rPr>
        <w:t>ように、現在、</w:t>
      </w:r>
      <w:r w:rsidR="00443BB7" w:rsidRPr="00DF5C23">
        <w:rPr>
          <w:noProof/>
          <w:lang w:eastAsia="ja-JP"/>
        </w:rPr>
        <w:t>EU</w:t>
      </w:r>
      <w:r w:rsidR="00443BB7" w:rsidRPr="00DF5C23">
        <w:rPr>
          <w:noProof/>
          <w:lang w:eastAsia="ja-JP"/>
        </w:rPr>
        <w:t>市場に投入さ</w:t>
      </w:r>
      <w:r w:rsidR="00D81745" w:rsidRPr="00DF5C23">
        <w:rPr>
          <w:noProof/>
          <w:lang w:eastAsia="ja-JP"/>
        </w:rPr>
        <w:t>れるすべての製品がますます持続可能になり、循環性のテストに耐えられるようにするための包括的な一連の要件は存在しない。</w:t>
      </w:r>
      <w:r w:rsidR="005B4E97" w:rsidRPr="00DF5C23">
        <w:rPr>
          <w:noProof/>
          <w:lang w:eastAsia="ja-JP"/>
        </w:rPr>
        <w:t>特に、製品設計は、ライフサイクル全体にわたる持続可能性を十分に促進するものでは</w:t>
      </w:r>
      <w:r w:rsidR="002041D4">
        <w:rPr>
          <w:noProof/>
          <w:lang w:eastAsia="ja-JP"/>
        </w:rPr>
        <w:t>ない</w:t>
      </w:r>
      <w:r w:rsidR="005B4E97" w:rsidRPr="00DF5C23">
        <w:rPr>
          <w:noProof/>
          <w:lang w:eastAsia="ja-JP"/>
        </w:rPr>
        <w:t>。その結果、製品は頻繁に買い替えられ、新しい製品を生産・流通させ、古い製品を廃棄するために、エネルギーと資源が大量に使用されて</w:t>
      </w:r>
      <w:r w:rsidR="002041D4">
        <w:rPr>
          <w:noProof/>
          <w:lang w:eastAsia="ja-JP"/>
        </w:rPr>
        <w:t>いる。</w:t>
      </w:r>
      <w:r w:rsidR="005B4E97" w:rsidRPr="00DF5C23">
        <w:rPr>
          <w:noProof/>
          <w:lang w:eastAsia="ja-JP"/>
        </w:rPr>
        <w:t>経済事業者や市民が製品に関して持続可能な選択をすることは、関連する情報や手頃な価格のオプションが不足しているため、まだ困難である。そのため、持続可能な事業や価値維持のための機会を逃し、二次材料の需要が限られ、循環型ビジネスモデルの導入に支障をきたして</w:t>
      </w:r>
      <w:r w:rsidR="002041D4">
        <w:rPr>
          <w:noProof/>
          <w:lang w:eastAsia="ja-JP"/>
        </w:rPr>
        <w:t>いる。</w:t>
      </w:r>
      <w:r w:rsidR="00D81745" w:rsidRPr="00DF5C23">
        <w:rPr>
          <w:noProof/>
          <w:lang w:eastAsia="ja-JP"/>
        </w:rPr>
        <w:t xml:space="preserve"> </w:t>
      </w:r>
    </w:p>
    <w:p w14:paraId="53BCC329" w14:textId="62B498E6" w:rsidR="0038775E" w:rsidRDefault="00877B9C" w:rsidP="002041D4">
      <w:pPr>
        <w:pStyle w:val="ManualConsidrant"/>
        <w:wordWrap w:val="0"/>
        <w:rPr>
          <w:noProof/>
          <w:lang w:eastAsia="ja-JP"/>
        </w:rPr>
      </w:pPr>
      <w:r w:rsidRPr="004F5E59">
        <w:rPr>
          <w:lang w:eastAsia="ja-JP"/>
        </w:rPr>
        <w:t>(3)</w:t>
      </w:r>
      <w:r w:rsidRPr="004F5E59">
        <w:rPr>
          <w:lang w:eastAsia="ja-JP"/>
        </w:rPr>
        <w:tab/>
      </w:r>
      <w:r w:rsidR="00417A57" w:rsidRPr="00DF5C23">
        <w:rPr>
          <w:noProof/>
          <w:lang w:eastAsia="ja-JP"/>
        </w:rPr>
        <w:t>欧州産業戦略（</w:t>
      </w:r>
      <w:r w:rsidR="00417A57" w:rsidRPr="00DF5C23">
        <w:rPr>
          <w:rStyle w:val="afa"/>
          <w:noProof/>
        </w:rPr>
        <w:footnoteReference w:id="28"/>
      </w:r>
      <w:r w:rsidR="00417A57" w:rsidRPr="00DF5C23">
        <w:rPr>
          <w:noProof/>
          <w:lang w:eastAsia="ja-JP"/>
        </w:rPr>
        <w:t xml:space="preserve"> </w:t>
      </w:r>
      <w:r w:rsidR="00417A57" w:rsidRPr="00DF5C23">
        <w:rPr>
          <w:noProof/>
          <w:lang w:eastAsia="ja-JP"/>
        </w:rPr>
        <w:t>）は、気候的中立性とデジタル・リーダーシップへの「双子の移行」を促進するという欧州連合の包括的な野心を示して</w:t>
      </w:r>
      <w:r w:rsidR="002041D4">
        <w:rPr>
          <w:noProof/>
          <w:lang w:eastAsia="ja-JP"/>
        </w:rPr>
        <w:t>いる。</w:t>
      </w:r>
      <w:r w:rsidR="00417A57" w:rsidRPr="00DF5C23">
        <w:rPr>
          <w:noProof/>
          <w:lang w:eastAsia="ja-JP"/>
        </w:rPr>
        <w:t>また、欧州の産業界が、炭素と材料のフットプリントを削減し、経済全体に循環性を組み込むことによって、この中で果たすべき主導的役割を指摘し、従来のモデルから脱却して、製品の設計、製造、使用、廃棄の方法を変革する必要性を強調している。産業戦略の</w:t>
      </w:r>
      <w:r w:rsidR="00417A57" w:rsidRPr="00DF5C23">
        <w:rPr>
          <w:noProof/>
          <w:lang w:eastAsia="ja-JP"/>
        </w:rPr>
        <w:t>2021</w:t>
      </w:r>
      <w:r w:rsidR="00417A57" w:rsidRPr="00DF5C23">
        <w:rPr>
          <w:noProof/>
          <w:lang w:eastAsia="ja-JP"/>
        </w:rPr>
        <w:t>年版アップデート</w:t>
      </w:r>
      <w:r w:rsidR="00417A57" w:rsidRPr="00DF5C23">
        <w:rPr>
          <w:rStyle w:val="afa"/>
          <w:noProof/>
        </w:rPr>
        <w:footnoteReference w:id="29"/>
      </w:r>
      <w:r w:rsidR="00417A57" w:rsidRPr="00DF5C23">
        <w:rPr>
          <w:noProof/>
          <w:lang w:eastAsia="ja-JP"/>
        </w:rPr>
        <w:t xml:space="preserve"> </w:t>
      </w:r>
      <w:r w:rsidR="00417A57" w:rsidRPr="00DF5C23">
        <w:rPr>
          <w:noProof/>
          <w:lang w:eastAsia="ja-JP"/>
        </w:rPr>
        <w:t>は、</w:t>
      </w:r>
      <w:r w:rsidR="00417A57" w:rsidRPr="00DF5C23">
        <w:rPr>
          <w:noProof/>
          <w:lang w:eastAsia="ja-JP"/>
        </w:rPr>
        <w:t>2020</w:t>
      </w:r>
      <w:r w:rsidR="00417A57" w:rsidRPr="00DF5C23">
        <w:rPr>
          <w:noProof/>
          <w:lang w:eastAsia="ja-JP"/>
        </w:rPr>
        <w:t>年戦略の主要メッセージを強化し、レジリエンスを育成する必要性など、</w:t>
      </w:r>
      <w:r w:rsidR="00417A57" w:rsidRPr="00DF5C23">
        <w:rPr>
          <w:noProof/>
          <w:lang w:eastAsia="ja-JP"/>
        </w:rPr>
        <w:t>COVID-19</w:t>
      </w:r>
      <w:r w:rsidR="00417A57" w:rsidRPr="00DF5C23">
        <w:rPr>
          <w:noProof/>
          <w:lang w:eastAsia="ja-JP"/>
        </w:rPr>
        <w:t>危機からの教訓に焦点を当てて</w:t>
      </w:r>
      <w:r w:rsidR="002041D4">
        <w:rPr>
          <w:noProof/>
          <w:lang w:eastAsia="ja-JP"/>
        </w:rPr>
        <w:t>いる。</w:t>
      </w:r>
      <w:r w:rsidR="00417A57" w:rsidRPr="00DF5C23">
        <w:rPr>
          <w:noProof/>
          <w:lang w:eastAsia="ja-JP"/>
        </w:rPr>
        <w:t xml:space="preserve"> </w:t>
      </w:r>
    </w:p>
    <w:p w14:paraId="1E4E789C" w14:textId="3EAEA9D8" w:rsidR="0038775E" w:rsidRDefault="00877B9C" w:rsidP="002041D4">
      <w:pPr>
        <w:pStyle w:val="ManualConsidrant"/>
        <w:wordWrap w:val="0"/>
        <w:rPr>
          <w:noProof/>
          <w:lang w:eastAsia="ja-JP"/>
        </w:rPr>
      </w:pPr>
      <w:r w:rsidRPr="004F5E59">
        <w:rPr>
          <w:lang w:eastAsia="ja-JP"/>
        </w:rPr>
        <w:t>(4)</w:t>
      </w:r>
      <w:r w:rsidRPr="004F5E59">
        <w:rPr>
          <w:lang w:eastAsia="ja-JP"/>
        </w:rPr>
        <w:tab/>
      </w:r>
      <w:r w:rsidR="00D81745" w:rsidRPr="00DF5C23">
        <w:rPr>
          <w:noProof/>
          <w:lang w:eastAsia="ja-JP"/>
        </w:rPr>
        <w:t>EU</w:t>
      </w:r>
      <w:r w:rsidR="00D81745" w:rsidRPr="00DF5C23">
        <w:rPr>
          <w:noProof/>
          <w:lang w:eastAsia="ja-JP"/>
        </w:rPr>
        <w:t>レベルでの法律がない中、</w:t>
      </w:r>
      <w:r w:rsidR="00813CBC" w:rsidRPr="00DF5C23">
        <w:rPr>
          <w:noProof/>
          <w:lang w:eastAsia="ja-JP"/>
        </w:rPr>
        <w:t>電子機器のソフトウェアの互換性期間に関する情報要件から、売れ残った耐久消費財の取り扱いに関する報告義務まで、</w:t>
      </w:r>
      <w:r w:rsidR="006F613E" w:rsidRPr="00DF5C23">
        <w:rPr>
          <w:noProof/>
          <w:lang w:eastAsia="ja-JP"/>
        </w:rPr>
        <w:t>製品の環境持続性を向上させるための多様な</w:t>
      </w:r>
      <w:r w:rsidR="00D81745" w:rsidRPr="00DF5C23">
        <w:rPr>
          <w:noProof/>
          <w:lang w:eastAsia="ja-JP"/>
        </w:rPr>
        <w:t>国の</w:t>
      </w:r>
      <w:r w:rsidR="006F613E" w:rsidRPr="00DF5C23">
        <w:rPr>
          <w:noProof/>
          <w:lang w:eastAsia="ja-JP"/>
        </w:rPr>
        <w:t>アプローチが既に現れて</w:t>
      </w:r>
      <w:r w:rsidR="002041D4">
        <w:rPr>
          <w:noProof/>
          <w:lang w:eastAsia="ja-JP"/>
        </w:rPr>
        <w:t>いる。</w:t>
      </w:r>
      <w:r w:rsidR="006F613E" w:rsidRPr="00DF5C23">
        <w:rPr>
          <w:noProof/>
          <w:lang w:eastAsia="ja-JP"/>
        </w:rPr>
        <w:t xml:space="preserve">  </w:t>
      </w:r>
      <w:r w:rsidR="006F613E" w:rsidRPr="00DF5C23">
        <w:rPr>
          <w:noProof/>
          <w:lang w:eastAsia="ja-JP"/>
        </w:rPr>
        <w:t>このことは、本規則が追求する</w:t>
      </w:r>
      <w:r w:rsidR="00287D86" w:rsidRPr="00DF5C23">
        <w:rPr>
          <w:noProof/>
          <w:lang w:eastAsia="ja-JP"/>
        </w:rPr>
        <w:t>目的を達成する</w:t>
      </w:r>
      <w:r w:rsidR="00D81745" w:rsidRPr="00DF5C23">
        <w:rPr>
          <w:noProof/>
          <w:lang w:eastAsia="ja-JP"/>
        </w:rPr>
        <w:t>ために</w:t>
      </w:r>
      <w:r w:rsidR="006F613E" w:rsidRPr="00DF5C23">
        <w:rPr>
          <w:noProof/>
          <w:lang w:eastAsia="ja-JP"/>
        </w:rPr>
        <w:t>各国がさらに</w:t>
      </w:r>
      <w:r w:rsidR="00D81745" w:rsidRPr="00DF5C23">
        <w:rPr>
          <w:noProof/>
          <w:lang w:eastAsia="ja-JP"/>
        </w:rPr>
        <w:t>努力することが、域内市場の</w:t>
      </w:r>
      <w:r w:rsidR="006F613E" w:rsidRPr="00DF5C23">
        <w:rPr>
          <w:noProof/>
          <w:lang w:eastAsia="ja-JP"/>
        </w:rPr>
        <w:t>さらなる</w:t>
      </w:r>
      <w:r w:rsidR="00D81745" w:rsidRPr="00DF5C23">
        <w:rPr>
          <w:noProof/>
          <w:lang w:eastAsia="ja-JP"/>
        </w:rPr>
        <w:t>分断を招く可能性が高いことを示している。したがって、高いレベルの環境保護を確保しつつ、域内市場の機能を守るために、製品に</w:t>
      </w:r>
      <w:r w:rsidR="00E76850" w:rsidRPr="00DF5C23">
        <w:rPr>
          <w:noProof/>
          <w:lang w:eastAsia="ja-JP"/>
        </w:rPr>
        <w:t>エコデザイン</w:t>
      </w:r>
      <w:r w:rsidR="00D81745" w:rsidRPr="00DF5C23">
        <w:rPr>
          <w:noProof/>
          <w:lang w:eastAsia="ja-JP"/>
        </w:rPr>
        <w:t>要件を段階的に導入する規制の枠組みが必要である。</w:t>
      </w:r>
      <w:r w:rsidR="000C4BED" w:rsidRPr="00DF5C23">
        <w:rPr>
          <w:noProof/>
          <w:lang w:eastAsia="ja-JP"/>
        </w:rPr>
        <w:t>本規則は、欧州議会および理事会の指令</w:t>
      </w:r>
      <w:r w:rsidR="000C4BED" w:rsidRPr="00DF5C23">
        <w:rPr>
          <w:noProof/>
          <w:lang w:eastAsia="ja-JP"/>
        </w:rPr>
        <w:t>2009/125/EC</w:t>
      </w:r>
      <w:r w:rsidR="000C4BED" w:rsidRPr="00DF5C23">
        <w:rPr>
          <w:noProof/>
          <w:lang w:eastAsia="ja-JP"/>
        </w:rPr>
        <w:t>（</w:t>
      </w:r>
      <w:r w:rsidR="000C4BED" w:rsidRPr="00DF5C23">
        <w:rPr>
          <w:rStyle w:val="afa"/>
          <w:noProof/>
        </w:rPr>
        <w:footnoteReference w:id="30"/>
      </w:r>
      <w:r w:rsidR="000C4BED" w:rsidRPr="00DF5C23">
        <w:rPr>
          <w:noProof/>
          <w:lang w:eastAsia="ja-JP"/>
        </w:rPr>
        <w:t xml:space="preserve"> </w:t>
      </w:r>
      <w:r w:rsidR="000C4BED" w:rsidRPr="00DF5C23">
        <w:rPr>
          <w:noProof/>
          <w:lang w:eastAsia="ja-JP"/>
        </w:rPr>
        <w:t>）で最初に定められたエコデザインのアプローチを、可能な限り幅広い製品に適用することで、そのような枠組みを提供する。</w:t>
      </w:r>
    </w:p>
    <w:p w14:paraId="18CF2C23" w14:textId="441DECFF" w:rsidR="0038775E" w:rsidRDefault="00877B9C" w:rsidP="002041D4">
      <w:pPr>
        <w:pStyle w:val="ManualConsidrant"/>
        <w:wordWrap w:val="0"/>
        <w:rPr>
          <w:noProof/>
          <w:lang w:eastAsia="ja-JP"/>
        </w:rPr>
      </w:pPr>
      <w:r w:rsidRPr="004F5E59">
        <w:rPr>
          <w:lang w:eastAsia="ja-JP"/>
        </w:rPr>
        <w:t>(5)</w:t>
      </w:r>
      <w:r w:rsidRPr="004F5E59">
        <w:rPr>
          <w:lang w:eastAsia="ja-JP"/>
        </w:rPr>
        <w:tab/>
      </w:r>
      <w:r w:rsidR="23DF1179">
        <w:rPr>
          <w:noProof/>
          <w:lang w:eastAsia="ja-JP"/>
        </w:rPr>
        <w:t>この規則は、気候変動に左右されない、資源効率の高い、循環型経済に適した製品を作り、廃棄物を削減し、持続可能性のフロントランナーのパフォーマンスが徐々に標準となるようにすることに貢献</w:t>
      </w:r>
      <w:r w:rsidR="002041D4">
        <w:rPr>
          <w:noProof/>
          <w:lang w:eastAsia="ja-JP"/>
        </w:rPr>
        <w:t>する</w:t>
      </w:r>
      <w:r w:rsidR="23DF1179">
        <w:rPr>
          <w:noProof/>
          <w:lang w:eastAsia="ja-JP"/>
        </w:rPr>
        <w:t>。製品の耐久性、再利用性、アップグレード性、修理性の向上、改修・メンテナンスの可能性の向上、製品中の有害化学物質の存在への対応、エネルギー・資源効率の向上、</w:t>
      </w:r>
      <w:r w:rsidR="23DF1179" w:rsidRPr="23DF1179">
        <w:rPr>
          <w:noProof/>
          <w:lang w:val="en-IE" w:eastAsia="ja-JP"/>
        </w:rPr>
        <w:t>廃棄物の予想発生量の削減</w:t>
      </w:r>
      <w:r w:rsidR="23DF1179">
        <w:rPr>
          <w:noProof/>
          <w:lang w:eastAsia="ja-JP"/>
        </w:rPr>
        <w:t>、製品のリサイクル率の向上、さらに性能と安全性の確保、再製造と高品質のリサイクルの実現、炭素・環境フットプリントの削減を目的とした新しいエコデザイン要件の設定を規定すべき</w:t>
      </w:r>
      <w:r w:rsidR="002041D4">
        <w:rPr>
          <w:noProof/>
          <w:lang w:eastAsia="ja-JP"/>
        </w:rPr>
        <w:t>である</w:t>
      </w:r>
      <w:r w:rsidR="23DF1179">
        <w:rPr>
          <w:noProof/>
          <w:lang w:eastAsia="ja-JP"/>
        </w:rPr>
        <w:t>。</w:t>
      </w:r>
      <w:r w:rsidR="23DF1179">
        <w:rPr>
          <w:noProof/>
          <w:lang w:eastAsia="ja-JP"/>
        </w:rPr>
        <w:t xml:space="preserve">  </w:t>
      </w:r>
    </w:p>
    <w:p w14:paraId="5EDCFB4D" w14:textId="77777777" w:rsidR="0038775E" w:rsidRDefault="00877B9C" w:rsidP="002041D4">
      <w:pPr>
        <w:pStyle w:val="ManualConsidrant"/>
        <w:wordWrap w:val="0"/>
        <w:rPr>
          <w:noProof/>
          <w:lang w:eastAsia="ja-JP"/>
        </w:rPr>
      </w:pPr>
      <w:r w:rsidRPr="004F5E59">
        <w:rPr>
          <w:lang w:eastAsia="ja-JP"/>
        </w:rPr>
        <w:lastRenderedPageBreak/>
        <w:t>(6)</w:t>
      </w:r>
      <w:r w:rsidRPr="004F5E59">
        <w:rPr>
          <w:lang w:eastAsia="ja-JP"/>
        </w:rPr>
        <w:tab/>
      </w:r>
      <w:r w:rsidR="00D81745" w:rsidRPr="00DF5C23">
        <w:rPr>
          <w:noProof/>
          <w:lang w:eastAsia="ja-JP"/>
        </w:rPr>
        <w:t>欧州議会は、</w:t>
      </w:r>
      <w:r w:rsidR="00D81745" w:rsidRPr="00DF5C23">
        <w:rPr>
          <w:noProof/>
          <w:lang w:eastAsia="ja-JP"/>
        </w:rPr>
        <w:t>2020</w:t>
      </w:r>
      <w:r w:rsidR="00D81745" w:rsidRPr="00DF5C23">
        <w:rPr>
          <w:noProof/>
          <w:lang w:eastAsia="ja-JP"/>
        </w:rPr>
        <w:t>年</w:t>
      </w:r>
      <w:r w:rsidR="00D81745" w:rsidRPr="00DF5C23">
        <w:rPr>
          <w:noProof/>
          <w:lang w:eastAsia="ja-JP"/>
        </w:rPr>
        <w:t>11</w:t>
      </w:r>
      <w:r w:rsidR="00D81745" w:rsidRPr="00DF5C23">
        <w:rPr>
          <w:noProof/>
          <w:lang w:eastAsia="ja-JP"/>
        </w:rPr>
        <w:t>月</w:t>
      </w:r>
      <w:r w:rsidR="00D81745" w:rsidRPr="00DF5C23">
        <w:rPr>
          <w:noProof/>
          <w:lang w:eastAsia="ja-JP"/>
        </w:rPr>
        <w:t>25</w:t>
      </w:r>
      <w:r w:rsidR="00D81745" w:rsidRPr="00DF5C23">
        <w:rPr>
          <w:noProof/>
          <w:lang w:eastAsia="ja-JP"/>
        </w:rPr>
        <w:t>日の決議「ビジネスと消費者にとってより持続可能な単一市場に向けて」</w:t>
      </w:r>
      <w:r w:rsidR="00253723" w:rsidRPr="00DF5C23">
        <w:rPr>
          <w:rStyle w:val="afa"/>
          <w:noProof/>
        </w:rPr>
        <w:footnoteReference w:id="31"/>
      </w:r>
      <w:r w:rsidR="00D81745" w:rsidRPr="00DF5C23">
        <w:rPr>
          <w:noProof/>
          <w:lang w:eastAsia="ja-JP"/>
        </w:rPr>
        <w:t xml:space="preserve"> </w:t>
      </w:r>
      <w:r w:rsidR="00D81745" w:rsidRPr="00DF5C23">
        <w:rPr>
          <w:noProof/>
          <w:lang w:eastAsia="ja-JP"/>
        </w:rPr>
        <w:t>において、修理、</w:t>
      </w:r>
      <w:r w:rsidR="00AB244C" w:rsidRPr="00DF5C23">
        <w:rPr>
          <w:noProof/>
          <w:lang w:eastAsia="ja-JP"/>
        </w:rPr>
        <w:t>再使用</w:t>
      </w:r>
      <w:r w:rsidR="00D81745" w:rsidRPr="00DF5C23">
        <w:rPr>
          <w:noProof/>
          <w:lang w:eastAsia="ja-JP"/>
        </w:rPr>
        <w:t>、リサイクルが容易な耐久性のある製品の促進を歓迎した。</w:t>
      </w:r>
      <w:r w:rsidR="00D81745" w:rsidRPr="00DF5C23">
        <w:rPr>
          <w:noProof/>
          <w:lang w:eastAsia="ja-JP"/>
        </w:rPr>
        <w:t>2021</w:t>
      </w:r>
      <w:r w:rsidR="00D81745" w:rsidRPr="00DF5C23">
        <w:rPr>
          <w:noProof/>
          <w:lang w:eastAsia="ja-JP"/>
        </w:rPr>
        <w:t>年</w:t>
      </w:r>
      <w:r w:rsidR="00D81745" w:rsidRPr="00DF5C23">
        <w:rPr>
          <w:noProof/>
          <w:lang w:eastAsia="ja-JP"/>
        </w:rPr>
        <w:t>2</w:t>
      </w:r>
      <w:r w:rsidR="00D81745" w:rsidRPr="00DF5C23">
        <w:rPr>
          <w:noProof/>
          <w:lang w:eastAsia="ja-JP"/>
        </w:rPr>
        <w:t>月</w:t>
      </w:r>
      <w:r w:rsidR="00D81745" w:rsidRPr="00DF5C23">
        <w:rPr>
          <w:noProof/>
          <w:lang w:eastAsia="ja-JP"/>
        </w:rPr>
        <w:t>16</w:t>
      </w:r>
      <w:r w:rsidR="00D81745" w:rsidRPr="00DF5C23">
        <w:rPr>
          <w:noProof/>
          <w:lang w:eastAsia="ja-JP"/>
        </w:rPr>
        <w:t>日に採択された新循環経済行動計画に関する報告書（</w:t>
      </w:r>
      <w:r w:rsidR="00D90F16" w:rsidRPr="00DF5C23">
        <w:rPr>
          <w:rStyle w:val="afa"/>
          <w:noProof/>
        </w:rPr>
        <w:footnoteReference w:id="32"/>
      </w:r>
      <w:r w:rsidR="00D81745" w:rsidRPr="00DF5C23">
        <w:rPr>
          <w:noProof/>
          <w:lang w:eastAsia="ja-JP"/>
        </w:rPr>
        <w:t xml:space="preserve"> </w:t>
      </w:r>
      <w:r w:rsidR="00D81745" w:rsidRPr="00DF5C23">
        <w:rPr>
          <w:noProof/>
          <w:lang w:eastAsia="ja-JP"/>
        </w:rPr>
        <w:t>）において、欧州議会は、</w:t>
      </w:r>
      <w:r w:rsidR="00D81745" w:rsidRPr="00DF5C23">
        <w:rPr>
          <w:noProof/>
          <w:lang w:eastAsia="ja-JP"/>
        </w:rPr>
        <w:t>CEAP</w:t>
      </w:r>
      <w:r w:rsidR="00D81745" w:rsidRPr="00DF5C23">
        <w:rPr>
          <w:noProof/>
          <w:lang w:eastAsia="ja-JP"/>
        </w:rPr>
        <w:t>で欧州委員会が提示した議題をさらに支持した。欧州議会は、循環型経済への移行が、現在の環境問題や</w:t>
      </w:r>
      <w:r w:rsidR="00D81745" w:rsidRPr="00DF5C23">
        <w:rPr>
          <w:noProof/>
          <w:lang w:eastAsia="ja-JP"/>
        </w:rPr>
        <w:t>COVID-19</w:t>
      </w:r>
      <w:r w:rsidR="00D81745" w:rsidRPr="00DF5C23">
        <w:rPr>
          <w:noProof/>
          <w:lang w:eastAsia="ja-JP"/>
        </w:rPr>
        <w:t>の大流行による経済危機に対処するための解決策を提供</w:t>
      </w:r>
      <w:r w:rsidR="00A4330D" w:rsidRPr="00DF5C23">
        <w:rPr>
          <w:noProof/>
          <w:lang w:eastAsia="ja-JP"/>
        </w:rPr>
        <w:t>できると考えている。</w:t>
      </w:r>
      <w:r w:rsidR="00D81745" w:rsidRPr="00DF5C23">
        <w:rPr>
          <w:noProof/>
          <w:lang w:eastAsia="ja-JP"/>
        </w:rPr>
        <w:t>理事会は、</w:t>
      </w:r>
      <w:r w:rsidR="00253723" w:rsidRPr="00DF5C23">
        <w:rPr>
          <w:noProof/>
          <w:lang w:eastAsia="ja-JP"/>
        </w:rPr>
        <w:t>2020</w:t>
      </w:r>
      <w:r w:rsidR="00253723" w:rsidRPr="00DF5C23">
        <w:rPr>
          <w:noProof/>
          <w:lang w:eastAsia="ja-JP"/>
        </w:rPr>
        <w:t>年</w:t>
      </w:r>
      <w:r w:rsidR="00253723" w:rsidRPr="00DF5C23">
        <w:rPr>
          <w:noProof/>
          <w:lang w:eastAsia="ja-JP"/>
        </w:rPr>
        <w:t>12</w:t>
      </w:r>
      <w:r w:rsidR="00253723" w:rsidRPr="00DF5C23">
        <w:rPr>
          <w:noProof/>
          <w:lang w:eastAsia="ja-JP"/>
        </w:rPr>
        <w:t>月</w:t>
      </w:r>
      <w:r w:rsidR="00253723" w:rsidRPr="00DF5C23">
        <w:rPr>
          <w:noProof/>
          <w:lang w:eastAsia="ja-JP"/>
        </w:rPr>
        <w:t>11</w:t>
      </w:r>
      <w:r w:rsidR="00253723" w:rsidRPr="00DF5C23">
        <w:rPr>
          <w:noProof/>
          <w:lang w:eastAsia="ja-JP"/>
        </w:rPr>
        <w:t>日に採択された</w:t>
      </w:r>
      <w:r w:rsidR="00A4330D" w:rsidRPr="00DF5C23">
        <w:rPr>
          <w:noProof/>
          <w:lang w:eastAsia="ja-JP"/>
        </w:rPr>
        <w:t>「復興をサーキュラーかつグリーンに</w:t>
      </w:r>
      <w:r w:rsidR="00D81745" w:rsidRPr="00DF5C23">
        <w:rPr>
          <w:noProof/>
          <w:lang w:eastAsia="ja-JP"/>
        </w:rPr>
        <w:t>」に関する結論</w:t>
      </w:r>
      <w:r w:rsidR="00253723" w:rsidRPr="00DF5C23">
        <w:rPr>
          <w:rStyle w:val="afa"/>
          <w:noProof/>
        </w:rPr>
        <w:footnoteReference w:id="33"/>
      </w:r>
      <w:r w:rsidR="00D81745" w:rsidRPr="00DF5C23">
        <w:rPr>
          <w:noProof/>
          <w:lang w:eastAsia="ja-JP"/>
        </w:rPr>
        <w:t xml:space="preserve"> </w:t>
      </w:r>
      <w:r w:rsidR="00D81745" w:rsidRPr="00DF5C23">
        <w:rPr>
          <w:noProof/>
          <w:lang w:eastAsia="ja-JP"/>
        </w:rPr>
        <w:t>において、気候中立性、エネルギーと資源の効率、無害な循環経済を促進し、公衆衛生と生物多様性を保護</w:t>
      </w:r>
      <w:r w:rsidR="00A4330D" w:rsidRPr="00DF5C23">
        <w:rPr>
          <w:noProof/>
          <w:lang w:eastAsia="ja-JP"/>
        </w:rPr>
        <w:t>し、</w:t>
      </w:r>
      <w:r w:rsidR="00D81745" w:rsidRPr="00DF5C23">
        <w:rPr>
          <w:noProof/>
          <w:lang w:eastAsia="ja-JP"/>
        </w:rPr>
        <w:t>消費者と公共の買い手に権限を与え保護する、包括的かつ統合的な持続可能な製品政策枠組みの一部として、立法案を提出するという欧州委員会の意図も歓迎した。</w:t>
      </w:r>
    </w:p>
    <w:p w14:paraId="751BB559" w14:textId="36730541" w:rsidR="0038775E" w:rsidRDefault="00877B9C" w:rsidP="002041D4">
      <w:pPr>
        <w:pStyle w:val="ManualConsidrant"/>
        <w:wordWrap w:val="0"/>
        <w:rPr>
          <w:noProof/>
          <w:lang w:eastAsia="ja-JP"/>
        </w:rPr>
      </w:pPr>
      <w:r w:rsidRPr="004F5E59">
        <w:rPr>
          <w:lang w:eastAsia="ja-JP"/>
        </w:rPr>
        <w:t>(7)</w:t>
      </w:r>
      <w:r w:rsidRPr="004F5E59">
        <w:rPr>
          <w:lang w:eastAsia="ja-JP"/>
        </w:rPr>
        <w:tab/>
      </w:r>
      <w:r w:rsidR="00C630DE" w:rsidRPr="00DF5C23">
        <w:rPr>
          <w:noProof/>
          <w:lang w:eastAsia="ja-JP"/>
        </w:rPr>
        <w:t>本規則は、欧州連合の気候およびエネルギーに関する目標の達成に貢献するはずである。</w:t>
      </w:r>
      <w:r w:rsidR="00181EDA" w:rsidRPr="00DF5C23">
        <w:rPr>
          <w:rStyle w:val="afa"/>
          <w:noProof/>
        </w:rPr>
        <w:footnoteReference w:id="34"/>
      </w:r>
      <w:r w:rsidR="00181EDA" w:rsidRPr="00DF5C23">
        <w:rPr>
          <w:noProof/>
          <w:lang w:eastAsia="ja-JP"/>
        </w:rPr>
        <w:t>2016</w:t>
      </w:r>
      <w:r w:rsidR="00181EDA" w:rsidRPr="00DF5C23">
        <w:rPr>
          <w:noProof/>
          <w:lang w:eastAsia="ja-JP"/>
        </w:rPr>
        <w:t>年に欧州連合が批准</w:t>
      </w:r>
      <w:r w:rsidR="0017624F" w:rsidRPr="00DF5C23">
        <w:rPr>
          <w:noProof/>
          <w:lang w:eastAsia="ja-JP"/>
        </w:rPr>
        <w:t>した</w:t>
      </w:r>
      <w:r w:rsidR="00181EDA" w:rsidRPr="00DF5C23">
        <w:rPr>
          <w:noProof/>
          <w:lang w:eastAsia="ja-JP"/>
        </w:rPr>
        <w:t>パリ協定で</w:t>
      </w:r>
      <w:r w:rsidR="0017624F" w:rsidRPr="00DF5C23">
        <w:rPr>
          <w:noProof/>
          <w:lang w:eastAsia="ja-JP"/>
        </w:rPr>
        <w:t>定められた目標に沿って、</w:t>
      </w:r>
      <w:r w:rsidR="00D81745" w:rsidRPr="00DF5C23">
        <w:rPr>
          <w:noProof/>
          <w:lang w:eastAsia="ja-JP"/>
        </w:rPr>
        <w:t>欧州議会および理事会の規則（</w:t>
      </w:r>
      <w:r w:rsidR="00D81745" w:rsidRPr="00DF5C23">
        <w:rPr>
          <w:noProof/>
          <w:lang w:eastAsia="ja-JP"/>
        </w:rPr>
        <w:t>EU</w:t>
      </w:r>
      <w:r w:rsidR="00D81745" w:rsidRPr="00DF5C23">
        <w:rPr>
          <w:noProof/>
          <w:lang w:eastAsia="ja-JP"/>
        </w:rPr>
        <w:t>）</w:t>
      </w:r>
      <w:r w:rsidR="00D81745" w:rsidRPr="00DF5C23">
        <w:rPr>
          <w:noProof/>
          <w:lang w:eastAsia="ja-JP"/>
        </w:rPr>
        <w:t>2021/1119</w:t>
      </w:r>
      <w:r w:rsidR="00D81745" w:rsidRPr="00DF5C23">
        <w:rPr>
          <w:noProof/>
          <w:lang w:eastAsia="ja-JP"/>
        </w:rPr>
        <w:t>、「欧州気候法」</w:t>
      </w:r>
      <w:r w:rsidR="00253723" w:rsidRPr="00DF5C23">
        <w:rPr>
          <w:rStyle w:val="afa"/>
          <w:noProof/>
        </w:rPr>
        <w:footnoteReference w:id="35"/>
      </w:r>
      <w:r w:rsidR="00D81745" w:rsidRPr="00DF5C23">
        <w:rPr>
          <w:noProof/>
          <w:lang w:eastAsia="ja-JP"/>
        </w:rPr>
        <w:t xml:space="preserve"> </w:t>
      </w:r>
      <w:r w:rsidR="00D81745" w:rsidRPr="00DF5C23">
        <w:rPr>
          <w:noProof/>
          <w:lang w:eastAsia="ja-JP"/>
        </w:rPr>
        <w:t>は、</w:t>
      </w:r>
      <w:r w:rsidR="00D81745" w:rsidRPr="00DF5C23">
        <w:rPr>
          <w:noProof/>
          <w:lang w:eastAsia="ja-JP"/>
        </w:rPr>
        <w:t>2030</w:t>
      </w:r>
      <w:r w:rsidR="00D81745" w:rsidRPr="00DF5C23">
        <w:rPr>
          <w:noProof/>
          <w:lang w:eastAsia="ja-JP"/>
        </w:rPr>
        <w:t>年までに温室効果ガスの純排出量を少なくとも</w:t>
      </w:r>
      <w:r w:rsidR="00D81745" w:rsidRPr="00DF5C23">
        <w:rPr>
          <w:noProof/>
          <w:lang w:eastAsia="ja-JP"/>
        </w:rPr>
        <w:t>55%</w:t>
      </w:r>
      <w:r w:rsidR="00D81745" w:rsidRPr="00DF5C23">
        <w:rPr>
          <w:noProof/>
          <w:lang w:eastAsia="ja-JP"/>
        </w:rPr>
        <w:t>削減するという拘束力のある連合国内の約束を設け、</w:t>
      </w:r>
      <w:r w:rsidR="00D81745" w:rsidRPr="00DF5C23">
        <w:rPr>
          <w:noProof/>
          <w:lang w:eastAsia="ja-JP"/>
        </w:rPr>
        <w:t>2050</w:t>
      </w:r>
      <w:r w:rsidR="00D81745" w:rsidRPr="00DF5C23">
        <w:rPr>
          <w:noProof/>
          <w:lang w:eastAsia="ja-JP"/>
        </w:rPr>
        <w:t>年までに経済全体の気候中立性という目標を法律に明記している。</w:t>
      </w:r>
      <w:r w:rsidR="00A4330D" w:rsidRPr="00DF5C23">
        <w:rPr>
          <w:noProof/>
          <w:lang w:eastAsia="ja-JP"/>
        </w:rPr>
        <w:t>2021</w:t>
      </w:r>
      <w:r w:rsidR="00A4330D" w:rsidRPr="00DF5C23">
        <w:rPr>
          <w:noProof/>
          <w:lang w:eastAsia="ja-JP"/>
        </w:rPr>
        <w:t>年、欧州委員会は、</w:t>
      </w:r>
      <w:r w:rsidR="00253723" w:rsidRPr="00DF5C23">
        <w:rPr>
          <w:noProof/>
          <w:lang w:eastAsia="ja-JP"/>
        </w:rPr>
        <w:t>EU</w:t>
      </w:r>
      <w:r w:rsidR="00253723" w:rsidRPr="00DF5C23">
        <w:rPr>
          <w:noProof/>
          <w:lang w:eastAsia="ja-JP"/>
        </w:rPr>
        <w:t>の</w:t>
      </w:r>
      <w:r w:rsidR="00D81745" w:rsidRPr="00DF5C23">
        <w:rPr>
          <w:noProof/>
          <w:lang w:eastAsia="ja-JP"/>
        </w:rPr>
        <w:t>気候</w:t>
      </w:r>
      <w:r w:rsidR="00C05B09" w:rsidRPr="00DF5C23">
        <w:rPr>
          <w:noProof/>
          <w:lang w:eastAsia="ja-JP"/>
        </w:rPr>
        <w:t>・</w:t>
      </w:r>
      <w:r w:rsidR="00D81745" w:rsidRPr="00DF5C23">
        <w:rPr>
          <w:noProof/>
          <w:lang w:eastAsia="ja-JP"/>
        </w:rPr>
        <w:t>エネルギー政策をこれらの</w:t>
      </w:r>
      <w:r w:rsidR="00C05B09" w:rsidRPr="00DF5C23">
        <w:rPr>
          <w:noProof/>
          <w:lang w:eastAsia="ja-JP"/>
        </w:rPr>
        <w:t>目標</w:t>
      </w:r>
      <w:r w:rsidR="00D81745" w:rsidRPr="00DF5C23">
        <w:rPr>
          <w:noProof/>
          <w:lang w:eastAsia="ja-JP"/>
        </w:rPr>
        <w:t>達成に適したものにするため、「</w:t>
      </w:r>
      <w:r w:rsidR="00D81745" w:rsidRPr="00DF5C23">
        <w:rPr>
          <w:noProof/>
          <w:lang w:eastAsia="ja-JP"/>
        </w:rPr>
        <w:t>55</w:t>
      </w:r>
      <w:r w:rsidR="00D81745" w:rsidRPr="00DF5C23">
        <w:rPr>
          <w:noProof/>
          <w:lang w:eastAsia="ja-JP"/>
        </w:rPr>
        <w:t>にふさわしいパッケージ」</w:t>
      </w:r>
      <w:r w:rsidR="00E86581" w:rsidRPr="00DF5C23">
        <w:rPr>
          <w:rStyle w:val="afa"/>
          <w:noProof/>
        </w:rPr>
        <w:footnoteReference w:id="36"/>
      </w:r>
      <w:r w:rsidR="00D81745" w:rsidRPr="00DF5C23">
        <w:rPr>
          <w:noProof/>
          <w:lang w:eastAsia="ja-JP"/>
        </w:rPr>
        <w:t xml:space="preserve"> </w:t>
      </w:r>
      <w:r w:rsidR="00D81745" w:rsidRPr="00DF5C23">
        <w:rPr>
          <w:noProof/>
          <w:lang w:eastAsia="ja-JP"/>
        </w:rPr>
        <w:t>を採択した。</w:t>
      </w:r>
      <w:r w:rsidR="00D81745" w:rsidRPr="00DF5C23">
        <w:rPr>
          <w:noProof/>
          <w:lang w:eastAsia="ja-JP"/>
        </w:rPr>
        <w:t xml:space="preserve">  </w:t>
      </w:r>
      <w:r w:rsidR="00D81745" w:rsidRPr="00DF5C23">
        <w:rPr>
          <w:noProof/>
          <w:lang w:eastAsia="ja-JP"/>
        </w:rPr>
        <w:t>その</w:t>
      </w:r>
      <w:r w:rsidR="00340538" w:rsidRPr="00DF5C23">
        <w:rPr>
          <w:noProof/>
          <w:lang w:eastAsia="ja-JP"/>
        </w:rPr>
        <w:t>ためには</w:t>
      </w:r>
      <w:r w:rsidR="00EE362C" w:rsidRPr="00DF5C23">
        <w:rPr>
          <w:noProof/>
          <w:lang w:eastAsia="ja-JP"/>
        </w:rPr>
        <w:t>、</w:t>
      </w:r>
      <w:r w:rsidR="000C4BED" w:rsidRPr="00DF5C23">
        <w:rPr>
          <w:noProof/>
          <w:lang w:eastAsia="ja-JP"/>
        </w:rPr>
        <w:t>欧州議会および理事会の指令（</w:t>
      </w:r>
      <w:r w:rsidR="000C4BED" w:rsidRPr="00DF5C23">
        <w:rPr>
          <w:noProof/>
          <w:lang w:eastAsia="ja-JP"/>
        </w:rPr>
        <w:t>EU</w:t>
      </w:r>
      <w:r w:rsidR="000C4BED" w:rsidRPr="00DF5C23">
        <w:rPr>
          <w:noProof/>
          <w:lang w:eastAsia="ja-JP"/>
        </w:rPr>
        <w:t>）</w:t>
      </w:r>
      <w:r w:rsidR="000C4BED" w:rsidRPr="00DF5C23">
        <w:rPr>
          <w:noProof/>
          <w:lang w:eastAsia="ja-JP"/>
        </w:rPr>
        <w:t>2018/2002</w:t>
      </w:r>
      <w:r w:rsidR="006F613E" w:rsidRPr="00DF5C23">
        <w:rPr>
          <w:rStyle w:val="afa"/>
          <w:noProof/>
        </w:rPr>
        <w:footnoteReference w:id="37"/>
      </w:r>
      <w:r w:rsidR="000C4BED" w:rsidRPr="00DF5C23">
        <w:rPr>
          <w:noProof/>
          <w:lang w:eastAsia="ja-JP"/>
        </w:rPr>
        <w:t xml:space="preserve"> </w:t>
      </w:r>
      <w:r w:rsidR="000C4BED" w:rsidRPr="00DF5C23">
        <w:rPr>
          <w:noProof/>
          <w:lang w:eastAsia="ja-JP"/>
        </w:rPr>
        <w:t>に明記されたエネルギー効率第一主義に則り、</w:t>
      </w:r>
      <w:r w:rsidR="00340538" w:rsidRPr="00DF5C23">
        <w:rPr>
          <w:noProof/>
          <w:lang w:eastAsia="ja-JP"/>
        </w:rPr>
        <w:t>エネルギー効率の改善を</w:t>
      </w:r>
      <w:r w:rsidR="000C4BED" w:rsidRPr="00DF5C23">
        <w:rPr>
          <w:noProof/>
          <w:lang w:eastAsia="ja-JP"/>
        </w:rPr>
        <w:t>大幅に強化し、</w:t>
      </w:r>
      <w:r w:rsidR="000C4BED" w:rsidRPr="00DF5C23">
        <w:rPr>
          <w:noProof/>
          <w:lang w:eastAsia="ja-JP"/>
        </w:rPr>
        <w:t>2030</w:t>
      </w:r>
      <w:r w:rsidR="000C4BED" w:rsidRPr="00DF5C23">
        <w:rPr>
          <w:noProof/>
          <w:lang w:eastAsia="ja-JP"/>
        </w:rPr>
        <w:t>年までに最終エネルギー消費量に換算して約</w:t>
      </w:r>
      <w:r w:rsidR="000C4BED" w:rsidRPr="00DF5C23">
        <w:rPr>
          <w:noProof/>
          <w:lang w:eastAsia="ja-JP"/>
        </w:rPr>
        <w:t>36%</w:t>
      </w:r>
      <w:r w:rsidR="000C4BED" w:rsidRPr="00DF5C23">
        <w:rPr>
          <w:noProof/>
          <w:lang w:eastAsia="ja-JP"/>
        </w:rPr>
        <w:t>にする必要がある</w:t>
      </w:r>
      <w:r w:rsidR="000C4BED" w:rsidRPr="00DF5C23">
        <w:rPr>
          <w:rStyle w:val="afa"/>
          <w:noProof/>
        </w:rPr>
        <w:footnoteReference w:id="38"/>
      </w:r>
      <w:r w:rsidR="0079347F" w:rsidRPr="00DF5C23">
        <w:rPr>
          <w:noProof/>
          <w:lang w:eastAsia="ja-JP"/>
        </w:rPr>
        <w:t xml:space="preserve"> </w:t>
      </w:r>
      <w:r w:rsidR="0079347F" w:rsidRPr="00DF5C23">
        <w:rPr>
          <w:noProof/>
          <w:lang w:eastAsia="ja-JP"/>
        </w:rPr>
        <w:t>。本規則に基づき制定された</w:t>
      </w:r>
      <w:r w:rsidR="000C4BED" w:rsidRPr="00DF5C23">
        <w:rPr>
          <w:noProof/>
          <w:lang w:eastAsia="ja-JP"/>
        </w:rPr>
        <w:t>製品要件は、製品のエネルギーフットプリントを</w:t>
      </w:r>
      <w:r w:rsidR="0079347F" w:rsidRPr="00DF5C23">
        <w:rPr>
          <w:noProof/>
          <w:lang w:eastAsia="ja-JP"/>
        </w:rPr>
        <w:t>大幅に削減することで、</w:t>
      </w:r>
      <w:r w:rsidR="000C4BED" w:rsidRPr="00DF5C23">
        <w:rPr>
          <w:noProof/>
          <w:lang w:eastAsia="ja-JP"/>
        </w:rPr>
        <w:t>この目標に向けて重要な役割を果たすはず</w:t>
      </w:r>
      <w:r w:rsidR="002041D4">
        <w:rPr>
          <w:noProof/>
          <w:lang w:eastAsia="ja-JP"/>
        </w:rPr>
        <w:t>である</w:t>
      </w:r>
      <w:r w:rsidR="000C4BED" w:rsidRPr="00DF5C23">
        <w:rPr>
          <w:noProof/>
          <w:lang w:eastAsia="ja-JP"/>
        </w:rPr>
        <w:t>。</w:t>
      </w:r>
      <w:r w:rsidR="00F54290" w:rsidRPr="00DF5C23">
        <w:rPr>
          <w:noProof/>
          <w:lang w:eastAsia="ja-JP"/>
        </w:rPr>
        <w:t>また、</w:t>
      </w:r>
      <w:r w:rsidR="00853095" w:rsidRPr="00DF5C23">
        <w:rPr>
          <w:noProof/>
          <w:lang w:eastAsia="ja-JP"/>
        </w:rPr>
        <w:t>これらのエネルギー効率要件は、エネルギー価格の上昇に対する消費者の脆弱性を軽減するものである。</w:t>
      </w:r>
      <w:r w:rsidR="000C4BED" w:rsidRPr="00DF5C23">
        <w:rPr>
          <w:noProof/>
          <w:lang w:eastAsia="ja-JP"/>
        </w:rPr>
        <w:t>パリ協定で</w:t>
      </w:r>
      <w:r w:rsidR="006F613E" w:rsidRPr="00DF5C23">
        <w:rPr>
          <w:noProof/>
          <w:lang w:eastAsia="ja-JP"/>
        </w:rPr>
        <w:t>認識されているように、</w:t>
      </w:r>
      <w:r w:rsidR="000C4BED" w:rsidRPr="00DF5C23">
        <w:rPr>
          <w:noProof/>
          <w:lang w:eastAsia="ja-JP"/>
        </w:rPr>
        <w:t>消費と生産の</w:t>
      </w:r>
      <w:r w:rsidR="006F613E" w:rsidRPr="00DF5C23">
        <w:rPr>
          <w:noProof/>
          <w:lang w:eastAsia="ja-JP"/>
        </w:rPr>
        <w:t>持続可能性を向上させることは、</w:t>
      </w:r>
      <w:r w:rsidR="000C4BED" w:rsidRPr="00DF5C23">
        <w:rPr>
          <w:noProof/>
          <w:lang w:eastAsia="ja-JP"/>
        </w:rPr>
        <w:t>気候変動に対処する上で重要な役割を果たすことになる。</w:t>
      </w:r>
    </w:p>
    <w:p w14:paraId="43E1C6E7" w14:textId="06A8B05C" w:rsidR="0038775E" w:rsidRDefault="00877B9C" w:rsidP="002041D4">
      <w:pPr>
        <w:pStyle w:val="ManualConsidrant"/>
        <w:wordWrap w:val="0"/>
        <w:rPr>
          <w:noProof/>
          <w:lang w:eastAsia="ja-JP"/>
        </w:rPr>
      </w:pPr>
      <w:r w:rsidRPr="004F5E59">
        <w:rPr>
          <w:lang w:eastAsia="ja-JP"/>
        </w:rPr>
        <w:t>(8)</w:t>
      </w:r>
      <w:r w:rsidRPr="004F5E59">
        <w:rPr>
          <w:lang w:eastAsia="ja-JP"/>
        </w:rPr>
        <w:tab/>
      </w:r>
      <w:r w:rsidR="00C630DE" w:rsidRPr="00DF5C23">
        <w:rPr>
          <w:noProof/>
          <w:lang w:eastAsia="ja-JP"/>
        </w:rPr>
        <w:t>本規則は、</w:t>
      </w:r>
      <w:r w:rsidR="00C630DE" w:rsidRPr="00DF5C23">
        <w:rPr>
          <w:noProof/>
          <w:lang w:eastAsia="ja-JP"/>
        </w:rPr>
        <w:t xml:space="preserve">EU </w:t>
      </w:r>
      <w:r w:rsidR="00C630DE" w:rsidRPr="00DF5C23">
        <w:rPr>
          <w:noProof/>
          <w:lang w:eastAsia="ja-JP"/>
        </w:rPr>
        <w:t>の広範な環境目標の達成にも寄与するはずである。</w:t>
      </w:r>
      <w:r w:rsidR="00D81745" w:rsidRPr="00DF5C23">
        <w:rPr>
          <w:noProof/>
          <w:lang w:eastAsia="ja-JP"/>
        </w:rPr>
        <w:t>第</w:t>
      </w:r>
      <w:r w:rsidR="00D81745" w:rsidRPr="00DF5C23">
        <w:rPr>
          <w:noProof/>
          <w:lang w:eastAsia="ja-JP"/>
        </w:rPr>
        <w:t>8</w:t>
      </w:r>
      <w:r w:rsidR="00D81745" w:rsidRPr="00DF5C23">
        <w:rPr>
          <w:noProof/>
          <w:lang w:eastAsia="ja-JP"/>
        </w:rPr>
        <w:t>次環境行動計画（</w:t>
      </w:r>
      <w:r w:rsidR="006F613E" w:rsidRPr="00DF5C23">
        <w:rPr>
          <w:rStyle w:val="afa"/>
          <w:noProof/>
        </w:rPr>
        <w:footnoteReference w:id="39"/>
      </w:r>
      <w:r w:rsidR="00D81745" w:rsidRPr="00DF5C23">
        <w:rPr>
          <w:noProof/>
          <w:lang w:eastAsia="ja-JP"/>
        </w:rPr>
        <w:t xml:space="preserve"> </w:t>
      </w:r>
      <w:r w:rsidR="00D81745" w:rsidRPr="00DF5C23">
        <w:rPr>
          <w:noProof/>
          <w:lang w:eastAsia="ja-JP"/>
        </w:rPr>
        <w:t>）は、惑星境界内に留まるという</w:t>
      </w:r>
      <w:r w:rsidR="00D81745" w:rsidRPr="00DF5C23">
        <w:rPr>
          <w:noProof/>
          <w:lang w:eastAsia="ja-JP"/>
        </w:rPr>
        <w:t>EU</w:t>
      </w:r>
      <w:r w:rsidR="00D81745" w:rsidRPr="00DF5C23">
        <w:rPr>
          <w:noProof/>
          <w:lang w:eastAsia="ja-JP"/>
        </w:rPr>
        <w:t>の目標を法的枠組みとして</w:t>
      </w:r>
      <w:r w:rsidR="00D81745" w:rsidRPr="00DF5C23">
        <w:rPr>
          <w:noProof/>
          <w:lang w:eastAsia="ja-JP"/>
        </w:rPr>
        <w:lastRenderedPageBreak/>
        <w:t>明記</w:t>
      </w:r>
      <w:r w:rsidR="005A41F0" w:rsidRPr="00DF5C23">
        <w:rPr>
          <w:noProof/>
          <w:lang w:eastAsia="ja-JP"/>
        </w:rPr>
        <w:t>し、</w:t>
      </w:r>
      <w:r w:rsidR="00D34C41" w:rsidRPr="00DF5C23">
        <w:rPr>
          <w:noProof/>
          <w:lang w:eastAsia="ja-JP"/>
        </w:rPr>
        <w:t>無害な循環経済への移行を</w:t>
      </w:r>
      <w:r w:rsidR="00D81745" w:rsidRPr="00DF5C23">
        <w:rPr>
          <w:noProof/>
          <w:lang w:eastAsia="ja-JP"/>
        </w:rPr>
        <w:t>含む優先目標を達成する</w:t>
      </w:r>
      <w:r w:rsidR="00A4330D" w:rsidRPr="00DF5C23">
        <w:rPr>
          <w:noProof/>
          <w:lang w:eastAsia="ja-JP"/>
        </w:rPr>
        <w:t>ための</w:t>
      </w:r>
      <w:r w:rsidR="00D81745" w:rsidRPr="00DF5C23">
        <w:rPr>
          <w:noProof/>
          <w:lang w:eastAsia="ja-JP"/>
        </w:rPr>
        <w:t>条件を</w:t>
      </w:r>
      <w:r w:rsidR="005A41F0" w:rsidRPr="00DF5C23">
        <w:rPr>
          <w:noProof/>
          <w:lang w:eastAsia="ja-JP"/>
        </w:rPr>
        <w:t>特定する</w:t>
      </w:r>
      <w:r w:rsidR="00D81745" w:rsidRPr="00DF5C23">
        <w:rPr>
          <w:noProof/>
          <w:lang w:eastAsia="ja-JP"/>
        </w:rPr>
        <w:t>。</w:t>
      </w:r>
      <w:r w:rsidR="00D81745" w:rsidRPr="00DF5C23">
        <w:rPr>
          <w:noProof/>
          <w:lang w:eastAsia="ja-JP"/>
        </w:rPr>
        <w:t xml:space="preserve">  </w:t>
      </w:r>
      <w:r w:rsidR="0681B866" w:rsidRPr="00DF5C23">
        <w:rPr>
          <w:noProof/>
          <w:lang w:eastAsia="ja-JP"/>
        </w:rPr>
        <w:t>欧州グリーンディールはまた、大気、水、土壌、消費者製品の汚染をよりよく監視、報告、予防、改善することを</w:t>
      </w:r>
      <w:r w:rsidR="0681B866" w:rsidRPr="00DF5C23">
        <w:rPr>
          <w:noProof/>
          <w:lang w:eastAsia="ja-JP"/>
        </w:rPr>
        <w:t>EU</w:t>
      </w:r>
      <w:r w:rsidR="0681B866" w:rsidRPr="00DF5C23">
        <w:rPr>
          <w:noProof/>
          <w:lang w:eastAsia="ja-JP"/>
        </w:rPr>
        <w:t>に求めている。これは、化学物質、材料、製品が、設計上およびライフサイクルにおいて可能な限り安全かつ持続可能でなければならず、無害な材料サイクル</w:t>
      </w:r>
      <w:r w:rsidR="00287860" w:rsidRPr="00DF5C23">
        <w:rPr>
          <w:rStyle w:val="afa"/>
          <w:noProof/>
        </w:rPr>
        <w:footnoteReference w:id="40"/>
      </w:r>
      <w:r w:rsidR="00216D85" w:rsidRPr="00DF5C23">
        <w:rPr>
          <w:noProof/>
          <w:lang w:eastAsia="ja-JP"/>
        </w:rPr>
        <w:t xml:space="preserve"> </w:t>
      </w:r>
      <w:r w:rsidR="00216D85" w:rsidRPr="00DF5C23">
        <w:rPr>
          <w:noProof/>
          <w:lang w:eastAsia="ja-JP"/>
        </w:rPr>
        <w:t>につながることを意味して</w:t>
      </w:r>
      <w:r w:rsidR="002041D4">
        <w:rPr>
          <w:noProof/>
          <w:lang w:eastAsia="ja-JP"/>
        </w:rPr>
        <w:t>いる。</w:t>
      </w:r>
      <w:r w:rsidR="00216D85" w:rsidRPr="00DF5C23">
        <w:rPr>
          <w:noProof/>
          <w:lang w:eastAsia="ja-JP"/>
        </w:rPr>
        <w:t>さらに、</w:t>
      </w:r>
      <w:r w:rsidR="00D81745" w:rsidRPr="00DF5C23">
        <w:rPr>
          <w:noProof/>
          <w:lang w:eastAsia="ja-JP"/>
        </w:rPr>
        <w:t>欧州グリーンディールと</w:t>
      </w:r>
      <w:r w:rsidR="00D81745" w:rsidRPr="00DF5C23">
        <w:rPr>
          <w:noProof/>
          <w:lang w:eastAsia="ja-JP"/>
        </w:rPr>
        <w:t>CEAP</w:t>
      </w:r>
      <w:r w:rsidR="00D81745" w:rsidRPr="00DF5C23">
        <w:rPr>
          <w:noProof/>
          <w:lang w:eastAsia="ja-JP"/>
        </w:rPr>
        <w:t>は、</w:t>
      </w:r>
      <w:r w:rsidR="00D81745" w:rsidRPr="00DF5C23">
        <w:rPr>
          <w:noProof/>
          <w:lang w:eastAsia="ja-JP"/>
        </w:rPr>
        <w:t>EU</w:t>
      </w:r>
      <w:r w:rsidR="00D81745" w:rsidRPr="00DF5C23">
        <w:rPr>
          <w:noProof/>
          <w:lang w:eastAsia="ja-JP"/>
        </w:rPr>
        <w:t>の域内市場が、製品の持続可能性と製品設計に関する世界標準に影響を与えることが</w:t>
      </w:r>
      <w:r w:rsidR="0079347F" w:rsidRPr="00DF5C23">
        <w:rPr>
          <w:noProof/>
          <w:lang w:eastAsia="ja-JP"/>
        </w:rPr>
        <w:t>できる</w:t>
      </w:r>
      <w:r w:rsidR="00D81745" w:rsidRPr="00DF5C23">
        <w:rPr>
          <w:noProof/>
          <w:lang w:eastAsia="ja-JP"/>
        </w:rPr>
        <w:t>臨界量を提供することを認識して</w:t>
      </w:r>
      <w:r w:rsidR="002041D4">
        <w:rPr>
          <w:noProof/>
          <w:lang w:eastAsia="ja-JP"/>
        </w:rPr>
        <w:t>いる。</w:t>
      </w:r>
      <w:r w:rsidR="00D81745" w:rsidRPr="00DF5C23">
        <w:rPr>
          <w:noProof/>
          <w:lang w:eastAsia="ja-JP"/>
        </w:rPr>
        <w:t>したがって、本規則は、国連の</w:t>
      </w:r>
      <w:r w:rsidR="00A4330D" w:rsidRPr="00DF5C23">
        <w:rPr>
          <w:noProof/>
          <w:lang w:eastAsia="ja-JP"/>
        </w:rPr>
        <w:t>持続可能な開発のための</w:t>
      </w:r>
      <w:r w:rsidR="00A4330D" w:rsidRPr="00DF5C23">
        <w:rPr>
          <w:noProof/>
          <w:lang w:eastAsia="ja-JP"/>
        </w:rPr>
        <w:t xml:space="preserve"> 2030 </w:t>
      </w:r>
      <w:r w:rsidR="00A4330D" w:rsidRPr="00DF5C23">
        <w:rPr>
          <w:noProof/>
          <w:lang w:eastAsia="ja-JP"/>
        </w:rPr>
        <w:t>年アジェンダの「責任ある消費と生産」</w:t>
      </w:r>
      <w:r w:rsidR="00F84A92" w:rsidRPr="00DF5C23">
        <w:rPr>
          <w:rStyle w:val="afa"/>
          <w:noProof/>
        </w:rPr>
        <w:footnoteReference w:id="41"/>
      </w:r>
      <w:r w:rsidR="00A4330D" w:rsidRPr="00DF5C23">
        <w:rPr>
          <w:noProof/>
          <w:lang w:eastAsia="ja-JP"/>
        </w:rPr>
        <w:t xml:space="preserve"> </w:t>
      </w:r>
      <w:r w:rsidR="00A4330D" w:rsidRPr="00DF5C23">
        <w:rPr>
          <w:noProof/>
          <w:lang w:eastAsia="ja-JP"/>
        </w:rPr>
        <w:t>の</w:t>
      </w:r>
      <w:r w:rsidR="00D81745" w:rsidRPr="00DF5C23">
        <w:rPr>
          <w:noProof/>
          <w:lang w:eastAsia="ja-JP"/>
        </w:rPr>
        <w:t>下で定められた</w:t>
      </w:r>
      <w:r w:rsidR="00216D85" w:rsidRPr="00DF5C23">
        <w:rPr>
          <w:noProof/>
          <w:lang w:eastAsia="ja-JP"/>
        </w:rPr>
        <w:t>いくつかの</w:t>
      </w:r>
      <w:r w:rsidR="00D81745" w:rsidRPr="00DF5C23">
        <w:rPr>
          <w:noProof/>
          <w:lang w:eastAsia="ja-JP"/>
        </w:rPr>
        <w:t>目標の達成に向けて、</w:t>
      </w:r>
      <w:r w:rsidR="00A4330D" w:rsidRPr="00DF5C23">
        <w:rPr>
          <w:noProof/>
          <w:lang w:eastAsia="ja-JP"/>
        </w:rPr>
        <w:t xml:space="preserve">EU </w:t>
      </w:r>
      <w:r w:rsidR="00426163" w:rsidRPr="00DF5C23">
        <w:rPr>
          <w:noProof/>
          <w:lang w:eastAsia="ja-JP"/>
        </w:rPr>
        <w:t>内外で</w:t>
      </w:r>
      <w:r w:rsidR="00D81745" w:rsidRPr="00DF5C23">
        <w:rPr>
          <w:noProof/>
          <w:lang w:eastAsia="ja-JP"/>
        </w:rPr>
        <w:t>大きな役割を果たす</w:t>
      </w:r>
      <w:r w:rsidR="00424A6F" w:rsidRPr="00DF5C23">
        <w:rPr>
          <w:noProof/>
          <w:lang w:eastAsia="ja-JP"/>
        </w:rPr>
        <w:t>はずである</w:t>
      </w:r>
      <w:r w:rsidR="00426163" w:rsidRPr="00DF5C23">
        <w:rPr>
          <w:noProof/>
          <w:lang w:eastAsia="ja-JP"/>
        </w:rPr>
        <w:t>。</w:t>
      </w:r>
    </w:p>
    <w:p w14:paraId="337ADFDB" w14:textId="7548C46D" w:rsidR="0038775E" w:rsidRDefault="00877B9C" w:rsidP="002041D4">
      <w:pPr>
        <w:pStyle w:val="ManualConsidrant"/>
        <w:wordWrap w:val="0"/>
        <w:rPr>
          <w:noProof/>
          <w:lang w:eastAsia="ja-JP"/>
        </w:rPr>
      </w:pPr>
      <w:r w:rsidRPr="004F5E59">
        <w:rPr>
          <w:lang w:eastAsia="ja-JP"/>
        </w:rPr>
        <w:t>(9)</w:t>
      </w:r>
      <w:r w:rsidRPr="004F5E59">
        <w:rPr>
          <w:lang w:eastAsia="ja-JP"/>
        </w:rPr>
        <w:tab/>
      </w:r>
      <w:r w:rsidR="00692ECD" w:rsidRPr="00DF5C23">
        <w:rPr>
          <w:noProof/>
          <w:lang w:eastAsia="ja-JP"/>
        </w:rPr>
        <w:t>指令</w:t>
      </w:r>
      <w:r w:rsidR="00692ECD" w:rsidRPr="00DF5C23">
        <w:rPr>
          <w:noProof/>
          <w:lang w:eastAsia="ja-JP"/>
        </w:rPr>
        <w:t xml:space="preserve"> 2009/125/EC </w:t>
      </w:r>
      <w:r w:rsidR="00692ECD" w:rsidRPr="00DF5C23">
        <w:rPr>
          <w:noProof/>
          <w:lang w:eastAsia="ja-JP"/>
        </w:rPr>
        <w:t>は、エネルギー関連製品のエコデザイン要求事項を設定するための枠組みを確立して</w:t>
      </w:r>
      <w:r w:rsidR="002041D4">
        <w:rPr>
          <w:noProof/>
          <w:lang w:eastAsia="ja-JP"/>
        </w:rPr>
        <w:t>いる。</w:t>
      </w:r>
      <w:r w:rsidR="00692ECD" w:rsidRPr="00DF5C23">
        <w:rPr>
          <w:noProof/>
          <w:lang w:eastAsia="ja-JP"/>
        </w:rPr>
        <w:t>この指令は、</w:t>
      </w:r>
      <w:r w:rsidR="000728B3" w:rsidRPr="00DF5C23">
        <w:rPr>
          <w:noProof/>
          <w:lang w:eastAsia="ja-JP"/>
        </w:rPr>
        <w:t>欧州議会および理事会の</w:t>
      </w:r>
      <w:r w:rsidR="00D81745" w:rsidRPr="00DF5C23">
        <w:rPr>
          <w:noProof/>
          <w:lang w:eastAsia="ja-JP"/>
        </w:rPr>
        <w:t>規則（</w:t>
      </w:r>
      <w:r w:rsidR="00D81745" w:rsidRPr="00DF5C23">
        <w:rPr>
          <w:noProof/>
          <w:lang w:eastAsia="ja-JP"/>
        </w:rPr>
        <w:t>EU</w:t>
      </w:r>
      <w:r w:rsidR="00D81745" w:rsidRPr="00DF5C23">
        <w:rPr>
          <w:noProof/>
          <w:lang w:eastAsia="ja-JP"/>
        </w:rPr>
        <w:t>）</w:t>
      </w:r>
      <w:r w:rsidR="00D81745" w:rsidRPr="00DF5C23">
        <w:rPr>
          <w:noProof/>
          <w:lang w:eastAsia="ja-JP"/>
        </w:rPr>
        <w:t>2017/1369</w:t>
      </w:r>
      <w:r w:rsidR="000728B3" w:rsidRPr="00DF5C23">
        <w:rPr>
          <w:rStyle w:val="afa"/>
          <w:noProof/>
        </w:rPr>
        <w:footnoteReference w:id="42"/>
      </w:r>
      <w:r w:rsidR="00D81745" w:rsidRPr="00DF5C23">
        <w:rPr>
          <w:noProof/>
          <w:lang w:eastAsia="ja-JP"/>
        </w:rPr>
        <w:t xml:space="preserve"> </w:t>
      </w:r>
      <w:r w:rsidR="00D81745" w:rsidRPr="00DF5C23">
        <w:rPr>
          <w:noProof/>
          <w:lang w:eastAsia="ja-JP"/>
        </w:rPr>
        <w:t>との組み合わせにより、</w:t>
      </w:r>
      <w:r w:rsidR="00D81745" w:rsidRPr="00DF5C23">
        <w:rPr>
          <w:noProof/>
          <w:lang w:eastAsia="ja-JP"/>
        </w:rPr>
        <w:t xml:space="preserve">EU </w:t>
      </w:r>
      <w:r w:rsidR="00D81745" w:rsidRPr="00DF5C23">
        <w:rPr>
          <w:noProof/>
          <w:lang w:eastAsia="ja-JP"/>
        </w:rPr>
        <w:t>の製品の一次エネルギー需要を</w:t>
      </w:r>
      <w:r w:rsidR="004D3CF8" w:rsidRPr="00DF5C23">
        <w:rPr>
          <w:noProof/>
          <w:lang w:eastAsia="ja-JP"/>
        </w:rPr>
        <w:t>大幅に</w:t>
      </w:r>
      <w:r w:rsidR="00D81745" w:rsidRPr="00DF5C23">
        <w:rPr>
          <w:noProof/>
          <w:lang w:eastAsia="ja-JP"/>
        </w:rPr>
        <w:t>削減し</w:t>
      </w:r>
      <w:r w:rsidR="00D81745" w:rsidRPr="00DF5C23">
        <w:rPr>
          <w:noProof/>
          <w:lang w:val="en-US" w:eastAsia="ja-JP"/>
        </w:rPr>
        <w:t>、</w:t>
      </w:r>
      <w:r w:rsidR="004D3CF8" w:rsidRPr="00DF5C23">
        <w:rPr>
          <w:noProof/>
          <w:lang w:val="en-US" w:eastAsia="ja-JP"/>
        </w:rPr>
        <w:t>これらの</w:t>
      </w:r>
      <w:r w:rsidR="00D81745" w:rsidRPr="00DF5C23">
        <w:rPr>
          <w:noProof/>
          <w:lang w:val="en-US" w:eastAsia="ja-JP"/>
        </w:rPr>
        <w:t>削減量は</w:t>
      </w:r>
      <w:r w:rsidR="004D3CF8" w:rsidRPr="00DF5C23">
        <w:rPr>
          <w:noProof/>
          <w:lang w:val="en-US" w:eastAsia="ja-JP"/>
        </w:rPr>
        <w:t>今後も</w:t>
      </w:r>
      <w:r w:rsidR="00D81745" w:rsidRPr="00DF5C23">
        <w:rPr>
          <w:noProof/>
          <w:lang w:val="en-US" w:eastAsia="ja-JP"/>
        </w:rPr>
        <w:t>増加すると推定されて</w:t>
      </w:r>
      <w:r w:rsidR="002041D4">
        <w:rPr>
          <w:noProof/>
          <w:lang w:val="en-US" w:eastAsia="ja-JP"/>
        </w:rPr>
        <w:t>いる。</w:t>
      </w:r>
      <w:r w:rsidR="004D3CF8" w:rsidRPr="00DF5C23">
        <w:rPr>
          <w:noProof/>
          <w:lang w:eastAsia="ja-JP"/>
        </w:rPr>
        <w:t>指令</w:t>
      </w:r>
      <w:r w:rsidR="004D3CF8" w:rsidRPr="00DF5C23">
        <w:rPr>
          <w:noProof/>
          <w:lang w:eastAsia="ja-JP"/>
        </w:rPr>
        <w:t xml:space="preserve"> 2009/125/EC </w:t>
      </w:r>
      <w:r w:rsidR="004D3CF8" w:rsidRPr="00DF5C23">
        <w:rPr>
          <w:noProof/>
          <w:lang w:eastAsia="ja-JP"/>
        </w:rPr>
        <w:t>に基づいて採用された実施</w:t>
      </w:r>
      <w:r w:rsidR="00D81745" w:rsidRPr="00DF5C23">
        <w:rPr>
          <w:noProof/>
          <w:lang w:eastAsia="ja-JP"/>
        </w:rPr>
        <w:t>措置には、耐久性、</w:t>
      </w:r>
      <w:r w:rsidR="00692ECD" w:rsidRPr="00DF5C23">
        <w:rPr>
          <w:noProof/>
          <w:lang w:eastAsia="ja-JP"/>
        </w:rPr>
        <w:t>修復性、リサイクル性など、循環性の側面に関する</w:t>
      </w:r>
      <w:r w:rsidR="00D81745" w:rsidRPr="00DF5C23">
        <w:rPr>
          <w:noProof/>
          <w:lang w:eastAsia="ja-JP"/>
        </w:rPr>
        <w:t>要件も含まれて</w:t>
      </w:r>
      <w:r w:rsidR="002041D4">
        <w:rPr>
          <w:noProof/>
          <w:lang w:eastAsia="ja-JP"/>
        </w:rPr>
        <w:t>いる。</w:t>
      </w:r>
      <w:r w:rsidR="00D81745" w:rsidRPr="00DF5C23">
        <w:rPr>
          <w:noProof/>
          <w:lang w:eastAsia="ja-JP"/>
        </w:rPr>
        <w:t>同時に、</w:t>
      </w:r>
      <w:r w:rsidR="0079347F" w:rsidRPr="00DF5C23">
        <w:rPr>
          <w:noProof/>
          <w:lang w:eastAsia="ja-JP"/>
        </w:rPr>
        <w:t>欧州議会および理事会規則（</w:t>
      </w:r>
      <w:r w:rsidR="0079347F" w:rsidRPr="00DF5C23">
        <w:rPr>
          <w:noProof/>
          <w:lang w:eastAsia="ja-JP"/>
        </w:rPr>
        <w:t>EC</w:t>
      </w:r>
      <w:r w:rsidR="0079347F" w:rsidRPr="00DF5C23">
        <w:rPr>
          <w:noProof/>
          <w:lang w:eastAsia="ja-JP"/>
        </w:rPr>
        <w:t>）</w:t>
      </w:r>
      <w:r w:rsidR="0079347F" w:rsidRPr="00DF5C23">
        <w:rPr>
          <w:noProof/>
          <w:lang w:eastAsia="ja-JP"/>
        </w:rPr>
        <w:t xml:space="preserve">No </w:t>
      </w:r>
      <w:r w:rsidR="00F0242B" w:rsidRPr="00DF5C23">
        <w:rPr>
          <w:noProof/>
          <w:lang w:eastAsia="ja-JP"/>
        </w:rPr>
        <w:t>66/2010</w:t>
      </w:r>
      <w:r w:rsidR="00F0242B" w:rsidRPr="00DF5C23">
        <w:rPr>
          <w:noProof/>
          <w:lang w:eastAsia="ja-JP"/>
        </w:rPr>
        <w:t>（</w:t>
      </w:r>
      <w:r w:rsidR="00BA4E97" w:rsidRPr="00DF5C23">
        <w:rPr>
          <w:rStyle w:val="afa"/>
          <w:noProof/>
        </w:rPr>
        <w:footnoteReference w:id="43"/>
      </w:r>
      <w:r w:rsidR="00F0242B" w:rsidRPr="00DF5C23">
        <w:rPr>
          <w:noProof/>
          <w:lang w:eastAsia="ja-JP"/>
        </w:rPr>
        <w:t xml:space="preserve"> </w:t>
      </w:r>
      <w:r w:rsidR="00F0242B" w:rsidRPr="00DF5C23">
        <w:rPr>
          <w:noProof/>
          <w:lang w:eastAsia="ja-JP"/>
        </w:rPr>
        <w:t>）</w:t>
      </w:r>
      <w:r w:rsidR="0079347F" w:rsidRPr="00DF5C23">
        <w:rPr>
          <w:noProof/>
          <w:lang w:eastAsia="ja-JP"/>
        </w:rPr>
        <w:t xml:space="preserve"> </w:t>
      </w:r>
      <w:r w:rsidR="0079347F" w:rsidRPr="00DF5C23">
        <w:rPr>
          <w:noProof/>
          <w:lang w:eastAsia="ja-JP"/>
        </w:rPr>
        <w:t>によって導入された</w:t>
      </w:r>
      <w:r w:rsidR="00F0242B" w:rsidRPr="00DF5C23">
        <w:rPr>
          <w:noProof/>
          <w:lang w:eastAsia="ja-JP"/>
        </w:rPr>
        <w:t>EU</w:t>
      </w:r>
      <w:r w:rsidR="00F0242B" w:rsidRPr="00DF5C23">
        <w:rPr>
          <w:noProof/>
          <w:lang w:eastAsia="ja-JP"/>
        </w:rPr>
        <w:t>エコラベルや、</w:t>
      </w:r>
      <w:r w:rsidR="00F0242B" w:rsidRPr="00DF5C23">
        <w:rPr>
          <w:noProof/>
          <w:lang w:eastAsia="ja-JP"/>
        </w:rPr>
        <w:t>EU</w:t>
      </w:r>
      <w:r w:rsidR="00F0242B" w:rsidRPr="00DF5C23">
        <w:rPr>
          <w:noProof/>
          <w:lang w:eastAsia="ja-JP"/>
        </w:rPr>
        <w:t>グリーン公共調達基準</w:t>
      </w:r>
      <w:r w:rsidR="00F0242B" w:rsidRPr="00DF5C23">
        <w:rPr>
          <w:noProof/>
          <w:sz w:val="16"/>
          <w:szCs w:val="16"/>
          <w:lang w:eastAsia="ja-JP"/>
        </w:rPr>
        <w:t>（</w:t>
      </w:r>
      <w:r w:rsidR="00F84A92" w:rsidRPr="00DF5C23">
        <w:rPr>
          <w:rStyle w:val="afa"/>
          <w:noProof/>
        </w:rPr>
        <w:footnoteReference w:id="44"/>
      </w:r>
      <w:r w:rsidR="00F0242B" w:rsidRPr="00DF5C23">
        <w:rPr>
          <w:noProof/>
          <w:sz w:val="16"/>
          <w:szCs w:val="16"/>
          <w:lang w:eastAsia="ja-JP"/>
        </w:rPr>
        <w:t xml:space="preserve"> </w:t>
      </w:r>
      <w:r w:rsidR="00F0242B" w:rsidRPr="00DF5C23">
        <w:rPr>
          <w:noProof/>
          <w:sz w:val="16"/>
          <w:szCs w:val="16"/>
          <w:lang w:eastAsia="ja-JP"/>
        </w:rPr>
        <w:t>）の</w:t>
      </w:r>
      <w:r w:rsidR="00F0242B" w:rsidRPr="00DF5C23">
        <w:rPr>
          <w:noProof/>
          <w:lang w:eastAsia="ja-JP"/>
        </w:rPr>
        <w:t>ような手段は、範囲は広いものの、自主的アプローチの限界からインパクトは小さく</w:t>
      </w:r>
      <w:r w:rsidR="0079347F" w:rsidRPr="00DF5C23">
        <w:rPr>
          <w:noProof/>
          <w:lang w:eastAsia="ja-JP"/>
        </w:rPr>
        <w:t>なって</w:t>
      </w:r>
      <w:r w:rsidR="002041D4">
        <w:rPr>
          <w:noProof/>
          <w:lang w:eastAsia="ja-JP"/>
        </w:rPr>
        <w:t>いる。</w:t>
      </w:r>
      <w:r w:rsidR="0079347F" w:rsidRPr="00DF5C23">
        <w:rPr>
          <w:noProof/>
          <w:lang w:eastAsia="ja-JP"/>
        </w:rPr>
        <w:t xml:space="preserve"> </w:t>
      </w:r>
    </w:p>
    <w:p w14:paraId="396EA8A0" w14:textId="5A94EBCD" w:rsidR="0038775E" w:rsidRDefault="00877B9C" w:rsidP="002041D4">
      <w:pPr>
        <w:pStyle w:val="ManualConsidrant"/>
        <w:wordWrap w:val="0"/>
        <w:rPr>
          <w:noProof/>
          <w:lang w:eastAsia="ja-JP"/>
        </w:rPr>
      </w:pPr>
      <w:r w:rsidRPr="004F5E59">
        <w:rPr>
          <w:lang w:eastAsia="ja-JP"/>
        </w:rPr>
        <w:t>(10)</w:t>
      </w:r>
      <w:r w:rsidRPr="004F5E59">
        <w:rPr>
          <w:lang w:eastAsia="ja-JP"/>
        </w:rPr>
        <w:tab/>
      </w:r>
      <w:r w:rsidR="004313D0" w:rsidRPr="00DF5C23">
        <w:rPr>
          <w:noProof/>
          <w:lang w:eastAsia="ja-JP"/>
        </w:rPr>
        <w:t>指令</w:t>
      </w:r>
      <w:r w:rsidR="004313D0" w:rsidRPr="00DF5C23">
        <w:rPr>
          <w:noProof/>
          <w:lang w:eastAsia="ja-JP"/>
        </w:rPr>
        <w:t>2009/125/EC</w:t>
      </w:r>
      <w:r w:rsidR="004313D0" w:rsidRPr="00DF5C23">
        <w:rPr>
          <w:noProof/>
          <w:lang w:eastAsia="ja-JP"/>
        </w:rPr>
        <w:t>は、エネルギー関連製品のエネルギー効率と一部の循環性の側面を促進することに概ね成功しており、そのアプローチは、すべての製品の持続可能性に段階的に対処する可能性を秘めて</w:t>
      </w:r>
      <w:r w:rsidR="002041D4">
        <w:rPr>
          <w:noProof/>
          <w:lang w:eastAsia="ja-JP"/>
        </w:rPr>
        <w:t>いる。</w:t>
      </w:r>
      <w:r w:rsidR="004313D0" w:rsidRPr="00DF5C23">
        <w:rPr>
          <w:noProof/>
          <w:lang w:eastAsia="ja-JP"/>
        </w:rPr>
        <w:t>グリーンディールの公約を達成するためには、このアプローチを他の製品群にも拡大し、拘束力のある要件で製品の環境</w:t>
      </w:r>
      <w:r w:rsidR="004313D0" w:rsidRPr="00DF5C23" w:rsidDel="00E76850">
        <w:rPr>
          <w:noProof/>
          <w:lang w:eastAsia="ja-JP"/>
        </w:rPr>
        <w:t>持続可能性を</w:t>
      </w:r>
      <w:r w:rsidR="004313D0" w:rsidRPr="00DF5C23">
        <w:rPr>
          <w:noProof/>
          <w:lang w:eastAsia="ja-JP"/>
        </w:rPr>
        <w:t>高めるための重要な</w:t>
      </w:r>
      <w:r w:rsidR="004313D0" w:rsidRPr="00DF5C23" w:rsidDel="00E76850">
        <w:rPr>
          <w:noProof/>
          <w:lang w:eastAsia="ja-JP"/>
        </w:rPr>
        <w:t>側面を体系的に扱う</w:t>
      </w:r>
      <w:r w:rsidR="004313D0" w:rsidRPr="00DF5C23">
        <w:rPr>
          <w:noProof/>
          <w:lang w:eastAsia="ja-JP"/>
        </w:rPr>
        <w:t>必要がある。</w:t>
      </w:r>
      <w:r w:rsidR="004313D0" w:rsidRPr="00DF5C23">
        <w:rPr>
          <w:noProof/>
          <w:lang w:val="en-IE" w:eastAsia="fr-BE"/>
        </w:rPr>
        <w:t>これらの要件を満たす製品のみが連合市場に出されることを保証することにより、本規則は、国による格差を回避して当該製品の自由な移動を改善するだけでなく、当該要件が設定された製品の負のライフサイクル環境影響を低減することができるはずである。</w:t>
      </w:r>
      <w:r w:rsidR="004313D0" w:rsidRPr="00DF5C23">
        <w:rPr>
          <w:noProof/>
          <w:lang w:val="en-IE" w:eastAsia="fr-BE"/>
        </w:rPr>
        <w:t xml:space="preserve"> </w:t>
      </w:r>
      <w:r w:rsidR="004313D0" w:rsidRPr="00DF5C23">
        <w:rPr>
          <w:noProof/>
          <w:lang w:eastAsia="ja-JP"/>
        </w:rPr>
        <w:t xml:space="preserve"> </w:t>
      </w:r>
    </w:p>
    <w:p w14:paraId="6547D5E5" w14:textId="30CE920F" w:rsidR="0038775E" w:rsidRDefault="00877B9C" w:rsidP="002041D4">
      <w:pPr>
        <w:pStyle w:val="ManualConsidrant"/>
        <w:wordWrap w:val="0"/>
        <w:rPr>
          <w:noProof/>
          <w:lang w:eastAsia="ja-JP"/>
        </w:rPr>
      </w:pPr>
      <w:r w:rsidRPr="004F5E59">
        <w:rPr>
          <w:lang w:eastAsia="ja-JP"/>
        </w:rPr>
        <w:t>(11)</w:t>
      </w:r>
      <w:r w:rsidRPr="004F5E59">
        <w:rPr>
          <w:lang w:eastAsia="ja-JP"/>
        </w:rPr>
        <w:tab/>
      </w:r>
      <w:r w:rsidR="00452605" w:rsidRPr="00DF5C23">
        <w:rPr>
          <w:noProof/>
          <w:lang w:eastAsia="ja-JP"/>
        </w:rPr>
        <w:t>効果的で将来性のある規制の枠組みを構築するためには、部品や中間製品を含め、市場に出回る、または使用されるすべての物理的な商品に対してエコデザイン</w:t>
      </w:r>
      <w:r w:rsidR="00813CBC" w:rsidRPr="00DF5C23">
        <w:rPr>
          <w:noProof/>
          <w:lang w:eastAsia="ja-JP"/>
        </w:rPr>
        <w:t>要求事項を設定できるようにすることが必要である。</w:t>
      </w:r>
      <w:r w:rsidR="00452605" w:rsidRPr="00DF5C23">
        <w:rPr>
          <w:noProof/>
          <w:lang w:eastAsia="ja-JP"/>
        </w:rPr>
        <w:t>これにより、欧州委員会は、エコデザイン要求の設定に優先順位をつける際に、可能な限り幅広い製品を考慮し、その効果を最大化することができるはずである。必</w:t>
      </w:r>
      <w:r w:rsidR="00452605" w:rsidRPr="00DF5C23">
        <w:rPr>
          <w:noProof/>
          <w:lang w:eastAsia="ja-JP"/>
        </w:rPr>
        <w:lastRenderedPageBreak/>
        <w:t>要な場合には、エコデザイン要求事項を設定する際に、例えば、</w:t>
      </w:r>
      <w:r w:rsidR="00927EA1" w:rsidRPr="00DF5C23">
        <w:rPr>
          <w:noProof/>
          <w:lang w:eastAsia="ja-JP"/>
        </w:rPr>
        <w:t>エコデザイン要求事項を遵守しても満たされない</w:t>
      </w:r>
      <w:r w:rsidR="00452605" w:rsidRPr="00DF5C23">
        <w:rPr>
          <w:noProof/>
          <w:lang w:eastAsia="ja-JP"/>
        </w:rPr>
        <w:t>特定の目的を持つ製品について、特定の免除を行うべきである。</w:t>
      </w:r>
      <w:r w:rsidR="00927EA1" w:rsidRPr="00DF5C23">
        <w:rPr>
          <w:noProof/>
          <w:lang w:eastAsia="ja-JP"/>
        </w:rPr>
        <w:t>さらに、エコデザイン要求が適切でないことが既に明らかな製品や、他の枠組みがそのような要求の設定を規定している製品については、枠組みのレベルで</w:t>
      </w:r>
      <w:r w:rsidR="00452605" w:rsidRPr="00DF5C23">
        <w:rPr>
          <w:noProof/>
          <w:lang w:eastAsia="ja-JP"/>
        </w:rPr>
        <w:t>適用除外を行うべきである。これは、</w:t>
      </w:r>
      <w:r w:rsidR="00F37D26" w:rsidRPr="00DF5C23">
        <w:rPr>
          <w:noProof/>
          <w:lang w:eastAsia="ja-JP"/>
        </w:rPr>
        <w:t>欧州議会及び理事</w:t>
      </w:r>
      <w:r w:rsidR="00927EA1" w:rsidRPr="00DF5C23">
        <w:rPr>
          <w:noProof/>
          <w:lang w:eastAsia="ja-JP"/>
        </w:rPr>
        <w:t>会の規則（</w:t>
      </w:r>
      <w:r w:rsidR="00927EA1" w:rsidRPr="00DF5C23">
        <w:rPr>
          <w:noProof/>
          <w:lang w:eastAsia="ja-JP"/>
        </w:rPr>
        <w:t>EC</w:t>
      </w:r>
      <w:r w:rsidR="00927EA1" w:rsidRPr="00DF5C23">
        <w:rPr>
          <w:noProof/>
          <w:lang w:eastAsia="ja-JP"/>
        </w:rPr>
        <w:t>）</w:t>
      </w:r>
      <w:r w:rsidR="00927EA1" w:rsidRPr="00DF5C23">
        <w:rPr>
          <w:noProof/>
          <w:lang w:eastAsia="ja-JP"/>
        </w:rPr>
        <w:t xml:space="preserve">No 178/2002 </w:t>
      </w:r>
      <w:r w:rsidR="00927EA1" w:rsidRPr="00DF5C23">
        <w:rPr>
          <w:noProof/>
          <w:lang w:eastAsia="ja-JP"/>
        </w:rPr>
        <w:t>に定義される食品</w:t>
      </w:r>
      <w:r w:rsidR="00F37D26" w:rsidRPr="00DF5C23">
        <w:rPr>
          <w:noProof/>
          <w:lang w:eastAsia="ja-JP"/>
        </w:rPr>
        <w:t>及び飼料</w:t>
      </w:r>
      <w:r w:rsidR="00927EA1" w:rsidRPr="00DF5C23">
        <w:rPr>
          <w:noProof/>
          <w:lang w:eastAsia="ja-JP"/>
        </w:rPr>
        <w:t>（</w:t>
      </w:r>
      <w:r w:rsidR="00F37D26" w:rsidRPr="00DF5C23">
        <w:rPr>
          <w:rStyle w:val="afa"/>
          <w:noProof/>
        </w:rPr>
        <w:footnoteReference w:id="45"/>
      </w:r>
      <w:r w:rsidR="00927EA1" w:rsidRPr="00DF5C23">
        <w:rPr>
          <w:noProof/>
          <w:lang w:eastAsia="ja-JP"/>
        </w:rPr>
        <w:t xml:space="preserve"> </w:t>
      </w:r>
      <w:r w:rsidR="00927EA1" w:rsidRPr="00DF5C23">
        <w:rPr>
          <w:noProof/>
          <w:lang w:eastAsia="ja-JP"/>
        </w:rPr>
        <w:t>）、</w:t>
      </w:r>
      <w:r w:rsidR="00F37D26" w:rsidRPr="00DF5C23">
        <w:rPr>
          <w:noProof/>
          <w:lang w:eastAsia="ja-JP"/>
        </w:rPr>
        <w:t>欧州議会及び理事会の</w:t>
      </w:r>
      <w:r w:rsidR="00927EA1" w:rsidRPr="00DF5C23">
        <w:rPr>
          <w:noProof/>
          <w:lang w:eastAsia="ja-JP"/>
        </w:rPr>
        <w:t>指令</w:t>
      </w:r>
      <w:r w:rsidR="00927EA1" w:rsidRPr="00DF5C23">
        <w:rPr>
          <w:noProof/>
          <w:lang w:eastAsia="ja-JP"/>
        </w:rPr>
        <w:t xml:space="preserve"> 2001/83/EC </w:t>
      </w:r>
      <w:r w:rsidR="00927EA1" w:rsidRPr="00DF5C23">
        <w:rPr>
          <w:noProof/>
          <w:lang w:eastAsia="ja-JP"/>
        </w:rPr>
        <w:t>に定義されるヒト用医薬品（</w:t>
      </w:r>
      <w:r w:rsidR="00F37D26" w:rsidRPr="00DF5C23">
        <w:rPr>
          <w:rStyle w:val="afa"/>
          <w:noProof/>
        </w:rPr>
        <w:footnoteReference w:id="46"/>
      </w:r>
      <w:r w:rsidR="00927EA1" w:rsidRPr="00DF5C23">
        <w:rPr>
          <w:noProof/>
          <w:lang w:eastAsia="ja-JP"/>
        </w:rPr>
        <w:t xml:space="preserve"> </w:t>
      </w:r>
      <w:r w:rsidR="00927EA1" w:rsidRPr="00DF5C23">
        <w:rPr>
          <w:noProof/>
          <w:lang w:eastAsia="ja-JP"/>
        </w:rPr>
        <w:t>）、</w:t>
      </w:r>
      <w:r w:rsidR="00F37D26" w:rsidRPr="00DF5C23">
        <w:rPr>
          <w:noProof/>
          <w:lang w:eastAsia="ja-JP"/>
        </w:rPr>
        <w:t>欧州議会及び理事会の</w:t>
      </w:r>
      <w:r w:rsidR="00927EA1" w:rsidRPr="00DF5C23">
        <w:rPr>
          <w:noProof/>
          <w:lang w:eastAsia="ja-JP"/>
        </w:rPr>
        <w:t>規則（</w:t>
      </w:r>
      <w:r w:rsidR="00927EA1" w:rsidRPr="00DF5C23">
        <w:rPr>
          <w:noProof/>
          <w:lang w:eastAsia="ja-JP"/>
        </w:rPr>
        <w:t>EU</w:t>
      </w:r>
      <w:r w:rsidR="00927EA1" w:rsidRPr="00DF5C23">
        <w:rPr>
          <w:noProof/>
          <w:lang w:eastAsia="ja-JP"/>
        </w:rPr>
        <w:t>）</w:t>
      </w:r>
      <w:r w:rsidR="00927EA1" w:rsidRPr="00DF5C23">
        <w:rPr>
          <w:noProof/>
          <w:lang w:eastAsia="ja-JP"/>
        </w:rPr>
        <w:t xml:space="preserve">2019/6 </w:t>
      </w:r>
      <w:r w:rsidR="00927EA1" w:rsidRPr="00DF5C23">
        <w:rPr>
          <w:noProof/>
          <w:lang w:eastAsia="ja-JP"/>
        </w:rPr>
        <w:t>に定義される動物用医薬品（</w:t>
      </w:r>
      <w:r w:rsidR="00F37D26" w:rsidRPr="00DF5C23">
        <w:rPr>
          <w:rStyle w:val="afa"/>
          <w:noProof/>
        </w:rPr>
        <w:footnoteReference w:id="47"/>
      </w:r>
      <w:r w:rsidR="00927EA1" w:rsidRPr="00DF5C23">
        <w:rPr>
          <w:noProof/>
          <w:lang w:eastAsia="ja-JP"/>
        </w:rPr>
        <w:t xml:space="preserve"> </w:t>
      </w:r>
      <w:r w:rsidR="00927EA1" w:rsidRPr="00DF5C23">
        <w:rPr>
          <w:noProof/>
          <w:lang w:eastAsia="ja-JP"/>
        </w:rPr>
        <w:t>）、生きた植物、動物、微生物、ヒト由来の製品、将来の繁殖に直接関係する植物や動物の製品についてのケースであるべき</w:t>
      </w:r>
      <w:r w:rsidR="002041D4">
        <w:rPr>
          <w:noProof/>
          <w:lang w:eastAsia="ja-JP"/>
        </w:rPr>
        <w:t>である</w:t>
      </w:r>
      <w:r w:rsidR="00927EA1" w:rsidRPr="00DF5C23">
        <w:rPr>
          <w:noProof/>
          <w:lang w:eastAsia="ja-JP"/>
        </w:rPr>
        <w:t>。</w:t>
      </w:r>
      <w:r w:rsidR="00927EA1" w:rsidRPr="00DF5C23">
        <w:rPr>
          <w:noProof/>
          <w:lang w:eastAsia="ja-JP"/>
        </w:rPr>
        <w:t xml:space="preserve"> </w:t>
      </w:r>
    </w:p>
    <w:p w14:paraId="42FB1F89" w14:textId="599C5DDC" w:rsidR="0038775E" w:rsidRDefault="00877B9C" w:rsidP="002041D4">
      <w:pPr>
        <w:pStyle w:val="ManualConsidrant"/>
        <w:wordWrap w:val="0"/>
        <w:rPr>
          <w:noProof/>
          <w:lang w:eastAsia="ja-JP"/>
        </w:rPr>
      </w:pPr>
      <w:r w:rsidRPr="004F5E59">
        <w:rPr>
          <w:lang w:eastAsia="ja-JP"/>
        </w:rPr>
        <w:t>(12)</w:t>
      </w:r>
      <w:r w:rsidRPr="004F5E59">
        <w:rPr>
          <w:lang w:eastAsia="ja-JP"/>
        </w:rPr>
        <w:tab/>
      </w:r>
      <w:r w:rsidR="00BF1E38" w:rsidRPr="00DF5C23">
        <w:rPr>
          <w:noProof/>
          <w:lang w:eastAsia="ja-JP"/>
        </w:rPr>
        <w:t>建物のエネルギー性能に関する欧州議会および理事会の指令案</w:t>
      </w:r>
      <w:r w:rsidR="00DA1886" w:rsidRPr="00DF5C23">
        <w:rPr>
          <w:noProof/>
          <w:lang w:eastAsia="ja-JP"/>
        </w:rPr>
        <w:t>（再掲</w:t>
      </w:r>
      <w:r w:rsidR="00BF1E38" w:rsidRPr="00DF5C23">
        <w:rPr>
          <w:noProof/>
          <w:lang w:eastAsia="ja-JP"/>
        </w:rPr>
        <w:t>）</w:t>
      </w:r>
      <w:r w:rsidR="00BF1E38" w:rsidRPr="00DF5C23">
        <w:rPr>
          <w:rStyle w:val="afa"/>
          <w:noProof/>
        </w:rPr>
        <w:footnoteReference w:id="48"/>
      </w:r>
      <w:r w:rsidR="00BF1E38" w:rsidRPr="00DF5C23">
        <w:rPr>
          <w:noProof/>
          <w:lang w:eastAsia="ja-JP"/>
        </w:rPr>
        <w:t xml:space="preserve"> </w:t>
      </w:r>
      <w:r w:rsidR="00BF1E38" w:rsidRPr="00DF5C23">
        <w:rPr>
          <w:noProof/>
          <w:lang w:eastAsia="ja-JP"/>
        </w:rPr>
        <w:t>は、加盟国に対し、建物外皮の一部を構成する建物要素に対する最低エネルギー性能要件と、全体的なエネルギー性能、新規または既存の建物に設置される技術建築システムの適切な設置および寸法調整・制御に関するシステム要件の設定を求めて</w:t>
      </w:r>
      <w:r w:rsidR="002041D4">
        <w:rPr>
          <w:noProof/>
          <w:lang w:eastAsia="ja-JP"/>
        </w:rPr>
        <w:t>いる。</w:t>
      </w:r>
      <w:r w:rsidR="00BF1E38" w:rsidRPr="00DF5C23">
        <w:rPr>
          <w:noProof/>
          <w:lang w:eastAsia="ja-JP"/>
        </w:rPr>
        <w:t>これらの最低エネルギー性能要件は、一定の状況において、本規則及びその委任法に適合するエネルギー関連製品の設置を制限することができるが、当該要件が不当な市場障壁とならないことが、本規則の目的に合致している</w:t>
      </w:r>
      <w:r w:rsidR="00252E36" w:rsidRPr="00DF5C23">
        <w:rPr>
          <w:noProof/>
          <w:lang w:eastAsia="ja-JP"/>
        </w:rPr>
        <w:t>。</w:t>
      </w:r>
    </w:p>
    <w:p w14:paraId="0A98D0C0" w14:textId="77777777" w:rsidR="0038775E" w:rsidRDefault="00877B9C" w:rsidP="002041D4">
      <w:pPr>
        <w:pStyle w:val="ManualConsidrant"/>
        <w:wordWrap w:val="0"/>
        <w:rPr>
          <w:noProof/>
          <w:lang w:eastAsia="ja-JP"/>
        </w:rPr>
      </w:pPr>
      <w:r w:rsidRPr="004F5E59">
        <w:rPr>
          <w:lang w:eastAsia="ja-JP"/>
        </w:rPr>
        <w:t>(13)</w:t>
      </w:r>
      <w:r w:rsidRPr="004F5E59">
        <w:rPr>
          <w:lang w:eastAsia="ja-JP"/>
        </w:rPr>
        <w:tab/>
      </w:r>
      <w:r w:rsidR="23DF1179">
        <w:rPr>
          <w:noProof/>
          <w:lang w:eastAsia="ja-JP"/>
        </w:rPr>
        <w:t>製品の環境持続可能性を向上させ、域内市場における製品の自由な移動を確保するため、</w:t>
      </w:r>
      <w:r w:rsidR="23DF1179">
        <w:rPr>
          <w:noProof/>
          <w:lang w:eastAsia="ja-JP"/>
        </w:rPr>
        <w:t>TFEU</w:t>
      </w:r>
      <w:r w:rsidR="23DF1179">
        <w:rPr>
          <w:noProof/>
          <w:lang w:eastAsia="ja-JP"/>
        </w:rPr>
        <w:t>第</w:t>
      </w:r>
      <w:r w:rsidR="23DF1179">
        <w:rPr>
          <w:noProof/>
          <w:lang w:eastAsia="ja-JP"/>
        </w:rPr>
        <w:t>290</w:t>
      </w:r>
      <w:r w:rsidR="23DF1179">
        <w:rPr>
          <w:noProof/>
          <w:lang w:eastAsia="ja-JP"/>
        </w:rPr>
        <w:t>条に基づく法律を採択する権限を欧州委員会に委譲し、エコ</w:t>
      </w:r>
      <w:r w:rsidR="23DF1179" w:rsidRPr="23DF1179">
        <w:rPr>
          <w:noProof/>
          <w:lang w:val="en-IE" w:eastAsia="fr-BE"/>
        </w:rPr>
        <w:t>デザイン</w:t>
      </w:r>
      <w:r w:rsidR="23DF1179">
        <w:rPr>
          <w:noProof/>
          <w:lang w:eastAsia="ja-JP"/>
        </w:rPr>
        <w:t>要件を定めて本規則を補完することが望ましい。これらの</w:t>
      </w:r>
      <w:r w:rsidR="23DF1179" w:rsidRPr="23DF1179">
        <w:rPr>
          <w:noProof/>
          <w:lang w:val="en-IE" w:eastAsia="fr-BE"/>
        </w:rPr>
        <w:t>エコデザイン</w:t>
      </w:r>
      <w:r w:rsidR="23DF1179">
        <w:rPr>
          <w:noProof/>
          <w:lang w:eastAsia="ja-JP"/>
        </w:rPr>
        <w:t>要件は、原則として、洗濯機や洗濯機・洗濯乾燥機などの特定の製品群に適用されるべきである。エコデザイン要求の効果を最大化し、製品の環境持続可能性を効率的に向上させるために、電子機器や繊維製品など、より幅広い製品群に対して、</w:t>
      </w:r>
      <w:r w:rsidR="23DF1179">
        <w:rPr>
          <w:noProof/>
          <w:lang w:eastAsia="ja-JP"/>
        </w:rPr>
        <w:t>1</w:t>
      </w:r>
      <w:r w:rsidR="23DF1179">
        <w:rPr>
          <w:noProof/>
          <w:lang w:eastAsia="ja-JP"/>
        </w:rPr>
        <w:t>つまたは複数の水平的エコデザイン要求を定めることも可能であるべきである。水平的なエコデザイン要件は、製品群の技術的な類似性により、同じ要件に基づいて製品の環境持続可能性を向上させることができる場合に設定されるべきである。</w:t>
      </w:r>
      <w:r w:rsidR="23DF1179">
        <w:rPr>
          <w:noProof/>
          <w:lang w:eastAsia="ja-JP"/>
        </w:rPr>
        <w:t xml:space="preserve"> </w:t>
      </w:r>
    </w:p>
    <w:p w14:paraId="238D0B1A" w14:textId="77777777" w:rsidR="0038775E" w:rsidRDefault="00877B9C" w:rsidP="002041D4">
      <w:pPr>
        <w:pStyle w:val="ManualConsidrant"/>
        <w:wordWrap w:val="0"/>
        <w:rPr>
          <w:noProof/>
          <w:lang w:eastAsia="ja-JP"/>
        </w:rPr>
      </w:pPr>
      <w:r w:rsidRPr="004F5E59">
        <w:rPr>
          <w:lang w:eastAsia="ja-JP"/>
        </w:rPr>
        <w:t>(14)</w:t>
      </w:r>
      <w:r w:rsidRPr="004F5E59">
        <w:rPr>
          <w:lang w:eastAsia="ja-JP"/>
        </w:rPr>
        <w:tab/>
      </w:r>
      <w:r w:rsidR="23DF1179" w:rsidRPr="23DF1179">
        <w:rPr>
          <w:noProof/>
          <w:lang w:val="en-IE" w:eastAsia="fr-BE"/>
        </w:rPr>
        <w:t>欧州委員会が対象となる製品群に適した要件を設定できるようにするため、エコデザイン</w:t>
      </w:r>
      <w:r w:rsidR="23DF1179">
        <w:rPr>
          <w:noProof/>
          <w:lang w:eastAsia="ja-JP"/>
        </w:rPr>
        <w:t>要件には性能要件と情報要件を含めるべきである。これらの要件は、エネルギー効率、耐久性、修復性、炭素・環境フットプリントなど、</w:t>
      </w:r>
      <w:r w:rsidR="23DF1179" w:rsidRPr="23DF1179">
        <w:rPr>
          <w:rFonts w:eastAsia="Times New Roman"/>
          <w:noProof/>
          <w:lang w:val="en-IE" w:eastAsia="ja-JP"/>
        </w:rPr>
        <w:t>環境の持続可能性に関連する製品の側面を改善するために使用されるべきである。</w:t>
      </w:r>
      <w:r w:rsidR="23DF1179">
        <w:rPr>
          <w:noProof/>
          <w:lang w:eastAsia="ja-JP"/>
        </w:rPr>
        <w:t>エコデザイン要件は、透明性、客観性、比例性があり、国際貿易規則に準拠したものでなければならない。</w:t>
      </w:r>
    </w:p>
    <w:p w14:paraId="74EFA482" w14:textId="6C36C2BB" w:rsidR="0038775E" w:rsidRDefault="00877B9C" w:rsidP="002041D4">
      <w:pPr>
        <w:pStyle w:val="ManualConsidrant"/>
        <w:wordWrap w:val="0"/>
        <w:rPr>
          <w:noProof/>
          <w:lang w:eastAsia="ja-JP"/>
        </w:rPr>
      </w:pPr>
      <w:r w:rsidRPr="004F5E59">
        <w:rPr>
          <w:lang w:eastAsia="ja-JP"/>
        </w:rPr>
        <w:t>(15)</w:t>
      </w:r>
      <w:r w:rsidRPr="004F5E59">
        <w:rPr>
          <w:lang w:eastAsia="ja-JP"/>
        </w:rPr>
        <w:tab/>
      </w:r>
      <w:r w:rsidR="001A6523" w:rsidRPr="001A6523">
        <w:rPr>
          <w:noProof/>
          <w:lang w:eastAsia="ja-JP"/>
        </w:rPr>
        <w:t>ある製品群についてエコデザイン要件を定める委任法が欧州委員会によって採択されると、加盟国は、域内市場の機能を確保するために、当該委任法に</w:t>
      </w:r>
      <w:r w:rsidR="001A6523" w:rsidRPr="001A6523">
        <w:rPr>
          <w:noProof/>
          <w:lang w:eastAsia="ja-JP"/>
        </w:rPr>
        <w:lastRenderedPageBreak/>
        <w:t>定められた性能要件の対象となる製品パラメータに基づく国内性能要件の設定、および当該委任法に定められた情報要件の対象となる製品パラメータに基づく国内情報要件の設定をもはや認められなくなるはず</w:t>
      </w:r>
      <w:r w:rsidR="002041D4">
        <w:rPr>
          <w:noProof/>
          <w:lang w:eastAsia="ja-JP"/>
        </w:rPr>
        <w:t>である</w:t>
      </w:r>
      <w:r w:rsidR="001A6523" w:rsidRPr="001A6523">
        <w:rPr>
          <w:noProof/>
          <w:lang w:eastAsia="ja-JP"/>
        </w:rPr>
        <w:t>。域内市場の機能を確保するため、欧州委員会は、特定の製品パラメータに関して、性能要件および</w:t>
      </w:r>
      <w:r w:rsidR="001A6523" w:rsidRPr="001A6523">
        <w:rPr>
          <w:noProof/>
          <w:lang w:eastAsia="ja-JP"/>
        </w:rPr>
        <w:t>/</w:t>
      </w:r>
      <w:r w:rsidR="001A6523" w:rsidRPr="001A6523">
        <w:rPr>
          <w:noProof/>
          <w:lang w:eastAsia="ja-JP"/>
        </w:rPr>
        <w:t>または情報要件の形式によるエコデザイン要件が必要ないことを確定する権限を与えられるべきである。</w:t>
      </w:r>
    </w:p>
    <w:p w14:paraId="2886F4AE" w14:textId="2D8C44B6" w:rsidR="0038775E" w:rsidRDefault="00877B9C" w:rsidP="002041D4">
      <w:pPr>
        <w:pStyle w:val="ManualConsidrant"/>
        <w:wordWrap w:val="0"/>
        <w:rPr>
          <w:noProof/>
          <w:lang w:eastAsia="ja-JP"/>
        </w:rPr>
      </w:pPr>
      <w:r w:rsidRPr="004F5E59">
        <w:rPr>
          <w:lang w:eastAsia="ja-JP"/>
        </w:rPr>
        <w:t>(16)</w:t>
      </w:r>
      <w:r w:rsidRPr="004F5E59">
        <w:rPr>
          <w:lang w:eastAsia="ja-JP"/>
        </w:rPr>
        <w:tab/>
      </w:r>
      <w:r w:rsidR="00344669" w:rsidRPr="00DF5C23">
        <w:rPr>
          <w:noProof/>
          <w:lang w:val="en-IE" w:eastAsia="fr-BE"/>
        </w:rPr>
        <w:t>エコデザインの要求事項を設定する際、欧州委員会は、関連製品の性質と目的、および関連市場の特性を考慮する必要がある。例えば、防衛装備品は、特定の、時には過酷な条件下で動作する必要があり、エコデザイン要求事項を設定する際には、これを考慮する必要がある。防衛機器に関する特定の情報は公開されるべきではなく、保護されるべき</w:t>
      </w:r>
      <w:r w:rsidR="002041D4">
        <w:rPr>
          <w:noProof/>
          <w:lang w:val="en-IE" w:eastAsia="fr-BE"/>
        </w:rPr>
        <w:t>である</w:t>
      </w:r>
      <w:r w:rsidR="00344669" w:rsidRPr="00DF5C23">
        <w:rPr>
          <w:noProof/>
          <w:lang w:val="en-IE" w:eastAsia="fr-BE"/>
        </w:rPr>
        <w:t>。したがって、軍事機器や機密性の高い機器のエコデザイン要件は、欧州議会および理事会の指令</w:t>
      </w:r>
      <w:r w:rsidR="00344669" w:rsidRPr="00DF5C23">
        <w:rPr>
          <w:noProof/>
          <w:lang w:val="en-IE" w:eastAsia="fr-BE"/>
        </w:rPr>
        <w:t xml:space="preserve"> 2009/81/EC</w:t>
      </w:r>
      <w:r w:rsidR="00344669" w:rsidRPr="00DF5C23">
        <w:rPr>
          <w:noProof/>
          <w:lang w:val="en-IE" w:eastAsia="fr-BE"/>
        </w:rPr>
        <w:t>（</w:t>
      </w:r>
      <w:r w:rsidR="00344669" w:rsidRPr="00DF5C23">
        <w:rPr>
          <w:rStyle w:val="afa"/>
          <w:noProof/>
        </w:rPr>
        <w:footnoteReference w:id="49"/>
      </w:r>
      <w:r w:rsidR="00344669" w:rsidRPr="00DF5C23">
        <w:rPr>
          <w:noProof/>
          <w:lang w:val="en-IE" w:eastAsia="fr-BE"/>
        </w:rPr>
        <w:t xml:space="preserve"> </w:t>
      </w:r>
      <w:r w:rsidR="00344669" w:rsidRPr="00DF5C23">
        <w:rPr>
          <w:noProof/>
          <w:lang w:val="en-IE" w:eastAsia="fr-BE"/>
        </w:rPr>
        <w:t>）で定義されているように、セキュリティニーズと防衛市場の特性を考慮する必要がある。同様に</w:t>
      </w:r>
      <w:r w:rsidR="00344669" w:rsidRPr="23DF1179">
        <w:rPr>
          <w:noProof/>
          <w:lang w:val="en-IE" w:eastAsia="ja-JP"/>
        </w:rPr>
        <w:t>、宇宙産業は欧州にとって戦略的であり、その技術的な非依存性のために重要である。宇宙技術は極限状態で運用されるため、宇宙製品に対するエコデザイン要件は、持続可能性への配慮と回復力および期待される性能のバランスをとる必要がある。</w:t>
      </w:r>
      <w:r w:rsidR="00344669" w:rsidRPr="00DF5C23">
        <w:rPr>
          <w:noProof/>
          <w:lang w:val="en-IE" w:eastAsia="fr-BE"/>
        </w:rPr>
        <w:t>さらに、</w:t>
      </w:r>
      <w:r w:rsidR="00344669" w:rsidRPr="00DF5C23">
        <w:rPr>
          <w:noProof/>
          <w:lang w:eastAsia="ja-JP"/>
        </w:rPr>
        <w:t>医療機器に関する規則（</w:t>
      </w:r>
      <w:r w:rsidR="00344669" w:rsidRPr="00DF5C23">
        <w:rPr>
          <w:noProof/>
          <w:lang w:eastAsia="ja-JP"/>
        </w:rPr>
        <w:t>EU</w:t>
      </w:r>
      <w:r w:rsidR="00344669" w:rsidRPr="00DF5C23">
        <w:rPr>
          <w:noProof/>
          <w:lang w:eastAsia="ja-JP"/>
        </w:rPr>
        <w:t>）</w:t>
      </w:r>
      <w:r w:rsidR="00344669" w:rsidRPr="00DF5C23">
        <w:rPr>
          <w:noProof/>
          <w:lang w:eastAsia="ja-JP"/>
        </w:rPr>
        <w:t>2017/745</w:t>
      </w:r>
      <w:r w:rsidR="00344669" w:rsidRPr="00DF5C23">
        <w:rPr>
          <w:noProof/>
          <w:lang w:eastAsia="ja-JP"/>
        </w:rPr>
        <w:t>の</w:t>
      </w:r>
      <w:r w:rsidR="00344669" w:rsidRPr="00DF5C23">
        <w:rPr>
          <w:noProof/>
          <w:lang w:val="en-IE" w:eastAsia="fr-BE"/>
        </w:rPr>
        <w:t>第</w:t>
      </w:r>
      <w:r w:rsidR="00344669" w:rsidRPr="00DF5C23">
        <w:rPr>
          <w:noProof/>
          <w:lang w:val="en-IE" w:eastAsia="fr-BE"/>
        </w:rPr>
        <w:t>2</w:t>
      </w:r>
      <w:r w:rsidR="00344669" w:rsidRPr="00DF5C23">
        <w:rPr>
          <w:noProof/>
          <w:lang w:val="en-IE" w:eastAsia="fr-BE"/>
        </w:rPr>
        <w:t>条（</w:t>
      </w:r>
      <w:r w:rsidR="00344669" w:rsidRPr="00DF5C23">
        <w:rPr>
          <w:noProof/>
          <w:lang w:val="en-IE" w:eastAsia="fr-BE"/>
        </w:rPr>
        <w:t>1</w:t>
      </w:r>
      <w:r w:rsidR="00344669" w:rsidRPr="00DF5C23">
        <w:rPr>
          <w:noProof/>
          <w:lang w:val="en-IE" w:eastAsia="fr-BE"/>
        </w:rPr>
        <w:t>）に定義される医療機器</w:t>
      </w:r>
      <w:r w:rsidR="00344669" w:rsidRPr="00DF5C23">
        <w:rPr>
          <w:rStyle w:val="afa"/>
          <w:noProof/>
        </w:rPr>
        <w:footnoteReference w:id="50"/>
      </w:r>
      <w:r w:rsidR="00344669" w:rsidRPr="00DF5C23">
        <w:rPr>
          <w:noProof/>
          <w:lang w:val="en-IE" w:eastAsia="fr-BE"/>
        </w:rPr>
        <w:t xml:space="preserve"> </w:t>
      </w:r>
      <w:r w:rsidR="00344669" w:rsidRPr="00DF5C23">
        <w:rPr>
          <w:noProof/>
          <w:lang w:val="en-IE" w:eastAsia="fr-BE"/>
        </w:rPr>
        <w:t>および</w:t>
      </w:r>
      <w:r w:rsidR="00344669" w:rsidRPr="23DF1179">
        <w:rPr>
          <w:i/>
          <w:iCs/>
          <w:noProof/>
          <w:lang w:val="en-IE" w:eastAsia="fr-BE"/>
        </w:rPr>
        <w:t>体外</w:t>
      </w:r>
      <w:r w:rsidR="00344669" w:rsidRPr="00DF5C23">
        <w:rPr>
          <w:noProof/>
          <w:lang w:val="en-IE" w:eastAsia="fr-BE"/>
        </w:rPr>
        <w:t>診断用医療機器に関する</w:t>
      </w:r>
      <w:r w:rsidR="00344669" w:rsidRPr="00DF5C23">
        <w:rPr>
          <w:noProof/>
          <w:lang w:eastAsia="ja-JP"/>
        </w:rPr>
        <w:t>規則（</w:t>
      </w:r>
      <w:r w:rsidR="00344669" w:rsidRPr="00DF5C23">
        <w:rPr>
          <w:noProof/>
          <w:lang w:eastAsia="ja-JP"/>
        </w:rPr>
        <w:t>EU</w:t>
      </w:r>
      <w:r w:rsidR="00344669" w:rsidRPr="00DF5C23">
        <w:rPr>
          <w:noProof/>
          <w:lang w:eastAsia="ja-JP"/>
        </w:rPr>
        <w:t>）</w:t>
      </w:r>
      <w:r w:rsidR="00344669" w:rsidRPr="00DF5C23">
        <w:rPr>
          <w:noProof/>
          <w:lang w:eastAsia="ja-JP"/>
        </w:rPr>
        <w:t>2017/746</w:t>
      </w:r>
      <w:r w:rsidR="00344669" w:rsidRPr="00DF5C23">
        <w:rPr>
          <w:noProof/>
          <w:lang w:eastAsia="ja-JP"/>
        </w:rPr>
        <w:t>の</w:t>
      </w:r>
      <w:r w:rsidR="00344669" w:rsidRPr="00DF5C23">
        <w:rPr>
          <w:noProof/>
          <w:lang w:val="en-IE" w:eastAsia="fr-BE"/>
        </w:rPr>
        <w:t>第</w:t>
      </w:r>
      <w:r w:rsidR="00344669" w:rsidRPr="00DF5C23">
        <w:rPr>
          <w:noProof/>
          <w:lang w:val="en-IE" w:eastAsia="fr-BE"/>
        </w:rPr>
        <w:t>2</w:t>
      </w:r>
      <w:r w:rsidR="00344669" w:rsidRPr="00DF5C23">
        <w:rPr>
          <w:noProof/>
          <w:lang w:val="en-IE" w:eastAsia="fr-BE"/>
        </w:rPr>
        <w:t>条（</w:t>
      </w:r>
      <w:r w:rsidR="00344669" w:rsidRPr="00DF5C23">
        <w:rPr>
          <w:noProof/>
          <w:lang w:val="en-IE" w:eastAsia="fr-BE"/>
        </w:rPr>
        <w:t>2</w:t>
      </w:r>
      <w:r w:rsidR="00344669" w:rsidRPr="00DF5C23">
        <w:rPr>
          <w:noProof/>
          <w:lang w:val="en-IE" w:eastAsia="fr-BE"/>
        </w:rPr>
        <w:t>）に定義される</w:t>
      </w:r>
      <w:r w:rsidR="00344669" w:rsidRPr="23DF1179">
        <w:rPr>
          <w:i/>
          <w:iCs/>
          <w:noProof/>
          <w:lang w:val="en-IE" w:eastAsia="fr-BE"/>
        </w:rPr>
        <w:t>体外</w:t>
      </w:r>
      <w:r w:rsidR="00344669" w:rsidRPr="00DF5C23">
        <w:rPr>
          <w:noProof/>
          <w:lang w:val="en-IE" w:eastAsia="fr-BE"/>
        </w:rPr>
        <w:t>診断用医療機器</w:t>
      </w:r>
      <w:r w:rsidR="00F84A92" w:rsidRPr="00DF5C23">
        <w:rPr>
          <w:rStyle w:val="afa"/>
          <w:noProof/>
          <w:lang w:val="en-IE" w:eastAsia="fr-BE"/>
        </w:rPr>
        <w:footnoteReference w:id="51"/>
      </w:r>
      <w:r w:rsidR="00344669" w:rsidRPr="00DF5C23">
        <w:rPr>
          <w:noProof/>
          <w:lang w:val="en-IE" w:eastAsia="fr-BE"/>
        </w:rPr>
        <w:t xml:space="preserve"> </w:t>
      </w:r>
      <w:r w:rsidR="00344669" w:rsidRPr="00DF5C23">
        <w:rPr>
          <w:noProof/>
          <w:lang w:val="en-IE" w:eastAsia="fr-BE"/>
        </w:rPr>
        <w:t>について、委員会は</w:t>
      </w:r>
      <w:r w:rsidR="00252E36" w:rsidRPr="00DF5C23">
        <w:rPr>
          <w:noProof/>
          <w:lang w:val="en-IE" w:eastAsia="fr-BE"/>
        </w:rPr>
        <w:t>患者やユーザーの</w:t>
      </w:r>
      <w:r w:rsidR="00344669" w:rsidRPr="00DF5C23">
        <w:rPr>
          <w:noProof/>
          <w:lang w:val="en-IE" w:eastAsia="fr-BE"/>
        </w:rPr>
        <w:t>健康と安全性に悪影響を与えない必要性に配慮すべきである。</w:t>
      </w:r>
      <w:r w:rsidR="00344669" w:rsidRPr="00DF5C23">
        <w:rPr>
          <w:noProof/>
          <w:lang w:val="en-IE" w:eastAsia="fr-BE"/>
        </w:rPr>
        <w:t xml:space="preserve"> </w:t>
      </w:r>
      <w:r w:rsidR="00344669" w:rsidRPr="23DF1179">
        <w:rPr>
          <w:noProof/>
          <w:lang w:val="en-IE" w:eastAsia="ja-JP"/>
        </w:rPr>
        <w:t xml:space="preserve"> </w:t>
      </w:r>
    </w:p>
    <w:p w14:paraId="4AD9732D" w14:textId="77777777" w:rsidR="0038775E" w:rsidRDefault="00877B9C" w:rsidP="002041D4">
      <w:pPr>
        <w:pStyle w:val="ManualConsidrant"/>
        <w:wordWrap w:val="0"/>
        <w:rPr>
          <w:noProof/>
          <w:lang w:eastAsia="ja-JP"/>
        </w:rPr>
      </w:pPr>
      <w:r w:rsidRPr="004F5E59">
        <w:rPr>
          <w:lang w:eastAsia="ja-JP"/>
        </w:rPr>
        <w:t>(17)</w:t>
      </w:r>
      <w:r w:rsidRPr="004F5E59">
        <w:rPr>
          <w:lang w:eastAsia="ja-JP"/>
        </w:rPr>
        <w:tab/>
      </w:r>
      <w:r w:rsidR="00344669" w:rsidRPr="00DF5C23">
        <w:rPr>
          <w:noProof/>
          <w:lang w:eastAsia="ja-JP"/>
        </w:rPr>
        <w:t>努力の重複と規制の負担を避けるため、本規則と他の連合法、特に製品、化学物質、廃棄物に関する法律</w:t>
      </w:r>
      <w:r w:rsidR="00344669" w:rsidRPr="00DF5C23">
        <w:rPr>
          <w:rStyle w:val="afa"/>
          <w:noProof/>
        </w:rPr>
        <w:footnoteReference w:id="52"/>
      </w:r>
      <w:r w:rsidR="00344669" w:rsidRPr="00DF5C23">
        <w:rPr>
          <w:noProof/>
          <w:lang w:eastAsia="ja-JP"/>
        </w:rPr>
        <w:t xml:space="preserve"> </w:t>
      </w:r>
      <w:r w:rsidR="00344669" w:rsidRPr="00DF5C23">
        <w:rPr>
          <w:noProof/>
          <w:lang w:eastAsia="ja-JP"/>
        </w:rPr>
        <w:t>で定められた、または</w:t>
      </w:r>
      <w:r w:rsidR="008F2CF8" w:rsidRPr="00DF5C23">
        <w:rPr>
          <w:noProof/>
          <w:lang w:eastAsia="ja-JP"/>
        </w:rPr>
        <w:t>それに従って</w:t>
      </w:r>
      <w:r w:rsidR="00344669" w:rsidRPr="00DF5C23">
        <w:rPr>
          <w:noProof/>
          <w:lang w:eastAsia="ja-JP"/>
        </w:rPr>
        <w:t>定められた</w:t>
      </w:r>
      <w:r w:rsidR="00CD410F" w:rsidRPr="00DF5C23">
        <w:rPr>
          <w:noProof/>
          <w:lang w:eastAsia="ja-JP"/>
        </w:rPr>
        <w:t>要求との</w:t>
      </w:r>
      <w:r w:rsidR="00344669" w:rsidRPr="00DF5C23">
        <w:rPr>
          <w:noProof/>
          <w:lang w:eastAsia="ja-JP"/>
        </w:rPr>
        <w:t>間の整合性を確保する必要がある。ただし、本規則に基づく要求事項と同一または類似の効果を持つ要求事項を設定する権限が他の連合法令に存在する場合、本規則に明記されていない限り、本規則に含まれる権限を制限するものではない。</w:t>
      </w:r>
    </w:p>
    <w:p w14:paraId="768F78A8" w14:textId="77777777" w:rsidR="0038775E" w:rsidRDefault="00877B9C" w:rsidP="002041D4">
      <w:pPr>
        <w:pStyle w:val="ManualConsidrant"/>
        <w:wordWrap w:val="0"/>
        <w:rPr>
          <w:noProof/>
          <w:lang w:eastAsia="ja-JP"/>
        </w:rPr>
      </w:pPr>
      <w:r w:rsidRPr="004F5E59">
        <w:rPr>
          <w:lang w:eastAsia="ja-JP"/>
        </w:rPr>
        <w:t>(18)</w:t>
      </w:r>
      <w:r w:rsidRPr="004F5E59">
        <w:rPr>
          <w:lang w:eastAsia="ja-JP"/>
        </w:rPr>
        <w:tab/>
      </w:r>
      <w:r w:rsidR="00344669" w:rsidRPr="00DF5C23">
        <w:rPr>
          <w:noProof/>
          <w:lang w:eastAsia="ja-JP"/>
        </w:rPr>
        <w:t>エコデザインの要件を含む委任法は、指令</w:t>
      </w:r>
      <w:r w:rsidR="00344669" w:rsidRPr="00DF5C23">
        <w:rPr>
          <w:noProof/>
          <w:lang w:eastAsia="ja-JP"/>
        </w:rPr>
        <w:t>2009/125/EC</w:t>
      </w:r>
      <w:r w:rsidR="00344669" w:rsidRPr="00DF5C23">
        <w:rPr>
          <w:noProof/>
          <w:lang w:eastAsia="ja-JP"/>
        </w:rPr>
        <w:t>の場合と同様に、専用の影響評価と利害関係者の協議を経て、欧州委員会の「より良い規制」のガイドラインに沿って作成されるべきであり、国際的側面と第三国への影響の評価を含むべきである。その際、欧州委員会は、製品のライフサイクルのあらゆる側面を十分に考慮し、</w:t>
      </w:r>
      <w:r w:rsidR="00344669" w:rsidRPr="00DF5C23">
        <w:rPr>
          <w:noProof/>
          <w:lang w:val="en-IE" w:eastAsia="fr-BE"/>
        </w:rPr>
        <w:t>入手可能な最善の証拠に</w:t>
      </w:r>
      <w:r w:rsidR="00344669" w:rsidRPr="00DF5C23">
        <w:rPr>
          <w:noProof/>
          <w:lang w:eastAsia="ja-JP"/>
        </w:rPr>
        <w:t>基づいた影響評価を行う必要がある。</w:t>
      </w:r>
      <w:r w:rsidR="00A03FCE" w:rsidRPr="00DF5C23">
        <w:rPr>
          <w:noProof/>
          <w:lang w:val="en-IE" w:eastAsia="fr-BE"/>
        </w:rPr>
        <w:t>エコデザインの要求事項を作成する際、欧州委員会は</w:t>
      </w:r>
      <w:r w:rsidR="008117C8">
        <w:rPr>
          <w:noProof/>
          <w:lang w:val="en-IE" w:eastAsia="fr-BE"/>
        </w:rPr>
        <w:t>科学的</w:t>
      </w:r>
      <w:r w:rsidR="008117C8">
        <w:rPr>
          <w:noProof/>
          <w:lang w:val="en-IE" w:eastAsia="fr-BE"/>
        </w:rPr>
        <w:lastRenderedPageBreak/>
        <w:t>アプローチを</w:t>
      </w:r>
      <w:r w:rsidR="00A03FCE" w:rsidRPr="00DF5C23">
        <w:rPr>
          <w:noProof/>
          <w:lang w:val="en-IE" w:eastAsia="fr-BE"/>
        </w:rPr>
        <w:t>用いるとともに、特に欧州議会および理事会の規則（</w:t>
      </w:r>
      <w:r w:rsidR="00A03FCE" w:rsidRPr="00DF5C23">
        <w:rPr>
          <w:noProof/>
          <w:lang w:val="en-IE" w:eastAsia="fr-BE"/>
        </w:rPr>
        <w:t>EC</w:t>
      </w:r>
      <w:r w:rsidR="00A03FCE" w:rsidRPr="00DF5C23">
        <w:rPr>
          <w:noProof/>
          <w:lang w:val="en-IE" w:eastAsia="fr-BE"/>
        </w:rPr>
        <w:t>）</w:t>
      </w:r>
      <w:r w:rsidR="00A03FCE" w:rsidRPr="00DF5C23">
        <w:rPr>
          <w:noProof/>
          <w:lang w:val="en-IE" w:eastAsia="fr-BE"/>
        </w:rPr>
        <w:t>No 66/2010</w:t>
      </w:r>
      <w:r w:rsidR="00F84A92" w:rsidRPr="00DF5C23">
        <w:rPr>
          <w:rStyle w:val="afa"/>
          <w:noProof/>
          <w:lang w:val="en-IE" w:eastAsia="fr-BE"/>
        </w:rPr>
        <w:footnoteReference w:id="53"/>
      </w:r>
      <w:r w:rsidR="00A03FCE" w:rsidRPr="00DF5C23">
        <w:rPr>
          <w:noProof/>
          <w:lang w:val="en-IE" w:eastAsia="fr-BE"/>
        </w:rPr>
        <w:t xml:space="preserve"> </w:t>
      </w:r>
      <w:r w:rsidR="00A03FCE" w:rsidRPr="00DF5C23">
        <w:rPr>
          <w:noProof/>
          <w:lang w:val="en-IE" w:eastAsia="fr-BE"/>
        </w:rPr>
        <w:t>、欧州議会および理事会の指令</w:t>
      </w:r>
      <w:r w:rsidR="00A03FCE" w:rsidRPr="00DF5C23">
        <w:rPr>
          <w:noProof/>
          <w:lang w:val="en-IE" w:eastAsia="fr-BE"/>
        </w:rPr>
        <w:t xml:space="preserve"> 2010/75/EU</w:t>
      </w:r>
      <w:r w:rsidR="00F84A92" w:rsidRPr="00DF5C23">
        <w:rPr>
          <w:rStyle w:val="afa"/>
          <w:noProof/>
          <w:lang w:val="en-IE" w:eastAsia="fr-BE"/>
        </w:rPr>
        <w:footnoteReference w:id="54"/>
      </w:r>
      <w:r w:rsidR="00A03FCE" w:rsidRPr="00DF5C23">
        <w:rPr>
          <w:noProof/>
          <w:lang w:val="en-IE" w:eastAsia="fr-BE"/>
        </w:rPr>
        <w:t xml:space="preserve"> </w:t>
      </w:r>
      <w:r w:rsidR="00A03FCE" w:rsidRPr="00DF5C23">
        <w:rPr>
          <w:noProof/>
          <w:lang w:val="en-IE" w:eastAsia="fr-BE"/>
        </w:rPr>
        <w:t>、欧州議会および理事会の規則（</w:t>
      </w:r>
      <w:r w:rsidR="00A03FCE" w:rsidRPr="00DF5C23">
        <w:rPr>
          <w:noProof/>
          <w:lang w:val="en-IE" w:eastAsia="fr-BE"/>
        </w:rPr>
        <w:t>EU</w:t>
      </w:r>
      <w:r w:rsidR="00A03FCE" w:rsidRPr="00DF5C23">
        <w:rPr>
          <w:noProof/>
          <w:lang w:val="en-IE" w:eastAsia="fr-BE"/>
        </w:rPr>
        <w:t>）</w:t>
      </w:r>
      <w:r w:rsidR="00A03FCE" w:rsidRPr="00DF5C23">
        <w:rPr>
          <w:noProof/>
          <w:lang w:val="en-IE" w:eastAsia="fr-BE"/>
        </w:rPr>
        <w:t xml:space="preserve">2020/852 </w:t>
      </w:r>
      <w:r w:rsidR="00A03FCE" w:rsidRPr="00DF5C23">
        <w:rPr>
          <w:noProof/>
          <w:lang w:val="en-IE" w:eastAsia="fr-BE"/>
        </w:rPr>
        <w:t>に従って採用した技術スクリーニング基準</w:t>
      </w:r>
      <w:r w:rsidR="00F84A92" w:rsidRPr="00DF5C23">
        <w:rPr>
          <w:rStyle w:val="afa"/>
          <w:noProof/>
          <w:lang w:val="en-IE" w:eastAsia="fr-BE"/>
        </w:rPr>
        <w:footnoteReference w:id="55"/>
      </w:r>
      <w:r w:rsidR="00A03FCE" w:rsidRPr="00DF5C23">
        <w:rPr>
          <w:noProof/>
          <w:lang w:val="en-IE" w:eastAsia="fr-BE"/>
        </w:rPr>
        <w:t xml:space="preserve"> </w:t>
      </w:r>
      <w:r w:rsidR="00A03FCE" w:rsidRPr="00DF5C23">
        <w:rPr>
          <w:noProof/>
          <w:lang w:val="en-IE" w:eastAsia="fr-BE"/>
        </w:rPr>
        <w:t>およびグリーン公共調達基準</w:t>
      </w:r>
      <w:r w:rsidR="00F84A92" w:rsidRPr="00DF5C23">
        <w:rPr>
          <w:rStyle w:val="afa"/>
          <w:noProof/>
          <w:lang w:val="en-IE" w:eastAsia="fr-BE"/>
        </w:rPr>
        <w:footnoteReference w:id="56"/>
      </w:r>
      <w:r w:rsidR="00A03FCE" w:rsidRPr="00DF5C23">
        <w:rPr>
          <w:noProof/>
          <w:lang w:val="en-IE" w:eastAsia="fr-BE"/>
        </w:rPr>
        <w:t xml:space="preserve"> </w:t>
      </w:r>
      <w:r w:rsidR="00A03FCE" w:rsidRPr="00DF5C23">
        <w:rPr>
          <w:noProof/>
          <w:lang w:val="en-IE" w:eastAsia="fr-BE"/>
        </w:rPr>
        <w:t>から得られる関連技術情報を考慮する必要がある。</w:t>
      </w:r>
      <w:r w:rsidR="00A03FCE" w:rsidRPr="00DF5C23">
        <w:rPr>
          <w:noProof/>
          <w:lang w:val="en-IE" w:eastAsia="fr-BE"/>
        </w:rPr>
        <w:t xml:space="preserve"> </w:t>
      </w:r>
    </w:p>
    <w:p w14:paraId="3DA81E17" w14:textId="77777777" w:rsidR="0038775E" w:rsidRDefault="00877B9C" w:rsidP="002041D4">
      <w:pPr>
        <w:pStyle w:val="ManualConsidrant"/>
        <w:wordWrap w:val="0"/>
        <w:rPr>
          <w:noProof/>
          <w:lang w:eastAsia="ja-JP"/>
        </w:rPr>
      </w:pPr>
      <w:r w:rsidRPr="004F5E59">
        <w:rPr>
          <w:lang w:eastAsia="ja-JP"/>
        </w:rPr>
        <w:t>(19)</w:t>
      </w:r>
      <w:r w:rsidRPr="004F5E59">
        <w:rPr>
          <w:lang w:eastAsia="ja-JP"/>
        </w:rPr>
        <w:tab/>
      </w:r>
      <w:r w:rsidR="00CC67C8" w:rsidRPr="00DF5C23">
        <w:rPr>
          <w:noProof/>
          <w:lang w:eastAsia="ja-JP"/>
        </w:rPr>
        <w:t>製品の多様性を考慮するため、</w:t>
      </w:r>
      <w:r w:rsidR="00C23A02" w:rsidRPr="00DF5C23">
        <w:rPr>
          <w:noProof/>
          <w:lang w:eastAsia="ja-JP"/>
        </w:rPr>
        <w:t>欧州委員会は、</w:t>
      </w:r>
      <w:r w:rsidR="003A1B91" w:rsidRPr="00DF5C23">
        <w:rPr>
          <w:noProof/>
          <w:lang w:eastAsia="ja-JP"/>
        </w:rPr>
        <w:t>エコ</w:t>
      </w:r>
      <w:r w:rsidR="00983F51" w:rsidRPr="00DF5C23">
        <w:rPr>
          <w:noProof/>
          <w:lang w:eastAsia="ja-JP"/>
        </w:rPr>
        <w:t>デザイン</w:t>
      </w:r>
      <w:r w:rsidR="003A1B91" w:rsidRPr="00DF5C23">
        <w:rPr>
          <w:noProof/>
          <w:lang w:eastAsia="ja-JP"/>
        </w:rPr>
        <w:t>要求事項の設定を評価する</w:t>
      </w:r>
      <w:r w:rsidR="00CC67C8" w:rsidRPr="00DF5C23">
        <w:rPr>
          <w:noProof/>
          <w:lang w:eastAsia="ja-JP"/>
        </w:rPr>
        <w:t>方法を</w:t>
      </w:r>
      <w:r w:rsidR="00C23A02" w:rsidRPr="00DF5C23">
        <w:rPr>
          <w:noProof/>
          <w:lang w:eastAsia="ja-JP"/>
        </w:rPr>
        <w:t>選択</w:t>
      </w:r>
      <w:r w:rsidR="003A1B91" w:rsidRPr="00DF5C23">
        <w:rPr>
          <w:noProof/>
          <w:lang w:eastAsia="ja-JP"/>
        </w:rPr>
        <w:t>し、必要に応じて、</w:t>
      </w:r>
      <w:r w:rsidR="00CC67C8" w:rsidRPr="00DF5C23">
        <w:rPr>
          <w:noProof/>
          <w:lang w:eastAsia="ja-JP"/>
        </w:rPr>
        <w:t>製品の性質</w:t>
      </w:r>
      <w:r w:rsidR="003A1B91" w:rsidRPr="00DF5C23">
        <w:rPr>
          <w:noProof/>
          <w:lang w:eastAsia="ja-JP"/>
        </w:rPr>
        <w:t>、</w:t>
      </w:r>
      <w:r w:rsidR="00CC67C8" w:rsidRPr="00DF5C23">
        <w:rPr>
          <w:noProof/>
          <w:lang w:eastAsia="ja-JP"/>
        </w:rPr>
        <w:t>最も関連性の高い側面</w:t>
      </w:r>
      <w:r w:rsidR="003A1B91" w:rsidRPr="00DF5C23">
        <w:rPr>
          <w:noProof/>
          <w:lang w:eastAsia="ja-JP"/>
        </w:rPr>
        <w:t>、ライフサイクルにおける影響に基づいて、</w:t>
      </w:r>
      <w:r w:rsidR="00C23A02" w:rsidRPr="00DF5C23">
        <w:rPr>
          <w:noProof/>
          <w:lang w:eastAsia="ja-JP"/>
        </w:rPr>
        <w:t>さらに開発する必要がある</w:t>
      </w:r>
      <w:r w:rsidR="00CC67C8" w:rsidRPr="00DF5C23">
        <w:rPr>
          <w:noProof/>
          <w:lang w:eastAsia="ja-JP"/>
        </w:rPr>
        <w:t>。その</w:t>
      </w:r>
      <w:r w:rsidR="00C23A02" w:rsidRPr="00DF5C23">
        <w:rPr>
          <w:noProof/>
          <w:lang w:eastAsia="ja-JP"/>
        </w:rPr>
        <w:t>際、欧州委員会は、</w:t>
      </w:r>
      <w:r w:rsidR="00CC67C8" w:rsidRPr="00DF5C23">
        <w:rPr>
          <w:noProof/>
          <w:lang w:eastAsia="ja-JP"/>
        </w:rPr>
        <w:t>指令</w:t>
      </w:r>
      <w:r w:rsidR="00CC67C8" w:rsidRPr="00DF5C23">
        <w:rPr>
          <w:noProof/>
          <w:lang w:eastAsia="ja-JP"/>
        </w:rPr>
        <w:t>2009/125</w:t>
      </w:r>
      <w:r w:rsidR="009F5F01" w:rsidRPr="00DF5C23">
        <w:rPr>
          <w:noProof/>
          <w:lang w:eastAsia="ja-JP"/>
        </w:rPr>
        <w:t>/</w:t>
      </w:r>
      <w:r w:rsidR="00CC67C8" w:rsidRPr="00DF5C23">
        <w:rPr>
          <w:noProof/>
          <w:lang w:eastAsia="ja-JP"/>
        </w:rPr>
        <w:t>EC</w:t>
      </w:r>
      <w:r w:rsidR="00CC67C8" w:rsidRPr="00DF5C23">
        <w:rPr>
          <w:noProof/>
          <w:lang w:eastAsia="ja-JP"/>
        </w:rPr>
        <w:t>の下で要求事項の設定を</w:t>
      </w:r>
      <w:r w:rsidR="00C23A02" w:rsidRPr="00DF5C23">
        <w:rPr>
          <w:noProof/>
          <w:lang w:eastAsia="ja-JP"/>
        </w:rPr>
        <w:t>評価した</w:t>
      </w:r>
      <w:r w:rsidR="00CC67C8" w:rsidRPr="00DF5C23">
        <w:rPr>
          <w:noProof/>
          <w:lang w:eastAsia="ja-JP"/>
        </w:rPr>
        <w:t>経験や、</w:t>
      </w:r>
      <w:r w:rsidR="009635CB" w:rsidRPr="00DF5C23">
        <w:rPr>
          <w:noProof/>
          <w:lang w:eastAsia="ja-JP"/>
        </w:rPr>
        <w:t>エネルギー関連製品のエコデザインのための手法の</w:t>
      </w:r>
      <w:r w:rsidR="00CC67C8" w:rsidRPr="00DF5C23">
        <w:rPr>
          <w:noProof/>
          <w:lang w:eastAsia="ja-JP"/>
        </w:rPr>
        <w:t>更新や、</w:t>
      </w:r>
      <w:r w:rsidR="008C1FDF" w:rsidRPr="00C0635C">
        <w:rPr>
          <w:noProof/>
          <w:lang w:eastAsia="ja-JP"/>
        </w:rPr>
        <w:t>炭素の一時貯蔵に関しても含め、</w:t>
      </w:r>
      <w:r w:rsidR="00BD0D3A" w:rsidRPr="005D0835">
        <w:rPr>
          <w:noProof/>
          <w:lang w:eastAsia="ja-JP"/>
        </w:rPr>
        <w:t>委員会</w:t>
      </w:r>
      <w:r w:rsidR="009635CB" w:rsidRPr="005D0835">
        <w:rPr>
          <w:noProof/>
          <w:lang w:eastAsia="ja-JP"/>
        </w:rPr>
        <w:t>勧告（</w:t>
      </w:r>
      <w:r w:rsidR="009635CB" w:rsidRPr="005D0835">
        <w:rPr>
          <w:noProof/>
          <w:lang w:eastAsia="ja-JP"/>
        </w:rPr>
        <w:t>EU</w:t>
      </w:r>
      <w:r w:rsidR="009635CB" w:rsidRPr="005D0835">
        <w:rPr>
          <w:noProof/>
          <w:lang w:eastAsia="ja-JP"/>
        </w:rPr>
        <w:t>）</w:t>
      </w:r>
      <w:r w:rsidR="009635CB" w:rsidRPr="005D0835">
        <w:rPr>
          <w:noProof/>
          <w:lang w:eastAsia="ja-JP"/>
        </w:rPr>
        <w:t>2021</w:t>
      </w:r>
      <w:r w:rsidR="009635CB" w:rsidRPr="005712E5">
        <w:rPr>
          <w:noProof/>
          <w:lang w:eastAsia="ja-JP"/>
        </w:rPr>
        <w:t>/</w:t>
      </w:r>
      <w:r w:rsidR="009635CB" w:rsidRPr="005D0835">
        <w:rPr>
          <w:noProof/>
          <w:lang w:eastAsia="ja-JP"/>
        </w:rPr>
        <w:t>2279</w:t>
      </w:r>
      <w:r w:rsidR="00BA4E97" w:rsidRPr="008C1FDF">
        <w:rPr>
          <w:rStyle w:val="afa"/>
          <w:noProof/>
        </w:rPr>
        <w:footnoteReference w:id="57"/>
      </w:r>
      <w:r w:rsidR="006B2C4F" w:rsidRPr="008C1FDF">
        <w:rPr>
          <w:noProof/>
          <w:lang w:val="en-IE" w:eastAsia="fr-BE"/>
        </w:rPr>
        <w:t xml:space="preserve"> </w:t>
      </w:r>
      <w:r w:rsidR="006B2C4F" w:rsidRPr="008C1FDF">
        <w:rPr>
          <w:noProof/>
          <w:lang w:val="en-IE" w:eastAsia="fr-BE"/>
        </w:rPr>
        <w:t>に定められた製品環境フットプリント手法</w:t>
      </w:r>
      <w:r w:rsidR="006B2C4F" w:rsidRPr="00DF5C23">
        <w:rPr>
          <w:noProof/>
          <w:lang w:val="en-IE" w:eastAsia="fr-BE"/>
        </w:rPr>
        <w:t>など</w:t>
      </w:r>
      <w:r w:rsidR="00CC67C8" w:rsidRPr="00DF5C23">
        <w:rPr>
          <w:noProof/>
          <w:lang w:eastAsia="ja-JP"/>
        </w:rPr>
        <w:t>、科学に基づく評価ツールを開発し改善する継続的努力、エネルギー関連製品の材料効率など</w:t>
      </w:r>
      <w:r w:rsidR="00FF2851" w:rsidRPr="00DF5C23">
        <w:rPr>
          <w:noProof/>
          <w:lang w:eastAsia="ja-JP"/>
        </w:rPr>
        <w:t>国際・</w:t>
      </w:r>
      <w:r w:rsidR="00CC67C8" w:rsidRPr="00DF5C23">
        <w:rPr>
          <w:noProof/>
          <w:lang w:eastAsia="ja-JP"/>
        </w:rPr>
        <w:t>欧州</w:t>
      </w:r>
      <w:r w:rsidR="00906F3B" w:rsidRPr="00DF5C23">
        <w:rPr>
          <w:noProof/>
          <w:lang w:eastAsia="ja-JP"/>
        </w:rPr>
        <w:t>標準化</w:t>
      </w:r>
      <w:r w:rsidR="00CC67C8" w:rsidRPr="00DF5C23">
        <w:rPr>
          <w:noProof/>
          <w:lang w:eastAsia="ja-JP"/>
        </w:rPr>
        <w:t>機関による基準の</w:t>
      </w:r>
      <w:r w:rsidR="003A1B91" w:rsidRPr="00DF5C23">
        <w:rPr>
          <w:noProof/>
          <w:lang w:eastAsia="ja-JP"/>
        </w:rPr>
        <w:t>策定を考慮することが</w:t>
      </w:r>
      <w:r w:rsidR="00CC67C8" w:rsidRPr="00DF5C23">
        <w:rPr>
          <w:noProof/>
          <w:lang w:eastAsia="ja-JP"/>
        </w:rPr>
        <w:t>望ましい。</w:t>
      </w:r>
      <w:r w:rsidR="00D523B1" w:rsidRPr="00DF5C23">
        <w:rPr>
          <w:noProof/>
          <w:lang w:val="en-IE" w:eastAsia="ja-JP"/>
        </w:rPr>
        <w:t>欧州委員会は、これらのツールを基に、必要に応じて専用の調査を行い、製品の評価やエコデザイン要件の</w:t>
      </w:r>
      <w:r w:rsidR="002673A7" w:rsidRPr="00DF5C23">
        <w:rPr>
          <w:noProof/>
          <w:lang w:val="en-IE" w:eastAsia="ja-JP"/>
        </w:rPr>
        <w:t>作成において、</w:t>
      </w:r>
      <w:r w:rsidR="00D523B1" w:rsidRPr="00DF5C23">
        <w:rPr>
          <w:noProof/>
          <w:lang w:val="en-IE" w:eastAsia="ja-JP"/>
        </w:rPr>
        <w:t>循環性の側面（耐久性、修復性スコアリングを含む修復性、</w:t>
      </w:r>
      <w:r w:rsidR="002673A7" w:rsidRPr="00DF5C23">
        <w:rPr>
          <w:noProof/>
          <w:lang w:val="en-IE" w:eastAsia="ja-JP"/>
        </w:rPr>
        <w:t>再使用やリサイクルを</w:t>
      </w:r>
      <w:r w:rsidR="00D523B1" w:rsidRPr="00DF5C23">
        <w:rPr>
          <w:noProof/>
          <w:lang w:val="en-IE" w:eastAsia="ja-JP"/>
        </w:rPr>
        <w:t>妨げる化学物質の特定など）をさらに強化し、必要に応じて新しい手法やツールを開発するべきである。</w:t>
      </w:r>
      <w:r w:rsidR="00266A55" w:rsidRPr="00DF5C23">
        <w:rPr>
          <w:noProof/>
          <w:lang w:val="en-IE" w:eastAsia="ja-JP"/>
        </w:rPr>
        <w:t>また、強制的な公共調達基準の作成、売れ残った消費財の破棄の禁止についても、新たなアプローチが必要と</w:t>
      </w:r>
      <w:r w:rsidR="003B47D8" w:rsidRPr="00DF5C23">
        <w:rPr>
          <w:noProof/>
          <w:lang w:val="en-IE" w:eastAsia="ja-JP"/>
        </w:rPr>
        <w:t>なる可能性がある。</w:t>
      </w:r>
    </w:p>
    <w:p w14:paraId="44AF96DD" w14:textId="3C46C1D6" w:rsidR="0038775E" w:rsidRDefault="00877B9C" w:rsidP="002041D4">
      <w:pPr>
        <w:pStyle w:val="ManualConsidrant"/>
        <w:wordWrap w:val="0"/>
        <w:rPr>
          <w:noProof/>
          <w:lang w:eastAsia="ja-JP"/>
        </w:rPr>
      </w:pPr>
      <w:r w:rsidRPr="004F5E59">
        <w:rPr>
          <w:lang w:eastAsia="ja-JP"/>
        </w:rPr>
        <w:t>(20)</w:t>
      </w:r>
      <w:r w:rsidRPr="004F5E59">
        <w:rPr>
          <w:lang w:eastAsia="ja-JP"/>
        </w:rPr>
        <w:tab/>
      </w:r>
      <w:r w:rsidR="00D81745" w:rsidRPr="00DF5C23">
        <w:rPr>
          <w:noProof/>
          <w:lang w:eastAsia="ja-JP"/>
        </w:rPr>
        <w:t>性能要件は、</w:t>
      </w:r>
      <w:r w:rsidR="00017C67" w:rsidRPr="00DF5C23">
        <w:rPr>
          <w:noProof/>
          <w:lang w:eastAsia="ja-JP"/>
        </w:rPr>
        <w:t>環境持続性を向上させる可能性が特定された</w:t>
      </w:r>
      <w:r w:rsidR="00D81745" w:rsidRPr="00DF5C23">
        <w:rPr>
          <w:noProof/>
          <w:lang w:eastAsia="ja-JP"/>
        </w:rPr>
        <w:t>対象製品の側面に関連する選択された</w:t>
      </w:r>
      <w:r w:rsidR="00214C38" w:rsidRPr="00DF5C23">
        <w:rPr>
          <w:noProof/>
          <w:lang w:eastAsia="ja-JP"/>
        </w:rPr>
        <w:t>製品</w:t>
      </w:r>
      <w:r w:rsidR="00D81745" w:rsidRPr="00DF5C23">
        <w:rPr>
          <w:noProof/>
          <w:lang w:eastAsia="ja-JP"/>
        </w:rPr>
        <w:t>パラメータに関連するものとする。</w:t>
      </w:r>
      <w:r w:rsidR="00017C67" w:rsidRPr="00DF5C23">
        <w:rPr>
          <w:noProof/>
          <w:lang w:eastAsia="ja-JP"/>
        </w:rPr>
        <w:t>このような要求</w:t>
      </w:r>
      <w:r w:rsidR="00906F3B" w:rsidRPr="00DF5C23">
        <w:rPr>
          <w:noProof/>
          <w:lang w:eastAsia="ja-JP"/>
        </w:rPr>
        <w:t>事項には、</w:t>
      </w:r>
      <w:r w:rsidR="00214C38" w:rsidRPr="00DF5C23">
        <w:rPr>
          <w:noProof/>
          <w:lang w:eastAsia="ja-JP"/>
        </w:rPr>
        <w:t>製品</w:t>
      </w:r>
      <w:r w:rsidR="00906F3B" w:rsidRPr="00DF5C23">
        <w:rPr>
          <w:noProof/>
          <w:lang w:eastAsia="ja-JP"/>
        </w:rPr>
        <w:t>パラメータに関連する性能の最小又は最大レベル、</w:t>
      </w:r>
      <w:r w:rsidR="00214C38" w:rsidRPr="00DF5C23">
        <w:rPr>
          <w:noProof/>
          <w:lang w:eastAsia="ja-JP"/>
        </w:rPr>
        <w:t>製品</w:t>
      </w:r>
      <w:r w:rsidR="00906F3B" w:rsidRPr="00DF5C23">
        <w:rPr>
          <w:noProof/>
          <w:lang w:eastAsia="ja-JP"/>
        </w:rPr>
        <w:t>パラメータに関連する性能の改善を目的とする非定量的要求事項、又は選択された性能要求事項が、その</w:t>
      </w:r>
      <w:r w:rsidR="001057BC" w:rsidRPr="00DF5C23">
        <w:rPr>
          <w:noProof/>
          <w:lang w:val="en-IE" w:eastAsia="ja-JP"/>
        </w:rPr>
        <w:t>製品が設計及び販売された機能を果たす能力に悪影響を与えないことを</w:t>
      </w:r>
      <w:r w:rsidR="00906F3B" w:rsidRPr="00DF5C23">
        <w:rPr>
          <w:noProof/>
          <w:lang w:eastAsia="ja-JP"/>
        </w:rPr>
        <w:t>確実にするための製品の機能性能に関連する要求事項が含まれる場合があ</w:t>
      </w:r>
      <w:r w:rsidR="002041D4">
        <w:rPr>
          <w:noProof/>
          <w:lang w:eastAsia="ja-JP"/>
        </w:rPr>
        <w:t>る</w:t>
      </w:r>
      <w:r w:rsidR="00906F3B" w:rsidRPr="00DF5C23">
        <w:rPr>
          <w:noProof/>
          <w:lang w:eastAsia="ja-JP"/>
        </w:rPr>
        <w:t>。</w:t>
      </w:r>
      <w:r w:rsidR="00D81745" w:rsidRPr="00DF5C23">
        <w:rPr>
          <w:noProof/>
          <w:lang w:eastAsia="ja-JP"/>
        </w:rPr>
        <w:t>最小または最大レベルについては、例えば、使用段階におけるエネルギー消費量や製品に含まれる所定の材料の量に関する制限、</w:t>
      </w:r>
      <w:r w:rsidR="00017C67" w:rsidRPr="00DF5C23">
        <w:rPr>
          <w:noProof/>
          <w:lang w:eastAsia="ja-JP"/>
        </w:rPr>
        <w:t>再生資源の</w:t>
      </w:r>
      <w:r w:rsidR="00D81745" w:rsidRPr="00DF5C23">
        <w:rPr>
          <w:noProof/>
          <w:lang w:eastAsia="ja-JP"/>
        </w:rPr>
        <w:t>最低量に関する要求、特定の環境影響カテゴリーまたはすべての</w:t>
      </w:r>
      <w:r w:rsidR="00CC67C8" w:rsidRPr="00DF5C23">
        <w:rPr>
          <w:noProof/>
          <w:lang w:eastAsia="ja-JP"/>
        </w:rPr>
        <w:t>関連する環境影響の</w:t>
      </w:r>
      <w:r w:rsidR="00D81745" w:rsidRPr="00DF5C23">
        <w:rPr>
          <w:noProof/>
          <w:lang w:eastAsia="ja-JP"/>
        </w:rPr>
        <w:t>集計に関する制限という形をとることができる。非定量的な要求事項の例として、</w:t>
      </w:r>
      <w:r w:rsidR="00906F3B" w:rsidRPr="00DF5C23">
        <w:rPr>
          <w:noProof/>
          <w:lang w:eastAsia="ja-JP"/>
        </w:rPr>
        <w:t>製品の修復性に有害な特定の技術的解決策の禁止が挙げられる</w:t>
      </w:r>
      <w:r w:rsidR="00D81745" w:rsidRPr="00DF5C23">
        <w:rPr>
          <w:noProof/>
          <w:lang w:eastAsia="ja-JP"/>
        </w:rPr>
        <w:t>。</w:t>
      </w:r>
      <w:r w:rsidR="00FE5762" w:rsidRPr="00DF5C23">
        <w:rPr>
          <w:noProof/>
          <w:lang w:eastAsia="ja-JP"/>
        </w:rPr>
        <w:t>性能</w:t>
      </w:r>
      <w:r w:rsidR="00414B85" w:rsidRPr="00DF5C23">
        <w:rPr>
          <w:noProof/>
          <w:lang w:eastAsia="ja-JP"/>
        </w:rPr>
        <w:t>要件は、本規則の</w:t>
      </w:r>
      <w:r w:rsidR="00FF1901" w:rsidRPr="00DF5C23">
        <w:rPr>
          <w:noProof/>
          <w:lang w:eastAsia="ja-JP"/>
        </w:rPr>
        <w:t>環境</w:t>
      </w:r>
      <w:r w:rsidR="00FE5762" w:rsidRPr="00DF5C23">
        <w:rPr>
          <w:noProof/>
          <w:lang w:eastAsia="ja-JP"/>
        </w:rPr>
        <w:t>持続可能性の</w:t>
      </w:r>
      <w:r w:rsidR="00414B85" w:rsidRPr="00DF5C23">
        <w:rPr>
          <w:noProof/>
          <w:lang w:eastAsia="ja-JP"/>
        </w:rPr>
        <w:t>目標に</w:t>
      </w:r>
      <w:r w:rsidR="001D1DE3" w:rsidRPr="00DF5C23">
        <w:rPr>
          <w:noProof/>
          <w:lang w:eastAsia="ja-JP"/>
        </w:rPr>
        <w:t>貢献する</w:t>
      </w:r>
      <w:r w:rsidR="00FE5762" w:rsidRPr="00DF5C23">
        <w:rPr>
          <w:noProof/>
          <w:lang w:eastAsia="ja-JP"/>
        </w:rPr>
        <w:t>ために必要な場合、</w:t>
      </w:r>
      <w:r w:rsidR="00414B85" w:rsidRPr="00DF5C23">
        <w:rPr>
          <w:noProof/>
          <w:lang w:eastAsia="ja-JP"/>
        </w:rPr>
        <w:t>性能の悪い製品を市場から</w:t>
      </w:r>
      <w:r w:rsidR="001D1DE3" w:rsidRPr="00DF5C23">
        <w:rPr>
          <w:noProof/>
          <w:lang w:eastAsia="ja-JP"/>
        </w:rPr>
        <w:t>排除</w:t>
      </w:r>
      <w:r w:rsidR="00FE5762" w:rsidRPr="00DF5C23">
        <w:rPr>
          <w:noProof/>
          <w:lang w:eastAsia="ja-JP"/>
        </w:rPr>
        <w:t>する</w:t>
      </w:r>
      <w:r w:rsidR="001D1DE3" w:rsidRPr="00DF5C23">
        <w:rPr>
          <w:noProof/>
          <w:lang w:eastAsia="ja-JP"/>
        </w:rPr>
        <w:t>ために</w:t>
      </w:r>
      <w:r w:rsidR="00FF1901" w:rsidRPr="00DF5C23">
        <w:rPr>
          <w:noProof/>
          <w:lang w:eastAsia="ja-JP"/>
        </w:rPr>
        <w:t>使用される予定である。</w:t>
      </w:r>
      <w:r w:rsidR="00FE5762" w:rsidRPr="00DF5C23">
        <w:rPr>
          <w:noProof/>
          <w:lang w:eastAsia="ja-JP"/>
        </w:rPr>
        <w:t xml:space="preserve">  </w:t>
      </w:r>
    </w:p>
    <w:p w14:paraId="1F3B63B2" w14:textId="77777777" w:rsidR="0038775E" w:rsidRDefault="00877B9C" w:rsidP="002041D4">
      <w:pPr>
        <w:pStyle w:val="ManualConsidrant"/>
        <w:wordWrap w:val="0"/>
        <w:rPr>
          <w:noProof/>
          <w:lang w:eastAsia="ja-JP"/>
        </w:rPr>
      </w:pPr>
      <w:r w:rsidRPr="004F5E59">
        <w:rPr>
          <w:lang w:eastAsia="ja-JP"/>
        </w:rPr>
        <w:t>(21)</w:t>
      </w:r>
      <w:r w:rsidRPr="004F5E59">
        <w:rPr>
          <w:lang w:eastAsia="ja-JP"/>
        </w:rPr>
        <w:tab/>
      </w:r>
      <w:r w:rsidR="00FF2851" w:rsidRPr="00DF5C23">
        <w:rPr>
          <w:noProof/>
          <w:lang w:eastAsia="ja-JP"/>
        </w:rPr>
        <w:t>一貫性を確保するため、</w:t>
      </w:r>
      <w:r w:rsidR="00675E10" w:rsidRPr="00DF5C23">
        <w:rPr>
          <w:noProof/>
          <w:lang w:eastAsia="ja-JP"/>
        </w:rPr>
        <w:t>性能要件は、廃棄物に関する欧州連合の法律の実施を補完する必要がある。</w:t>
      </w:r>
      <w:r w:rsidR="005E1335" w:rsidRPr="00DF5C23">
        <w:rPr>
          <w:noProof/>
          <w:lang w:eastAsia="ja-JP"/>
        </w:rPr>
        <w:t>最終製品としての</w:t>
      </w:r>
      <w:r w:rsidR="001B619C" w:rsidRPr="00DF5C23">
        <w:rPr>
          <w:noProof/>
          <w:lang w:eastAsia="ja-JP"/>
        </w:rPr>
        <w:t>包装を</w:t>
      </w:r>
      <w:r w:rsidR="00906F3B" w:rsidRPr="00DF5C23">
        <w:rPr>
          <w:noProof/>
          <w:lang w:eastAsia="ja-JP"/>
        </w:rPr>
        <w:t>市場に</w:t>
      </w:r>
      <w:r w:rsidR="001B619C" w:rsidRPr="00DF5C23">
        <w:rPr>
          <w:noProof/>
          <w:lang w:eastAsia="ja-JP"/>
        </w:rPr>
        <w:t>出す</w:t>
      </w:r>
      <w:r w:rsidR="00906F3B" w:rsidRPr="00DF5C23">
        <w:rPr>
          <w:noProof/>
          <w:lang w:eastAsia="ja-JP"/>
        </w:rPr>
        <w:t>ための要件は、</w:t>
      </w:r>
      <w:r w:rsidR="00906F3B" w:rsidRPr="00DF5C23">
        <w:rPr>
          <w:noProof/>
          <w:lang w:eastAsia="ja-JP"/>
        </w:rPr>
        <w:lastRenderedPageBreak/>
        <w:t>欧州議会および理事会指令</w:t>
      </w:r>
      <w:r w:rsidR="00906F3B" w:rsidRPr="00DF5C23">
        <w:rPr>
          <w:noProof/>
          <w:lang w:eastAsia="ja-JP"/>
        </w:rPr>
        <w:t>94/62/EC</w:t>
      </w:r>
      <w:r w:rsidR="00906F3B" w:rsidRPr="00DF5C23">
        <w:rPr>
          <w:noProof/>
          <w:lang w:eastAsia="ja-JP"/>
        </w:rPr>
        <w:t>（</w:t>
      </w:r>
      <w:r w:rsidR="00906F3B" w:rsidRPr="00DF5C23">
        <w:rPr>
          <w:rStyle w:val="afa"/>
          <w:noProof/>
        </w:rPr>
        <w:footnoteReference w:id="58"/>
      </w:r>
      <w:r w:rsidR="00906F3B" w:rsidRPr="00DF5C23">
        <w:rPr>
          <w:noProof/>
          <w:lang w:eastAsia="ja-JP"/>
        </w:rPr>
        <w:t xml:space="preserve"> </w:t>
      </w:r>
      <w:r w:rsidR="00906F3B" w:rsidRPr="00DF5C23">
        <w:rPr>
          <w:noProof/>
          <w:lang w:eastAsia="ja-JP"/>
        </w:rPr>
        <w:t>）に定められているが、</w:t>
      </w:r>
      <w:r w:rsidR="001B619C" w:rsidRPr="00DF5C23">
        <w:rPr>
          <w:noProof/>
          <w:lang w:eastAsia="ja-JP"/>
        </w:rPr>
        <w:t>本規則は、</w:t>
      </w:r>
      <w:r w:rsidR="005E1335" w:rsidRPr="00DF5C23">
        <w:rPr>
          <w:noProof/>
          <w:lang w:eastAsia="ja-JP"/>
        </w:rPr>
        <w:t>市場に出される</w:t>
      </w:r>
      <w:r w:rsidR="00C427F9" w:rsidRPr="00DF5C23">
        <w:rPr>
          <w:noProof/>
          <w:lang w:eastAsia="ja-JP"/>
        </w:rPr>
        <w:t>特定の製品の</w:t>
      </w:r>
      <w:r w:rsidR="001B619C" w:rsidRPr="00DF5C23">
        <w:rPr>
          <w:noProof/>
          <w:lang w:eastAsia="ja-JP"/>
        </w:rPr>
        <w:t>包装に</w:t>
      </w:r>
      <w:r w:rsidR="00C427F9" w:rsidRPr="00DF5C23">
        <w:rPr>
          <w:noProof/>
          <w:lang w:eastAsia="ja-JP"/>
        </w:rPr>
        <w:t>焦点を当てた</w:t>
      </w:r>
      <w:r w:rsidR="001B619C" w:rsidRPr="00DF5C23">
        <w:rPr>
          <w:noProof/>
          <w:lang w:eastAsia="ja-JP"/>
        </w:rPr>
        <w:t>製品ベースの要件を設定することにより、同指令を</w:t>
      </w:r>
      <w:r w:rsidR="00906F3B" w:rsidRPr="00DF5C23">
        <w:rPr>
          <w:noProof/>
          <w:lang w:eastAsia="ja-JP"/>
        </w:rPr>
        <w:t>補完</w:t>
      </w:r>
      <w:r w:rsidR="001B619C" w:rsidRPr="00DF5C23">
        <w:rPr>
          <w:noProof/>
          <w:lang w:eastAsia="ja-JP"/>
        </w:rPr>
        <w:t>できる</w:t>
      </w:r>
      <w:r w:rsidR="00906F3B" w:rsidRPr="00DF5C23">
        <w:rPr>
          <w:noProof/>
          <w:lang w:eastAsia="ja-JP"/>
        </w:rPr>
        <w:t>。</w:t>
      </w:r>
      <w:r w:rsidR="00C427F9" w:rsidRPr="00DF5C23">
        <w:rPr>
          <w:noProof/>
          <w:lang w:eastAsia="ja-JP"/>
        </w:rPr>
        <w:t>関連する場合、このような補完的な</w:t>
      </w:r>
      <w:r w:rsidR="00CD410F" w:rsidRPr="00DF5C23">
        <w:rPr>
          <w:noProof/>
          <w:lang w:eastAsia="ja-JP"/>
        </w:rPr>
        <w:t>要件は、</w:t>
      </w:r>
      <w:r w:rsidR="00906F3B" w:rsidRPr="00DF5C23">
        <w:rPr>
          <w:noProof/>
          <w:lang w:eastAsia="ja-JP"/>
        </w:rPr>
        <w:t>特に包装の使用量を最小化し、ひいては連合における廃棄物発生の防止に寄与するもので</w:t>
      </w:r>
      <w:r w:rsidR="00C427F9" w:rsidRPr="00DF5C23">
        <w:rPr>
          <w:noProof/>
          <w:lang w:eastAsia="ja-JP"/>
        </w:rPr>
        <w:t>なければならない。</w:t>
      </w:r>
    </w:p>
    <w:p w14:paraId="0BF02AE6" w14:textId="7842D100" w:rsidR="0038775E" w:rsidRDefault="00877B9C" w:rsidP="002041D4">
      <w:pPr>
        <w:pStyle w:val="ManualConsidrant"/>
        <w:wordWrap w:val="0"/>
        <w:rPr>
          <w:noProof/>
          <w:lang w:eastAsia="ja-JP"/>
        </w:rPr>
      </w:pPr>
      <w:r w:rsidRPr="004F5E59">
        <w:rPr>
          <w:lang w:eastAsia="ja-JP"/>
        </w:rPr>
        <w:t>(22)</w:t>
      </w:r>
      <w:r w:rsidRPr="004F5E59">
        <w:rPr>
          <w:lang w:eastAsia="ja-JP"/>
        </w:rPr>
        <w:tab/>
      </w:r>
      <w:r w:rsidR="001A0511" w:rsidRPr="00DF5C23">
        <w:rPr>
          <w:noProof/>
          <w:lang w:eastAsia="ja-JP"/>
        </w:rPr>
        <w:t>化学物質の安全性は、製品の持続可能性の重要な要素であると認識されて</w:t>
      </w:r>
      <w:r w:rsidR="002041D4">
        <w:rPr>
          <w:noProof/>
          <w:lang w:eastAsia="ja-JP"/>
        </w:rPr>
        <w:t>いる。</w:t>
      </w:r>
      <w:r w:rsidR="001A0511" w:rsidRPr="00DF5C23">
        <w:rPr>
          <w:noProof/>
          <w:lang w:eastAsia="ja-JP"/>
        </w:rPr>
        <w:t>化学物質の安全性は、健康や環境に対する化学物質の本質的な危険性と、特定または一般的な曝露との組み合わせに基づいており、</w:t>
      </w:r>
      <w:r w:rsidR="001057BC" w:rsidRPr="00DF5C23">
        <w:rPr>
          <w:noProof/>
          <w:lang w:eastAsia="ja-JP"/>
        </w:rPr>
        <w:t>欧州議会および理事会の規則（</w:t>
      </w:r>
      <w:r w:rsidR="001057BC" w:rsidRPr="00DF5C23">
        <w:rPr>
          <w:noProof/>
          <w:lang w:eastAsia="ja-JP"/>
        </w:rPr>
        <w:t>EC</w:t>
      </w:r>
      <w:r w:rsidR="001057BC" w:rsidRPr="00DF5C23">
        <w:rPr>
          <w:noProof/>
          <w:lang w:eastAsia="ja-JP"/>
        </w:rPr>
        <w:t>）</w:t>
      </w:r>
      <w:r w:rsidR="001057BC" w:rsidRPr="00DF5C23">
        <w:rPr>
          <w:noProof/>
          <w:lang w:eastAsia="ja-JP"/>
        </w:rPr>
        <w:t>No 1935/2004</w:t>
      </w:r>
      <w:r w:rsidR="001057BC" w:rsidRPr="00DF5C23">
        <w:rPr>
          <w:rStyle w:val="afa"/>
          <w:noProof/>
        </w:rPr>
        <w:footnoteReference w:id="59"/>
      </w:r>
      <w:r w:rsidR="001A0511" w:rsidRPr="00DF5C23">
        <w:rPr>
          <w:noProof/>
          <w:lang w:eastAsia="ja-JP"/>
        </w:rPr>
        <w:t xml:space="preserve"> </w:t>
      </w:r>
      <w:r w:rsidR="001A0511" w:rsidRPr="00DF5C23">
        <w:rPr>
          <w:noProof/>
          <w:lang w:eastAsia="ja-JP"/>
        </w:rPr>
        <w:t>などの化学物質に関する法律で定められています、</w:t>
      </w:r>
      <w:r w:rsidR="00F11751" w:rsidRPr="00DF5C23">
        <w:rPr>
          <w:noProof/>
          <w:lang w:eastAsia="ja-JP"/>
        </w:rPr>
        <w:t>欧州議会および理事会の</w:t>
      </w:r>
      <w:r w:rsidR="001A0511" w:rsidRPr="00DF5C23">
        <w:rPr>
          <w:noProof/>
          <w:lang w:eastAsia="ja-JP"/>
        </w:rPr>
        <w:t>規則（</w:t>
      </w:r>
      <w:r w:rsidR="001A0511" w:rsidRPr="00DF5C23">
        <w:rPr>
          <w:noProof/>
          <w:lang w:eastAsia="ja-JP"/>
        </w:rPr>
        <w:t>EC</w:t>
      </w:r>
      <w:r w:rsidR="001A0511" w:rsidRPr="00DF5C23">
        <w:rPr>
          <w:noProof/>
          <w:lang w:eastAsia="ja-JP"/>
        </w:rPr>
        <w:t>）</w:t>
      </w:r>
      <w:r w:rsidR="001A0511" w:rsidRPr="00DF5C23">
        <w:rPr>
          <w:noProof/>
          <w:lang w:eastAsia="ja-JP"/>
        </w:rPr>
        <w:t>No 1907/2006</w:t>
      </w:r>
      <w:r w:rsidR="00F11751" w:rsidRPr="00DF5C23">
        <w:rPr>
          <w:rStyle w:val="afa"/>
          <w:noProof/>
        </w:rPr>
        <w:footnoteReference w:id="60"/>
      </w:r>
      <w:r w:rsidR="00F11751" w:rsidRPr="00DF5C23">
        <w:rPr>
          <w:noProof/>
          <w:lang w:eastAsia="ja-JP"/>
        </w:rPr>
        <w:t xml:space="preserve"> </w:t>
      </w:r>
      <w:r w:rsidR="00F11751" w:rsidRPr="00DF5C23">
        <w:rPr>
          <w:noProof/>
          <w:lang w:eastAsia="ja-JP"/>
        </w:rPr>
        <w:t>、欧州議会および理事会の規則（</w:t>
      </w:r>
      <w:r w:rsidR="00F11751" w:rsidRPr="00DF5C23">
        <w:rPr>
          <w:noProof/>
          <w:lang w:eastAsia="ja-JP"/>
        </w:rPr>
        <w:t>EC</w:t>
      </w:r>
      <w:r w:rsidR="00F11751" w:rsidRPr="00DF5C23">
        <w:rPr>
          <w:noProof/>
          <w:lang w:eastAsia="ja-JP"/>
        </w:rPr>
        <w:t>）</w:t>
      </w:r>
      <w:r w:rsidR="00F11751" w:rsidRPr="00DF5C23">
        <w:rPr>
          <w:noProof/>
          <w:lang w:eastAsia="ja-JP"/>
        </w:rPr>
        <w:t>No 1223/2009</w:t>
      </w:r>
      <w:r w:rsidR="00F11751" w:rsidRPr="00DF5C23">
        <w:rPr>
          <w:rStyle w:val="afa"/>
          <w:noProof/>
        </w:rPr>
        <w:footnoteReference w:id="61"/>
      </w:r>
      <w:r w:rsidR="001057BC" w:rsidRPr="00DF5C23">
        <w:rPr>
          <w:noProof/>
          <w:lang w:eastAsia="ja-JP"/>
        </w:rPr>
        <w:t xml:space="preserve"> </w:t>
      </w:r>
      <w:r w:rsidR="001057BC" w:rsidRPr="00DF5C23">
        <w:rPr>
          <w:noProof/>
          <w:lang w:eastAsia="ja-JP"/>
        </w:rPr>
        <w:t>、欧州議会および理事会の規則（</w:t>
      </w:r>
      <w:r w:rsidR="001057BC" w:rsidRPr="00DF5C23">
        <w:rPr>
          <w:noProof/>
          <w:lang w:eastAsia="ja-JP"/>
        </w:rPr>
        <w:t>EU</w:t>
      </w:r>
      <w:r w:rsidR="001057BC" w:rsidRPr="00DF5C23">
        <w:rPr>
          <w:noProof/>
          <w:lang w:eastAsia="ja-JP"/>
        </w:rPr>
        <w:t>）</w:t>
      </w:r>
      <w:r w:rsidR="001057BC" w:rsidRPr="00DF5C23">
        <w:rPr>
          <w:noProof/>
          <w:lang w:eastAsia="ja-JP"/>
        </w:rPr>
        <w:t>2017/745</w:t>
      </w:r>
      <w:r w:rsidR="001057BC" w:rsidRPr="00DF5C23">
        <w:rPr>
          <w:rStyle w:val="afa"/>
          <w:noProof/>
        </w:rPr>
        <w:footnoteReference w:id="62"/>
      </w:r>
      <w:r w:rsidR="001057BC" w:rsidRPr="00DF5C23">
        <w:rPr>
          <w:noProof/>
          <w:lang w:eastAsia="ja-JP"/>
        </w:rPr>
        <w:t xml:space="preserve"> </w:t>
      </w:r>
      <w:r w:rsidR="001057BC" w:rsidRPr="00DF5C23">
        <w:rPr>
          <w:noProof/>
          <w:lang w:eastAsia="ja-JP"/>
        </w:rPr>
        <w:t>、</w:t>
      </w:r>
      <w:r w:rsidR="00F11751" w:rsidRPr="00DF5C23">
        <w:rPr>
          <w:noProof/>
          <w:lang w:eastAsia="ja-JP"/>
        </w:rPr>
        <w:t>欧州議会および理事会の</w:t>
      </w:r>
      <w:r w:rsidR="001A0511" w:rsidRPr="00DF5C23">
        <w:rPr>
          <w:noProof/>
          <w:lang w:eastAsia="ja-JP"/>
        </w:rPr>
        <w:t>指令</w:t>
      </w:r>
      <w:r w:rsidR="001A0511" w:rsidRPr="00DF5C23">
        <w:rPr>
          <w:noProof/>
          <w:lang w:eastAsia="ja-JP"/>
        </w:rPr>
        <w:t>2009/48/EC</w:t>
      </w:r>
      <w:r w:rsidR="00F11751" w:rsidRPr="00DF5C23">
        <w:rPr>
          <w:rStyle w:val="afa"/>
          <w:noProof/>
        </w:rPr>
        <w:footnoteReference w:id="63"/>
      </w:r>
      <w:r w:rsidR="001057BC" w:rsidRPr="00DF5C23">
        <w:rPr>
          <w:noProof/>
          <w:lang w:eastAsia="ja-JP"/>
        </w:rPr>
        <w:t xml:space="preserve"> .</w:t>
      </w:r>
      <w:r w:rsidR="00936571" w:rsidRPr="00DF5C23">
        <w:rPr>
          <w:iCs/>
          <w:noProof/>
          <w:lang w:eastAsia="ja-JP"/>
        </w:rPr>
        <w:t>本規則は、</w:t>
      </w:r>
      <w:r w:rsidR="003038AC" w:rsidRPr="00DF5C23">
        <w:rPr>
          <w:iCs/>
          <w:noProof/>
          <w:lang w:eastAsia="ja-JP"/>
        </w:rPr>
        <w:t>他の</w:t>
      </w:r>
      <w:r w:rsidR="00936571" w:rsidRPr="00DF5C23">
        <w:rPr>
          <w:iCs/>
          <w:noProof/>
          <w:lang w:eastAsia="ja-JP"/>
        </w:rPr>
        <w:t>連合</w:t>
      </w:r>
      <w:r w:rsidR="005E1335" w:rsidRPr="00DF5C23">
        <w:rPr>
          <w:iCs/>
          <w:noProof/>
          <w:lang w:eastAsia="ja-JP"/>
        </w:rPr>
        <w:t>法の</w:t>
      </w:r>
      <w:r w:rsidR="003038AC" w:rsidRPr="00DF5C23">
        <w:rPr>
          <w:iCs/>
          <w:noProof/>
          <w:lang w:eastAsia="ja-JP"/>
        </w:rPr>
        <w:t>下で行われている</w:t>
      </w:r>
      <w:r w:rsidR="00936571" w:rsidRPr="00DF5C23">
        <w:rPr>
          <w:iCs/>
          <w:noProof/>
          <w:lang w:eastAsia="ja-JP"/>
        </w:rPr>
        <w:t>ように、化学的安全性に基づく物質の制限を可能にしてはならない</w:t>
      </w:r>
      <w:r w:rsidR="00936571" w:rsidRPr="00DF5C23">
        <w:rPr>
          <w:noProof/>
          <w:lang w:eastAsia="ja-JP"/>
        </w:rPr>
        <w:t>。</w:t>
      </w:r>
      <w:r w:rsidR="005C3083" w:rsidRPr="00DF5C23">
        <w:rPr>
          <w:noProof/>
          <w:lang w:eastAsia="ja-JP"/>
        </w:rPr>
        <w:t>同様に、この規則は、食品の安全性に関連する理由で物質を制限することを可能にすべきでは</w:t>
      </w:r>
      <w:r w:rsidR="002041D4">
        <w:rPr>
          <w:noProof/>
          <w:lang w:eastAsia="ja-JP"/>
        </w:rPr>
        <w:t>ない</w:t>
      </w:r>
      <w:r w:rsidR="005C3083" w:rsidRPr="00DF5C23">
        <w:rPr>
          <w:noProof/>
          <w:lang w:eastAsia="ja-JP"/>
        </w:rPr>
        <w:t>。</w:t>
      </w:r>
      <w:r w:rsidR="001A0511" w:rsidRPr="00DF5C23">
        <w:rPr>
          <w:noProof/>
          <w:lang w:eastAsia="ja-JP"/>
        </w:rPr>
        <w:t>しかし、化学</w:t>
      </w:r>
      <w:r w:rsidR="005C3083" w:rsidRPr="00DF5C23">
        <w:rPr>
          <w:noProof/>
          <w:lang w:eastAsia="ja-JP"/>
        </w:rPr>
        <w:t>物質と食品に関する</w:t>
      </w:r>
      <w:r w:rsidR="001A0511" w:rsidRPr="00DF5C23">
        <w:rPr>
          <w:noProof/>
          <w:lang w:eastAsia="ja-JP"/>
        </w:rPr>
        <w:t>EU</w:t>
      </w:r>
      <w:r w:rsidR="001A0511" w:rsidRPr="00DF5C23">
        <w:rPr>
          <w:noProof/>
          <w:lang w:eastAsia="ja-JP"/>
        </w:rPr>
        <w:t>法は</w:t>
      </w:r>
      <w:r w:rsidR="00936571" w:rsidRPr="00DF5C23">
        <w:rPr>
          <w:noProof/>
          <w:lang w:eastAsia="ja-JP"/>
        </w:rPr>
        <w:t>、</w:t>
      </w:r>
      <w:r w:rsidR="00BD763F" w:rsidRPr="00DF5C23">
        <w:rPr>
          <w:noProof/>
          <w:lang w:eastAsia="ja-JP"/>
        </w:rPr>
        <w:t>特定の物質に対する制限を通じて</w:t>
      </w:r>
      <w:r w:rsidR="001057BC" w:rsidRPr="00DF5C23">
        <w:rPr>
          <w:noProof/>
          <w:lang w:eastAsia="ja-JP"/>
        </w:rPr>
        <w:t>、</w:t>
      </w:r>
      <w:r w:rsidR="001A0511" w:rsidRPr="00DF5C23">
        <w:rPr>
          <w:noProof/>
          <w:lang w:eastAsia="ja-JP"/>
        </w:rPr>
        <w:t>化学物質の安全</w:t>
      </w:r>
      <w:r w:rsidR="005C3083" w:rsidRPr="00DF5C23">
        <w:rPr>
          <w:noProof/>
          <w:lang w:eastAsia="ja-JP"/>
        </w:rPr>
        <w:t>性や食品の安全性とは無関係な</w:t>
      </w:r>
      <w:r w:rsidR="001A0511" w:rsidRPr="00DF5C23">
        <w:rPr>
          <w:noProof/>
          <w:lang w:eastAsia="ja-JP"/>
        </w:rPr>
        <w:t>持続可能性への影響に</w:t>
      </w:r>
      <w:r w:rsidR="00BD763F" w:rsidRPr="00DF5C23">
        <w:rPr>
          <w:noProof/>
          <w:lang w:eastAsia="ja-JP"/>
        </w:rPr>
        <w:t>対処することを認めて</w:t>
      </w:r>
      <w:r w:rsidR="001A0511" w:rsidRPr="00DF5C23">
        <w:rPr>
          <w:noProof/>
          <w:lang w:eastAsia="ja-JP"/>
        </w:rPr>
        <w:t>いない。この制限を克服するために、本規則は、</w:t>
      </w:r>
      <w:r w:rsidR="001057BC" w:rsidRPr="00DF5C23">
        <w:rPr>
          <w:noProof/>
          <w:lang w:eastAsia="ja-JP"/>
        </w:rPr>
        <w:t>主に化学的安全</w:t>
      </w:r>
      <w:r w:rsidR="005C3083" w:rsidRPr="00DF5C23">
        <w:rPr>
          <w:noProof/>
          <w:lang w:eastAsia="ja-JP"/>
        </w:rPr>
        <w:t>性や食品</w:t>
      </w:r>
      <w:r w:rsidR="001057BC" w:rsidRPr="00DF5C23">
        <w:rPr>
          <w:noProof/>
          <w:lang w:eastAsia="ja-JP"/>
        </w:rPr>
        <w:t>安全性以外の理由で、</w:t>
      </w:r>
      <w:r w:rsidR="001A0511" w:rsidRPr="00DF5C23">
        <w:rPr>
          <w:noProof/>
          <w:lang w:eastAsia="ja-JP"/>
        </w:rPr>
        <w:t>製品に含まれる物質やその製造工程で使用される物質のうち、</w:t>
      </w:r>
      <w:r w:rsidR="00936571" w:rsidRPr="00DF5C23">
        <w:rPr>
          <w:noProof/>
          <w:lang w:eastAsia="ja-JP"/>
        </w:rPr>
        <w:t>製品の持続可能性に悪影響を及ぼすものを</w:t>
      </w:r>
      <w:r w:rsidR="001057BC" w:rsidRPr="00DF5C23">
        <w:rPr>
          <w:noProof/>
          <w:lang w:eastAsia="ja-JP"/>
        </w:rPr>
        <w:t>、</w:t>
      </w:r>
      <w:r w:rsidR="001A0511" w:rsidRPr="00DF5C23">
        <w:rPr>
          <w:noProof/>
          <w:lang w:eastAsia="ja-JP"/>
        </w:rPr>
        <w:t>一定の条件の下で制限することを認めるべきである。</w:t>
      </w:r>
      <w:r w:rsidR="00C80CD3" w:rsidRPr="00DF5C23">
        <w:rPr>
          <w:noProof/>
          <w:lang w:val="en-US" w:eastAsia="ja-JP"/>
        </w:rPr>
        <w:t>また、</w:t>
      </w:r>
      <w:r w:rsidR="00BD763F" w:rsidRPr="00DF5C23">
        <w:rPr>
          <w:noProof/>
          <w:lang w:val="en-US" w:eastAsia="ja-JP"/>
        </w:rPr>
        <w:t>本規則は、</w:t>
      </w:r>
      <w:r w:rsidR="00906F3B" w:rsidRPr="00DF5C23">
        <w:rPr>
          <w:noProof/>
          <w:lang w:eastAsia="ja-JP"/>
        </w:rPr>
        <w:t>電気・電子機器からの</w:t>
      </w:r>
      <w:r w:rsidR="00BD763F" w:rsidRPr="00DF5C23">
        <w:rPr>
          <w:noProof/>
          <w:lang w:val="en-US" w:eastAsia="ja-JP"/>
        </w:rPr>
        <w:t>廃棄物の環境的に健全な回収・処分を含む、人の健康および環境の保護を目的とする欧州議会および理事会の指令</w:t>
      </w:r>
      <w:r w:rsidR="00BD763F" w:rsidRPr="00DF5C23">
        <w:rPr>
          <w:noProof/>
          <w:lang w:val="en-US" w:eastAsia="ja-JP"/>
        </w:rPr>
        <w:t xml:space="preserve"> 2011/65/EU</w:t>
      </w:r>
      <w:r w:rsidR="00906F3B" w:rsidRPr="00DF5C23">
        <w:rPr>
          <w:rStyle w:val="afa"/>
          <w:noProof/>
          <w:lang w:val="en-US"/>
        </w:rPr>
        <w:footnoteReference w:id="64"/>
      </w:r>
      <w:r w:rsidR="00BD763F" w:rsidRPr="00DF5C23">
        <w:rPr>
          <w:noProof/>
          <w:lang w:val="en-US" w:eastAsia="ja-JP"/>
        </w:rPr>
        <w:t xml:space="preserve"> </w:t>
      </w:r>
      <w:r w:rsidR="00BD763F" w:rsidRPr="00DF5C23">
        <w:rPr>
          <w:noProof/>
          <w:lang w:val="en-US" w:eastAsia="ja-JP"/>
        </w:rPr>
        <w:t>の対象物質の制限を重複または代替する結果にならないようにすべきである。</w:t>
      </w:r>
    </w:p>
    <w:p w14:paraId="50E481C8" w14:textId="77777777" w:rsidR="0038775E" w:rsidRDefault="00877B9C" w:rsidP="002041D4">
      <w:pPr>
        <w:pStyle w:val="ManualConsidrant"/>
        <w:wordWrap w:val="0"/>
        <w:rPr>
          <w:noProof/>
          <w:lang w:eastAsia="ja-JP"/>
        </w:rPr>
      </w:pPr>
      <w:r w:rsidRPr="004F5E59">
        <w:rPr>
          <w:lang w:eastAsia="ja-JP"/>
        </w:rPr>
        <w:t>(23)</w:t>
      </w:r>
      <w:r w:rsidRPr="004F5E59">
        <w:rPr>
          <w:lang w:eastAsia="ja-JP"/>
        </w:rPr>
        <w:tab/>
      </w:r>
      <w:r w:rsidR="00A67E0F" w:rsidRPr="00DF5C23">
        <w:rPr>
          <w:noProof/>
          <w:lang w:eastAsia="ja-JP"/>
        </w:rPr>
        <w:t>製品の環境</w:t>
      </w:r>
      <w:r w:rsidR="00936571" w:rsidRPr="00DF5C23">
        <w:rPr>
          <w:noProof/>
          <w:lang w:eastAsia="ja-JP"/>
        </w:rPr>
        <w:t>持続可能性を向上させるために、情報要件は、</w:t>
      </w:r>
      <w:r w:rsidR="00D81745" w:rsidRPr="00DF5C23">
        <w:rPr>
          <w:noProof/>
          <w:lang w:eastAsia="ja-JP"/>
        </w:rPr>
        <w:t>製品の環境フットプリントや耐久性など、製品の側面に関連する選択された</w:t>
      </w:r>
      <w:r w:rsidR="00214C38" w:rsidRPr="00DF5C23">
        <w:rPr>
          <w:noProof/>
          <w:lang w:eastAsia="ja-JP"/>
        </w:rPr>
        <w:t>製品</w:t>
      </w:r>
      <w:r w:rsidR="00D81745" w:rsidRPr="00DF5C23">
        <w:rPr>
          <w:noProof/>
          <w:lang w:eastAsia="ja-JP"/>
        </w:rPr>
        <w:t>パラメータに関連</w:t>
      </w:r>
      <w:r w:rsidR="00936571" w:rsidRPr="00DF5C23">
        <w:rPr>
          <w:noProof/>
          <w:lang w:eastAsia="ja-JP"/>
        </w:rPr>
        <w:t>すべきである。情報要件は、選択された</w:t>
      </w:r>
      <w:r w:rsidR="00214C38" w:rsidRPr="00DF5C23">
        <w:rPr>
          <w:noProof/>
          <w:lang w:eastAsia="ja-JP"/>
        </w:rPr>
        <w:t>製品パラメータに</w:t>
      </w:r>
      <w:r w:rsidR="00D81745" w:rsidRPr="00DF5C23">
        <w:rPr>
          <w:noProof/>
          <w:lang w:eastAsia="ja-JP"/>
        </w:rPr>
        <w:t>関連する</w:t>
      </w:r>
      <w:r w:rsidR="00936571" w:rsidRPr="00DF5C23">
        <w:rPr>
          <w:noProof/>
          <w:lang w:eastAsia="ja-JP"/>
        </w:rPr>
        <w:t>製品の性能に関する</w:t>
      </w:r>
      <w:r w:rsidR="00D81745" w:rsidRPr="00DF5C23">
        <w:rPr>
          <w:noProof/>
          <w:lang w:eastAsia="ja-JP"/>
        </w:rPr>
        <w:t>情報、または</w:t>
      </w:r>
      <w:r w:rsidR="00D4569B" w:rsidRPr="00DF5C23">
        <w:rPr>
          <w:noProof/>
          <w:lang w:eastAsia="ja-JP"/>
        </w:rPr>
        <w:t>当該</w:t>
      </w:r>
      <w:r w:rsidR="00D81745" w:rsidRPr="00DF5C23">
        <w:rPr>
          <w:noProof/>
          <w:lang w:eastAsia="ja-JP"/>
        </w:rPr>
        <w:t>パラメータに関連する性能を向上させるた</w:t>
      </w:r>
      <w:r w:rsidR="00D81745" w:rsidRPr="00DF5C23">
        <w:rPr>
          <w:noProof/>
          <w:lang w:eastAsia="ja-JP"/>
        </w:rPr>
        <w:lastRenderedPageBreak/>
        <w:t>めに、製造者以外の関係者が製品の取り扱い方法に影響を与える可能性のあるその他の情報を利用可能にすることを製造者に求めることができる。このような情報要件は、</w:t>
      </w:r>
      <w:r w:rsidR="005C50E2" w:rsidRPr="00DF5C23">
        <w:rPr>
          <w:noProof/>
          <w:lang w:eastAsia="ja-JP"/>
        </w:rPr>
        <w:t>適宜、</w:t>
      </w:r>
      <w:r w:rsidR="00D81745" w:rsidRPr="00DF5C23">
        <w:rPr>
          <w:noProof/>
          <w:lang w:eastAsia="ja-JP"/>
        </w:rPr>
        <w:t>同じ</w:t>
      </w:r>
      <w:r w:rsidR="00214C38" w:rsidRPr="00DF5C23">
        <w:rPr>
          <w:noProof/>
          <w:lang w:eastAsia="ja-JP"/>
        </w:rPr>
        <w:t>製品</w:t>
      </w:r>
      <w:r w:rsidR="00D81745" w:rsidRPr="00DF5C23">
        <w:rPr>
          <w:noProof/>
          <w:lang w:eastAsia="ja-JP"/>
        </w:rPr>
        <w:t>パラメータに関する性能要件に追加して</w:t>
      </w:r>
      <w:r w:rsidR="00936571" w:rsidRPr="00DF5C23">
        <w:rPr>
          <w:noProof/>
          <w:lang w:eastAsia="ja-JP"/>
        </w:rPr>
        <w:t>、</w:t>
      </w:r>
      <w:r w:rsidR="00D81745" w:rsidRPr="00DF5C23">
        <w:rPr>
          <w:noProof/>
          <w:lang w:eastAsia="ja-JP"/>
        </w:rPr>
        <w:t>又は性能要件に代えて設定されなければならない</w:t>
      </w:r>
      <w:r w:rsidR="00AB244C" w:rsidRPr="00DF5C23">
        <w:rPr>
          <w:noProof/>
          <w:lang w:eastAsia="ja-JP"/>
        </w:rPr>
        <w:t>。</w:t>
      </w:r>
      <w:r w:rsidR="00D81745" w:rsidRPr="00DF5C23">
        <w:rPr>
          <w:noProof/>
          <w:lang w:eastAsia="ja-JP"/>
        </w:rPr>
        <w:t>委任法が情報要件を含む場合、</w:t>
      </w:r>
      <w:r w:rsidR="00936571" w:rsidRPr="00DF5C23">
        <w:rPr>
          <w:noProof/>
          <w:lang w:eastAsia="ja-JP"/>
        </w:rPr>
        <w:t>自由にアクセスできる</w:t>
      </w:r>
      <w:r w:rsidR="00D81745" w:rsidRPr="00DF5C23">
        <w:rPr>
          <w:noProof/>
          <w:lang w:eastAsia="ja-JP"/>
        </w:rPr>
        <w:t>ウェブサイト</w:t>
      </w:r>
      <w:r w:rsidR="0051562F" w:rsidRPr="00DF5C23">
        <w:rPr>
          <w:noProof/>
          <w:lang w:eastAsia="ja-JP"/>
        </w:rPr>
        <w:t>、製品パスポート</w:t>
      </w:r>
      <w:r w:rsidR="00D81745" w:rsidRPr="00DF5C23">
        <w:rPr>
          <w:noProof/>
          <w:lang w:eastAsia="ja-JP"/>
        </w:rPr>
        <w:t>又は製品ラベルへの</w:t>
      </w:r>
      <w:r w:rsidR="00936571" w:rsidRPr="00DF5C23">
        <w:rPr>
          <w:noProof/>
          <w:lang w:eastAsia="ja-JP"/>
        </w:rPr>
        <w:t>掲載など、要求される情報を利用可能にする</w:t>
      </w:r>
      <w:r w:rsidR="00D4569B" w:rsidRPr="00DF5C23">
        <w:rPr>
          <w:noProof/>
          <w:lang w:eastAsia="ja-JP"/>
        </w:rPr>
        <w:t>ための</w:t>
      </w:r>
      <w:r w:rsidR="00936571" w:rsidRPr="00DF5C23">
        <w:rPr>
          <w:noProof/>
          <w:lang w:eastAsia="ja-JP"/>
        </w:rPr>
        <w:t>方法を</w:t>
      </w:r>
      <w:r w:rsidR="00D81745" w:rsidRPr="00DF5C23">
        <w:rPr>
          <w:noProof/>
          <w:lang w:eastAsia="ja-JP"/>
        </w:rPr>
        <w:t>示すべきである。情報</w:t>
      </w:r>
      <w:r w:rsidR="00414B85" w:rsidRPr="00DF5C23">
        <w:rPr>
          <w:noProof/>
          <w:lang w:eastAsia="ja-JP"/>
        </w:rPr>
        <w:t>要件は、</w:t>
      </w:r>
      <w:r w:rsidR="005A5D00" w:rsidRPr="00DF5C23">
        <w:rPr>
          <w:noProof/>
          <w:lang w:eastAsia="ja-JP"/>
        </w:rPr>
        <w:t>本規則の</w:t>
      </w:r>
      <w:r w:rsidR="00414B85" w:rsidRPr="00DF5C23">
        <w:rPr>
          <w:noProof/>
          <w:lang w:eastAsia="ja-JP"/>
        </w:rPr>
        <w:t>環境持続性目標の</w:t>
      </w:r>
      <w:r w:rsidR="005A5D00" w:rsidRPr="00DF5C23">
        <w:rPr>
          <w:noProof/>
          <w:lang w:eastAsia="ja-JP"/>
        </w:rPr>
        <w:t>達成を</w:t>
      </w:r>
      <w:r w:rsidR="00414B85" w:rsidRPr="00DF5C23">
        <w:rPr>
          <w:noProof/>
          <w:lang w:eastAsia="ja-JP"/>
        </w:rPr>
        <w:t>確実にするために必要な行動変容を導くために必要である。購入者と公的機関が製品の環境持続可能性に基づいて比較できる確かな根拠を提供することで、情報要件は消費者と公的機関をより持続可能な選択へと導くことが期待される。</w:t>
      </w:r>
    </w:p>
    <w:p w14:paraId="6953C4B3" w14:textId="77777777" w:rsidR="0038775E" w:rsidRDefault="00877B9C" w:rsidP="002041D4">
      <w:pPr>
        <w:pStyle w:val="ManualConsidrant"/>
        <w:wordWrap w:val="0"/>
        <w:rPr>
          <w:noProof/>
          <w:lang w:eastAsia="ja-JP"/>
        </w:rPr>
      </w:pPr>
      <w:r w:rsidRPr="004F5E59">
        <w:rPr>
          <w:lang w:eastAsia="ja-JP"/>
        </w:rPr>
        <w:t>(24)</w:t>
      </w:r>
      <w:r w:rsidRPr="004F5E59">
        <w:rPr>
          <w:lang w:eastAsia="ja-JP"/>
        </w:rPr>
        <w:tab/>
      </w:r>
      <w:r w:rsidR="00D81745" w:rsidRPr="00DF5C23">
        <w:rPr>
          <w:noProof/>
          <w:lang w:eastAsia="ja-JP"/>
        </w:rPr>
        <w:t>委任法が情報要件を含む場合、委任法は、</w:t>
      </w:r>
      <w:r w:rsidR="00D81745" w:rsidRPr="00DF5C23">
        <w:rPr>
          <w:noProof/>
          <w:lang w:val="en-IE" w:eastAsia="fr-BE"/>
        </w:rPr>
        <w:t>当該パラメータに基づく製品間の比較を容易に</w:t>
      </w:r>
      <w:r w:rsidR="005D034D" w:rsidRPr="00DF5C23">
        <w:rPr>
          <w:noProof/>
          <w:lang w:val="en-IE" w:eastAsia="fr-BE"/>
        </w:rPr>
        <w:t>するために、</w:t>
      </w:r>
      <w:r w:rsidR="00D81745" w:rsidRPr="00DF5C23">
        <w:rPr>
          <w:noProof/>
          <w:lang w:val="en-IE" w:eastAsia="fr-BE"/>
        </w:rPr>
        <w:t>1</w:t>
      </w:r>
      <w:r w:rsidR="00D81745" w:rsidRPr="00DF5C23">
        <w:rPr>
          <w:noProof/>
          <w:lang w:val="en-IE" w:eastAsia="fr-BE"/>
        </w:rPr>
        <w:t>つ以上の関連する</w:t>
      </w:r>
      <w:r w:rsidR="00214C38" w:rsidRPr="00DF5C23">
        <w:rPr>
          <w:noProof/>
          <w:lang w:eastAsia="ja-JP"/>
        </w:rPr>
        <w:t>製品</w:t>
      </w:r>
      <w:r w:rsidR="00D81745" w:rsidRPr="00DF5C23">
        <w:rPr>
          <w:noProof/>
          <w:lang w:val="en-IE" w:eastAsia="fr-BE"/>
        </w:rPr>
        <w:t>パラメータに関連する性能のクラスを追加で</w:t>
      </w:r>
      <w:r w:rsidR="00D47097" w:rsidRPr="00DF5C23">
        <w:rPr>
          <w:noProof/>
          <w:lang w:val="en-IE" w:eastAsia="fr-BE"/>
        </w:rPr>
        <w:t>決定する</w:t>
      </w:r>
      <w:r w:rsidR="00D81745" w:rsidRPr="00DF5C23">
        <w:rPr>
          <w:noProof/>
          <w:lang w:val="en-IE" w:eastAsia="fr-BE"/>
        </w:rPr>
        <w:t>ことができる。性能分類は、相対的な持続可能性に基づく製品の差別化を可能にするものであり、消費者と公的機関の両方が利用</w:t>
      </w:r>
      <w:r w:rsidR="005D034D" w:rsidRPr="00DF5C23">
        <w:rPr>
          <w:noProof/>
          <w:lang w:val="en-IE" w:eastAsia="fr-BE"/>
        </w:rPr>
        <w:t>することが可能である。</w:t>
      </w:r>
      <w:r w:rsidR="00D81745" w:rsidRPr="00DF5C23">
        <w:rPr>
          <w:noProof/>
          <w:lang w:val="en-IE" w:eastAsia="fr-BE"/>
        </w:rPr>
        <w:t>そのため、より持続可能な製品へと市場を誘導することが意図されている。</w:t>
      </w:r>
      <w:r w:rsidR="00D81745" w:rsidRPr="00DF5C23">
        <w:rPr>
          <w:noProof/>
          <w:lang w:val="en-IE" w:eastAsia="fr-BE"/>
        </w:rPr>
        <w:t xml:space="preserve"> </w:t>
      </w:r>
    </w:p>
    <w:p w14:paraId="4DADE835" w14:textId="674B85FC" w:rsidR="0038775E" w:rsidRDefault="00877B9C" w:rsidP="002041D4">
      <w:pPr>
        <w:pStyle w:val="ManualConsidrant"/>
        <w:wordWrap w:val="0"/>
        <w:rPr>
          <w:noProof/>
          <w:lang w:eastAsia="ja-JP"/>
        </w:rPr>
      </w:pPr>
      <w:r w:rsidRPr="004F5E59">
        <w:rPr>
          <w:lang w:eastAsia="ja-JP"/>
        </w:rPr>
        <w:t>(25)</w:t>
      </w:r>
      <w:r w:rsidRPr="004F5E59">
        <w:rPr>
          <w:lang w:eastAsia="ja-JP"/>
        </w:rPr>
        <w:tab/>
      </w:r>
      <w:r w:rsidR="001A0511" w:rsidRPr="00DF5C23">
        <w:rPr>
          <w:noProof/>
          <w:lang w:eastAsia="ja-JP"/>
        </w:rPr>
        <w:t>製品に含まれる環境負荷物質の情報は、持続可能な製品を特定し、普及させるための重要な要素である。製品の化学組成は、その機能性や影響、再利用の可能性や</w:t>
      </w:r>
      <w:r w:rsidR="00936571" w:rsidRPr="00DF5C23">
        <w:rPr>
          <w:noProof/>
          <w:lang w:eastAsia="ja-JP"/>
        </w:rPr>
        <w:t>廃棄物となってからの回収の</w:t>
      </w:r>
      <w:r w:rsidR="001A0511" w:rsidRPr="00DF5C23">
        <w:rPr>
          <w:noProof/>
          <w:lang w:eastAsia="ja-JP"/>
        </w:rPr>
        <w:t>可能性を大きく左右する。</w:t>
      </w:r>
      <w:r w:rsidR="00936571" w:rsidRPr="00DF5C23">
        <w:rPr>
          <w:noProof/>
          <w:lang w:eastAsia="ja-JP"/>
        </w:rPr>
        <w:t>持続可能性のための化学物質戦略</w:t>
      </w:r>
      <w:r w:rsidR="00F84A92" w:rsidRPr="00DF5C23">
        <w:rPr>
          <w:rStyle w:val="afa"/>
          <w:noProof/>
        </w:rPr>
        <w:footnoteReference w:id="65"/>
      </w:r>
      <w:r w:rsidR="001A0511" w:rsidRPr="00DF5C23">
        <w:rPr>
          <w:noProof/>
          <w:lang w:eastAsia="ja-JP"/>
        </w:rPr>
        <w:t xml:space="preserve"> </w:t>
      </w:r>
      <w:r w:rsidR="001A0511" w:rsidRPr="00DF5C23">
        <w:rPr>
          <w:noProof/>
          <w:lang w:eastAsia="ja-JP"/>
        </w:rPr>
        <w:t>では、材料や製品のライフサイクルを通じて、情報要件を導入し、懸念物質の存在を追跡することにより、</w:t>
      </w:r>
      <w:r w:rsidR="00936571" w:rsidRPr="00DF5C23">
        <w:rPr>
          <w:noProof/>
          <w:lang w:eastAsia="ja-JP"/>
        </w:rPr>
        <w:t>製品中の懸念物質の存在を</w:t>
      </w:r>
      <w:r w:rsidR="00D4569B" w:rsidRPr="00DF5C23">
        <w:rPr>
          <w:noProof/>
          <w:lang w:eastAsia="ja-JP"/>
        </w:rPr>
        <w:t>最小限に抑え、</w:t>
      </w:r>
      <w:r w:rsidR="00936571" w:rsidRPr="00DF5C23">
        <w:rPr>
          <w:noProof/>
          <w:lang w:eastAsia="ja-JP"/>
        </w:rPr>
        <w:t>化学物質の含有量や安全な使用に関する情報を</w:t>
      </w:r>
      <w:r w:rsidR="00D4569B" w:rsidRPr="00DF5C23">
        <w:rPr>
          <w:noProof/>
          <w:lang w:eastAsia="ja-JP"/>
        </w:rPr>
        <w:t>確実に入手する</w:t>
      </w:r>
      <w:r w:rsidR="00936571" w:rsidRPr="00DF5C23">
        <w:rPr>
          <w:noProof/>
          <w:lang w:eastAsia="ja-JP"/>
        </w:rPr>
        <w:t>ことを求めて</w:t>
      </w:r>
      <w:r w:rsidR="002041D4">
        <w:rPr>
          <w:noProof/>
          <w:lang w:eastAsia="ja-JP"/>
        </w:rPr>
        <w:t>いる。</w:t>
      </w:r>
      <w:r w:rsidR="000728B3" w:rsidRPr="00DF5C23">
        <w:rPr>
          <w:noProof/>
          <w:lang w:eastAsia="ja-JP"/>
        </w:rPr>
        <w:t>欧州議会および理事会</w:t>
      </w:r>
      <w:r w:rsidR="001A0511" w:rsidRPr="00DF5C23">
        <w:rPr>
          <w:noProof/>
          <w:lang w:eastAsia="ja-JP"/>
        </w:rPr>
        <w:t>規則（</w:t>
      </w:r>
      <w:r w:rsidR="001A0511" w:rsidRPr="00DF5C23">
        <w:rPr>
          <w:noProof/>
          <w:lang w:eastAsia="ja-JP"/>
        </w:rPr>
        <w:t>EC</w:t>
      </w:r>
      <w:r w:rsidR="001A0511" w:rsidRPr="00DF5C23">
        <w:rPr>
          <w:noProof/>
          <w:lang w:eastAsia="ja-JP"/>
        </w:rPr>
        <w:t>）</w:t>
      </w:r>
      <w:r w:rsidR="001A0511" w:rsidRPr="00DF5C23">
        <w:rPr>
          <w:noProof/>
          <w:lang w:eastAsia="ja-JP"/>
        </w:rPr>
        <w:t>No 1272/2008</w:t>
      </w:r>
      <w:r w:rsidR="000728B3" w:rsidRPr="00DF5C23">
        <w:rPr>
          <w:rStyle w:val="afa"/>
          <w:noProof/>
        </w:rPr>
        <w:footnoteReference w:id="66"/>
      </w:r>
      <w:r w:rsidR="001A0511" w:rsidRPr="00DF5C23">
        <w:rPr>
          <w:noProof/>
          <w:lang w:eastAsia="ja-JP"/>
        </w:rPr>
        <w:t xml:space="preserve"> </w:t>
      </w:r>
      <w:r w:rsidR="001A0511" w:rsidRPr="00DF5C23">
        <w:rPr>
          <w:noProof/>
          <w:lang w:eastAsia="ja-JP"/>
        </w:rPr>
        <w:t>、規則（</w:t>
      </w:r>
      <w:r w:rsidR="001A0511" w:rsidRPr="00DF5C23">
        <w:rPr>
          <w:noProof/>
          <w:lang w:eastAsia="ja-JP"/>
        </w:rPr>
        <w:t>EC</w:t>
      </w:r>
      <w:r w:rsidR="001A0511" w:rsidRPr="00DF5C23">
        <w:rPr>
          <w:noProof/>
          <w:lang w:eastAsia="ja-JP"/>
        </w:rPr>
        <w:t>）</w:t>
      </w:r>
      <w:r w:rsidR="001A0511" w:rsidRPr="00DF5C23">
        <w:rPr>
          <w:noProof/>
          <w:lang w:eastAsia="ja-JP"/>
        </w:rPr>
        <w:t xml:space="preserve">No 1223/2009 </w:t>
      </w:r>
      <w:r w:rsidR="001A0511" w:rsidRPr="00DF5C23">
        <w:rPr>
          <w:noProof/>
          <w:lang w:eastAsia="ja-JP"/>
        </w:rPr>
        <w:t>などの既存の化学物質に関する法律は、特定の懸念物質が単体または混合物で</w:t>
      </w:r>
      <w:r w:rsidR="00936571" w:rsidRPr="00DF5C23">
        <w:rPr>
          <w:noProof/>
          <w:lang w:eastAsia="ja-JP"/>
        </w:rPr>
        <w:t>もたらす</w:t>
      </w:r>
      <w:r w:rsidR="001A0511" w:rsidRPr="00DF5C23">
        <w:rPr>
          <w:noProof/>
          <w:lang w:eastAsia="ja-JP"/>
        </w:rPr>
        <w:t>健康や環境への危険性に関する情報提供をすでに確保して</w:t>
      </w:r>
      <w:r w:rsidR="002041D4">
        <w:rPr>
          <w:noProof/>
          <w:lang w:eastAsia="ja-JP"/>
        </w:rPr>
        <w:t>いる。</w:t>
      </w:r>
      <w:r w:rsidR="001A0511" w:rsidRPr="00DF5C23">
        <w:rPr>
          <w:noProof/>
          <w:lang w:eastAsia="ja-JP"/>
        </w:rPr>
        <w:t>物質や混合物の使用者は、健康や環境に対する危険性とは無関係な、持続可能性に関連する適切な情報についても知らされる必要がある。さらに、物質や混合物以外の製品の使用者、およびそのような製品からの廃棄物の管理者も、健康や環境に対する化学物質の危険性に主に関連する情報を含む、持続可能性関連情報を受け取るべきである。したがって、</w:t>
      </w:r>
      <w:r w:rsidR="00936571" w:rsidRPr="00DF5C23">
        <w:rPr>
          <w:noProof/>
          <w:lang w:eastAsia="ja-JP"/>
        </w:rPr>
        <w:t>本規則は、廃棄物となった場合の汚染除去や回収の観点も含め、ライフサイクルを通じて製品に懸念物質が含まれているかどうかなど、持続可能性情報の追跡と伝達に関する</w:t>
      </w:r>
      <w:r w:rsidR="003B5F30" w:rsidRPr="00DF5C23">
        <w:rPr>
          <w:noProof/>
          <w:lang w:eastAsia="ja-JP"/>
        </w:rPr>
        <w:t>要求事項を設定することを</w:t>
      </w:r>
      <w:r w:rsidR="00936571" w:rsidRPr="00DF5C23">
        <w:rPr>
          <w:noProof/>
          <w:lang w:eastAsia="ja-JP"/>
        </w:rPr>
        <w:t>可能にする必要があ</w:t>
      </w:r>
      <w:r w:rsidR="002041D4">
        <w:rPr>
          <w:noProof/>
          <w:lang w:eastAsia="ja-JP"/>
        </w:rPr>
        <w:t>る</w:t>
      </w:r>
      <w:r w:rsidR="00936571" w:rsidRPr="00DF5C23">
        <w:rPr>
          <w:noProof/>
          <w:lang w:eastAsia="ja-JP"/>
        </w:rPr>
        <w:t>。このような枠組みは、欧州委員会が取り組む予定の製品群を定めた作業計画に記載されているすべての製品に含まれるすべての懸念物質を段階的にカバーすることを目指すべきである。</w:t>
      </w:r>
    </w:p>
    <w:p w14:paraId="3470C3CF" w14:textId="4FDD6A85" w:rsidR="0038775E" w:rsidRDefault="00877B9C" w:rsidP="002041D4">
      <w:pPr>
        <w:pStyle w:val="ManualConsidrant"/>
        <w:wordWrap w:val="0"/>
        <w:rPr>
          <w:noProof/>
          <w:lang w:eastAsia="ja-JP"/>
        </w:rPr>
      </w:pPr>
      <w:r w:rsidRPr="004F5E59">
        <w:rPr>
          <w:lang w:eastAsia="ja-JP"/>
        </w:rPr>
        <w:t>(26)</w:t>
      </w:r>
      <w:r w:rsidRPr="004F5E59">
        <w:rPr>
          <w:lang w:eastAsia="ja-JP"/>
        </w:rPr>
        <w:tab/>
      </w:r>
      <w:r w:rsidR="00D56F7D" w:rsidRPr="00DF5C23">
        <w:rPr>
          <w:noProof/>
          <w:lang w:eastAsia="ja-JP"/>
        </w:rPr>
        <w:t>本規則に基づき設定される情報要件には、製品パスポートを</w:t>
      </w:r>
      <w:r w:rsidR="0051562F" w:rsidRPr="00DF5C23">
        <w:rPr>
          <w:noProof/>
          <w:lang w:eastAsia="ja-JP"/>
        </w:rPr>
        <w:t>利用できるようにする</w:t>
      </w:r>
      <w:r w:rsidR="00D56F7D" w:rsidRPr="00DF5C23">
        <w:rPr>
          <w:noProof/>
          <w:lang w:eastAsia="ja-JP"/>
        </w:rPr>
        <w:t>要件が含まれるべきである。製品パスポートは、バリューチェーン全体の</w:t>
      </w:r>
      <w:r w:rsidR="00CA0CC3" w:rsidRPr="00DF5C23">
        <w:rPr>
          <w:noProof/>
          <w:lang w:eastAsia="ja-JP"/>
        </w:rPr>
        <w:t>関係者が</w:t>
      </w:r>
      <w:r w:rsidR="00D56F7D" w:rsidRPr="00DF5C23">
        <w:rPr>
          <w:noProof/>
          <w:lang w:eastAsia="ja-JP"/>
        </w:rPr>
        <w:t>情報を利用できるようにするための重要なツールであり、製品</w:t>
      </w:r>
      <w:r w:rsidR="00D56F7D" w:rsidRPr="00DF5C23">
        <w:rPr>
          <w:noProof/>
          <w:lang w:eastAsia="ja-JP"/>
        </w:rPr>
        <w:lastRenderedPageBreak/>
        <w:t>パスポートを利用できるようにすること</w:t>
      </w:r>
      <w:r w:rsidR="009C6AF3" w:rsidRPr="00DF5C23">
        <w:rPr>
          <w:noProof/>
          <w:lang w:eastAsia="ja-JP"/>
        </w:rPr>
        <w:t>で、</w:t>
      </w:r>
      <w:r w:rsidR="00D4569B" w:rsidRPr="00DF5C23">
        <w:rPr>
          <w:noProof/>
          <w:lang w:eastAsia="ja-JP"/>
        </w:rPr>
        <w:t>バリュー</w:t>
      </w:r>
      <w:r w:rsidR="00D56F7D" w:rsidRPr="00DF5C23">
        <w:rPr>
          <w:noProof/>
          <w:lang w:eastAsia="ja-JP"/>
        </w:rPr>
        <w:t>チェーン全体における製品の</w:t>
      </w:r>
      <w:r w:rsidR="00F61402" w:rsidRPr="00DF5C23">
        <w:rPr>
          <w:noProof/>
          <w:lang w:eastAsia="ja-JP"/>
        </w:rPr>
        <w:t>エンドツーエンドの</w:t>
      </w:r>
      <w:r w:rsidR="00D56F7D" w:rsidRPr="00DF5C23">
        <w:rPr>
          <w:noProof/>
          <w:lang w:eastAsia="ja-JP"/>
        </w:rPr>
        <w:t>トレーサビリティが大幅に向上する</w:t>
      </w:r>
      <w:r w:rsidR="009C6AF3" w:rsidRPr="00DF5C23">
        <w:rPr>
          <w:noProof/>
          <w:lang w:eastAsia="ja-JP"/>
        </w:rPr>
        <w:t>はず</w:t>
      </w:r>
      <w:r w:rsidR="002041D4">
        <w:rPr>
          <w:noProof/>
          <w:lang w:eastAsia="ja-JP"/>
        </w:rPr>
        <w:t>である</w:t>
      </w:r>
      <w:r w:rsidR="009C6AF3" w:rsidRPr="00DF5C23">
        <w:rPr>
          <w:noProof/>
          <w:lang w:eastAsia="ja-JP"/>
        </w:rPr>
        <w:t>。特に、プロダクトパスポートは、</w:t>
      </w:r>
      <w:r w:rsidR="00D56F7D" w:rsidRPr="00DF5C23">
        <w:rPr>
          <w:noProof/>
          <w:lang w:eastAsia="ja-JP"/>
        </w:rPr>
        <w:t>消費者が</w:t>
      </w:r>
      <w:r w:rsidR="00D4569B" w:rsidRPr="00DF5C23">
        <w:rPr>
          <w:noProof/>
          <w:lang w:eastAsia="ja-JP"/>
        </w:rPr>
        <w:t>自分に関連する</w:t>
      </w:r>
      <w:r w:rsidR="00D56F7D" w:rsidRPr="00DF5C23">
        <w:rPr>
          <w:noProof/>
          <w:lang w:eastAsia="ja-JP"/>
        </w:rPr>
        <w:t>製品情報へのアクセスを改善することにより、情報に基づいた選択を行うことを支援し、</w:t>
      </w:r>
      <w:r w:rsidR="009736A3" w:rsidRPr="00DF5C23">
        <w:rPr>
          <w:noProof/>
          <w:lang w:eastAsia="ja-JP"/>
        </w:rPr>
        <w:t>経済事業者が</w:t>
      </w:r>
      <w:r w:rsidR="00D56F7D" w:rsidRPr="00DF5C23">
        <w:rPr>
          <w:noProof/>
          <w:lang w:eastAsia="ja-JP"/>
        </w:rPr>
        <w:t>修理業者やリサイクル業者などの他のバリューチェーン関係者が関連情報にアクセスできるようにし、</w:t>
      </w:r>
      <w:r w:rsidR="00CE0E83" w:rsidRPr="00DF5C23">
        <w:rPr>
          <w:noProof/>
          <w:lang w:val="en-IE" w:eastAsia="fr-BE"/>
        </w:rPr>
        <w:t>管轄の国家</w:t>
      </w:r>
      <w:r w:rsidR="00D56F7D" w:rsidRPr="00DF5C23">
        <w:rPr>
          <w:noProof/>
          <w:lang w:eastAsia="ja-JP"/>
        </w:rPr>
        <w:t>当局がその職務を遂行できるように</w:t>
      </w:r>
      <w:r w:rsidR="009C6AF3" w:rsidRPr="00DF5C23">
        <w:rPr>
          <w:noProof/>
          <w:lang w:eastAsia="ja-JP"/>
        </w:rPr>
        <w:t>すべき</w:t>
      </w:r>
      <w:r w:rsidR="002041D4">
        <w:rPr>
          <w:noProof/>
          <w:lang w:eastAsia="ja-JP"/>
        </w:rPr>
        <w:t>である</w:t>
      </w:r>
      <w:r w:rsidR="009C6AF3" w:rsidRPr="00DF5C23">
        <w:rPr>
          <w:noProof/>
          <w:lang w:eastAsia="ja-JP"/>
        </w:rPr>
        <w:t>。</w:t>
      </w:r>
      <w:r w:rsidR="00D56F7D" w:rsidRPr="00DF5C23" w:rsidDel="007A5D1C">
        <w:rPr>
          <w:noProof/>
          <w:lang w:val="en-IE" w:eastAsia="ja-JP"/>
        </w:rPr>
        <w:t>この</w:t>
      </w:r>
      <w:r w:rsidR="00D56F7D" w:rsidRPr="00DF5C23">
        <w:rPr>
          <w:noProof/>
          <w:lang w:val="en-IE" w:eastAsia="ja-JP"/>
        </w:rPr>
        <w:t>ため、</w:t>
      </w:r>
      <w:r w:rsidR="00D56F7D" w:rsidRPr="00DF5C23" w:rsidDel="007A5D1C">
        <w:rPr>
          <w:noProof/>
          <w:lang w:val="en-IE" w:eastAsia="ja-JP"/>
        </w:rPr>
        <w:t>製品パスポートは、</w:t>
      </w:r>
      <w:r w:rsidR="00D56F7D" w:rsidRPr="00DF5C23">
        <w:rPr>
          <w:noProof/>
          <w:lang w:val="en-IE" w:eastAsia="ja-JP"/>
        </w:rPr>
        <w:t>製品マニュアルやラベルに記載された情報など、デジタル以外の情報伝達手段を代替するものではなく、補完するものでなければならない。</w:t>
      </w:r>
      <w:r w:rsidR="00102852" w:rsidRPr="00DF5C23">
        <w:rPr>
          <w:noProof/>
          <w:lang w:val="en-IE" w:eastAsia="ja-JP"/>
        </w:rPr>
        <w:t>さらに、製品パスポートは、他の連邦法に従って関連する製品群に適用される他の持続可能性の側面に関する情報にも使用できるようにすべきである。</w:t>
      </w:r>
    </w:p>
    <w:p w14:paraId="6514A81A" w14:textId="77FB21CB" w:rsidR="0038775E" w:rsidRDefault="00877B9C" w:rsidP="002041D4">
      <w:pPr>
        <w:pStyle w:val="ManualConsidrant"/>
        <w:wordWrap w:val="0"/>
        <w:rPr>
          <w:noProof/>
          <w:lang w:val="en-IE" w:eastAsia="ja-JP"/>
        </w:rPr>
      </w:pPr>
      <w:r w:rsidRPr="004F5E59">
        <w:rPr>
          <w:lang w:eastAsia="ja-JP"/>
        </w:rPr>
        <w:t>(27)</w:t>
      </w:r>
      <w:r w:rsidRPr="004F5E59">
        <w:rPr>
          <w:lang w:eastAsia="ja-JP"/>
        </w:rPr>
        <w:tab/>
      </w:r>
      <w:r w:rsidR="00440151" w:rsidRPr="00DF5C23">
        <w:rPr>
          <w:noProof/>
          <w:lang w:eastAsia="ja-JP"/>
        </w:rPr>
        <w:t>製品の性質とその市場を考慮し、製品固有の規則を作成する際には、製品パスポートに含まれる情報をケースバイケースで慎重に検討する必要があ</w:t>
      </w:r>
      <w:r w:rsidR="002041D4">
        <w:rPr>
          <w:noProof/>
          <w:lang w:eastAsia="ja-JP"/>
        </w:rPr>
        <w:t>る</w:t>
      </w:r>
      <w:r w:rsidR="00440151" w:rsidRPr="00DF5C23">
        <w:rPr>
          <w:noProof/>
          <w:lang w:eastAsia="ja-JP"/>
        </w:rPr>
        <w:t>。知的財産権を保護しつつ、得られた情報へのアクセスを最適化するために、情報の種類や利害関係者のタイプに応じて、プロダクトパスポートに含まれる情報へのアクセスを差別化できるように設計・実施する必要がある。同様に、企業や一般市民が、より広範な利益とは不釣り合いなコストを負担することを避けるため、プロダクトパスポートは、例えば</w:t>
      </w:r>
      <w:r w:rsidR="00217F15" w:rsidRPr="00DF5C23">
        <w:rPr>
          <w:noProof/>
          <w:lang w:eastAsia="ja-JP"/>
        </w:rPr>
        <w:t>バリューチェーンの複雑さ、</w:t>
      </w:r>
      <w:r w:rsidR="00440151" w:rsidRPr="00DF5C23">
        <w:rPr>
          <w:noProof/>
          <w:lang w:eastAsia="ja-JP"/>
        </w:rPr>
        <w:t>考慮する製品のサイズ、性質、影響などに応じて、アイテム、バッチ、製品モデルごとに特定する必要があ</w:t>
      </w:r>
      <w:r w:rsidR="002041D4">
        <w:rPr>
          <w:noProof/>
          <w:lang w:eastAsia="ja-JP"/>
        </w:rPr>
        <w:t>る</w:t>
      </w:r>
      <w:r w:rsidR="00440151" w:rsidRPr="00DF5C23">
        <w:rPr>
          <w:noProof/>
          <w:lang w:eastAsia="ja-JP"/>
        </w:rPr>
        <w:t>。</w:t>
      </w:r>
      <w:r w:rsidR="00440151" w:rsidRPr="00DF5C23">
        <w:rPr>
          <w:noProof/>
          <w:lang w:eastAsia="ja-JP"/>
        </w:rPr>
        <w:t xml:space="preserve"> </w:t>
      </w:r>
    </w:p>
    <w:p w14:paraId="6481C75B" w14:textId="77777777" w:rsidR="0038775E" w:rsidRDefault="00877B9C" w:rsidP="002041D4">
      <w:pPr>
        <w:pStyle w:val="ManualConsidrant"/>
        <w:wordWrap w:val="0"/>
        <w:rPr>
          <w:noProof/>
          <w:lang w:val="en-IE" w:eastAsia="ja-JP"/>
        </w:rPr>
      </w:pPr>
      <w:r w:rsidRPr="004F5E59">
        <w:rPr>
          <w:lang w:eastAsia="ja-JP"/>
        </w:rPr>
        <w:t>(28)</w:t>
      </w:r>
      <w:r w:rsidRPr="004F5E59">
        <w:rPr>
          <w:lang w:eastAsia="ja-JP"/>
        </w:rPr>
        <w:tab/>
      </w:r>
      <w:r w:rsidR="005F1BCA" w:rsidRPr="00DF5C23">
        <w:rPr>
          <w:noProof/>
          <w:lang w:eastAsia="ja-JP"/>
        </w:rPr>
        <w:t>相互運用性を確保するため、</w:t>
      </w:r>
      <w:r w:rsidR="00440151" w:rsidRPr="00DF5C23">
        <w:rPr>
          <w:noProof/>
          <w:lang w:eastAsia="ja-JP"/>
        </w:rPr>
        <w:t>許可されたデータキャリアの種類を規定すべきである</w:t>
      </w:r>
      <w:r w:rsidR="00F84A92" w:rsidRPr="00DF5C23">
        <w:rPr>
          <w:noProof/>
          <w:lang w:eastAsia="ja-JP"/>
        </w:rPr>
        <w:t>。同じ理由で、</w:t>
      </w:r>
      <w:r w:rsidR="00517EA8" w:rsidRPr="00DF5C23">
        <w:rPr>
          <w:noProof/>
          <w:lang w:val="en-IE" w:eastAsia="ja-JP"/>
        </w:rPr>
        <w:t>データキャリアと一意の製品識別子は、国際的に認められた標準に従って公表されるべきである</w:t>
      </w:r>
      <w:r w:rsidR="00440151" w:rsidRPr="00DF5C23">
        <w:rPr>
          <w:noProof/>
          <w:lang w:eastAsia="ja-JP"/>
        </w:rPr>
        <w:t>。</w:t>
      </w:r>
      <w:r w:rsidR="00517EA8" w:rsidRPr="00DF5C23">
        <w:rPr>
          <w:noProof/>
          <w:lang w:eastAsia="ja-JP"/>
        </w:rPr>
        <w:t>TFEU</w:t>
      </w:r>
      <w:r w:rsidR="00517EA8" w:rsidRPr="00DF5C23">
        <w:rPr>
          <w:noProof/>
          <w:lang w:eastAsia="ja-JP"/>
        </w:rPr>
        <w:t>第</w:t>
      </w:r>
      <w:r w:rsidR="00517EA8" w:rsidRPr="00DF5C23">
        <w:rPr>
          <w:noProof/>
          <w:lang w:eastAsia="ja-JP"/>
        </w:rPr>
        <w:t>290</w:t>
      </w:r>
      <w:r w:rsidR="00517EA8" w:rsidRPr="00DF5C23">
        <w:rPr>
          <w:noProof/>
          <w:lang w:eastAsia="ja-JP"/>
        </w:rPr>
        <w:t>条に基づく法律の採択権は、</w:t>
      </w:r>
      <w:r w:rsidR="00187AA4">
        <w:rPr>
          <w:noProof/>
          <w:lang w:val="en-IE" w:eastAsia="ja-JP"/>
        </w:rPr>
        <w:t>技術的または科学的進歩に照らして、</w:t>
      </w:r>
      <w:r w:rsidR="00517EA8" w:rsidRPr="00DF5C23">
        <w:rPr>
          <w:noProof/>
          <w:lang w:val="en-IE" w:eastAsia="ja-JP"/>
        </w:rPr>
        <w:t>データキャリアおよび一意の識別子を公開することができる</w:t>
      </w:r>
      <w:r w:rsidR="00517EA8" w:rsidRPr="00DF5C23">
        <w:rPr>
          <w:noProof/>
          <w:lang w:val="en-IE" w:eastAsia="fr-BE"/>
        </w:rPr>
        <w:t>基準を</w:t>
      </w:r>
      <w:r w:rsidR="00187AA4">
        <w:rPr>
          <w:noProof/>
          <w:lang w:eastAsia="ja-JP"/>
        </w:rPr>
        <w:t>置き換えるまたは</w:t>
      </w:r>
      <w:r w:rsidR="00517EA8" w:rsidRPr="00DF5C23">
        <w:rPr>
          <w:noProof/>
          <w:lang w:val="en-IE" w:eastAsia="fr-BE"/>
        </w:rPr>
        <w:t>追加する</w:t>
      </w:r>
      <w:r w:rsidR="00517EA8" w:rsidRPr="00DF5C23">
        <w:rPr>
          <w:noProof/>
          <w:lang w:eastAsia="ja-JP"/>
        </w:rPr>
        <w:t>ことによって、この規則を修正するために欧州委員会に委譲されるべきである</w:t>
      </w:r>
      <w:r w:rsidR="00517EA8" w:rsidRPr="00DF5C23">
        <w:rPr>
          <w:noProof/>
          <w:lang w:val="en-IE" w:eastAsia="ja-JP"/>
        </w:rPr>
        <w:t>。</w:t>
      </w:r>
      <w:r w:rsidR="00440151" w:rsidRPr="00DF5C23">
        <w:rPr>
          <w:noProof/>
          <w:lang w:eastAsia="ja-JP"/>
        </w:rPr>
        <w:t>これにより、</w:t>
      </w:r>
      <w:r w:rsidR="00217F15" w:rsidRPr="00DF5C23">
        <w:rPr>
          <w:noProof/>
          <w:lang w:eastAsia="ja-JP"/>
        </w:rPr>
        <w:t>製品パスポートに</w:t>
      </w:r>
      <w:r w:rsidR="00440151" w:rsidRPr="00DF5C23">
        <w:rPr>
          <w:noProof/>
          <w:lang w:eastAsia="ja-JP"/>
        </w:rPr>
        <w:t>含まれる情報をすべての経済事業者が記録・伝送できるようにするとともに、スキャン装置などの外部コンポーネントと固有識別子の互換性を保証することができる</w:t>
      </w:r>
      <w:r w:rsidR="005F1BCA" w:rsidRPr="00DF5C23">
        <w:rPr>
          <w:noProof/>
          <w:lang w:eastAsia="ja-JP"/>
        </w:rPr>
        <w:t>はずである。</w:t>
      </w:r>
      <w:r w:rsidR="005F1BCA" w:rsidRPr="00DF5C23">
        <w:rPr>
          <w:noProof/>
          <w:lang w:eastAsia="ja-JP"/>
        </w:rPr>
        <w:t xml:space="preserve"> </w:t>
      </w:r>
    </w:p>
    <w:p w14:paraId="61C9ED0F" w14:textId="77777777" w:rsidR="0038775E" w:rsidRDefault="00877B9C" w:rsidP="002041D4">
      <w:pPr>
        <w:pStyle w:val="ManualConsidrant"/>
        <w:wordWrap w:val="0"/>
        <w:rPr>
          <w:noProof/>
          <w:lang w:val="en-IE" w:eastAsia="ja-JP"/>
        </w:rPr>
      </w:pPr>
      <w:r w:rsidRPr="004F5E59">
        <w:rPr>
          <w:lang w:eastAsia="ja-JP"/>
        </w:rPr>
        <w:t>(29)</w:t>
      </w:r>
      <w:r w:rsidRPr="004F5E59">
        <w:rPr>
          <w:lang w:eastAsia="ja-JP"/>
        </w:rPr>
        <w:tab/>
      </w:r>
      <w:r w:rsidR="23DF1179" w:rsidRPr="23DF1179">
        <w:rPr>
          <w:noProof/>
          <w:lang w:val="en-IE" w:eastAsia="ja-JP"/>
        </w:rPr>
        <w:t>製品パスポート以外のエコデザイン要件の策定を不必要に遅らせないため、あるいは製品パスポートを効果的に実施できるようにするため、欧州委員会は、製品パスポートの技術的設計と運用のための必須要件に関して技術仕様が入手できない場合、製品グループを製品パスポート要件から除外することを許可すべきである。同様に、経済事業者の不必要な管理負担を防ぐため、</w:t>
      </w:r>
      <w:r w:rsidR="23DF1179" w:rsidRPr="23DF1179">
        <w:rPr>
          <w:noProof/>
          <w:lang w:val="en-IE" w:eastAsia="fr-BE"/>
        </w:rPr>
        <w:t>バリューチェーンの関係者が関連する製品情報にアクセスでき、管轄の国家機関による製品の適合性の検証を容易にする製品情報のデジタル提供の</w:t>
      </w:r>
      <w:r w:rsidR="23DF1179" w:rsidRPr="23DF1179">
        <w:rPr>
          <w:noProof/>
          <w:lang w:val="en-IE" w:eastAsia="ja-JP"/>
        </w:rPr>
        <w:t>ためのシステムを他の</w:t>
      </w:r>
      <w:r w:rsidR="23DF1179" w:rsidRPr="23DF1179">
        <w:rPr>
          <w:noProof/>
          <w:lang w:val="en-IE" w:eastAsia="ja-JP"/>
        </w:rPr>
        <w:t>EU</w:t>
      </w:r>
      <w:r w:rsidR="23DF1179" w:rsidRPr="23DF1179">
        <w:rPr>
          <w:noProof/>
          <w:lang w:val="en-IE" w:eastAsia="ja-JP"/>
        </w:rPr>
        <w:t>法が既に含んでいる場合、欧州委員会は製品グループを製品パスポートの要件から除外することを認めるべきである。</w:t>
      </w:r>
      <w:r w:rsidR="23DF1179">
        <w:rPr>
          <w:noProof/>
          <w:lang w:eastAsia="ja-JP"/>
        </w:rPr>
        <w:t>これらの免除は、技術仕様の更なる利用可能性を考慮し、定期的に見直されるべきである。</w:t>
      </w:r>
    </w:p>
    <w:p w14:paraId="1A985415" w14:textId="77777777" w:rsidR="0038775E" w:rsidRDefault="00877B9C" w:rsidP="002041D4">
      <w:pPr>
        <w:pStyle w:val="ManualConsidrant"/>
        <w:wordWrap w:val="0"/>
        <w:rPr>
          <w:noProof/>
          <w:lang w:val="en-IE" w:eastAsia="ja-JP"/>
        </w:rPr>
      </w:pPr>
      <w:r w:rsidRPr="004F5E59">
        <w:rPr>
          <w:lang w:eastAsia="ja-JP"/>
        </w:rPr>
        <w:t>(30)</w:t>
      </w:r>
      <w:r w:rsidRPr="004F5E59">
        <w:rPr>
          <w:lang w:eastAsia="ja-JP"/>
        </w:rPr>
        <w:tab/>
      </w:r>
      <w:r w:rsidR="004412BC" w:rsidRPr="00DF5C23">
        <w:rPr>
          <w:noProof/>
          <w:lang w:eastAsia="ja-JP"/>
        </w:rPr>
        <w:t>製品の一意な識別は、サプライチェーン全体でトレーサビリティを可能にするための基本的な要素である。したがって、</w:t>
      </w:r>
      <w:r w:rsidR="00D56F7D" w:rsidRPr="00DF5C23">
        <w:rPr>
          <w:noProof/>
          <w:lang w:eastAsia="ja-JP"/>
        </w:rPr>
        <w:t>製品パスポートは、一意の製品識別子にリンクされるべきである。さらに、適切な場合、パスポートは、その製品に関連する行為者及び製造施設の追跡を可能にすべきである。</w:t>
      </w:r>
      <w:r w:rsidR="005F1BCA" w:rsidRPr="00DF5C23">
        <w:rPr>
          <w:noProof/>
          <w:lang w:eastAsia="ja-JP"/>
        </w:rPr>
        <w:t>相互運</w:t>
      </w:r>
      <w:r w:rsidR="005F1BCA" w:rsidRPr="00DF5C23">
        <w:rPr>
          <w:noProof/>
          <w:lang w:eastAsia="ja-JP"/>
        </w:rPr>
        <w:lastRenderedPageBreak/>
        <w:t>用性を確保するため、トレーサビリティを可能にする</w:t>
      </w:r>
      <w:r w:rsidR="00517EA8" w:rsidRPr="00DF5C23">
        <w:rPr>
          <w:noProof/>
          <w:lang w:eastAsia="ja-JP"/>
        </w:rPr>
        <w:t>一意の事業者識別子および一意の施設識別子は、</w:t>
      </w:r>
      <w:r w:rsidR="00517EA8" w:rsidRPr="00DF5C23">
        <w:rPr>
          <w:noProof/>
          <w:lang w:val="en-IE" w:eastAsia="ja-JP"/>
        </w:rPr>
        <w:t>国際的に認められた標準に従って</w:t>
      </w:r>
      <w:r w:rsidR="005F1BCA" w:rsidRPr="00DF5C23">
        <w:rPr>
          <w:noProof/>
          <w:lang w:eastAsia="ja-JP"/>
        </w:rPr>
        <w:t>公開されるべきである。</w:t>
      </w:r>
      <w:r w:rsidR="00517EA8" w:rsidRPr="00DF5C23">
        <w:rPr>
          <w:noProof/>
          <w:lang w:eastAsia="ja-JP"/>
        </w:rPr>
        <w:t>TFEU</w:t>
      </w:r>
      <w:r w:rsidR="00517EA8" w:rsidRPr="00DF5C23">
        <w:rPr>
          <w:noProof/>
          <w:lang w:eastAsia="ja-JP"/>
        </w:rPr>
        <w:t>第</w:t>
      </w:r>
      <w:r w:rsidR="00517EA8" w:rsidRPr="00DF5C23">
        <w:rPr>
          <w:noProof/>
          <w:lang w:eastAsia="ja-JP"/>
        </w:rPr>
        <w:t>290</w:t>
      </w:r>
      <w:r w:rsidR="00517EA8" w:rsidRPr="00DF5C23">
        <w:rPr>
          <w:noProof/>
          <w:lang w:eastAsia="ja-JP"/>
        </w:rPr>
        <w:t>条に基づく法律の採択権は、</w:t>
      </w:r>
      <w:r w:rsidR="00187AA4">
        <w:rPr>
          <w:noProof/>
          <w:lang w:val="en-IE" w:eastAsia="ja-JP"/>
        </w:rPr>
        <w:t>技術的または科学的進歩に照らして、</w:t>
      </w:r>
      <w:r w:rsidR="00517EA8" w:rsidRPr="00DF5C23">
        <w:rPr>
          <w:noProof/>
          <w:lang w:eastAsia="ja-JP"/>
        </w:rPr>
        <w:t>一意の事業者識別子および一意の施設識別子を</w:t>
      </w:r>
      <w:r w:rsidR="00517EA8" w:rsidRPr="00DF5C23">
        <w:rPr>
          <w:noProof/>
          <w:lang w:val="en-IE" w:eastAsia="ja-JP"/>
        </w:rPr>
        <w:t>公開することが</w:t>
      </w:r>
      <w:r w:rsidR="00517EA8" w:rsidRPr="00DF5C23">
        <w:rPr>
          <w:noProof/>
          <w:lang w:val="en-IE" w:eastAsia="fr-BE"/>
        </w:rPr>
        <w:t>できる基準を</w:t>
      </w:r>
      <w:r w:rsidR="00187AA4">
        <w:rPr>
          <w:noProof/>
          <w:lang w:eastAsia="ja-JP"/>
        </w:rPr>
        <w:t>置換または</w:t>
      </w:r>
      <w:r w:rsidR="00517EA8" w:rsidRPr="00DF5C23">
        <w:rPr>
          <w:noProof/>
          <w:lang w:val="en-IE" w:eastAsia="fr-BE"/>
        </w:rPr>
        <w:t>追加する</w:t>
      </w:r>
      <w:r w:rsidR="00517EA8" w:rsidRPr="00DF5C23">
        <w:rPr>
          <w:noProof/>
          <w:lang w:eastAsia="ja-JP"/>
        </w:rPr>
        <w:t>ことによって本規則を改正するために欧州委員会に委譲されるべきである</w:t>
      </w:r>
      <w:r w:rsidR="00517EA8" w:rsidRPr="00DF5C23">
        <w:rPr>
          <w:noProof/>
          <w:lang w:val="en-IE" w:eastAsia="ja-JP"/>
        </w:rPr>
        <w:t>。</w:t>
      </w:r>
    </w:p>
    <w:p w14:paraId="60DE783A" w14:textId="26CD5F2A" w:rsidR="0038775E" w:rsidRDefault="00877B9C" w:rsidP="002041D4">
      <w:pPr>
        <w:pStyle w:val="ManualConsidrant"/>
        <w:wordWrap w:val="0"/>
        <w:rPr>
          <w:noProof/>
          <w:lang w:eastAsia="ja-JP"/>
        </w:rPr>
      </w:pPr>
      <w:r w:rsidRPr="004F5E59">
        <w:rPr>
          <w:lang w:eastAsia="ja-JP"/>
        </w:rPr>
        <w:t>(31)</w:t>
      </w:r>
      <w:r w:rsidRPr="004F5E59">
        <w:rPr>
          <w:lang w:eastAsia="ja-JP"/>
        </w:rPr>
        <w:tab/>
      </w:r>
      <w:r w:rsidR="00D56F7D" w:rsidRPr="00DF5C23">
        <w:rPr>
          <w:noProof/>
          <w:lang w:eastAsia="ja-JP"/>
        </w:rPr>
        <w:t>製品およびそのライフサイクル、または該当する場合はそのパスポートに関するデジタル化された情報は、ウォーターマークやクイックレスポンス（</w:t>
      </w:r>
      <w:r w:rsidR="00D56F7D" w:rsidRPr="00DF5C23">
        <w:rPr>
          <w:noProof/>
          <w:lang w:eastAsia="ja-JP"/>
        </w:rPr>
        <w:t>QR</w:t>
      </w:r>
      <w:r w:rsidR="00D56F7D" w:rsidRPr="00DF5C23">
        <w:rPr>
          <w:noProof/>
          <w:lang w:eastAsia="ja-JP"/>
        </w:rPr>
        <w:t>）コードなどのデータキャリアをスキャンすることで簡単にアクセスできるようにする必要があ</w:t>
      </w:r>
      <w:r w:rsidR="002041D4">
        <w:rPr>
          <w:noProof/>
          <w:lang w:eastAsia="ja-JP"/>
        </w:rPr>
        <w:t>る</w:t>
      </w:r>
      <w:r w:rsidR="00D56F7D" w:rsidRPr="00DF5C23">
        <w:rPr>
          <w:noProof/>
          <w:lang w:eastAsia="ja-JP"/>
        </w:rPr>
        <w:t>。可能であれば、ライフサイクルを通じて情報がアクセス可能であることを保証するために、データキャリアは製品自体にあるべきである。ただし、対象製品の性質、サイズ、用途によっては例外もあり得る。</w:t>
      </w:r>
      <w:r w:rsidR="00D56F7D" w:rsidRPr="00DF5C23">
        <w:rPr>
          <w:noProof/>
          <w:lang w:eastAsia="ja-JP"/>
        </w:rPr>
        <w:t xml:space="preserve"> </w:t>
      </w:r>
    </w:p>
    <w:p w14:paraId="51B737AA" w14:textId="77777777" w:rsidR="0038775E" w:rsidRDefault="00877B9C" w:rsidP="002041D4">
      <w:pPr>
        <w:pStyle w:val="ManualConsidrant"/>
        <w:wordWrap w:val="0"/>
        <w:rPr>
          <w:noProof/>
          <w:lang w:eastAsia="ja-JP"/>
        </w:rPr>
      </w:pPr>
      <w:r w:rsidRPr="004F5E59">
        <w:rPr>
          <w:lang w:eastAsia="ja-JP"/>
        </w:rPr>
        <w:t>(32)</w:t>
      </w:r>
      <w:r w:rsidRPr="004F5E59">
        <w:rPr>
          <w:lang w:eastAsia="ja-JP"/>
        </w:rPr>
        <w:tab/>
      </w:r>
      <w:r w:rsidR="007B5954" w:rsidRPr="00DF5C23">
        <w:rPr>
          <w:noProof/>
          <w:lang w:eastAsia="ja-JP"/>
        </w:rPr>
        <w:t>プロダクトパスポートが柔軟性、機動性、市場主導性を持ち、ビジネスモデル、市場、イノベーションに合わせて進化することを保証するため、経済事業者が設定・維持する分散型のデータシステムをベースとすべきである。しかし、執行および監視のために、所轄の国家機関および欧州委員会が、市場に投入された製品または使用中の製品に関連するすべてのデータキャリアおよび固有の識別子の記録に直接アクセスすることが必要になる</w:t>
      </w:r>
      <w:r w:rsidR="005F1BCA" w:rsidRPr="00DF5C23">
        <w:rPr>
          <w:noProof/>
          <w:lang w:eastAsia="ja-JP"/>
        </w:rPr>
        <w:t>場合がある。</w:t>
      </w:r>
      <w:r w:rsidR="005F1BCA" w:rsidRPr="00DF5C23">
        <w:rPr>
          <w:noProof/>
          <w:lang w:eastAsia="ja-JP"/>
        </w:rPr>
        <w:t xml:space="preserve"> </w:t>
      </w:r>
    </w:p>
    <w:p w14:paraId="7CDF527D" w14:textId="3FFC97B8" w:rsidR="0038775E" w:rsidRDefault="00877B9C" w:rsidP="002041D4">
      <w:pPr>
        <w:pStyle w:val="ManualConsidrant"/>
        <w:wordWrap w:val="0"/>
        <w:rPr>
          <w:noProof/>
          <w:lang w:eastAsia="ja-JP"/>
        </w:rPr>
      </w:pPr>
      <w:r w:rsidRPr="004F5E59">
        <w:rPr>
          <w:lang w:eastAsia="ja-JP"/>
        </w:rPr>
        <w:t>(33)</w:t>
      </w:r>
      <w:r w:rsidRPr="004F5E59">
        <w:rPr>
          <w:lang w:eastAsia="ja-JP"/>
        </w:rPr>
        <w:tab/>
      </w:r>
      <w:r w:rsidR="00D56F7D" w:rsidRPr="00DF5C23">
        <w:rPr>
          <w:noProof/>
          <w:lang w:eastAsia="ja-JP"/>
        </w:rPr>
        <w:t>プロダクトパスポートを効果的に展開するために、</w:t>
      </w:r>
      <w:r w:rsidR="00D56F7D" w:rsidRPr="00DF5C23">
        <w:rPr>
          <w:noProof/>
          <w:lang w:eastAsia="fr-BE"/>
        </w:rPr>
        <w:t>プロダクトパスポートの技術設計、データ要件、および運用は、</w:t>
      </w:r>
      <w:r w:rsidR="00DA2FDD" w:rsidRPr="00DF5C23">
        <w:rPr>
          <w:noProof/>
          <w:lang w:eastAsia="fr-BE"/>
        </w:rPr>
        <w:t>一連の必須技術要件に準拠する必要があ</w:t>
      </w:r>
      <w:r w:rsidR="002041D4">
        <w:rPr>
          <w:noProof/>
          <w:lang w:eastAsia="fr-BE"/>
        </w:rPr>
        <w:t>る</w:t>
      </w:r>
      <w:r w:rsidR="00D56F7D" w:rsidRPr="00DF5C23">
        <w:rPr>
          <w:noProof/>
          <w:lang w:eastAsia="fr-BE"/>
        </w:rPr>
        <w:t>。このような</w:t>
      </w:r>
      <w:r w:rsidR="00DA2FDD" w:rsidRPr="00DF5C23">
        <w:rPr>
          <w:noProof/>
          <w:lang w:eastAsia="fr-BE"/>
        </w:rPr>
        <w:t>要件は、</w:t>
      </w:r>
      <w:r w:rsidR="00D56F7D" w:rsidRPr="00DF5C23">
        <w:rPr>
          <w:noProof/>
          <w:lang w:eastAsia="fr-BE"/>
        </w:rPr>
        <w:t>セクターを超えて一貫してプロダクトパスポートを展開するための基礎となるべきである。</w:t>
      </w:r>
      <w:r w:rsidR="00D56F7D" w:rsidRPr="00DF5C23">
        <w:rPr>
          <w:noProof/>
          <w:lang w:eastAsia="ja-JP"/>
        </w:rPr>
        <w:t>技術仕様は、必須</w:t>
      </w:r>
      <w:r w:rsidR="00DA2FDD" w:rsidRPr="00DF5C23">
        <w:rPr>
          <w:noProof/>
          <w:lang w:eastAsia="ja-JP"/>
        </w:rPr>
        <w:t>要件の効果的な実施を保証するために、官報で参照される整合規格の形で、あるいは、予備的な選択肢として、欧州委員会が採択した共通仕様の形で、</w:t>
      </w:r>
      <w:r w:rsidR="00D56F7D" w:rsidRPr="00DF5C23">
        <w:rPr>
          <w:noProof/>
          <w:lang w:eastAsia="ja-JP"/>
        </w:rPr>
        <w:t>策定されるべきである。技術設計は、製品パスポートがプライバシー規則を尊重した安全な方法でデータを運ぶことを保証するものでなければならない。</w:t>
      </w:r>
      <w:r w:rsidR="00844C3D" w:rsidRPr="00DF5C23">
        <w:rPr>
          <w:noProof/>
          <w:lang w:eastAsia="ja-JP"/>
        </w:rPr>
        <w:t>デジタル製品パスポートは、技術仕様を策定する際に国際的なパートナーの意見を考慮し、より環境に優しい製品の貿易障壁を取り除き、持続可能な投資、マーケティング、コンプライアンスのコスト削減に役立つことを保証するために、オープンな対話を通じて開発される予定だ。</w:t>
      </w:r>
      <w:r w:rsidR="007B5954" w:rsidRPr="00DF5C23">
        <w:rPr>
          <w:noProof/>
          <w:lang w:eastAsia="ja-JP"/>
        </w:rPr>
        <w:t>バリューチェーンにおけるトレーサビリティに関連する技術仕様と要件は、その効果的な実施を可能にするために、可能な限り、合意的なアプローチに基づき、</w:t>
      </w:r>
      <w:r w:rsidR="007B5954" w:rsidRPr="00DF5C23">
        <w:rPr>
          <w:noProof/>
          <w:lang w:val="en-IE" w:eastAsia="ja-JP"/>
        </w:rPr>
        <w:t>標準化団体、業界団体、</w:t>
      </w:r>
      <w:r w:rsidR="007B5954" w:rsidRPr="00DF5C23">
        <w:rPr>
          <w:noProof/>
          <w:lang w:eastAsia="ja-JP"/>
        </w:rPr>
        <w:t>消費者</w:t>
      </w:r>
      <w:r w:rsidR="007B5954" w:rsidRPr="00DF5C23">
        <w:rPr>
          <w:noProof/>
          <w:lang w:val="en-IE" w:eastAsia="ja-JP"/>
        </w:rPr>
        <w:t>団体、専門家、</w:t>
      </w:r>
      <w:r w:rsidR="007B5954" w:rsidRPr="00DF5C23">
        <w:rPr>
          <w:noProof/>
          <w:lang w:val="en-IE" w:eastAsia="ja-JP"/>
        </w:rPr>
        <w:t>NGO</w:t>
      </w:r>
      <w:r w:rsidR="007B5954" w:rsidRPr="00DF5C23">
        <w:rPr>
          <w:noProof/>
          <w:lang w:val="en-IE" w:eastAsia="ja-JP"/>
        </w:rPr>
        <w:t>、</w:t>
      </w:r>
      <w:r w:rsidR="007B5954" w:rsidRPr="00DF5C23">
        <w:rPr>
          <w:noProof/>
          <w:lang w:eastAsia="ja-JP"/>
        </w:rPr>
        <w:t>途上国を含む国際パートナーを</w:t>
      </w:r>
      <w:r w:rsidR="007B5954" w:rsidRPr="00DF5C23">
        <w:rPr>
          <w:noProof/>
          <w:lang w:val="en-IE" w:eastAsia="ja-JP"/>
        </w:rPr>
        <w:t>含む</w:t>
      </w:r>
      <w:r w:rsidR="007B5954" w:rsidRPr="00DF5C23">
        <w:rPr>
          <w:noProof/>
          <w:lang w:eastAsia="ja-JP"/>
        </w:rPr>
        <w:t>多様なアクターの関与、賛同、効果的な協力に基づき開発するべきである。</w:t>
      </w:r>
      <w:r w:rsidR="007B5954" w:rsidRPr="00DF5C23">
        <w:rPr>
          <w:noProof/>
          <w:lang w:eastAsia="ja-JP"/>
        </w:rPr>
        <w:t xml:space="preserve"> </w:t>
      </w:r>
    </w:p>
    <w:p w14:paraId="1E6C8E88" w14:textId="77777777" w:rsidR="0038775E" w:rsidRDefault="00877B9C" w:rsidP="002041D4">
      <w:pPr>
        <w:pStyle w:val="ManualConsidrant"/>
        <w:wordWrap w:val="0"/>
        <w:rPr>
          <w:noProof/>
          <w:lang w:eastAsia="ja-JP"/>
        </w:rPr>
      </w:pPr>
      <w:r w:rsidRPr="004F5E59">
        <w:rPr>
          <w:lang w:eastAsia="ja-JP"/>
        </w:rPr>
        <w:t>(34)</w:t>
      </w:r>
      <w:r w:rsidRPr="004F5E59">
        <w:rPr>
          <w:lang w:eastAsia="ja-JP"/>
        </w:rPr>
        <w:tab/>
      </w:r>
      <w:r w:rsidR="23DF1179">
        <w:rPr>
          <w:noProof/>
          <w:lang w:eastAsia="ja-JP"/>
        </w:rPr>
        <w:t>エコデザインの要求事項の実施を改善するためには、各国当局と欧州委員会が、市場に投入され、または使用される製品に関連するすべてのデータキャリアと固有の識別子の記録に直接アクセスできることが必要である。このため、欧州委員会は、このようなデータを保存するための製品パスポート登録簿を設置し、維持する必要がある。執行をさらに容易にするために必要な場合、欧州委員会は、適宜、レジストリに保存する必要のある、製品パスポートに含まれるその他の情報を指定すべきである。</w:t>
      </w:r>
      <w:r w:rsidR="23DF1179">
        <w:rPr>
          <w:noProof/>
          <w:lang w:eastAsia="ja-JP"/>
        </w:rPr>
        <w:t xml:space="preserve"> </w:t>
      </w:r>
    </w:p>
    <w:p w14:paraId="45A4BA78" w14:textId="15BD1298" w:rsidR="0038775E" w:rsidRDefault="00877B9C" w:rsidP="002041D4">
      <w:pPr>
        <w:pStyle w:val="ManualConsidrant"/>
        <w:wordWrap w:val="0"/>
        <w:rPr>
          <w:noProof/>
          <w:lang w:eastAsia="ja-JP"/>
        </w:rPr>
      </w:pPr>
      <w:r w:rsidRPr="004F5E59">
        <w:rPr>
          <w:lang w:eastAsia="ja-JP"/>
        </w:rPr>
        <w:lastRenderedPageBreak/>
        <w:t>(35)</w:t>
      </w:r>
      <w:r w:rsidRPr="004F5E59">
        <w:rPr>
          <w:lang w:eastAsia="ja-JP"/>
        </w:rPr>
        <w:tab/>
      </w:r>
      <w:r w:rsidR="00A97E00" w:rsidRPr="00DF5C23">
        <w:rPr>
          <w:noProof/>
          <w:lang w:eastAsia="ja-JP"/>
        </w:rPr>
        <w:t>本規則に基づく個人データの処理は、個人データの保護に関する適用される規則を遵守する必要があ</w:t>
      </w:r>
      <w:r w:rsidR="002041D4">
        <w:rPr>
          <w:noProof/>
          <w:lang w:eastAsia="ja-JP"/>
        </w:rPr>
        <w:t>る</w:t>
      </w:r>
      <w:r w:rsidR="00A97E00" w:rsidRPr="00DF5C23">
        <w:rPr>
          <w:noProof/>
          <w:lang w:eastAsia="ja-JP"/>
        </w:rPr>
        <w:t>。加盟国内の</w:t>
      </w:r>
      <w:r w:rsidR="00E724E8" w:rsidRPr="00DF5C23">
        <w:rPr>
          <w:noProof/>
          <w:lang w:eastAsia="ja-JP"/>
        </w:rPr>
        <w:t>管轄国家</w:t>
      </w:r>
      <w:r w:rsidR="00A97E00" w:rsidRPr="00DF5C23">
        <w:rPr>
          <w:noProof/>
          <w:lang w:eastAsia="ja-JP"/>
        </w:rPr>
        <w:t>当局による個人データの処理は、欧州議会および理事会の規則（</w:t>
      </w:r>
      <w:r w:rsidR="00A97E00" w:rsidRPr="00DF5C23">
        <w:rPr>
          <w:noProof/>
          <w:lang w:eastAsia="ja-JP"/>
        </w:rPr>
        <w:t>EU</w:t>
      </w:r>
      <w:r w:rsidR="00A97E00" w:rsidRPr="00DF5C23">
        <w:rPr>
          <w:noProof/>
          <w:lang w:eastAsia="ja-JP"/>
        </w:rPr>
        <w:t>）</w:t>
      </w:r>
      <w:r w:rsidR="00A97E00" w:rsidRPr="00DF5C23">
        <w:rPr>
          <w:noProof/>
          <w:lang w:eastAsia="ja-JP"/>
        </w:rPr>
        <w:t>2016/679</w:t>
      </w:r>
      <w:r w:rsidR="00D17BF9" w:rsidRPr="00DF5C23">
        <w:rPr>
          <w:rStyle w:val="afa"/>
          <w:noProof/>
        </w:rPr>
        <w:footnoteReference w:id="67"/>
      </w:r>
      <w:r w:rsidR="00A97E00" w:rsidRPr="00DF5C23">
        <w:rPr>
          <w:noProof/>
          <w:lang w:eastAsia="ja-JP"/>
        </w:rPr>
        <w:t xml:space="preserve"> </w:t>
      </w:r>
      <w:r w:rsidR="00A97E00" w:rsidRPr="00DF5C23">
        <w:rPr>
          <w:noProof/>
          <w:lang w:eastAsia="ja-JP"/>
        </w:rPr>
        <w:t>に従って実施されるべき</w:t>
      </w:r>
      <w:r w:rsidR="002041D4">
        <w:rPr>
          <w:noProof/>
          <w:lang w:eastAsia="ja-JP"/>
        </w:rPr>
        <w:t>である</w:t>
      </w:r>
      <w:r w:rsidR="00A97E00" w:rsidRPr="00DF5C23">
        <w:rPr>
          <w:noProof/>
          <w:lang w:eastAsia="ja-JP"/>
        </w:rPr>
        <w:t>。欧州委員会による個人データの処理は、欧州議会および</w:t>
      </w:r>
      <w:r w:rsidR="00D17BF9" w:rsidRPr="00DF5C23">
        <w:rPr>
          <w:noProof/>
          <w:lang w:eastAsia="ja-JP"/>
        </w:rPr>
        <w:t>理事</w:t>
      </w:r>
      <w:r w:rsidR="00A97E00" w:rsidRPr="00DF5C23">
        <w:rPr>
          <w:noProof/>
          <w:lang w:eastAsia="ja-JP"/>
        </w:rPr>
        <w:t>会の規則（</w:t>
      </w:r>
      <w:r w:rsidR="00A97E00" w:rsidRPr="00DF5C23">
        <w:rPr>
          <w:noProof/>
          <w:lang w:eastAsia="ja-JP"/>
        </w:rPr>
        <w:t>EU</w:t>
      </w:r>
      <w:r w:rsidR="00A97E00" w:rsidRPr="00DF5C23">
        <w:rPr>
          <w:noProof/>
          <w:lang w:eastAsia="ja-JP"/>
        </w:rPr>
        <w:t>）</w:t>
      </w:r>
      <w:r w:rsidR="00A97E00" w:rsidRPr="00DF5C23">
        <w:rPr>
          <w:noProof/>
          <w:lang w:eastAsia="ja-JP"/>
        </w:rPr>
        <w:t xml:space="preserve">2018/1725 </w:t>
      </w:r>
      <w:r w:rsidR="00A97E00" w:rsidRPr="00DF5C23">
        <w:rPr>
          <w:noProof/>
          <w:lang w:eastAsia="ja-JP"/>
        </w:rPr>
        <w:t>に従って実施されるべきである。</w:t>
      </w:r>
      <w:r w:rsidR="00D17BF9" w:rsidRPr="00DF5C23">
        <w:rPr>
          <w:rStyle w:val="afa"/>
          <w:noProof/>
        </w:rPr>
        <w:footnoteReference w:id="68"/>
      </w:r>
    </w:p>
    <w:p w14:paraId="762C4C30" w14:textId="52AFDDA5" w:rsidR="0038775E" w:rsidRDefault="00877B9C" w:rsidP="002041D4">
      <w:pPr>
        <w:pStyle w:val="ManualConsidrant"/>
        <w:wordWrap w:val="0"/>
        <w:rPr>
          <w:noProof/>
          <w:lang w:eastAsia="ja-JP"/>
        </w:rPr>
      </w:pPr>
      <w:r w:rsidRPr="004F5E59">
        <w:rPr>
          <w:lang w:eastAsia="ja-JP"/>
        </w:rPr>
        <w:t>(36)</w:t>
      </w:r>
      <w:r w:rsidRPr="004F5E59">
        <w:rPr>
          <w:lang w:eastAsia="ja-JP"/>
        </w:rPr>
        <w:tab/>
      </w:r>
      <w:r w:rsidR="23DF1179">
        <w:rPr>
          <w:noProof/>
          <w:lang w:eastAsia="ja-JP"/>
        </w:rPr>
        <w:t>国内生産品であれ輸入品であれ、</w:t>
      </w:r>
      <w:r w:rsidR="23DF1179">
        <w:rPr>
          <w:noProof/>
          <w:lang w:eastAsia="ja-JP"/>
        </w:rPr>
        <w:t>EU</w:t>
      </w:r>
      <w:r w:rsidR="23DF1179">
        <w:rPr>
          <w:noProof/>
          <w:lang w:eastAsia="ja-JP"/>
        </w:rPr>
        <w:t>市場に出された製品に関連する効果的な執行が、本規則の目的を達成するために不可欠である。したがって、欧州委員会が登録機関を設置した場合、税関当局は、規則（</w:t>
      </w:r>
      <w:r w:rsidR="23DF1179">
        <w:rPr>
          <w:noProof/>
          <w:lang w:eastAsia="ja-JP"/>
        </w:rPr>
        <w:t>EU</w:t>
      </w:r>
      <w:r w:rsidR="23DF1179">
        <w:rPr>
          <w:noProof/>
          <w:lang w:eastAsia="ja-JP"/>
        </w:rPr>
        <w:t>）</w:t>
      </w:r>
      <w:r w:rsidR="23DF1179">
        <w:rPr>
          <w:noProof/>
          <w:lang w:eastAsia="ja-JP"/>
        </w:rPr>
        <w:t>.../...</w:t>
      </w:r>
      <w:r w:rsidR="23DF1179">
        <w:rPr>
          <w:noProof/>
          <w:lang w:eastAsia="ja-JP"/>
        </w:rPr>
        <w:t>によって設置された税関のための</w:t>
      </w:r>
      <w:r w:rsidR="23DF1179">
        <w:rPr>
          <w:noProof/>
          <w:lang w:eastAsia="ja-JP"/>
        </w:rPr>
        <w:t>EU</w:t>
      </w:r>
      <w:r w:rsidR="23DF1179">
        <w:rPr>
          <w:noProof/>
          <w:lang w:eastAsia="ja-JP"/>
        </w:rPr>
        <w:t>シングルウィンドウ環境を通じて、その登録機関に直接アクセスできるようにすべきである。税関の役割は、税関申告書において製品パスポートの参照を利用できるようにし、この参照がレジストリに格納されている一意の製品識別子に対応していることを確認することであるべき</w:t>
      </w:r>
      <w:r w:rsidR="002041D4">
        <w:rPr>
          <w:noProof/>
          <w:lang w:eastAsia="ja-JP"/>
        </w:rPr>
        <w:t>である</w:t>
      </w:r>
      <w:r w:rsidR="23DF1179">
        <w:rPr>
          <w:noProof/>
          <w:lang w:eastAsia="ja-JP"/>
        </w:rPr>
        <w:t>。これにより、税関は輸入製品に製品パスポートが存在することを確認することができるようになる。</w:t>
      </w:r>
    </w:p>
    <w:p w14:paraId="1C73BBF6" w14:textId="77777777" w:rsidR="0038775E" w:rsidRDefault="00877B9C" w:rsidP="002041D4">
      <w:pPr>
        <w:pStyle w:val="ManualConsidrant"/>
        <w:wordWrap w:val="0"/>
        <w:rPr>
          <w:noProof/>
          <w:lang w:eastAsia="ja-JP"/>
        </w:rPr>
      </w:pPr>
      <w:r w:rsidRPr="004F5E59">
        <w:rPr>
          <w:lang w:eastAsia="ja-JP"/>
        </w:rPr>
        <w:t>(37)</w:t>
      </w:r>
      <w:r w:rsidRPr="004F5E59">
        <w:rPr>
          <w:lang w:eastAsia="ja-JP"/>
        </w:rPr>
        <w:tab/>
      </w:r>
      <w:r w:rsidR="23DF1179">
        <w:rPr>
          <w:noProof/>
          <w:lang w:eastAsia="ja-JP"/>
        </w:rPr>
        <w:t>データキャリアや固有の識別子に加え、製品パスポートに含まれる特定の情報がレジストリに保存されている場合、欧州委員会は、製品のエコデザイン要件への適合性を高めるため、また税関当局の不釣り合いな負担を避ける必要性を考慮し、適宜、当該情報と税関申告書の整合性を税関当局が検証することを規定できるようにすべきである。</w:t>
      </w:r>
    </w:p>
    <w:p w14:paraId="1EFE7CD9" w14:textId="77777777" w:rsidR="0038775E" w:rsidRDefault="00877B9C" w:rsidP="002041D4">
      <w:pPr>
        <w:pStyle w:val="ManualConsidrant"/>
        <w:wordWrap w:val="0"/>
        <w:rPr>
          <w:noProof/>
          <w:lang w:eastAsia="ja-JP"/>
        </w:rPr>
      </w:pPr>
      <w:r w:rsidRPr="004F5E59">
        <w:rPr>
          <w:lang w:eastAsia="ja-JP"/>
        </w:rPr>
        <w:t>(38)</w:t>
      </w:r>
      <w:r w:rsidRPr="004F5E59">
        <w:rPr>
          <w:lang w:eastAsia="ja-JP"/>
        </w:rPr>
        <w:tab/>
      </w:r>
      <w:r w:rsidR="00262511" w:rsidRPr="00DF5C23">
        <w:rPr>
          <w:noProof/>
          <w:lang w:eastAsia="ja-JP"/>
        </w:rPr>
        <w:t>製品パスポートに含まれる情報は</w:t>
      </w:r>
      <w:r w:rsidR="005641EE" w:rsidRPr="00DF5C23">
        <w:rPr>
          <w:noProof/>
          <w:lang w:eastAsia="ja-JP"/>
        </w:rPr>
        <w:t>、</w:t>
      </w:r>
      <w:r w:rsidR="00262511" w:rsidRPr="00DF5C23">
        <w:rPr>
          <w:noProof/>
          <w:lang w:eastAsia="ja-JP"/>
        </w:rPr>
        <w:t>税関当局がリスク管理を充実させ、容易にし、国境における管理の的を絞ることを可能にする。</w:t>
      </w:r>
      <w:r w:rsidR="005641EE" w:rsidRPr="00DF5C23">
        <w:rPr>
          <w:noProof/>
          <w:lang w:eastAsia="ja-JP"/>
        </w:rPr>
        <w:t>したがって、</w:t>
      </w:r>
      <w:r w:rsidR="00262511" w:rsidRPr="00DF5C23">
        <w:rPr>
          <w:noProof/>
          <w:lang w:eastAsia="ja-JP"/>
        </w:rPr>
        <w:t>税関当局は、欧州議会および理事会の規則（</w:t>
      </w:r>
      <w:r w:rsidR="00262511" w:rsidRPr="00DF5C23">
        <w:rPr>
          <w:noProof/>
          <w:lang w:eastAsia="ja-JP"/>
        </w:rPr>
        <w:t>EU</w:t>
      </w:r>
      <w:r w:rsidR="00262511" w:rsidRPr="00DF5C23">
        <w:rPr>
          <w:noProof/>
          <w:lang w:eastAsia="ja-JP"/>
        </w:rPr>
        <w:t>）第</w:t>
      </w:r>
      <w:r w:rsidR="00262511" w:rsidRPr="00DF5C23">
        <w:rPr>
          <w:noProof/>
          <w:lang w:eastAsia="ja-JP"/>
        </w:rPr>
        <w:t>952/2013</w:t>
      </w:r>
      <w:r w:rsidR="00262511" w:rsidRPr="00DF5C23">
        <w:rPr>
          <w:noProof/>
          <w:lang w:eastAsia="ja-JP"/>
        </w:rPr>
        <w:t>号</w:t>
      </w:r>
      <w:r w:rsidR="005A5D00" w:rsidRPr="00DF5C23">
        <w:rPr>
          <w:noProof/>
          <w:lang w:eastAsia="ja-JP"/>
        </w:rPr>
        <w:t>（</w:t>
      </w:r>
      <w:r w:rsidR="00F32EC6" w:rsidRPr="00DF5C23">
        <w:rPr>
          <w:rStyle w:val="afa"/>
          <w:noProof/>
        </w:rPr>
        <w:footnoteReference w:id="69"/>
      </w:r>
      <w:r w:rsidR="005A5D00" w:rsidRPr="00DF5C23">
        <w:rPr>
          <w:noProof/>
          <w:lang w:eastAsia="ja-JP"/>
        </w:rPr>
        <w:t xml:space="preserve"> </w:t>
      </w:r>
      <w:r w:rsidR="005A5D00" w:rsidRPr="00DF5C23">
        <w:rPr>
          <w:noProof/>
          <w:lang w:eastAsia="ja-JP"/>
        </w:rPr>
        <w:t>）に</w:t>
      </w:r>
      <w:r w:rsidR="00262511" w:rsidRPr="00DF5C23">
        <w:rPr>
          <w:noProof/>
          <w:lang w:eastAsia="ja-JP"/>
        </w:rPr>
        <w:t>基づくリスク管理を含め、</w:t>
      </w:r>
      <w:r w:rsidR="00262511" w:rsidRPr="00DF5C23">
        <w:rPr>
          <w:noProof/>
          <w:lang w:eastAsia="ja-JP"/>
        </w:rPr>
        <w:t>EU</w:t>
      </w:r>
      <w:r w:rsidR="00262511" w:rsidRPr="00DF5C23">
        <w:rPr>
          <w:noProof/>
          <w:lang w:eastAsia="ja-JP"/>
        </w:rPr>
        <w:t>の法令に従って業務を遂行するために、製品パスポートおよび</w:t>
      </w:r>
      <w:r w:rsidR="00463675" w:rsidRPr="00DF5C23">
        <w:rPr>
          <w:noProof/>
          <w:lang w:eastAsia="ja-JP"/>
        </w:rPr>
        <w:t>関連</w:t>
      </w:r>
      <w:r w:rsidR="00262511" w:rsidRPr="00DF5C23">
        <w:rPr>
          <w:noProof/>
          <w:lang w:eastAsia="ja-JP"/>
        </w:rPr>
        <w:t>レジストリに含まれる情報を取得および使用できるように</w:t>
      </w:r>
      <w:r w:rsidR="005641EE" w:rsidRPr="00DF5C23">
        <w:rPr>
          <w:noProof/>
          <w:lang w:eastAsia="ja-JP"/>
        </w:rPr>
        <w:t>しなければならない。</w:t>
      </w:r>
      <w:r w:rsidR="005641EE" w:rsidRPr="00DF5C23">
        <w:rPr>
          <w:noProof/>
          <w:lang w:eastAsia="ja-JP"/>
        </w:rPr>
        <w:t xml:space="preserve"> </w:t>
      </w:r>
    </w:p>
    <w:p w14:paraId="6F30D9D7" w14:textId="77777777" w:rsidR="0038775E" w:rsidRDefault="00877B9C" w:rsidP="002041D4">
      <w:pPr>
        <w:pStyle w:val="ManualConsidrant"/>
        <w:wordWrap w:val="0"/>
        <w:rPr>
          <w:noProof/>
          <w:lang w:eastAsia="ja-JP"/>
        </w:rPr>
      </w:pPr>
      <w:r w:rsidRPr="004F5E59">
        <w:rPr>
          <w:lang w:eastAsia="ja-JP"/>
        </w:rPr>
        <w:t>(39)</w:t>
      </w:r>
      <w:r w:rsidRPr="004F5E59">
        <w:rPr>
          <w:lang w:eastAsia="ja-JP"/>
        </w:rPr>
        <w:tab/>
      </w:r>
      <w:r w:rsidR="23DF1179">
        <w:rPr>
          <w:noProof/>
          <w:lang w:eastAsia="ja-JP"/>
        </w:rPr>
        <w:t>消費者をより持続可能な選択へと導くために、ラベルは、この規則に従って採択された委任法が要求する場合、例えば、性能のクラスを示すことによって、製品の効果的な比較を可能にする情報を提供すべきである。特に消費者にとっては、物理的なラベルは、販売場所での追加的な情報源となり得る。ラベルは、消費者が特定の製品パラメータまたは製品パラメータのセットに関する性能に基づいて製品を区別するための迅速な視覚的根拠を提供することができる。また、適切な場合には、ウェブサイトのアドレス、ダイナミック</w:t>
      </w:r>
      <w:r w:rsidR="23DF1179">
        <w:rPr>
          <w:noProof/>
          <w:lang w:eastAsia="ja-JP"/>
        </w:rPr>
        <w:t>QR</w:t>
      </w:r>
      <w:r w:rsidR="23DF1179">
        <w:rPr>
          <w:noProof/>
          <w:lang w:eastAsia="ja-JP"/>
        </w:rPr>
        <w:t>コード、オンラインラベルへのリンク、または消費者向けの適切な手段など、特定の参照先を示すことによって、追加情報にアクセスできるようにする必要がある。欧州委員会は、関連する委任法の中で、顧客や経済事業者</w:t>
      </w:r>
      <w:r w:rsidR="23DF1179">
        <w:rPr>
          <w:noProof/>
          <w:lang w:eastAsia="ja-JP"/>
        </w:rPr>
        <w:lastRenderedPageBreak/>
        <w:t>への影響、関係する製品の特性を考慮し、オンラインによる遠隔販売の場合を含め、このようなラベルを表示する最も効果的な方法を定めるべきである。また、欧州委員会は、ラベルを製品の包装に印刷することを要求することができる。</w:t>
      </w:r>
      <w:r w:rsidR="23DF1179">
        <w:rPr>
          <w:noProof/>
          <w:lang w:eastAsia="ja-JP"/>
        </w:rPr>
        <w:t xml:space="preserve"> </w:t>
      </w:r>
    </w:p>
    <w:p w14:paraId="4021F2B5" w14:textId="52C20766" w:rsidR="0038775E" w:rsidRDefault="00877B9C" w:rsidP="002041D4">
      <w:pPr>
        <w:pStyle w:val="ManualConsidrant"/>
        <w:wordWrap w:val="0"/>
        <w:rPr>
          <w:noProof/>
          <w:lang w:val="en-IE" w:eastAsia="ja-JP"/>
        </w:rPr>
      </w:pPr>
      <w:r w:rsidRPr="004F5E59">
        <w:rPr>
          <w:lang w:eastAsia="ja-JP"/>
        </w:rPr>
        <w:t>(40)</w:t>
      </w:r>
      <w:r w:rsidRPr="004F5E59">
        <w:rPr>
          <w:lang w:eastAsia="ja-JP"/>
        </w:rPr>
        <w:tab/>
      </w:r>
      <w:r w:rsidR="23DF1179" w:rsidRPr="23DF1179">
        <w:rPr>
          <w:noProof/>
          <w:lang w:val="en-IE" w:eastAsia="ja-JP"/>
        </w:rPr>
        <w:t>エネルギーラベルに関する枠組みを定める規則（</w:t>
      </w:r>
      <w:r w:rsidR="23DF1179" w:rsidRPr="23DF1179">
        <w:rPr>
          <w:noProof/>
          <w:lang w:val="en-IE" w:eastAsia="ja-JP"/>
        </w:rPr>
        <w:t>EU</w:t>
      </w:r>
      <w:r w:rsidR="23DF1179" w:rsidRPr="23DF1179">
        <w:rPr>
          <w:noProof/>
          <w:lang w:val="en-IE" w:eastAsia="ja-JP"/>
        </w:rPr>
        <w:t>）</w:t>
      </w:r>
      <w:r w:rsidR="23DF1179" w:rsidRPr="23DF1179">
        <w:rPr>
          <w:noProof/>
          <w:lang w:val="en-IE" w:eastAsia="ja-JP"/>
        </w:rPr>
        <w:t>2017/1369</w:t>
      </w:r>
      <w:r w:rsidR="23DF1179" w:rsidRPr="23DF1179">
        <w:rPr>
          <w:noProof/>
          <w:lang w:val="en-IE" w:eastAsia="ja-JP"/>
        </w:rPr>
        <w:t>は、本規則と並行して、エネルギー関連製品に適用される。これは、エネルギーラベルがエネルギー関連製品の消費者に適切な情報を提供する主要な手段であり、本規則に基づいて決定された性能のクラスは、必要に応じて、規則（</w:t>
      </w:r>
      <w:r w:rsidR="23DF1179" w:rsidRPr="23DF1179">
        <w:rPr>
          <w:noProof/>
          <w:lang w:val="en-IE" w:eastAsia="ja-JP"/>
        </w:rPr>
        <w:t>EU</w:t>
      </w:r>
      <w:r w:rsidR="23DF1179" w:rsidRPr="23DF1179">
        <w:rPr>
          <w:noProof/>
          <w:lang w:val="en-IE" w:eastAsia="ja-JP"/>
        </w:rPr>
        <w:t>）</w:t>
      </w:r>
      <w:r w:rsidR="23DF1179" w:rsidRPr="23DF1179">
        <w:rPr>
          <w:noProof/>
          <w:lang w:val="en-IE" w:eastAsia="ja-JP"/>
        </w:rPr>
        <w:t>2017/1369</w:t>
      </w:r>
      <w:r w:rsidR="23DF1179" w:rsidRPr="23DF1179">
        <w:rPr>
          <w:noProof/>
          <w:lang w:val="en-IE" w:eastAsia="ja-JP"/>
        </w:rPr>
        <w:t>の第</w:t>
      </w:r>
      <w:r w:rsidR="23DF1179" w:rsidRPr="23DF1179">
        <w:rPr>
          <w:noProof/>
          <w:lang w:val="en-IE" w:eastAsia="ja-JP"/>
        </w:rPr>
        <w:t>16</w:t>
      </w:r>
      <w:r w:rsidR="23DF1179" w:rsidRPr="23DF1179">
        <w:rPr>
          <w:noProof/>
          <w:lang w:val="en-IE" w:eastAsia="ja-JP"/>
        </w:rPr>
        <w:t>条に規定されるように補足情報としてラベルに組み込まれるべきことを意味する。製品パラメータに関連する製品の性能に関する関連情報を、規則（</w:t>
      </w:r>
      <w:r w:rsidR="23DF1179" w:rsidRPr="23DF1179">
        <w:rPr>
          <w:noProof/>
          <w:lang w:val="en-IE" w:eastAsia="ja-JP"/>
        </w:rPr>
        <w:t>EU</w:t>
      </w:r>
      <w:r w:rsidR="23DF1179" w:rsidRPr="23DF1179">
        <w:rPr>
          <w:noProof/>
          <w:lang w:val="en-IE" w:eastAsia="ja-JP"/>
        </w:rPr>
        <w:t>）</w:t>
      </w:r>
      <w:r w:rsidR="23DF1179" w:rsidRPr="23DF1179">
        <w:rPr>
          <w:noProof/>
          <w:lang w:val="en-IE" w:eastAsia="ja-JP"/>
        </w:rPr>
        <w:t>2017/1369</w:t>
      </w:r>
      <w:r w:rsidR="23DF1179" w:rsidRPr="23DF1179">
        <w:rPr>
          <w:noProof/>
          <w:lang w:val="en-IE" w:eastAsia="ja-JP"/>
        </w:rPr>
        <w:t>に従ってエネルギー関連製品に設定されたエネルギーラベルに補足情報として含めることができない場合、欧州委員会は、消費者が製品に最も関連するパラメータについて情報を得る必要性と、公衆の混乱のリスク及び経済事業者の過度の事務負担という点でのデメリットを考慮して、この規則によるラベルを設定するかどうかを評価する必要があ</w:t>
      </w:r>
      <w:r w:rsidR="002041D4">
        <w:rPr>
          <w:noProof/>
          <w:lang w:val="en-IE" w:eastAsia="ja-JP"/>
        </w:rPr>
        <w:t>る</w:t>
      </w:r>
      <w:r w:rsidR="23DF1179" w:rsidRPr="23DF1179">
        <w:rPr>
          <w:noProof/>
          <w:lang w:val="en-IE" w:eastAsia="ja-JP"/>
        </w:rPr>
        <w:t>。</w:t>
      </w:r>
    </w:p>
    <w:p w14:paraId="7168EF47" w14:textId="2FBB8385" w:rsidR="0038775E" w:rsidRDefault="00877B9C" w:rsidP="002041D4">
      <w:pPr>
        <w:pStyle w:val="ManualConsidrant"/>
        <w:wordWrap w:val="0"/>
        <w:rPr>
          <w:noProof/>
          <w:lang w:val="en-IE" w:eastAsia="ja-JP"/>
        </w:rPr>
      </w:pPr>
      <w:r w:rsidRPr="004F5E59">
        <w:rPr>
          <w:lang w:eastAsia="ja-JP"/>
        </w:rPr>
        <w:t>(41)</w:t>
      </w:r>
      <w:r w:rsidRPr="004F5E59">
        <w:rPr>
          <w:lang w:eastAsia="ja-JP"/>
        </w:rPr>
        <w:tab/>
      </w:r>
      <w:r w:rsidR="23DF1179" w:rsidRPr="23DF1179">
        <w:rPr>
          <w:noProof/>
          <w:lang w:val="en-IE" w:eastAsia="ja-JP"/>
        </w:rPr>
        <w:t>消費者は、より持続可能な製品を選択することを妨げるような誤解を招く情報から保護されるべき</w:t>
      </w:r>
      <w:r w:rsidR="002041D4">
        <w:rPr>
          <w:noProof/>
          <w:lang w:val="en-IE" w:eastAsia="ja-JP"/>
        </w:rPr>
        <w:t>である</w:t>
      </w:r>
      <w:r w:rsidR="23DF1179" w:rsidRPr="23DF1179">
        <w:rPr>
          <w:noProof/>
          <w:lang w:val="en-IE" w:eastAsia="ja-JP"/>
        </w:rPr>
        <w:t>。このため、本規則に規定されたラベルを模倣したラベルを貼った製品を市場に出すことは禁止されるべきである。</w:t>
      </w:r>
      <w:r w:rsidR="23DF1179" w:rsidRPr="23DF1179">
        <w:rPr>
          <w:noProof/>
          <w:lang w:val="en-IE" w:eastAsia="ja-JP"/>
        </w:rPr>
        <w:t xml:space="preserve"> </w:t>
      </w:r>
    </w:p>
    <w:p w14:paraId="61B07BB7" w14:textId="77777777" w:rsidR="0038775E" w:rsidRDefault="00877B9C" w:rsidP="002041D4">
      <w:pPr>
        <w:pStyle w:val="ManualConsidrant"/>
        <w:wordWrap w:val="0"/>
        <w:rPr>
          <w:noProof/>
          <w:lang w:eastAsia="ja-JP"/>
        </w:rPr>
      </w:pPr>
      <w:r w:rsidRPr="004F5E59">
        <w:rPr>
          <w:lang w:eastAsia="ja-JP"/>
        </w:rPr>
        <w:t>(42)</w:t>
      </w:r>
      <w:r w:rsidRPr="004F5E59">
        <w:rPr>
          <w:lang w:eastAsia="ja-JP"/>
        </w:rPr>
        <w:tab/>
      </w:r>
      <w:r w:rsidR="23DF1179">
        <w:rPr>
          <w:noProof/>
          <w:lang w:eastAsia="ja-JP"/>
        </w:rPr>
        <w:t>欧州グリーンディールの目的を最も効率的に実現し、最も影響の大きい製品に最初に取り組むために、欧州委員会は、本規則の下で規制される製品およびそれらに適用される要件の優先順位付けを実施すべきである。指令</w:t>
      </w:r>
      <w:r w:rsidR="23DF1179">
        <w:rPr>
          <w:noProof/>
          <w:lang w:eastAsia="ja-JP"/>
        </w:rPr>
        <w:t>2009/125/EC</w:t>
      </w:r>
      <w:r w:rsidR="23DF1179">
        <w:rPr>
          <w:noProof/>
          <w:lang w:eastAsia="ja-JP"/>
        </w:rPr>
        <w:t>のもとで優先順位をつけるために行われたプロセスに基づき、欧州委員会は、少なくとも</w:t>
      </w:r>
      <w:r w:rsidR="23DF1179">
        <w:rPr>
          <w:noProof/>
          <w:lang w:eastAsia="ja-JP"/>
        </w:rPr>
        <w:t>3</w:t>
      </w:r>
      <w:r w:rsidR="23DF1179">
        <w:rPr>
          <w:noProof/>
          <w:lang w:eastAsia="ja-JP"/>
        </w:rPr>
        <w:t>年間にわたる作業計画を採択し、委任法の採択を予定している製品グループのリストと、水平適用の委任法の採択を予定している製品側面を明記すべきである。欧州委員会は、特に、</w:t>
      </w:r>
      <w:r w:rsidR="23DF1179">
        <w:rPr>
          <w:noProof/>
          <w:lang w:eastAsia="ja-JP"/>
        </w:rPr>
        <w:t>EU</w:t>
      </w:r>
      <w:r w:rsidR="23DF1179">
        <w:rPr>
          <w:noProof/>
          <w:lang w:eastAsia="ja-JP"/>
        </w:rPr>
        <w:t>の気候・環境・エネルギー目標に対する委任法の潜在的な貢献度と、選択した製品側面を、公共機関や経済事業者に不釣り合いなコストをかけずに改善できる可能性に関連する一連の基準に基づき、優先順位を決定すべきである。</w:t>
      </w:r>
      <w:r w:rsidR="23DF1179" w:rsidRPr="23DF1179">
        <w:rPr>
          <w:noProof/>
          <w:lang w:val="en-IE" w:eastAsia="ja-JP"/>
        </w:rPr>
        <w:t>EU</w:t>
      </w:r>
      <w:r w:rsidR="23DF1179" w:rsidRPr="23DF1179">
        <w:rPr>
          <w:noProof/>
          <w:lang w:val="en-IE" w:eastAsia="ja-JP"/>
        </w:rPr>
        <w:t>のエネルギー目標を達成するための重要性を考慮し、作業</w:t>
      </w:r>
      <w:r w:rsidR="23DF1179">
        <w:rPr>
          <w:noProof/>
          <w:lang w:eastAsia="ja-JP"/>
        </w:rPr>
        <w:t>計画には、</w:t>
      </w:r>
      <w:r w:rsidR="23DF1179" w:rsidRPr="23DF1179">
        <w:rPr>
          <w:noProof/>
          <w:lang w:val="en-IE" w:eastAsia="ja-JP"/>
        </w:rPr>
        <w:t>エネルギー関連製品に関連する</w:t>
      </w:r>
      <w:r w:rsidR="23DF1179">
        <w:rPr>
          <w:noProof/>
          <w:lang w:eastAsia="ja-JP"/>
        </w:rPr>
        <w:t>アクションの適切な割合を含める必要がある。加盟国および利害関係者は、エコデザインフォーラムを通じて協議する必要がある。エネルギー関連製品に関する本規則と規則（</w:t>
      </w:r>
      <w:r w:rsidR="23DF1179">
        <w:rPr>
          <w:noProof/>
          <w:lang w:eastAsia="ja-JP"/>
        </w:rPr>
        <w:t>EU</w:t>
      </w:r>
      <w:r w:rsidR="23DF1179">
        <w:rPr>
          <w:noProof/>
          <w:lang w:eastAsia="ja-JP"/>
        </w:rPr>
        <w:t>）</w:t>
      </w:r>
      <w:r w:rsidR="23DF1179">
        <w:rPr>
          <w:noProof/>
          <w:lang w:eastAsia="ja-JP"/>
        </w:rPr>
        <w:t>2017/1369</w:t>
      </w:r>
      <w:r w:rsidR="23DF1179">
        <w:rPr>
          <w:noProof/>
          <w:lang w:eastAsia="ja-JP"/>
        </w:rPr>
        <w:t>の間の補完性により、本規則に基づく作業計画と規則（</w:t>
      </w:r>
      <w:r w:rsidR="23DF1179">
        <w:rPr>
          <w:noProof/>
          <w:lang w:eastAsia="ja-JP"/>
        </w:rPr>
        <w:t>EU</w:t>
      </w:r>
      <w:r w:rsidR="23DF1179">
        <w:rPr>
          <w:noProof/>
          <w:lang w:eastAsia="ja-JP"/>
        </w:rPr>
        <w:t>）</w:t>
      </w:r>
      <w:r w:rsidR="23DF1179">
        <w:rPr>
          <w:noProof/>
          <w:lang w:eastAsia="ja-JP"/>
        </w:rPr>
        <w:t>2017/1369</w:t>
      </w:r>
      <w:r w:rsidR="23DF1179">
        <w:rPr>
          <w:noProof/>
          <w:lang w:eastAsia="ja-JP"/>
        </w:rPr>
        <w:t>の第</w:t>
      </w:r>
      <w:r w:rsidR="23DF1179">
        <w:rPr>
          <w:noProof/>
          <w:lang w:eastAsia="ja-JP"/>
        </w:rPr>
        <w:t>15</w:t>
      </w:r>
      <w:r w:rsidR="23DF1179">
        <w:rPr>
          <w:noProof/>
          <w:lang w:eastAsia="ja-JP"/>
        </w:rPr>
        <w:t>条に規定される作業計画のスケジュールを一致させる必要がある</w:t>
      </w:r>
      <w:r w:rsidR="23DF1179" w:rsidRPr="23DF1179">
        <w:rPr>
          <w:noProof/>
          <w:lang w:eastAsia="ja-JP"/>
        </w:rPr>
        <w:t>。</w:t>
      </w:r>
      <w:r w:rsidR="23DF1179" w:rsidRPr="23DF1179">
        <w:rPr>
          <w:noProof/>
          <w:lang w:eastAsia="ja-JP"/>
        </w:rPr>
        <w:t xml:space="preserve"> </w:t>
      </w:r>
    </w:p>
    <w:p w14:paraId="4A86FE50" w14:textId="7A4BD6D2" w:rsidR="0038775E" w:rsidRDefault="00877B9C" w:rsidP="002041D4">
      <w:pPr>
        <w:pStyle w:val="ManualConsidrant"/>
        <w:wordWrap w:val="0"/>
        <w:rPr>
          <w:noProof/>
          <w:lang w:eastAsia="ja-JP"/>
        </w:rPr>
      </w:pPr>
      <w:r w:rsidRPr="004F5E59">
        <w:rPr>
          <w:lang w:eastAsia="ja-JP"/>
        </w:rPr>
        <w:t>(43)</w:t>
      </w:r>
      <w:r w:rsidRPr="004F5E59">
        <w:rPr>
          <w:lang w:eastAsia="ja-JP"/>
        </w:rPr>
        <w:tab/>
      </w:r>
      <w:r w:rsidR="23DF1179">
        <w:rPr>
          <w:noProof/>
          <w:lang w:eastAsia="ja-JP"/>
        </w:rPr>
        <w:t>建設製品に対応する場合、本規則は、</w:t>
      </w:r>
      <w:r w:rsidR="23DF1179">
        <w:rPr>
          <w:noProof/>
          <w:lang w:eastAsia="ja-JP"/>
        </w:rPr>
        <w:t>[</w:t>
      </w:r>
      <w:r w:rsidR="23DF1179">
        <w:rPr>
          <w:noProof/>
          <w:lang w:eastAsia="ja-JP"/>
        </w:rPr>
        <w:t>改正建設製品規則</w:t>
      </w:r>
      <w:r w:rsidR="23DF1179">
        <w:rPr>
          <w:noProof/>
          <w:lang w:eastAsia="ja-JP"/>
        </w:rPr>
        <w:t>]</w:t>
      </w:r>
      <w:r w:rsidR="23DF1179">
        <w:rPr>
          <w:noProof/>
          <w:lang w:eastAsia="ja-JP"/>
        </w:rPr>
        <w:t>とその実施によって生じる義務が、本規則が追求する環境の持続可能性の目標を十分に達成する見込みがない場合にのみ、最終製品に要件を設定するべきである。さらに、作業計画を策定する際、欧州委員会は、現行の慣行を踏襲し、【改正建設製品規則】が、建設製品でもあるエネルギー関連製品に関連して、本規則で定める持続可能性要件に優先することを考慮すべきである。これは、例えば、ヒーター、ボイラー、ヒートポンプ、給湯・暖房機器、ファン、冷房・換気システム、太陽光発電製品（建物一体型太陽光発電パネルを除く）などが該当するはず</w:t>
      </w:r>
      <w:r w:rsidR="002041D4">
        <w:rPr>
          <w:noProof/>
          <w:lang w:eastAsia="ja-JP"/>
        </w:rPr>
        <w:t>である</w:t>
      </w:r>
      <w:r w:rsidR="23DF1179">
        <w:rPr>
          <w:noProof/>
          <w:lang w:eastAsia="ja-JP"/>
        </w:rPr>
        <w:t>。これらの製品については、ガス機器、低電圧、機械など、</w:t>
      </w:r>
      <w:r w:rsidR="23DF1179">
        <w:rPr>
          <w:noProof/>
          <w:lang w:eastAsia="ja-JP"/>
        </w:rPr>
        <w:lastRenderedPageBreak/>
        <w:t>製品に関する他の連邦法も考慮しつつ、主に安全面に関して、必要に応じて</w:t>
      </w:r>
      <w:r w:rsidR="23DF1179">
        <w:rPr>
          <w:noProof/>
          <w:lang w:eastAsia="ja-JP"/>
        </w:rPr>
        <w:t>[</w:t>
      </w:r>
      <w:r w:rsidR="23DF1179">
        <w:rPr>
          <w:noProof/>
          <w:lang w:eastAsia="ja-JP"/>
        </w:rPr>
        <w:t>改正建設製品規則</w:t>
      </w:r>
      <w:r w:rsidR="23DF1179">
        <w:rPr>
          <w:noProof/>
          <w:lang w:eastAsia="ja-JP"/>
        </w:rPr>
        <w:t>]</w:t>
      </w:r>
      <w:r w:rsidR="23DF1179">
        <w:rPr>
          <w:noProof/>
          <w:lang w:eastAsia="ja-JP"/>
        </w:rPr>
        <w:t>が補完的に介入することができる。</w:t>
      </w:r>
    </w:p>
    <w:p w14:paraId="37D70CF1" w14:textId="77777777" w:rsidR="0038775E" w:rsidRDefault="00877B9C" w:rsidP="002041D4">
      <w:pPr>
        <w:pStyle w:val="ManualConsidrant"/>
        <w:wordWrap w:val="0"/>
        <w:rPr>
          <w:noProof/>
          <w:lang w:eastAsia="ja-JP"/>
        </w:rPr>
      </w:pPr>
      <w:r w:rsidRPr="004F5E59">
        <w:rPr>
          <w:lang w:eastAsia="ja-JP"/>
        </w:rPr>
        <w:t>(44)</w:t>
      </w:r>
      <w:r w:rsidRPr="004F5E59">
        <w:rPr>
          <w:lang w:eastAsia="ja-JP"/>
        </w:rPr>
        <w:tab/>
      </w:r>
      <w:r w:rsidR="23DF1179">
        <w:rPr>
          <w:noProof/>
          <w:lang w:eastAsia="ja-JP"/>
        </w:rPr>
        <w:t>規制的アプローチに代わる有効な手段として自主規制を奨励するため、本規則は、指令</w:t>
      </w:r>
      <w:r w:rsidR="23DF1179">
        <w:rPr>
          <w:noProof/>
          <w:lang w:eastAsia="ja-JP"/>
        </w:rPr>
        <w:t>2009/125/EC</w:t>
      </w:r>
      <w:r w:rsidR="23DF1179">
        <w:rPr>
          <w:noProof/>
          <w:lang w:eastAsia="ja-JP"/>
        </w:rPr>
        <w:t>に引き続き、産業界が自主規制策を提出する可能性を含めるべきである。欧州委員会は、産業界が提案した自主規制措置について、署名者が提出した情報および証拠とともに、</w:t>
      </w:r>
      <w:r w:rsidR="23DF1179" w:rsidRPr="23DF1179">
        <w:rPr>
          <w:noProof/>
          <w:lang w:val="en-IE" w:eastAsia="ja-JP"/>
        </w:rPr>
        <w:t>EU</w:t>
      </w:r>
      <w:r w:rsidR="23DF1179" w:rsidRPr="23DF1179">
        <w:rPr>
          <w:noProof/>
          <w:lang w:val="en-IE" w:eastAsia="ja-JP"/>
        </w:rPr>
        <w:t>の国際貿易上の約束や</w:t>
      </w:r>
      <w:r w:rsidR="23DF1179" w:rsidRPr="23DF1179">
        <w:rPr>
          <w:noProof/>
          <w:lang w:val="en-IE" w:eastAsia="ja-JP"/>
        </w:rPr>
        <w:t>EU</w:t>
      </w:r>
      <w:r w:rsidR="23DF1179" w:rsidRPr="23DF1179">
        <w:rPr>
          <w:noProof/>
          <w:lang w:val="en-IE" w:eastAsia="ja-JP"/>
        </w:rPr>
        <w:t>法との一貫性を確保する必要性に照らし合わせて</w:t>
      </w:r>
      <w:r w:rsidR="23DF1179">
        <w:rPr>
          <w:noProof/>
          <w:lang w:eastAsia="ja-JP"/>
        </w:rPr>
        <w:t>評価すべきである。本規則の実施のための統一された条件を確保するため、欧州委員会には、エコデザイン要件を定める委任法の有効な代替案とみなされる自主規制措置を列挙した法律を採択し更新する実施権限が付与されるべきである。また、例えば、関係する製品グループ内の関連する市場や技術の発展を考慮し、欧州委員会が必要と考えられる場合にはいつでも自主規制措置の改訂版を要求できるようにすることが適切である。自主規制措置が実施法に記載されると、経済事業者は、欧州委員会がこの特定の製品群に対するエコデザイン要件を定める委任法を採択しないことを期待することができる。しかし、欧州委員会が、自己規制措置で扱われていない製品の側面について、認知された自己規制措置の対象となる製品にも適用される水平的なエコデザイン要件を採択する可能性も排除されない。欧州委員会が、ある自主規制措置がもはや本規則に定められた基準を満たさないと考える場合、その自主規制を、認められた自主規制措置を列挙した実施法から削除しなければならない。その結果、当該自主規制措置が以前取り扱っていた製品群に対して、本規則に従ってエコデザイン要件を設定することができる。</w:t>
      </w:r>
    </w:p>
    <w:p w14:paraId="50185723" w14:textId="77777777" w:rsidR="0038775E" w:rsidRDefault="00877B9C" w:rsidP="002041D4">
      <w:pPr>
        <w:pStyle w:val="ManualConsidrant"/>
        <w:wordWrap w:val="0"/>
        <w:rPr>
          <w:noProof/>
          <w:lang w:eastAsia="ja-JP"/>
        </w:rPr>
      </w:pPr>
      <w:r w:rsidRPr="004F5E59">
        <w:rPr>
          <w:lang w:eastAsia="ja-JP"/>
        </w:rPr>
        <w:t>(45)</w:t>
      </w:r>
      <w:r w:rsidRPr="004F5E59">
        <w:rPr>
          <w:lang w:eastAsia="ja-JP"/>
        </w:rPr>
        <w:tab/>
      </w:r>
      <w:r w:rsidR="23DF1179">
        <w:rPr>
          <w:noProof/>
          <w:lang w:eastAsia="ja-JP"/>
        </w:rPr>
        <w:t>零細・中小企業（</w:t>
      </w:r>
      <w:r w:rsidR="23DF1179">
        <w:rPr>
          <w:noProof/>
          <w:lang w:eastAsia="ja-JP"/>
        </w:rPr>
        <w:t>SMEs</w:t>
      </w:r>
      <w:r w:rsidR="23DF1179">
        <w:rPr>
          <w:noProof/>
          <w:lang w:eastAsia="ja-JP"/>
        </w:rPr>
        <w:t>）は、持続可能な製品に対する需要の増加から大きな利益を得ることができるが、要求事項の一部についてコストや困難に直面する可能性もある。</w:t>
      </w:r>
      <w:r w:rsidR="23DF1179" w:rsidRPr="23DF1179">
        <w:rPr>
          <w:noProof/>
          <w:lang w:eastAsia="fr-BE"/>
        </w:rPr>
        <w:t>加盟国と欧州委員会は、それぞれの責任範囲において、</w:t>
      </w:r>
      <w:r w:rsidR="23DF1179" w:rsidRPr="23DF1179">
        <w:rPr>
          <w:noProof/>
          <w:lang w:val="en-IE" w:eastAsia="fr-BE"/>
        </w:rPr>
        <w:t>エコデザイン</w:t>
      </w:r>
      <w:r w:rsidR="23DF1179" w:rsidRPr="23DF1179">
        <w:rPr>
          <w:noProof/>
          <w:lang w:eastAsia="fr-BE"/>
        </w:rPr>
        <w:t>要求が設定されている製品の製造に携わる中小企業に対し、適切な情報を提供し、的を絞った専門的な訓練を行い、資金面も含めた特定の支援とサポートを提供するべきである。これらの措置は、例えば、製品の環境フットプリントの計算や、製品パスポートの技術的な実装を対象とすべきである。加盟国の措置は、適用される国家補助規則に基づいて講じられるべきである。</w:t>
      </w:r>
    </w:p>
    <w:p w14:paraId="50D3AE88" w14:textId="1973B92B" w:rsidR="0038775E" w:rsidRDefault="00877B9C" w:rsidP="002041D4">
      <w:pPr>
        <w:pStyle w:val="ManualConsidrant"/>
        <w:wordWrap w:val="0"/>
        <w:rPr>
          <w:noProof/>
          <w:lang w:eastAsia="ja-JP"/>
        </w:rPr>
      </w:pPr>
      <w:r w:rsidRPr="004F5E59">
        <w:rPr>
          <w:lang w:eastAsia="ja-JP"/>
        </w:rPr>
        <w:t>(46)</w:t>
      </w:r>
      <w:r w:rsidRPr="004F5E59">
        <w:rPr>
          <w:lang w:eastAsia="ja-JP"/>
        </w:rPr>
        <w:tab/>
      </w:r>
      <w:r w:rsidR="00B814B2" w:rsidRPr="00DF5C23">
        <w:rPr>
          <w:noProof/>
          <w:lang w:eastAsia="ja-JP"/>
        </w:rPr>
        <w:t>繊維製品や</w:t>
      </w:r>
      <w:r w:rsidR="00904480" w:rsidRPr="00DF5C23">
        <w:rPr>
          <w:noProof/>
          <w:lang w:eastAsia="ja-JP"/>
        </w:rPr>
        <w:t>履物など、</w:t>
      </w:r>
      <w:r w:rsidR="00B814B2" w:rsidRPr="00DF5C23">
        <w:rPr>
          <w:noProof/>
          <w:lang w:eastAsia="ja-JP"/>
        </w:rPr>
        <w:t>売れ残った消費財の経済事業者による廃棄は、特にオンライン販売の急速な拡大により、連邦全体で広く環境問題になって</w:t>
      </w:r>
      <w:r w:rsidR="002041D4">
        <w:rPr>
          <w:noProof/>
          <w:lang w:eastAsia="ja-JP"/>
        </w:rPr>
        <w:t>いる。</w:t>
      </w:r>
      <w:r w:rsidR="00ED25E9" w:rsidRPr="00DF5C23">
        <w:rPr>
          <w:noProof/>
          <w:lang w:eastAsia="ja-JP"/>
        </w:rPr>
        <w:t>商品が</w:t>
      </w:r>
      <w:r w:rsidR="00B814B2" w:rsidRPr="00DF5C23">
        <w:rPr>
          <w:noProof/>
          <w:lang w:eastAsia="ja-JP"/>
        </w:rPr>
        <w:t>生産され、輸送された後、本来の目的に使用されることなく廃棄されることは、貴重な経済資源の損失につながる。したがって、</w:t>
      </w:r>
      <w:r w:rsidR="00ED25E9" w:rsidRPr="00DF5C23">
        <w:rPr>
          <w:noProof/>
          <w:lang w:eastAsia="ja-JP"/>
        </w:rPr>
        <w:t>環境保護の観点から、</w:t>
      </w:r>
      <w:r w:rsidR="00B814B2" w:rsidRPr="00DF5C23">
        <w:rPr>
          <w:noProof/>
          <w:lang w:eastAsia="ja-JP"/>
        </w:rPr>
        <w:t>本規則が、</w:t>
      </w:r>
      <w:r w:rsidR="00BC0115" w:rsidRPr="00DF5C23">
        <w:rPr>
          <w:noProof/>
          <w:lang w:eastAsia="ja-JP"/>
        </w:rPr>
        <w:t>欧州議会及び理事会の</w:t>
      </w:r>
      <w:r w:rsidR="00BC0115" w:rsidRPr="00DF5C23">
        <w:rPr>
          <w:noProof/>
          <w:shd w:val="clear" w:color="auto" w:fill="FFFFFF"/>
          <w:lang w:val="en-US" w:eastAsia="ja-JP"/>
        </w:rPr>
        <w:t>指令（</w:t>
      </w:r>
      <w:r w:rsidR="00BC0115" w:rsidRPr="00DF5C23">
        <w:rPr>
          <w:noProof/>
          <w:shd w:val="clear" w:color="auto" w:fill="FFFFFF"/>
          <w:lang w:val="en-US" w:eastAsia="ja-JP"/>
        </w:rPr>
        <w:t>EU</w:t>
      </w:r>
      <w:r w:rsidR="00BC0115" w:rsidRPr="00DF5C23">
        <w:rPr>
          <w:noProof/>
          <w:shd w:val="clear" w:color="auto" w:fill="FFFFFF"/>
          <w:lang w:val="en-US" w:eastAsia="ja-JP"/>
        </w:rPr>
        <w:t>）</w:t>
      </w:r>
      <w:r w:rsidR="00BC0115" w:rsidRPr="00DF5C23">
        <w:rPr>
          <w:noProof/>
          <w:shd w:val="clear" w:color="auto" w:fill="FFFFFF"/>
          <w:lang w:val="en-US" w:eastAsia="ja-JP"/>
        </w:rPr>
        <w:t>2019/771</w:t>
      </w:r>
      <w:r w:rsidR="00F84A92" w:rsidRPr="00DF5C23">
        <w:rPr>
          <w:rStyle w:val="afa"/>
          <w:noProof/>
        </w:rPr>
        <w:footnoteReference w:id="70"/>
      </w:r>
      <w:r w:rsidR="00BC0115" w:rsidRPr="00DF5C23">
        <w:rPr>
          <w:noProof/>
          <w:lang w:eastAsia="ja-JP"/>
        </w:rPr>
        <w:t xml:space="preserve"> </w:t>
      </w:r>
      <w:r w:rsidR="00BC0115" w:rsidRPr="00DF5C23">
        <w:rPr>
          <w:noProof/>
          <w:lang w:eastAsia="ja-JP"/>
        </w:rPr>
        <w:t>に基づき、主に消費者向けの</w:t>
      </w:r>
      <w:r w:rsidR="00DD43D3" w:rsidRPr="00DF5C23">
        <w:rPr>
          <w:noProof/>
          <w:lang w:eastAsia="ja-JP"/>
        </w:rPr>
        <w:t>売れ残り製品の破棄を防止する</w:t>
      </w:r>
      <w:r w:rsidR="00B814B2" w:rsidRPr="00DF5C23">
        <w:rPr>
          <w:noProof/>
          <w:lang w:eastAsia="ja-JP"/>
        </w:rPr>
        <w:t>枠組みを</w:t>
      </w:r>
      <w:r w:rsidR="00ED25E9" w:rsidRPr="00DF5C23">
        <w:rPr>
          <w:noProof/>
          <w:lang w:eastAsia="ja-JP"/>
        </w:rPr>
        <w:t>確立</w:t>
      </w:r>
      <w:r w:rsidR="00B814B2" w:rsidRPr="00DF5C23">
        <w:rPr>
          <w:noProof/>
          <w:lang w:eastAsia="ja-JP"/>
        </w:rPr>
        <w:t>することが必要であり、</w:t>
      </w:r>
      <w:r w:rsidR="00F65FBB" w:rsidRPr="00DF5C23">
        <w:rPr>
          <w:noProof/>
          <w:lang w:eastAsia="ja-JP"/>
        </w:rPr>
        <w:t>欧州議会及び理事会の指令（</w:t>
      </w:r>
      <w:r w:rsidR="00F65FBB" w:rsidRPr="00DF5C23">
        <w:rPr>
          <w:noProof/>
          <w:lang w:eastAsia="ja-JP"/>
        </w:rPr>
        <w:t>EU</w:t>
      </w:r>
      <w:r w:rsidR="00F65FBB" w:rsidRPr="00DF5C23">
        <w:rPr>
          <w:noProof/>
          <w:lang w:eastAsia="ja-JP"/>
        </w:rPr>
        <w:t>）</w:t>
      </w:r>
      <w:r w:rsidR="00F65FBB" w:rsidRPr="00DF5C23">
        <w:rPr>
          <w:noProof/>
          <w:lang w:eastAsia="ja-JP"/>
        </w:rPr>
        <w:t>2011/83/EU</w:t>
      </w:r>
      <w:r w:rsidR="00F84A92" w:rsidRPr="00DF5C23">
        <w:rPr>
          <w:rStyle w:val="afa"/>
          <w:noProof/>
        </w:rPr>
        <w:footnoteReference w:id="71"/>
      </w:r>
      <w:r w:rsidR="00F65FBB" w:rsidRPr="00DF5C23">
        <w:rPr>
          <w:noProof/>
          <w:lang w:eastAsia="ja-JP"/>
        </w:rPr>
        <w:t xml:space="preserve"> </w:t>
      </w:r>
      <w:r w:rsidR="00F65FBB" w:rsidRPr="00DF5C23">
        <w:rPr>
          <w:noProof/>
          <w:lang w:eastAsia="ja-JP"/>
        </w:rPr>
        <w:t>で規定されている撤</w:t>
      </w:r>
      <w:r w:rsidR="00F65FBB" w:rsidRPr="00DF5C23">
        <w:rPr>
          <w:noProof/>
          <w:lang w:eastAsia="ja-JP"/>
        </w:rPr>
        <w:lastRenderedPageBreak/>
        <w:t>回権の</w:t>
      </w:r>
      <w:r w:rsidR="001F2788" w:rsidRPr="00DF5C23">
        <w:rPr>
          <w:noProof/>
          <w:lang w:eastAsia="ja-JP"/>
        </w:rPr>
        <w:t>観点から</w:t>
      </w:r>
      <w:r w:rsidR="00DD43D3" w:rsidRPr="00DF5C23">
        <w:rPr>
          <w:noProof/>
          <w:lang w:eastAsia="ja-JP"/>
        </w:rPr>
        <w:t>消費者によって返品された製品を含む。これにより、廃棄物の発生を減らし</w:t>
      </w:r>
      <w:r w:rsidR="00F65FBB" w:rsidRPr="00DF5C23">
        <w:rPr>
          <w:noProof/>
          <w:lang w:eastAsia="ja-JP"/>
        </w:rPr>
        <w:t>、</w:t>
      </w:r>
      <w:r w:rsidR="00DD43D3" w:rsidRPr="00DF5C23">
        <w:rPr>
          <w:noProof/>
          <w:lang w:eastAsia="ja-JP"/>
        </w:rPr>
        <w:t>製品の過剰生産を</w:t>
      </w:r>
      <w:r w:rsidR="00F65FBB" w:rsidRPr="00DF5C23">
        <w:rPr>
          <w:noProof/>
          <w:lang w:eastAsia="ja-JP"/>
        </w:rPr>
        <w:t>抑制することで、</w:t>
      </w:r>
      <w:r w:rsidR="00B814B2" w:rsidRPr="00DF5C23">
        <w:rPr>
          <w:noProof/>
          <w:lang w:eastAsia="ja-JP"/>
        </w:rPr>
        <w:t>これらの</w:t>
      </w:r>
      <w:r w:rsidR="00F65FBB" w:rsidRPr="00DF5C23">
        <w:rPr>
          <w:noProof/>
          <w:lang w:eastAsia="ja-JP"/>
        </w:rPr>
        <w:t>製品の環境負荷を</w:t>
      </w:r>
      <w:r w:rsidR="00DD43D3" w:rsidRPr="00DF5C23">
        <w:rPr>
          <w:noProof/>
          <w:lang w:eastAsia="ja-JP"/>
        </w:rPr>
        <w:t>低減することがで</w:t>
      </w:r>
      <w:r w:rsidR="002041D4">
        <w:rPr>
          <w:noProof/>
          <w:lang w:eastAsia="ja-JP"/>
        </w:rPr>
        <w:t>く</w:t>
      </w:r>
      <w:r w:rsidR="00DD43D3" w:rsidRPr="00DF5C23">
        <w:rPr>
          <w:noProof/>
          <w:lang w:eastAsia="ja-JP"/>
        </w:rPr>
        <w:t>。さらに、</w:t>
      </w:r>
      <w:r w:rsidR="00B814B2" w:rsidRPr="00DF5C23">
        <w:rPr>
          <w:noProof/>
          <w:lang w:eastAsia="ja-JP"/>
        </w:rPr>
        <w:t>いくつかの加盟国が売れ残った消費者製品の破棄に関する国内法を導入し、それによって市場に歪みが生じていることを考えると、</w:t>
      </w:r>
      <w:r w:rsidR="00DD43D3" w:rsidRPr="00DF5C23">
        <w:rPr>
          <w:noProof/>
          <w:lang w:eastAsia="ja-JP"/>
        </w:rPr>
        <w:t>流通業者、小売業者、その他の経済事業者が加盟国間で同じ規則とインセンティブに従うことを保証するために、売れ残った消費者製品の破棄に関する調和のとれた規則が必要とな</w:t>
      </w:r>
      <w:r w:rsidR="002041D4">
        <w:rPr>
          <w:noProof/>
          <w:lang w:eastAsia="ja-JP"/>
        </w:rPr>
        <w:t>る</w:t>
      </w:r>
      <w:r w:rsidR="00DD43D3" w:rsidRPr="00DF5C23">
        <w:rPr>
          <w:noProof/>
          <w:lang w:eastAsia="ja-JP"/>
        </w:rPr>
        <w:t>。</w:t>
      </w:r>
      <w:r w:rsidR="00DD43D3" w:rsidRPr="00DF5C23">
        <w:rPr>
          <w:noProof/>
          <w:lang w:eastAsia="ja-JP"/>
        </w:rPr>
        <w:t xml:space="preserve"> </w:t>
      </w:r>
    </w:p>
    <w:p w14:paraId="17A7AFCB" w14:textId="77777777" w:rsidR="0038775E" w:rsidRDefault="00877B9C" w:rsidP="002041D4">
      <w:pPr>
        <w:pStyle w:val="ManualConsidrant"/>
        <w:wordWrap w:val="0"/>
        <w:rPr>
          <w:noProof/>
          <w:lang w:eastAsia="ja-JP"/>
        </w:rPr>
      </w:pPr>
      <w:r w:rsidRPr="004F5E59">
        <w:rPr>
          <w:lang w:eastAsia="ja-JP"/>
        </w:rPr>
        <w:t>(47)</w:t>
      </w:r>
      <w:r w:rsidRPr="004F5E59">
        <w:rPr>
          <w:lang w:eastAsia="ja-JP"/>
        </w:rPr>
        <w:tab/>
      </w:r>
      <w:r w:rsidR="00DD43D3" w:rsidRPr="00DF5C23">
        <w:rPr>
          <w:noProof/>
          <w:lang w:eastAsia="ja-JP"/>
        </w:rPr>
        <w:t>売れ残った消費者製品の破棄を抑制し、この行為の発生に関するデータをさらに作成するために、本規則は、</w:t>
      </w:r>
      <w:r w:rsidR="00280B85" w:rsidRPr="00DF5C23">
        <w:rPr>
          <w:noProof/>
          <w:lang w:eastAsia="ja-JP"/>
        </w:rPr>
        <w:t>連合</w:t>
      </w:r>
      <w:r w:rsidR="00F65FBB" w:rsidRPr="00DF5C23">
        <w:rPr>
          <w:noProof/>
          <w:lang w:eastAsia="ja-JP"/>
        </w:rPr>
        <w:t>内で消費者製品を保有する</w:t>
      </w:r>
      <w:r w:rsidR="00DD43D3" w:rsidRPr="00DF5C23">
        <w:rPr>
          <w:noProof/>
          <w:lang w:eastAsia="ja-JP"/>
        </w:rPr>
        <w:t>経済事業者に透明性義務を導入し、</w:t>
      </w:r>
      <w:r w:rsidR="00DD43D3" w:rsidRPr="00DF5C23">
        <w:rPr>
          <w:noProof/>
          <w:lang w:eastAsia="ja-JP"/>
        </w:rPr>
        <w:t>1</w:t>
      </w:r>
      <w:r w:rsidR="00DD43D3" w:rsidRPr="00DF5C23">
        <w:rPr>
          <w:noProof/>
          <w:lang w:eastAsia="ja-JP"/>
        </w:rPr>
        <w:t>年間に</w:t>
      </w:r>
      <w:r w:rsidR="000B193F" w:rsidRPr="00DF5C23">
        <w:rPr>
          <w:noProof/>
          <w:lang w:eastAsia="ja-JP"/>
        </w:rPr>
        <w:t>破棄された</w:t>
      </w:r>
      <w:r w:rsidR="00DD43D3" w:rsidRPr="00DF5C23">
        <w:rPr>
          <w:noProof/>
          <w:lang w:eastAsia="ja-JP"/>
        </w:rPr>
        <w:t>売れ残り消費者製品の数に関する情報の開示を義務づけるべきである</w:t>
      </w:r>
      <w:r w:rsidR="00F65FBB" w:rsidRPr="00DF5C23">
        <w:rPr>
          <w:noProof/>
          <w:lang w:eastAsia="ja-JP"/>
        </w:rPr>
        <w:t>。経済事業者は、</w:t>
      </w:r>
      <w:r w:rsidR="00DD43D3" w:rsidRPr="00DF5C23">
        <w:rPr>
          <w:noProof/>
          <w:lang w:eastAsia="ja-JP"/>
        </w:rPr>
        <w:t>製品の種類またはカテゴリー、</w:t>
      </w:r>
      <w:r w:rsidR="000B193F" w:rsidRPr="00DF5C23">
        <w:rPr>
          <w:noProof/>
          <w:lang w:eastAsia="ja-JP"/>
        </w:rPr>
        <w:t>廃棄の</w:t>
      </w:r>
      <w:r w:rsidR="00DD43D3" w:rsidRPr="00DF5C23">
        <w:rPr>
          <w:noProof/>
          <w:lang w:eastAsia="ja-JP"/>
        </w:rPr>
        <w:t>理由、</w:t>
      </w:r>
      <w:r w:rsidR="000B193F" w:rsidRPr="00DF5C23">
        <w:rPr>
          <w:noProof/>
          <w:lang w:val="en-IE" w:eastAsia="fr-BE"/>
        </w:rPr>
        <w:t>その後の廃棄物</w:t>
      </w:r>
      <w:r w:rsidR="00873EE8" w:rsidRPr="00DF5C23">
        <w:rPr>
          <w:noProof/>
          <w:lang w:val="en-IE" w:eastAsia="fr-BE"/>
        </w:rPr>
        <w:t>処理</w:t>
      </w:r>
      <w:r w:rsidR="000B193F" w:rsidRPr="00DF5C23">
        <w:rPr>
          <w:noProof/>
          <w:lang w:val="en-IE" w:eastAsia="fr-BE"/>
        </w:rPr>
        <w:t>作業への搬入を</w:t>
      </w:r>
      <w:r w:rsidR="00F65FBB" w:rsidRPr="00DF5C23">
        <w:rPr>
          <w:noProof/>
          <w:lang w:eastAsia="ja-JP"/>
        </w:rPr>
        <w:t>示すべきである</w:t>
      </w:r>
      <w:r w:rsidR="00DD43D3" w:rsidRPr="00DF5C23">
        <w:rPr>
          <w:noProof/>
          <w:lang w:eastAsia="ja-JP"/>
        </w:rPr>
        <w:t>。経済事業者は、</w:t>
      </w:r>
      <w:r w:rsidR="00F65FBB" w:rsidRPr="00DF5C23">
        <w:rPr>
          <w:noProof/>
          <w:lang w:eastAsia="ja-JP"/>
        </w:rPr>
        <w:t>その</w:t>
      </w:r>
      <w:r w:rsidR="00DD43D3" w:rsidRPr="00DF5C23">
        <w:rPr>
          <w:noProof/>
          <w:lang w:eastAsia="ja-JP"/>
        </w:rPr>
        <w:t>事業環境に適した方法で</w:t>
      </w:r>
      <w:r w:rsidR="00F65FBB" w:rsidRPr="00DF5C23">
        <w:rPr>
          <w:noProof/>
          <w:lang w:eastAsia="ja-JP"/>
        </w:rPr>
        <w:t>その情報を</w:t>
      </w:r>
      <w:r w:rsidR="00DD43D3" w:rsidRPr="00DF5C23">
        <w:rPr>
          <w:noProof/>
          <w:lang w:eastAsia="ja-JP"/>
        </w:rPr>
        <w:t>開示する方法を自由に決定</w:t>
      </w:r>
      <w:r w:rsidR="00F65FBB" w:rsidRPr="00DF5C23">
        <w:rPr>
          <w:noProof/>
          <w:lang w:eastAsia="ja-JP"/>
        </w:rPr>
        <w:t>すべきであるが、</w:t>
      </w:r>
      <w:r w:rsidR="00DD43D3" w:rsidRPr="00DF5C23">
        <w:rPr>
          <w:noProof/>
          <w:lang w:eastAsia="ja-JP"/>
        </w:rPr>
        <w:t>該当する場合には、欧州議会及び理事会の指令</w:t>
      </w:r>
      <w:r w:rsidR="00DD43D3" w:rsidRPr="00DF5C23">
        <w:rPr>
          <w:noProof/>
          <w:lang w:eastAsia="ja-JP"/>
        </w:rPr>
        <w:t>2013/34/EU</w:t>
      </w:r>
      <w:r w:rsidR="00DD43D3" w:rsidRPr="00DF5C23">
        <w:rPr>
          <w:rStyle w:val="afa"/>
          <w:noProof/>
        </w:rPr>
        <w:footnoteReference w:id="72"/>
      </w:r>
      <w:r w:rsidR="00DD43D3" w:rsidRPr="00DF5C23">
        <w:rPr>
          <w:noProof/>
          <w:lang w:eastAsia="ja-JP"/>
        </w:rPr>
        <w:t xml:space="preserve"> </w:t>
      </w:r>
      <w:r w:rsidR="00DD43D3" w:rsidRPr="00DF5C23">
        <w:rPr>
          <w:noProof/>
          <w:lang w:eastAsia="ja-JP"/>
        </w:rPr>
        <w:t>の第</w:t>
      </w:r>
      <w:r w:rsidR="00DD43D3" w:rsidRPr="00DF5C23">
        <w:rPr>
          <w:noProof/>
          <w:lang w:eastAsia="ja-JP"/>
        </w:rPr>
        <w:t>19a</w:t>
      </w:r>
      <w:r w:rsidR="00DD43D3" w:rsidRPr="00DF5C23">
        <w:rPr>
          <w:noProof/>
          <w:lang w:eastAsia="ja-JP"/>
        </w:rPr>
        <w:t>条に従って作成された一般に公開される非財務報告書に</w:t>
      </w:r>
      <w:r w:rsidR="00F65FBB" w:rsidRPr="00DF5C23">
        <w:rPr>
          <w:noProof/>
          <w:lang w:eastAsia="ja-JP"/>
        </w:rPr>
        <w:t>必要な情報を</w:t>
      </w:r>
      <w:r w:rsidR="00DD43D3" w:rsidRPr="00DF5C23">
        <w:rPr>
          <w:noProof/>
          <w:lang w:eastAsia="ja-JP"/>
        </w:rPr>
        <w:t>含めることがベストプラクティスとみなさ</w:t>
      </w:r>
      <w:r w:rsidR="00F65FBB" w:rsidRPr="00DF5C23">
        <w:rPr>
          <w:noProof/>
          <w:lang w:eastAsia="ja-JP"/>
        </w:rPr>
        <w:t>れるべきである。</w:t>
      </w:r>
      <w:r w:rsidR="00F65FBB" w:rsidRPr="00DF5C23">
        <w:rPr>
          <w:noProof/>
          <w:lang w:eastAsia="ja-JP"/>
        </w:rPr>
        <w:t xml:space="preserve"> </w:t>
      </w:r>
    </w:p>
    <w:p w14:paraId="4EF8D49B" w14:textId="77777777" w:rsidR="0038775E" w:rsidRDefault="00877B9C" w:rsidP="002041D4">
      <w:pPr>
        <w:pStyle w:val="ManualConsidrant"/>
        <w:wordWrap w:val="0"/>
        <w:rPr>
          <w:noProof/>
          <w:lang w:val="en-IE" w:eastAsia="ja-JP"/>
        </w:rPr>
      </w:pPr>
      <w:r w:rsidRPr="004F5E59">
        <w:rPr>
          <w:lang w:eastAsia="ja-JP"/>
        </w:rPr>
        <w:t>(48)</w:t>
      </w:r>
      <w:r w:rsidRPr="004F5E59">
        <w:rPr>
          <w:lang w:eastAsia="ja-JP"/>
        </w:rPr>
        <w:tab/>
      </w:r>
      <w:r w:rsidR="23DF1179">
        <w:rPr>
          <w:noProof/>
          <w:lang w:eastAsia="ja-JP"/>
        </w:rPr>
        <w:t>売れ残った消費者製品の破棄が蔓延している場合、そのような製品の破棄を禁止することで本規則を補足するために、</w:t>
      </w:r>
      <w:r w:rsidR="23DF1179">
        <w:rPr>
          <w:noProof/>
          <w:lang w:eastAsia="ja-JP"/>
        </w:rPr>
        <w:t>TFEU</w:t>
      </w:r>
      <w:r w:rsidR="23DF1179">
        <w:rPr>
          <w:noProof/>
          <w:lang w:eastAsia="ja-JP"/>
        </w:rPr>
        <w:t>第</w:t>
      </w:r>
      <w:r w:rsidR="23DF1179">
        <w:rPr>
          <w:noProof/>
          <w:lang w:eastAsia="ja-JP"/>
        </w:rPr>
        <w:t>290</w:t>
      </w:r>
      <w:r w:rsidR="23DF1179">
        <w:rPr>
          <w:noProof/>
          <w:lang w:eastAsia="ja-JP"/>
        </w:rPr>
        <w:t>条に基づく行為を採択する権限を委員会に委譲すべきである。販売や使用されることなく破棄される可能性のある製品の範囲が広いことを考えると、本規則にそのような権限を設けることが必要である。しかし、委任法に定める禁止は、特定の製品群に適用されるべきであり、そのような製品の破壊が実際にどの程度行われているかについての欧州委員会による評価に基づいて、適切な場合には経済事業者が提供する情報を考慮に入れて決定される。この義務が比例したものであることを保証するために、欧州委員会は、例えば健康や安全に関する懸念の観点から、売れ残った消費者製品の破棄を許可することができる特定の免除を検討すべきである。この禁止の効果を監視し、回避を阻害しないようにするため、経済事業者は、適用される免除の下で破棄された売れ残り消費者製品の数および破棄の理由を開示することを義務付けられるべきである。最後に、中小企業に対する過度の管理負担を避けるため、中小企業は、売れ残り廃棄製品の開示義務および委任法で定められた特定の製品群を廃棄する禁止から免除されるべきである。しかし、中小</w:t>
      </w:r>
      <w:r w:rsidR="23DF1179" w:rsidRPr="23DF1179">
        <w:rPr>
          <w:noProof/>
          <w:lang w:val="en-IE" w:eastAsia="fr-BE"/>
        </w:rPr>
        <w:t>企業がこれらの義務を回避するために利用される可能性があるという合理的な証拠がある場合、欧州委員会は、これらの委任法の中で、一部の製品群について、これらの義務を零細企業、中小企業にも適用するよう求めることができるようにすべきである。</w:t>
      </w:r>
    </w:p>
    <w:p w14:paraId="3B0110A8" w14:textId="77777777" w:rsidR="0038775E" w:rsidRDefault="00877B9C" w:rsidP="002041D4">
      <w:pPr>
        <w:pStyle w:val="ManualConsidrant"/>
        <w:wordWrap w:val="0"/>
        <w:rPr>
          <w:noProof/>
          <w:lang w:eastAsia="ja-JP"/>
        </w:rPr>
      </w:pPr>
      <w:r w:rsidRPr="004F5E59">
        <w:rPr>
          <w:lang w:eastAsia="ja-JP"/>
        </w:rPr>
        <w:t>(49)</w:t>
      </w:r>
      <w:r w:rsidRPr="004F5E59">
        <w:rPr>
          <w:lang w:eastAsia="ja-JP"/>
        </w:rPr>
        <w:tab/>
      </w:r>
      <w:r w:rsidR="23DF1179">
        <w:rPr>
          <w:noProof/>
          <w:lang w:eastAsia="ja-JP"/>
        </w:rPr>
        <w:t>経済事業者は、サプライチェーンにおけるそれぞれの役割に関連して、製品が本規則に基づく</w:t>
      </w:r>
      <w:r w:rsidR="23DF1179" w:rsidRPr="23DF1179">
        <w:rPr>
          <w:noProof/>
          <w:lang w:val="en-IE" w:eastAsia="fr-BE"/>
        </w:rPr>
        <w:t>エコデザイン</w:t>
      </w:r>
      <w:r w:rsidR="23DF1179">
        <w:rPr>
          <w:noProof/>
          <w:lang w:eastAsia="ja-JP"/>
        </w:rPr>
        <w:t>要求事項に適合することに責任を負い、製品の域内市場における自由な移動を確保し、その持続可能性を向上させるようにすべきである。供給・流通経路に介在する経済事業者は、本規則および本</w:t>
      </w:r>
      <w:r w:rsidR="23DF1179">
        <w:rPr>
          <w:noProof/>
          <w:lang w:eastAsia="ja-JP"/>
        </w:rPr>
        <w:lastRenderedPageBreak/>
        <w:t>規則に基づき採択された委任法に適合する製品のみを市場で入手できるようにするため、適切な措置を講じるべきである。</w:t>
      </w:r>
      <w:r w:rsidR="23DF1179">
        <w:rPr>
          <w:noProof/>
          <w:lang w:eastAsia="ja-JP"/>
        </w:rPr>
        <w:t xml:space="preserve">  </w:t>
      </w:r>
    </w:p>
    <w:p w14:paraId="32E8C869" w14:textId="77777777" w:rsidR="0038775E" w:rsidRDefault="00877B9C" w:rsidP="002041D4">
      <w:pPr>
        <w:pStyle w:val="ManualConsidrant"/>
        <w:wordWrap w:val="0"/>
        <w:rPr>
          <w:noProof/>
          <w:lang w:eastAsia="ja-JP"/>
        </w:rPr>
      </w:pPr>
      <w:r w:rsidRPr="004F5E59">
        <w:rPr>
          <w:lang w:eastAsia="ja-JP"/>
        </w:rPr>
        <w:t>(50)</w:t>
      </w:r>
      <w:r w:rsidRPr="004F5E59">
        <w:rPr>
          <w:lang w:eastAsia="ja-JP"/>
        </w:rPr>
        <w:tab/>
      </w:r>
      <w:r w:rsidR="23DF1179">
        <w:rPr>
          <w:noProof/>
          <w:lang w:eastAsia="ja-JP"/>
        </w:rPr>
        <w:t>製造者は、設計および製造プロセスに関する詳細な知識を有しており、適合性評価手続きを実施する上で最も適している。したがって、適合性評価は、製造者の義務としてのみ残されるべきである。</w:t>
      </w:r>
      <w:r w:rsidR="23DF1179">
        <w:rPr>
          <w:noProof/>
          <w:lang w:eastAsia="ja-JP"/>
        </w:rPr>
        <w:t xml:space="preserve"> </w:t>
      </w:r>
    </w:p>
    <w:p w14:paraId="275D33A5" w14:textId="77777777" w:rsidR="0038775E" w:rsidRDefault="00877B9C" w:rsidP="002041D4">
      <w:pPr>
        <w:pStyle w:val="ManualConsidrant"/>
        <w:wordWrap w:val="0"/>
        <w:rPr>
          <w:noProof/>
          <w:lang w:eastAsia="ja-JP"/>
        </w:rPr>
      </w:pPr>
      <w:r w:rsidRPr="004F5E59">
        <w:rPr>
          <w:lang w:eastAsia="ja-JP"/>
        </w:rPr>
        <w:t>(51)</w:t>
      </w:r>
      <w:r w:rsidRPr="004F5E59">
        <w:rPr>
          <w:lang w:eastAsia="ja-JP"/>
        </w:rPr>
        <w:tab/>
      </w:r>
      <w:r w:rsidR="23DF1179">
        <w:rPr>
          <w:noProof/>
          <w:lang w:eastAsia="ja-JP"/>
        </w:rPr>
        <w:t>域内市場の機能を保護するため、第三国から域内市場に流入する製品が、製品、部品又は中間製品として輸入されるか否かにかかわらず、この規則及びこれに従って採択された委任法に適合することを確保することが必要である。特に、これらの製品について製造者が適切な適合性評価手続を実施したことを保証することが必要である。したがって、輸入業者が、市場に出す製品がこれらの要求事項に適合すること、及び製造業者が作成した</w:t>
      </w:r>
      <w:r w:rsidR="23DF1179">
        <w:rPr>
          <w:noProof/>
          <w:lang w:eastAsia="ja-JP"/>
        </w:rPr>
        <w:t>CE</w:t>
      </w:r>
      <w:r w:rsidR="23DF1179">
        <w:rPr>
          <w:noProof/>
          <w:lang w:eastAsia="ja-JP"/>
        </w:rPr>
        <w:t>マーキング及び文書が管轄の国家当局の検査に供されることを確保するための規定を設けるべきである。また、輸入業者は、該当する場合、それらの製品について製品パスポートが利用可能であることを保証するための規定も設けられるべきである。</w:t>
      </w:r>
    </w:p>
    <w:p w14:paraId="3D931011" w14:textId="77777777" w:rsidR="0038775E" w:rsidRDefault="00877B9C" w:rsidP="002041D4">
      <w:pPr>
        <w:pStyle w:val="ManualConsidrant"/>
        <w:wordWrap w:val="0"/>
        <w:rPr>
          <w:noProof/>
          <w:szCs w:val="24"/>
          <w:lang w:eastAsia="ja-JP"/>
        </w:rPr>
      </w:pPr>
      <w:r w:rsidRPr="004F5E59">
        <w:rPr>
          <w:lang w:eastAsia="ja-JP"/>
        </w:rPr>
        <w:t>(52)</w:t>
      </w:r>
      <w:r w:rsidRPr="004F5E59">
        <w:rPr>
          <w:lang w:eastAsia="ja-JP"/>
        </w:rPr>
        <w:tab/>
      </w:r>
      <w:r w:rsidR="23DF1179">
        <w:rPr>
          <w:noProof/>
          <w:lang w:eastAsia="ja-JP"/>
        </w:rPr>
        <w:t>製品を上市する場合、すべての輸入者は、製品にその名称、登録商標または登録商標、および郵便住所、</w:t>
      </w:r>
      <w:r w:rsidR="000D4A46">
        <w:rPr>
          <w:noProof/>
          <w:lang w:eastAsia="ja-JP"/>
        </w:rPr>
        <w:t>可能であれば連絡可能な電子通信手段を</w:t>
      </w:r>
      <w:r w:rsidR="23DF1179">
        <w:rPr>
          <w:noProof/>
          <w:lang w:eastAsia="ja-JP"/>
        </w:rPr>
        <w:t>表示すべきである。製品の大きさによってそのような表示ができない場合には、例外を設けるべきである。これには、輸入者が製品に名前と住所を記載するために包装を開けなければならない場合や、製品のサイズが小さすぎてこの情報を貼ることができない場合などが含まれる。</w:t>
      </w:r>
    </w:p>
    <w:p w14:paraId="4DDC2ED2" w14:textId="37F6FCAB" w:rsidR="0038775E" w:rsidRDefault="00877B9C" w:rsidP="002041D4">
      <w:pPr>
        <w:pStyle w:val="ManualConsidrant"/>
        <w:wordWrap w:val="0"/>
        <w:rPr>
          <w:noProof/>
          <w:lang w:eastAsia="ja-JP"/>
        </w:rPr>
      </w:pPr>
      <w:r w:rsidRPr="004F5E59">
        <w:rPr>
          <w:lang w:eastAsia="ja-JP"/>
        </w:rPr>
        <w:t>(53)</w:t>
      </w:r>
      <w:r w:rsidRPr="004F5E59">
        <w:rPr>
          <w:lang w:eastAsia="ja-JP"/>
        </w:rPr>
        <w:tab/>
      </w:r>
      <w:r w:rsidR="23DF1179">
        <w:rPr>
          <w:noProof/>
          <w:lang w:eastAsia="ja-JP"/>
        </w:rPr>
        <w:t>販売業者は、製造業者または輸入業者によって市場に置かれた後、製品を利用可能にするため、適用される</w:t>
      </w:r>
      <w:r w:rsidR="23DF1179" w:rsidRPr="23DF1179">
        <w:rPr>
          <w:noProof/>
          <w:lang w:val="en-IE" w:eastAsia="fr-BE"/>
        </w:rPr>
        <w:t>エコデザイン</w:t>
      </w:r>
      <w:r w:rsidR="23DF1179">
        <w:rPr>
          <w:noProof/>
          <w:lang w:eastAsia="ja-JP"/>
        </w:rPr>
        <w:t>要件に関連して、十分な注意を払って行動する必要があ</w:t>
      </w:r>
      <w:r w:rsidR="002041D4">
        <w:rPr>
          <w:noProof/>
          <w:lang w:eastAsia="ja-JP"/>
        </w:rPr>
        <w:t>る</w:t>
      </w:r>
      <w:r w:rsidR="23DF1179">
        <w:rPr>
          <w:noProof/>
          <w:lang w:eastAsia="ja-JP"/>
        </w:rPr>
        <w:t>。また、販売業者は、製品の取り扱いが本規則または本規則に従って採択された委任法の要求事項への準拠に悪影響を及ぼさないようにしなければ</w:t>
      </w:r>
      <w:r w:rsidR="002041D4">
        <w:rPr>
          <w:noProof/>
          <w:lang w:eastAsia="ja-JP"/>
        </w:rPr>
        <w:t>ならない</w:t>
      </w:r>
      <w:r w:rsidR="23DF1179">
        <w:rPr>
          <w:noProof/>
          <w:lang w:eastAsia="ja-JP"/>
        </w:rPr>
        <w:t>。</w:t>
      </w:r>
      <w:r w:rsidR="23DF1179">
        <w:rPr>
          <w:noProof/>
          <w:lang w:eastAsia="ja-JP"/>
        </w:rPr>
        <w:t xml:space="preserve"> </w:t>
      </w:r>
    </w:p>
    <w:p w14:paraId="12FD158B" w14:textId="77174E35" w:rsidR="0038775E" w:rsidRDefault="00877B9C" w:rsidP="002041D4">
      <w:pPr>
        <w:pStyle w:val="ManualConsidrant"/>
        <w:wordWrap w:val="0"/>
        <w:rPr>
          <w:noProof/>
          <w:lang w:eastAsia="ja-JP"/>
        </w:rPr>
      </w:pPr>
      <w:r w:rsidRPr="004F5E59">
        <w:rPr>
          <w:lang w:eastAsia="ja-JP"/>
        </w:rPr>
        <w:t>(54)</w:t>
      </w:r>
      <w:r w:rsidRPr="004F5E59">
        <w:rPr>
          <w:lang w:eastAsia="ja-JP"/>
        </w:rPr>
        <w:tab/>
      </w:r>
      <w:r w:rsidR="23DF1179">
        <w:rPr>
          <w:noProof/>
          <w:lang w:eastAsia="ja-JP"/>
        </w:rPr>
        <w:t>流通業者および輸入業者は、市場に近く、製品のコンプライアンスを確保する上で重要な役割を担っているため、管轄の国家当局が実施する市場監視業務に関与すべきであり、当該製品に関連するすべての必要な情報を当局に提供するなど、積極的に参加する準備をしなければ</w:t>
      </w:r>
      <w:r w:rsidR="002041D4">
        <w:rPr>
          <w:noProof/>
          <w:lang w:eastAsia="ja-JP"/>
        </w:rPr>
        <w:t>ならない</w:t>
      </w:r>
      <w:r w:rsidR="23DF1179">
        <w:rPr>
          <w:noProof/>
          <w:lang w:eastAsia="ja-JP"/>
        </w:rPr>
        <w:t>。</w:t>
      </w:r>
      <w:r w:rsidR="23DF1179">
        <w:rPr>
          <w:noProof/>
          <w:lang w:eastAsia="ja-JP"/>
        </w:rPr>
        <w:t xml:space="preserve"> </w:t>
      </w:r>
    </w:p>
    <w:p w14:paraId="12303484" w14:textId="77777777" w:rsidR="0038775E" w:rsidRDefault="00877B9C" w:rsidP="002041D4">
      <w:pPr>
        <w:pStyle w:val="ManualConsidrant"/>
        <w:wordWrap w:val="0"/>
        <w:rPr>
          <w:noProof/>
          <w:lang w:eastAsia="ja-JP"/>
        </w:rPr>
      </w:pPr>
      <w:r w:rsidRPr="004F5E59">
        <w:rPr>
          <w:lang w:eastAsia="ja-JP"/>
        </w:rPr>
        <w:t>(55)</w:t>
      </w:r>
      <w:r w:rsidRPr="004F5E59">
        <w:rPr>
          <w:lang w:eastAsia="ja-JP"/>
        </w:rPr>
        <w:tab/>
      </w:r>
      <w:r w:rsidR="23DF1179">
        <w:rPr>
          <w:noProof/>
          <w:lang w:eastAsia="ja-JP"/>
        </w:rPr>
        <w:t>販売店は、製品を販売、レンタルまたは購入のために提供し、あるいは顧客または設置者に製品を展示しているので、販売店は、遠隔販売の場合を含め、顧客が本規則に基づく要求事項に効果的にアクセスできるようにすることが必要である。特に、本規則は、販売店に対し、適用される要件に沿って、製品パスポートが顧客にとってアクセス可能であり、ラベルが明確に表示されていることを保証することを求めるべきである。販売店は、製品が貸与されるたびに、この義務を遵守すべきである。</w:t>
      </w:r>
      <w:r w:rsidR="23DF1179">
        <w:rPr>
          <w:noProof/>
          <w:lang w:eastAsia="ja-JP"/>
        </w:rPr>
        <w:t xml:space="preserve">  </w:t>
      </w:r>
    </w:p>
    <w:p w14:paraId="5E5B5636" w14:textId="77777777" w:rsidR="0038775E" w:rsidRDefault="00877B9C" w:rsidP="002041D4">
      <w:pPr>
        <w:pStyle w:val="ManualConsidrant"/>
        <w:wordWrap w:val="0"/>
        <w:rPr>
          <w:noProof/>
          <w:lang w:eastAsia="ja-JP"/>
        </w:rPr>
      </w:pPr>
      <w:r w:rsidRPr="004F5E59">
        <w:rPr>
          <w:lang w:eastAsia="ja-JP"/>
        </w:rPr>
        <w:t>(56)</w:t>
      </w:r>
      <w:r w:rsidRPr="004F5E59">
        <w:rPr>
          <w:lang w:eastAsia="ja-JP"/>
        </w:rPr>
        <w:tab/>
      </w:r>
      <w:r w:rsidR="23DF1179">
        <w:rPr>
          <w:noProof/>
          <w:lang w:eastAsia="ja-JP"/>
        </w:rPr>
        <w:t>より持続可能な製品を選択しやすくするために、ラベルは、必要な場合には、明確に見えるように、識別可能な方法で表示されるべきである。ラベルに記載されたブランド名や型番を読まなくても、その製品のラベルであることがわかるようにする。ラベルは、陳列された製品を閲覧しているお客様の注意を引くものでなければならない。購入を検討している顧客がラベルにアクセ</w:t>
      </w:r>
      <w:r w:rsidR="23DF1179">
        <w:rPr>
          <w:noProof/>
          <w:lang w:eastAsia="ja-JP"/>
        </w:rPr>
        <w:lastRenderedPageBreak/>
        <w:t>スできるようにするため、販売店と責任ある経済事業者の双方は、オンラインを含む遠隔販売の場合にも、製品を宣伝する際にはラベルを表示する必要がある。</w:t>
      </w:r>
      <w:r w:rsidR="23DF1179">
        <w:rPr>
          <w:noProof/>
          <w:lang w:eastAsia="ja-JP"/>
        </w:rPr>
        <w:t xml:space="preserve">    </w:t>
      </w:r>
    </w:p>
    <w:p w14:paraId="7107408A" w14:textId="77777777" w:rsidR="0038775E" w:rsidRDefault="00877B9C" w:rsidP="002041D4">
      <w:pPr>
        <w:pStyle w:val="ManualConsidrant"/>
        <w:wordWrap w:val="0"/>
        <w:rPr>
          <w:noProof/>
          <w:lang w:eastAsia="ja-JP"/>
        </w:rPr>
      </w:pPr>
      <w:r w:rsidRPr="004F5E59">
        <w:rPr>
          <w:lang w:eastAsia="ja-JP"/>
        </w:rPr>
        <w:t>(57)</w:t>
      </w:r>
      <w:r w:rsidRPr="004F5E59">
        <w:rPr>
          <w:lang w:eastAsia="ja-JP"/>
        </w:rPr>
        <w:tab/>
      </w:r>
      <w:r w:rsidR="23DF1179">
        <w:rPr>
          <w:noProof/>
          <w:lang w:eastAsia="ja-JP"/>
        </w:rPr>
        <w:t>本規則に従って採択された委任法の対象となる製品を、輸入業者または販売業者の自己の名称または商標の下で市場に出すか、または本規則または関連する委任法への準拠に影響を与える可能性がある方法で当該製品を変更する輸入業者または販売業者は、製造者と見なされ、製造者の義務を負うべきである。</w:t>
      </w:r>
    </w:p>
    <w:p w14:paraId="3E43CFB1" w14:textId="1F2C0E47" w:rsidR="0038775E" w:rsidRDefault="00877B9C" w:rsidP="002041D4">
      <w:pPr>
        <w:pStyle w:val="ManualConsidrant"/>
        <w:wordWrap w:val="0"/>
        <w:rPr>
          <w:noProof/>
          <w:lang w:eastAsia="ja-JP"/>
        </w:rPr>
      </w:pPr>
      <w:r w:rsidRPr="004F5E59">
        <w:rPr>
          <w:lang w:eastAsia="ja-JP"/>
        </w:rPr>
        <w:t>(58)</w:t>
      </w:r>
      <w:r w:rsidRPr="004F5E59">
        <w:rPr>
          <w:lang w:eastAsia="ja-JP"/>
        </w:rPr>
        <w:tab/>
      </w:r>
      <w:r w:rsidR="003641F6" w:rsidRPr="00DF5C23">
        <w:rPr>
          <w:noProof/>
          <w:lang w:eastAsia="ja-JP"/>
        </w:rPr>
        <w:t>オンラインマーケットプレイスは、サプライチェーンにおいて重要な役割を果たし</w:t>
      </w:r>
      <w:r w:rsidR="00C0149D" w:rsidRPr="00DF5C23">
        <w:rPr>
          <w:noProof/>
          <w:lang w:eastAsia="ja-JP"/>
        </w:rPr>
        <w:t>、</w:t>
      </w:r>
      <w:r w:rsidR="003641F6" w:rsidRPr="00DF5C23">
        <w:rPr>
          <w:noProof/>
          <w:lang w:eastAsia="ja-JP"/>
        </w:rPr>
        <w:t>経済事業者が多数の</w:t>
      </w:r>
      <w:r w:rsidR="007614DA" w:rsidRPr="00DF5C23">
        <w:rPr>
          <w:noProof/>
          <w:lang w:eastAsia="ja-JP"/>
        </w:rPr>
        <w:t>顧客と接触することを</w:t>
      </w:r>
      <w:r w:rsidR="003641F6" w:rsidRPr="00DF5C23">
        <w:rPr>
          <w:noProof/>
          <w:lang w:eastAsia="ja-JP"/>
        </w:rPr>
        <w:t>可能にしている。経済</w:t>
      </w:r>
      <w:r w:rsidR="003D07B1" w:rsidRPr="00DF5C23">
        <w:rPr>
          <w:noProof/>
          <w:lang w:eastAsia="ja-JP"/>
        </w:rPr>
        <w:t>事業</w:t>
      </w:r>
      <w:r w:rsidR="003641F6" w:rsidRPr="00DF5C23">
        <w:rPr>
          <w:noProof/>
          <w:lang w:eastAsia="ja-JP"/>
        </w:rPr>
        <w:t>者と</w:t>
      </w:r>
      <w:r w:rsidR="003D07B1" w:rsidRPr="00DF5C23">
        <w:rPr>
          <w:noProof/>
          <w:lang w:eastAsia="ja-JP"/>
        </w:rPr>
        <w:t>顧客との</w:t>
      </w:r>
      <w:r w:rsidR="003641F6" w:rsidRPr="00DF5C23">
        <w:rPr>
          <w:noProof/>
          <w:lang w:eastAsia="ja-JP"/>
        </w:rPr>
        <w:t>間で製品の販売を仲介する重要な役割を果たすことから、オンラインマーケットプレイスは、</w:t>
      </w:r>
      <w:r w:rsidR="000A1AC3" w:rsidRPr="00DF5C23">
        <w:rPr>
          <w:noProof/>
          <w:lang w:val="en-IE" w:eastAsia="fr-BE"/>
        </w:rPr>
        <w:t>エコデザイン</w:t>
      </w:r>
      <w:r w:rsidR="003641F6" w:rsidRPr="00DF5C23">
        <w:rPr>
          <w:noProof/>
          <w:lang w:eastAsia="ja-JP"/>
        </w:rPr>
        <w:t>要件に適合しない製品の販売に</w:t>
      </w:r>
      <w:r w:rsidR="007614DA" w:rsidRPr="00DF5C23">
        <w:rPr>
          <w:noProof/>
          <w:lang w:eastAsia="ja-JP"/>
        </w:rPr>
        <w:t>対処する</w:t>
      </w:r>
      <w:r w:rsidR="003641F6" w:rsidRPr="00DF5C23">
        <w:rPr>
          <w:noProof/>
          <w:lang w:eastAsia="ja-JP"/>
        </w:rPr>
        <w:t>責任を負い、市場監視当局と協力する必要があ</w:t>
      </w:r>
      <w:r w:rsidR="002041D4">
        <w:rPr>
          <w:noProof/>
          <w:lang w:eastAsia="ja-JP"/>
        </w:rPr>
        <w:t>る</w:t>
      </w:r>
      <w:r w:rsidR="003641F6" w:rsidRPr="00DF5C23">
        <w:rPr>
          <w:noProof/>
          <w:lang w:eastAsia="ja-JP"/>
        </w:rPr>
        <w:t>。欧州議会および理事会の指令</w:t>
      </w:r>
      <w:r w:rsidR="003641F6" w:rsidRPr="00DF5C23">
        <w:rPr>
          <w:noProof/>
          <w:lang w:eastAsia="ja-JP"/>
        </w:rPr>
        <w:t>2000/31/EC</w:t>
      </w:r>
      <w:r w:rsidR="003641F6" w:rsidRPr="00DF5C23">
        <w:rPr>
          <w:rStyle w:val="afa"/>
          <w:noProof/>
        </w:rPr>
        <w:footnoteReference w:id="73"/>
      </w:r>
      <w:r w:rsidR="003641F6" w:rsidRPr="00DF5C23">
        <w:rPr>
          <w:noProof/>
          <w:lang w:eastAsia="ja-JP"/>
        </w:rPr>
        <w:t xml:space="preserve"> </w:t>
      </w:r>
      <w:r w:rsidR="003641F6" w:rsidRPr="00DF5C23">
        <w:rPr>
          <w:noProof/>
          <w:lang w:eastAsia="ja-JP"/>
        </w:rPr>
        <w:t>は、電子商取引の一般的な枠組みを提供し、オンラインプラットフォームに対する一定の義務を定めて</w:t>
      </w:r>
      <w:r w:rsidR="002041D4">
        <w:rPr>
          <w:noProof/>
          <w:lang w:eastAsia="ja-JP"/>
        </w:rPr>
        <w:t>いる。</w:t>
      </w:r>
      <w:r w:rsidR="003641F6" w:rsidRPr="00DF5C23">
        <w:rPr>
          <w:noProof/>
          <w:lang w:eastAsia="ja-JP"/>
        </w:rPr>
        <w:t>デジタルサービスのための単一市場に関する規則（デジタルサービス法）および指令</w:t>
      </w:r>
      <w:r w:rsidR="003641F6" w:rsidRPr="00DF5C23">
        <w:rPr>
          <w:noProof/>
          <w:lang w:eastAsia="ja-JP"/>
        </w:rPr>
        <w:t>2000/31/EC</w:t>
      </w:r>
      <w:r w:rsidR="003641F6" w:rsidRPr="00DF5C23">
        <w:rPr>
          <w:noProof/>
          <w:lang w:eastAsia="ja-JP"/>
        </w:rPr>
        <w:t>の改正</w:t>
      </w:r>
      <w:r w:rsidR="003641F6" w:rsidRPr="00DF5C23">
        <w:rPr>
          <w:rStyle w:val="afa"/>
          <w:noProof/>
        </w:rPr>
        <w:footnoteReference w:id="74"/>
      </w:r>
      <w:r w:rsidR="000A1AC3" w:rsidRPr="00DF5C23">
        <w:rPr>
          <w:noProof/>
          <w:lang w:val="en-IE" w:eastAsia="fr-BE"/>
        </w:rPr>
        <w:t xml:space="preserve"> </w:t>
      </w:r>
      <w:r w:rsidR="000A1AC3" w:rsidRPr="00DF5C23">
        <w:rPr>
          <w:noProof/>
          <w:lang w:val="en-IE" w:eastAsia="fr-BE"/>
        </w:rPr>
        <w:t>は、エコデザイン</w:t>
      </w:r>
      <w:r w:rsidR="003641F6" w:rsidRPr="00DF5C23">
        <w:rPr>
          <w:noProof/>
          <w:lang w:eastAsia="ja-JP"/>
        </w:rPr>
        <w:t>要件に適合しない製品を含む違法コンテンツに関するオンライン仲介サービスのプロバイダーの責任と説明責任を規制して</w:t>
      </w:r>
      <w:r w:rsidR="002041D4">
        <w:rPr>
          <w:noProof/>
          <w:lang w:eastAsia="ja-JP"/>
        </w:rPr>
        <w:t>いる。</w:t>
      </w:r>
      <w:r w:rsidR="003641F6" w:rsidRPr="00DF5C23">
        <w:rPr>
          <w:noProof/>
          <w:lang w:eastAsia="ja-JP"/>
        </w:rPr>
        <w:t>この一般的な枠組みに基づき、非適合製品のオンライン販売に効果的に</w:t>
      </w:r>
      <w:r w:rsidR="007614DA" w:rsidRPr="00DF5C23">
        <w:rPr>
          <w:noProof/>
          <w:lang w:eastAsia="ja-JP"/>
        </w:rPr>
        <w:t>対処</w:t>
      </w:r>
      <w:r w:rsidR="003641F6" w:rsidRPr="00DF5C23">
        <w:rPr>
          <w:noProof/>
          <w:lang w:eastAsia="ja-JP"/>
        </w:rPr>
        <w:t>するための具体的な要件を導入する必要がある。</w:t>
      </w:r>
    </w:p>
    <w:p w14:paraId="3036C422" w14:textId="5B23C4D7" w:rsidR="0038775E" w:rsidRDefault="00877B9C" w:rsidP="002041D4">
      <w:pPr>
        <w:pStyle w:val="ManualConsidrant"/>
        <w:wordWrap w:val="0"/>
        <w:rPr>
          <w:noProof/>
          <w:lang w:eastAsia="ja-JP"/>
        </w:rPr>
      </w:pPr>
      <w:r w:rsidRPr="004F5E59">
        <w:rPr>
          <w:lang w:eastAsia="ja-JP"/>
        </w:rPr>
        <w:t>(59)</w:t>
      </w:r>
      <w:r w:rsidRPr="004F5E59">
        <w:rPr>
          <w:lang w:eastAsia="ja-JP"/>
        </w:rPr>
        <w:tab/>
      </w:r>
      <w:r w:rsidR="002C00A7" w:rsidRPr="00DF5C23">
        <w:rPr>
          <w:noProof/>
          <w:lang w:eastAsia="ja-JP"/>
        </w:rPr>
        <w:t>オンラインマーケットプレイスは、市場監視当局と</w:t>
      </w:r>
      <w:r w:rsidR="003641F6" w:rsidRPr="00DF5C23">
        <w:rPr>
          <w:noProof/>
          <w:lang w:eastAsia="ja-JP"/>
        </w:rPr>
        <w:t>緊密に協力することが不可欠である。</w:t>
      </w:r>
      <w:r w:rsidR="00B54BA8" w:rsidRPr="00DF5C23">
        <w:rPr>
          <w:noProof/>
          <w:lang w:val="en-IE" w:eastAsia="ja-JP"/>
        </w:rPr>
        <w:t>欧州議会及び理事会</w:t>
      </w:r>
      <w:r w:rsidR="002C00A7" w:rsidRPr="00DF5C23">
        <w:rPr>
          <w:noProof/>
          <w:lang w:eastAsia="ja-JP"/>
        </w:rPr>
        <w:t>規則（</w:t>
      </w:r>
      <w:r w:rsidR="002C00A7" w:rsidRPr="00DF5C23">
        <w:rPr>
          <w:noProof/>
          <w:lang w:eastAsia="ja-JP"/>
        </w:rPr>
        <w:t>EU</w:t>
      </w:r>
      <w:r w:rsidR="002C00A7" w:rsidRPr="00DF5C23">
        <w:rPr>
          <w:noProof/>
          <w:lang w:eastAsia="ja-JP"/>
        </w:rPr>
        <w:t>）</w:t>
      </w:r>
      <w:r w:rsidR="002C00A7" w:rsidRPr="00DF5C23">
        <w:rPr>
          <w:noProof/>
          <w:lang w:eastAsia="ja-JP"/>
        </w:rPr>
        <w:t>2019/1020</w:t>
      </w:r>
      <w:r w:rsidR="00B54BA8" w:rsidRPr="00DF5C23">
        <w:rPr>
          <w:rStyle w:val="afa"/>
          <w:noProof/>
          <w:lang w:val="en-IE"/>
        </w:rPr>
        <w:footnoteReference w:id="75"/>
      </w:r>
      <w:r w:rsidR="002C00A7" w:rsidRPr="00DF5C23">
        <w:rPr>
          <w:noProof/>
          <w:lang w:eastAsia="ja-JP"/>
        </w:rPr>
        <w:t xml:space="preserve"> </w:t>
      </w:r>
      <w:r w:rsidR="002C00A7" w:rsidRPr="00DF5C23">
        <w:rPr>
          <w:noProof/>
          <w:lang w:eastAsia="ja-JP"/>
        </w:rPr>
        <w:t>の第</w:t>
      </w:r>
      <w:r w:rsidR="002C00A7" w:rsidRPr="00DF5C23">
        <w:rPr>
          <w:noProof/>
          <w:lang w:eastAsia="ja-JP"/>
        </w:rPr>
        <w:t>7</w:t>
      </w:r>
      <w:r w:rsidR="002C00A7" w:rsidRPr="00DF5C23">
        <w:rPr>
          <w:noProof/>
          <w:lang w:eastAsia="ja-JP"/>
        </w:rPr>
        <w:t>条</w:t>
      </w:r>
      <w:r w:rsidR="002C00A7" w:rsidRPr="00DF5C23">
        <w:rPr>
          <w:noProof/>
          <w:lang w:eastAsia="ja-JP"/>
        </w:rPr>
        <w:t>2</w:t>
      </w:r>
      <w:r w:rsidR="002C00A7" w:rsidRPr="00DF5C23">
        <w:rPr>
          <w:noProof/>
          <w:lang w:eastAsia="ja-JP"/>
        </w:rPr>
        <w:t>項により、</w:t>
      </w:r>
      <w:r w:rsidR="000A1AC3" w:rsidRPr="00DF5C23">
        <w:rPr>
          <w:noProof/>
          <w:lang w:val="en-IE" w:eastAsia="fr-BE"/>
        </w:rPr>
        <w:t>エコデザイン</w:t>
      </w:r>
      <w:r w:rsidR="002C00A7" w:rsidRPr="00DF5C23">
        <w:rPr>
          <w:noProof/>
          <w:lang w:eastAsia="ja-JP"/>
        </w:rPr>
        <w:t>要件が設定されている製品を含む同規則の対象製品に関して、情報社会サービス事業者に市場監視当局との協力義務が課せられている。非対応製品に関連する違法コンテンツに取り組むための協力をさらに向上させるため、本規則は、</w:t>
      </w:r>
      <w:r w:rsidR="00265409" w:rsidRPr="00DF5C23">
        <w:rPr>
          <w:noProof/>
          <w:lang w:eastAsia="ja-JP"/>
        </w:rPr>
        <w:t>オンラインマーケットプレイスに関して、</w:t>
      </w:r>
      <w:r w:rsidR="003641F6" w:rsidRPr="00DF5C23">
        <w:rPr>
          <w:noProof/>
          <w:lang w:eastAsia="ja-JP"/>
        </w:rPr>
        <w:t>この協力を実践</w:t>
      </w:r>
      <w:r w:rsidR="00C0149D" w:rsidRPr="00DF5C23">
        <w:rPr>
          <w:noProof/>
          <w:lang w:eastAsia="ja-JP"/>
        </w:rPr>
        <w:t>するための</w:t>
      </w:r>
      <w:r w:rsidR="002C00A7" w:rsidRPr="00DF5C23">
        <w:rPr>
          <w:noProof/>
          <w:lang w:eastAsia="ja-JP"/>
        </w:rPr>
        <w:t>具体的な義務を含めるべきである。例えば、市場監視当局は、オンラインで販売される非準拠製品を特定する</w:t>
      </w:r>
      <w:r w:rsidR="003641F6" w:rsidRPr="00DF5C23">
        <w:rPr>
          <w:noProof/>
          <w:lang w:eastAsia="ja-JP"/>
        </w:rPr>
        <w:t>ために、</w:t>
      </w:r>
      <w:r w:rsidR="002C00A7" w:rsidRPr="00DF5C23">
        <w:rPr>
          <w:noProof/>
          <w:lang w:eastAsia="ja-JP"/>
        </w:rPr>
        <w:t>オンライン市場監視に使用する技術的ツールを常に改善して</w:t>
      </w:r>
      <w:r w:rsidR="002041D4">
        <w:rPr>
          <w:noProof/>
          <w:lang w:eastAsia="ja-JP"/>
        </w:rPr>
        <w:t>いる。</w:t>
      </w:r>
      <w:r w:rsidR="002C00A7" w:rsidRPr="00DF5C23">
        <w:rPr>
          <w:noProof/>
          <w:lang w:eastAsia="ja-JP"/>
        </w:rPr>
        <w:t>これらのツールを運用するために、オンラインマーケットプレイスは、そのインターフェースへのアクセスを許可する必要があ</w:t>
      </w:r>
      <w:r w:rsidR="002041D4">
        <w:rPr>
          <w:noProof/>
          <w:lang w:eastAsia="ja-JP"/>
        </w:rPr>
        <w:t>る</w:t>
      </w:r>
      <w:r w:rsidR="002C00A7" w:rsidRPr="00DF5C23">
        <w:rPr>
          <w:noProof/>
          <w:lang w:eastAsia="ja-JP"/>
        </w:rPr>
        <w:t>。さらに、市場監視当局は、オンラインマーケットプレイスからデータをスクレイピングする必要がある場合もあ</w:t>
      </w:r>
      <w:r w:rsidR="002041D4">
        <w:rPr>
          <w:noProof/>
          <w:lang w:eastAsia="ja-JP"/>
        </w:rPr>
        <w:t>る</w:t>
      </w:r>
      <w:r w:rsidR="002C00A7" w:rsidRPr="00DF5C23">
        <w:rPr>
          <w:noProof/>
          <w:lang w:eastAsia="ja-JP"/>
        </w:rPr>
        <w:t>。</w:t>
      </w:r>
      <w:r w:rsidR="002C00A7" w:rsidRPr="00DF5C23">
        <w:rPr>
          <w:noProof/>
          <w:lang w:eastAsia="ja-JP"/>
        </w:rPr>
        <w:t xml:space="preserve"> </w:t>
      </w:r>
    </w:p>
    <w:p w14:paraId="1B9B8CA1" w14:textId="612680D2" w:rsidR="0038775E" w:rsidRDefault="00877B9C" w:rsidP="002041D4">
      <w:pPr>
        <w:pStyle w:val="ManualConsidrant"/>
        <w:wordWrap w:val="0"/>
        <w:rPr>
          <w:noProof/>
          <w:lang w:eastAsia="ja-JP"/>
        </w:rPr>
      </w:pPr>
      <w:r w:rsidRPr="004F5E59">
        <w:rPr>
          <w:lang w:eastAsia="ja-JP"/>
        </w:rPr>
        <w:t>(60)</w:t>
      </w:r>
      <w:r w:rsidRPr="004F5E59">
        <w:rPr>
          <w:lang w:eastAsia="ja-JP"/>
        </w:rPr>
        <w:tab/>
      </w:r>
      <w:r w:rsidR="23DF1179">
        <w:rPr>
          <w:noProof/>
          <w:lang w:eastAsia="ja-JP"/>
        </w:rPr>
        <w:t>規則（</w:t>
      </w:r>
      <w:r w:rsidR="23DF1179">
        <w:rPr>
          <w:noProof/>
          <w:lang w:eastAsia="ja-JP"/>
        </w:rPr>
        <w:t>EU</w:t>
      </w:r>
      <w:r w:rsidR="23DF1179">
        <w:rPr>
          <w:noProof/>
          <w:lang w:eastAsia="ja-JP"/>
        </w:rPr>
        <w:t>）</w:t>
      </w:r>
      <w:r w:rsidR="23DF1179">
        <w:rPr>
          <w:noProof/>
          <w:lang w:eastAsia="ja-JP"/>
        </w:rPr>
        <w:t>2019/1020</w:t>
      </w:r>
      <w:r w:rsidR="23DF1179">
        <w:rPr>
          <w:noProof/>
          <w:lang w:eastAsia="ja-JP"/>
        </w:rPr>
        <w:t>の第</w:t>
      </w:r>
      <w:r w:rsidR="23DF1179">
        <w:rPr>
          <w:noProof/>
          <w:lang w:eastAsia="ja-JP"/>
        </w:rPr>
        <w:t>14</w:t>
      </w:r>
      <w:r w:rsidR="23DF1179">
        <w:rPr>
          <w:noProof/>
          <w:lang w:eastAsia="ja-JP"/>
        </w:rPr>
        <w:t>条（</w:t>
      </w:r>
      <w:r w:rsidR="23DF1179">
        <w:rPr>
          <w:noProof/>
          <w:lang w:eastAsia="ja-JP"/>
        </w:rPr>
        <w:t>4</w:t>
      </w:r>
      <w:r w:rsidR="23DF1179">
        <w:rPr>
          <w:noProof/>
          <w:lang w:eastAsia="ja-JP"/>
        </w:rPr>
        <w:t>）は、重大なリスクを排除するために他に有効な手段がない場合、オンラインインターフェースから非適合製品に言及するコンテンツの削除を要求する、またはエンドユーザーがオンラインインターフェースにアクセスする際に警告を明示することを要求する権限を市場</w:t>
      </w:r>
      <w:r w:rsidR="23DF1179">
        <w:rPr>
          <w:noProof/>
          <w:lang w:eastAsia="ja-JP"/>
        </w:rPr>
        <w:lastRenderedPageBreak/>
        <w:t>監視当局に付与して</w:t>
      </w:r>
      <w:r w:rsidR="002041D4">
        <w:rPr>
          <w:noProof/>
          <w:lang w:eastAsia="ja-JP"/>
        </w:rPr>
        <w:t>いる。</w:t>
      </w:r>
      <w:r w:rsidR="23DF1179">
        <w:rPr>
          <w:noProof/>
          <w:lang w:eastAsia="ja-JP"/>
        </w:rPr>
        <w:t>規則（</w:t>
      </w:r>
      <w:r w:rsidR="23DF1179">
        <w:rPr>
          <w:noProof/>
          <w:lang w:eastAsia="ja-JP"/>
        </w:rPr>
        <w:t>EU</w:t>
      </w:r>
      <w:r w:rsidR="23DF1179">
        <w:rPr>
          <w:noProof/>
          <w:lang w:eastAsia="ja-JP"/>
        </w:rPr>
        <w:t>）</w:t>
      </w:r>
      <w:r w:rsidR="23DF1179">
        <w:rPr>
          <w:noProof/>
          <w:lang w:eastAsia="ja-JP"/>
        </w:rPr>
        <w:t>2019/1020</w:t>
      </w:r>
      <w:r w:rsidR="23DF1179">
        <w:rPr>
          <w:noProof/>
          <w:lang w:eastAsia="ja-JP"/>
        </w:rPr>
        <w:t>の第</w:t>
      </w:r>
      <w:r w:rsidR="23DF1179">
        <w:rPr>
          <w:noProof/>
          <w:lang w:eastAsia="ja-JP"/>
        </w:rPr>
        <w:t>14</w:t>
      </w:r>
      <w:r w:rsidR="23DF1179">
        <w:rPr>
          <w:noProof/>
          <w:lang w:eastAsia="ja-JP"/>
        </w:rPr>
        <w:t>条（</w:t>
      </w:r>
      <w:r w:rsidR="23DF1179">
        <w:rPr>
          <w:noProof/>
          <w:lang w:eastAsia="ja-JP"/>
        </w:rPr>
        <w:t>4</w:t>
      </w:r>
      <w:r w:rsidR="23DF1179">
        <w:rPr>
          <w:noProof/>
          <w:lang w:eastAsia="ja-JP"/>
        </w:rPr>
        <w:t>）により市場監視当局に委託された権限も、本規則に適用される。ただし、本規則に基づく効果的な市場監視のため、また、非適合製品が連合市場に存在することを避けるため、この権限は、深刻ではないリスクを提示する製品を含め、すべての必要かつ比例する場合に適用されるべきである。この権限は、</w:t>
      </w:r>
      <w:r w:rsidR="23DF1179">
        <w:rPr>
          <w:noProof/>
          <w:lang w:eastAsia="ja-JP"/>
        </w:rPr>
        <w:t>[</w:t>
      </w:r>
      <w:r w:rsidR="23DF1179">
        <w:rPr>
          <w:noProof/>
          <w:lang w:eastAsia="ja-JP"/>
        </w:rPr>
        <w:t>デジタルサービス法</w:t>
      </w:r>
      <w:r w:rsidR="23DF1179">
        <w:rPr>
          <w:noProof/>
          <w:lang w:eastAsia="ja-JP"/>
        </w:rPr>
        <w:t>]</w:t>
      </w:r>
      <w:r w:rsidR="23DF1179">
        <w:rPr>
          <w:noProof/>
          <w:lang w:eastAsia="ja-JP"/>
        </w:rPr>
        <w:t>の</w:t>
      </w:r>
      <w:r w:rsidR="23DF1179">
        <w:rPr>
          <w:noProof/>
          <w:lang w:eastAsia="ja-JP"/>
        </w:rPr>
        <w:t>[</w:t>
      </w:r>
      <w:r w:rsidR="23DF1179">
        <w:rPr>
          <w:noProof/>
          <w:lang w:eastAsia="ja-JP"/>
        </w:rPr>
        <w:t>第</w:t>
      </w:r>
      <w:r w:rsidR="23DF1179">
        <w:rPr>
          <w:noProof/>
          <w:lang w:eastAsia="ja-JP"/>
        </w:rPr>
        <w:t>8</w:t>
      </w:r>
      <w:r w:rsidR="23DF1179">
        <w:rPr>
          <w:noProof/>
          <w:lang w:eastAsia="ja-JP"/>
        </w:rPr>
        <w:t>条</w:t>
      </w:r>
      <w:r w:rsidR="23DF1179">
        <w:rPr>
          <w:noProof/>
          <w:lang w:eastAsia="ja-JP"/>
        </w:rPr>
        <w:t>]</w:t>
      </w:r>
      <w:r w:rsidR="23DF1179">
        <w:rPr>
          <w:noProof/>
          <w:lang w:eastAsia="ja-JP"/>
        </w:rPr>
        <w:t>に従い行使されるべきである。</w:t>
      </w:r>
    </w:p>
    <w:p w14:paraId="396EB549" w14:textId="77777777" w:rsidR="0038775E" w:rsidRDefault="00877B9C" w:rsidP="002041D4">
      <w:pPr>
        <w:pStyle w:val="ManualConsidrant"/>
        <w:wordWrap w:val="0"/>
        <w:rPr>
          <w:noProof/>
          <w:lang w:eastAsia="ja-JP"/>
        </w:rPr>
      </w:pPr>
      <w:r w:rsidRPr="004F5E59">
        <w:rPr>
          <w:lang w:eastAsia="ja-JP"/>
        </w:rPr>
        <w:t>(61)</w:t>
      </w:r>
      <w:r w:rsidRPr="004F5E59">
        <w:rPr>
          <w:lang w:eastAsia="ja-JP"/>
        </w:rPr>
        <w:tab/>
      </w:r>
      <w:r w:rsidR="23DF1179">
        <w:rPr>
          <w:noProof/>
          <w:lang w:eastAsia="ja-JP"/>
        </w:rPr>
        <w:t>サプライチェーン全体を通して製品のトレーサビリティを確保することは、市場監視当局が、非適合製品を市場に出したり、市場で入手できるようにした経済事業者を追跡する作業を容易にする。したがって、経済事業者は、その取引に関する情報を一定期間保管することを義務付けられるべきである。</w:t>
      </w:r>
      <w:r w:rsidR="23DF1179">
        <w:rPr>
          <w:noProof/>
          <w:lang w:eastAsia="ja-JP"/>
        </w:rPr>
        <w:t xml:space="preserve"> </w:t>
      </w:r>
    </w:p>
    <w:p w14:paraId="672D7F38" w14:textId="77777777" w:rsidR="0038775E" w:rsidRDefault="00877B9C" w:rsidP="002041D4">
      <w:pPr>
        <w:pStyle w:val="ManualConsidrant"/>
        <w:wordWrap w:val="0"/>
        <w:rPr>
          <w:noProof/>
          <w:lang w:eastAsia="ja-JP"/>
        </w:rPr>
      </w:pPr>
      <w:r w:rsidRPr="004F5E59">
        <w:rPr>
          <w:lang w:eastAsia="ja-JP"/>
        </w:rPr>
        <w:t>(62)</w:t>
      </w:r>
      <w:r w:rsidRPr="004F5E59">
        <w:rPr>
          <w:lang w:eastAsia="ja-JP"/>
        </w:rPr>
        <w:tab/>
      </w:r>
      <w:r w:rsidR="23DF1179">
        <w:rPr>
          <w:noProof/>
          <w:lang w:eastAsia="ja-JP"/>
        </w:rPr>
        <w:t>上市された製品の適合性検証を迅速かつ容易にするため、</w:t>
      </w:r>
      <w:r w:rsidR="23DF1179">
        <w:rPr>
          <w:noProof/>
          <w:lang w:eastAsia="ja-JP"/>
        </w:rPr>
        <w:t>TFEU</w:t>
      </w:r>
      <w:r w:rsidR="23DF1179">
        <w:rPr>
          <w:noProof/>
          <w:lang w:eastAsia="ja-JP"/>
        </w:rPr>
        <w:t>第</w:t>
      </w:r>
      <w:r w:rsidR="23DF1179">
        <w:rPr>
          <w:noProof/>
          <w:lang w:eastAsia="ja-JP"/>
        </w:rPr>
        <w:t>290</w:t>
      </w:r>
      <w:r w:rsidR="23DF1179">
        <w:rPr>
          <w:noProof/>
          <w:lang w:eastAsia="ja-JP"/>
        </w:rPr>
        <w:t>条に基づく法律の採択権を欧州委員会に委譲</w:t>
      </w:r>
      <w:r w:rsidR="23DF1179" w:rsidRPr="23DF1179">
        <w:rPr>
          <w:rFonts w:eastAsia="Times New Roman"/>
          <w:noProof/>
          <w:color w:val="000000" w:themeColor="text1"/>
          <w:lang w:val="en-IE" w:eastAsia="fr-BE"/>
        </w:rPr>
        <w:t>し、必要に応じて、</w:t>
      </w:r>
      <w:r w:rsidR="23DF1179">
        <w:rPr>
          <w:noProof/>
          <w:lang w:eastAsia="ja-JP"/>
        </w:rPr>
        <w:t>責任ある経済事業者が技術文書の特定の部分を管轄当局および欧州委員会の双方に対してデジタルで提供することを義務付けることによって、</w:t>
      </w:r>
      <w:r w:rsidR="23DF1179" w:rsidRPr="23DF1179">
        <w:rPr>
          <w:rFonts w:eastAsia="Times New Roman"/>
          <w:noProof/>
          <w:color w:val="000000" w:themeColor="text1"/>
          <w:lang w:val="en-IE" w:eastAsia="fr-BE"/>
        </w:rPr>
        <w:t>本規則を補完</w:t>
      </w:r>
      <w:r w:rsidR="23DF1179">
        <w:rPr>
          <w:noProof/>
          <w:lang w:eastAsia="ja-JP"/>
        </w:rPr>
        <w:t>すべきである。これにより、企業秘密の保護を引き続き保証しつつ、各国の所轄官庁が要求なしにこの情報にアクセスできるようになるはずである。この情報をデジタルで利用可能にする手段として考えられるのは、原則として、製品パスポート、規則（</w:t>
      </w:r>
      <w:r w:rsidR="23DF1179">
        <w:rPr>
          <w:noProof/>
          <w:lang w:eastAsia="ja-JP"/>
        </w:rPr>
        <w:t>EU</w:t>
      </w:r>
      <w:r w:rsidR="23DF1179">
        <w:rPr>
          <w:noProof/>
          <w:lang w:eastAsia="ja-JP"/>
        </w:rPr>
        <w:t>）</w:t>
      </w:r>
      <w:r w:rsidR="23DF1179">
        <w:rPr>
          <w:noProof/>
          <w:lang w:eastAsia="ja-JP"/>
        </w:rPr>
        <w:t>2017/1369</w:t>
      </w:r>
      <w:r w:rsidR="23DF1179">
        <w:rPr>
          <w:noProof/>
          <w:lang w:eastAsia="ja-JP"/>
        </w:rPr>
        <w:t>で言及されている製品データベースのコンプライアンス部分への掲載、または経済事業者のウェブサイトでの掲載である。このような義務は、要求に応じて技術文書の他の部分にアクセスする管轄の国家当局の権利を奪うものであってはならない。</w:t>
      </w:r>
      <w:r w:rsidR="23DF1179">
        <w:rPr>
          <w:noProof/>
          <w:lang w:eastAsia="ja-JP"/>
        </w:rPr>
        <w:t xml:space="preserve">  </w:t>
      </w:r>
    </w:p>
    <w:p w14:paraId="57766F0B" w14:textId="77777777" w:rsidR="0038775E" w:rsidRDefault="00877B9C" w:rsidP="002041D4">
      <w:pPr>
        <w:pStyle w:val="ManualConsidrant"/>
        <w:wordWrap w:val="0"/>
        <w:rPr>
          <w:noProof/>
          <w:lang w:eastAsia="ja-JP"/>
        </w:rPr>
      </w:pPr>
      <w:r w:rsidRPr="004F5E59">
        <w:rPr>
          <w:lang w:eastAsia="ja-JP"/>
        </w:rPr>
        <w:t>(6</w:t>
      </w:r>
      <w:r w:rsidRPr="004F5E59">
        <w:rPr>
          <w:lang w:eastAsia="ja-JP"/>
        </w:rPr>
        <w:t>3)</w:t>
      </w:r>
      <w:r w:rsidRPr="004F5E59">
        <w:rPr>
          <w:lang w:eastAsia="ja-JP"/>
        </w:rPr>
        <w:tab/>
      </w:r>
      <w:r w:rsidR="23DF1179">
        <w:rPr>
          <w:noProof/>
          <w:lang w:eastAsia="ja-JP"/>
        </w:rPr>
        <w:t>関連製品の市場浸透度をよりよく推定できるようにし、エコデザイン要件および作業計画の立案または更新に役立つ調査によりよい情報を提供し、</w:t>
      </w:r>
      <w:r w:rsidR="23DF1179" w:rsidRPr="23DF1179">
        <w:rPr>
          <w:noProof/>
          <w:lang w:val="en-IE" w:eastAsia="fr-BE"/>
        </w:rPr>
        <w:t>エコデザイン</w:t>
      </w:r>
      <w:r w:rsidR="23DF1179">
        <w:rPr>
          <w:noProof/>
          <w:lang w:eastAsia="ja-JP"/>
        </w:rPr>
        <w:t>要件の策定または見直しを加速させるために特定の製品群の市場占有率を特定するのを助けるために、</w:t>
      </w:r>
      <w:r w:rsidR="23DF1179">
        <w:rPr>
          <w:noProof/>
          <w:lang w:eastAsia="ja-JP"/>
        </w:rPr>
        <w:t>TFEU</w:t>
      </w:r>
      <w:r w:rsidR="23DF1179">
        <w:rPr>
          <w:noProof/>
          <w:lang w:eastAsia="ja-JP"/>
        </w:rPr>
        <w:t>第</w:t>
      </w:r>
      <w:r w:rsidR="23DF1179">
        <w:rPr>
          <w:noProof/>
          <w:lang w:eastAsia="ja-JP"/>
        </w:rPr>
        <w:t>290</w:t>
      </w:r>
      <w:r w:rsidR="23DF1179">
        <w:rPr>
          <w:noProof/>
          <w:lang w:eastAsia="ja-JP"/>
        </w:rPr>
        <w:t>条に基づく法律の採択権を委員会に委任して、製品の販売に関する適切かつ信頼できるデータの収集を要求し、委員会によるまたは委員会に代わってメーカーまたは小売業者に直接当該データを収集できるようにして、</w:t>
      </w:r>
      <w:r w:rsidR="23DF1179" w:rsidRPr="23DF1179">
        <w:rPr>
          <w:rFonts w:eastAsia="Times New Roman"/>
          <w:noProof/>
          <w:color w:val="000000" w:themeColor="text1"/>
          <w:lang w:val="en-IE" w:eastAsia="fr-BE"/>
        </w:rPr>
        <w:t>この規則で補足</w:t>
      </w:r>
      <w:r w:rsidR="23DF1179">
        <w:rPr>
          <w:noProof/>
          <w:lang w:eastAsia="ja-JP"/>
        </w:rPr>
        <w:t>するべきである。監視と報告に関する規則を採用する際、欧州委員会は、市場への浸透に関する利用可能なデータを最大限に活用する必要性と、経済事業者の管理負担を最小限にする必要性を考慮すべきである。</w:t>
      </w:r>
      <w:r w:rsidR="23DF1179">
        <w:rPr>
          <w:noProof/>
          <w:lang w:eastAsia="ja-JP"/>
        </w:rPr>
        <w:t xml:space="preserve"> </w:t>
      </w:r>
    </w:p>
    <w:p w14:paraId="758EE1D1" w14:textId="77777777" w:rsidR="0038775E" w:rsidRDefault="00877B9C" w:rsidP="002041D4">
      <w:pPr>
        <w:pStyle w:val="ManualConsidrant"/>
        <w:wordWrap w:val="0"/>
        <w:rPr>
          <w:noProof/>
          <w:lang w:eastAsia="ja-JP"/>
        </w:rPr>
      </w:pPr>
      <w:r w:rsidRPr="004F5E59">
        <w:rPr>
          <w:lang w:eastAsia="ja-JP"/>
        </w:rPr>
        <w:t>(64)</w:t>
      </w:r>
      <w:r w:rsidRPr="004F5E59">
        <w:rPr>
          <w:lang w:eastAsia="ja-JP"/>
        </w:rPr>
        <w:tab/>
      </w:r>
      <w:r w:rsidR="23DF1179">
        <w:rPr>
          <w:noProof/>
          <w:lang w:eastAsia="ja-JP"/>
        </w:rPr>
        <w:t>将来の</w:t>
      </w:r>
      <w:r w:rsidR="23DF1179" w:rsidRPr="23DF1179">
        <w:rPr>
          <w:noProof/>
          <w:lang w:val="en-IE" w:eastAsia="fr-BE"/>
        </w:rPr>
        <w:t>エコデザイン要件を</w:t>
      </w:r>
      <w:r w:rsidR="23DF1179">
        <w:rPr>
          <w:noProof/>
          <w:lang w:eastAsia="ja-JP"/>
        </w:rPr>
        <w:t>改善し、試験条件下で測定された使用時エネルギーとその他の性能パラメータと実際の機能との乖離をエンドユーザーが識別し修正する自信を高めるために、欧州委員会は、製品の使用時の実際のエネルギー消費量と関連するその他の性能パラメータにアクセスできるようにするべきである。そのため、</w:t>
      </w:r>
      <w:r w:rsidR="23DF1179">
        <w:rPr>
          <w:noProof/>
          <w:lang w:eastAsia="ja-JP"/>
        </w:rPr>
        <w:t>TFEU290</w:t>
      </w:r>
      <w:r w:rsidR="23DF1179">
        <w:rPr>
          <w:noProof/>
          <w:lang w:eastAsia="ja-JP"/>
        </w:rPr>
        <w:t>条に従って法律を採択する権限を欧州委員会に委譲</w:t>
      </w:r>
      <w:r w:rsidR="23DF1179" w:rsidRPr="23DF1179">
        <w:rPr>
          <w:rFonts w:eastAsia="Times New Roman"/>
          <w:noProof/>
          <w:color w:val="000000" w:themeColor="text1"/>
          <w:lang w:val="en-IE" w:eastAsia="fr-BE"/>
        </w:rPr>
        <w:t>し、</w:t>
      </w:r>
      <w:r w:rsidR="23DF1179">
        <w:rPr>
          <w:noProof/>
          <w:lang w:eastAsia="ja-JP"/>
        </w:rPr>
        <w:t>道路運送車両と同様に、個々の製品に対して、使用中のエネルギー消費量およびその他の関連性能パラメータを決定し、エンドユーザーに表示することを義務付けることによって、</w:t>
      </w:r>
      <w:r w:rsidR="23DF1179" w:rsidRPr="23DF1179">
        <w:rPr>
          <w:rFonts w:eastAsia="Times New Roman"/>
          <w:noProof/>
          <w:color w:val="000000" w:themeColor="text1"/>
          <w:lang w:val="en-IE" w:eastAsia="fr-BE"/>
        </w:rPr>
        <w:t>本規則を補完するようにすべきである。</w:t>
      </w:r>
      <w:r w:rsidR="23DF1179">
        <w:rPr>
          <w:noProof/>
          <w:lang w:eastAsia="ja-JP"/>
        </w:rPr>
        <w:t>インターネットに接続された製品については、製品の性能を特定し、国民に知らせるために不可欠であるため、経済事業者がそのような使用中データを遠隔で収集し、欧州委員会に報告することを義務付けることによって、</w:t>
      </w:r>
      <w:r w:rsidR="23DF1179" w:rsidRPr="23DF1179">
        <w:rPr>
          <w:rFonts w:eastAsia="Times New Roman"/>
          <w:noProof/>
          <w:color w:val="000000" w:themeColor="text1"/>
          <w:lang w:val="en-IE" w:eastAsia="fr-BE"/>
        </w:rPr>
        <w:t>本規則を補足するために、</w:t>
      </w:r>
      <w:r w:rsidR="23DF1179">
        <w:rPr>
          <w:noProof/>
          <w:lang w:eastAsia="ja-JP"/>
        </w:rPr>
        <w:t>TFEU</w:t>
      </w:r>
      <w:r w:rsidR="23DF1179">
        <w:rPr>
          <w:noProof/>
          <w:lang w:eastAsia="ja-JP"/>
        </w:rPr>
        <w:t>第</w:t>
      </w:r>
      <w:r w:rsidR="23DF1179">
        <w:rPr>
          <w:noProof/>
          <w:lang w:eastAsia="ja-JP"/>
        </w:rPr>
        <w:t>290</w:t>
      </w:r>
      <w:r w:rsidR="23DF1179">
        <w:rPr>
          <w:noProof/>
          <w:lang w:eastAsia="ja-JP"/>
        </w:rPr>
        <w:t>条に基づく法律を採択する権限を欧州</w:t>
      </w:r>
      <w:r w:rsidR="23DF1179">
        <w:rPr>
          <w:noProof/>
          <w:lang w:eastAsia="ja-JP"/>
        </w:rPr>
        <w:lastRenderedPageBreak/>
        <w:t>委員会に委任する必要がある。使用時の性能が気候や地理的条件にも大きく依存する製品については、気候や地理的な情報も収集し、匿名化して報告する必要がある。</w:t>
      </w:r>
    </w:p>
    <w:p w14:paraId="057A138E" w14:textId="77777777" w:rsidR="0038775E" w:rsidRDefault="00877B9C" w:rsidP="002041D4">
      <w:pPr>
        <w:pStyle w:val="ManualConsidrant"/>
        <w:wordWrap w:val="0"/>
        <w:rPr>
          <w:noProof/>
          <w:lang w:eastAsia="ja-JP"/>
        </w:rPr>
      </w:pPr>
      <w:r w:rsidRPr="004F5E59">
        <w:rPr>
          <w:lang w:eastAsia="ja-JP"/>
        </w:rPr>
        <w:t>(65)</w:t>
      </w:r>
      <w:r w:rsidRPr="004F5E59">
        <w:rPr>
          <w:lang w:eastAsia="ja-JP"/>
        </w:rPr>
        <w:tab/>
      </w:r>
      <w:r w:rsidR="23DF1179">
        <w:rPr>
          <w:noProof/>
          <w:lang w:eastAsia="ja-JP"/>
        </w:rPr>
        <w:t>エネルギー使用または効率、耐久性と信頼性、リサイクル含有量などの側面を含め、本規則に基づき設定されたエコデザイン要件の</w:t>
      </w:r>
      <w:r w:rsidR="23DF1179" w:rsidRPr="23DF1179">
        <w:rPr>
          <w:noProof/>
          <w:lang w:val="en-IE" w:eastAsia="fr-BE"/>
        </w:rPr>
        <w:t>効果的かつ調和された適用を確保するため、</w:t>
      </w:r>
      <w:r w:rsidR="23DF1179">
        <w:rPr>
          <w:noProof/>
          <w:lang w:eastAsia="ja-JP"/>
        </w:rPr>
        <w:t>これらの要件への準拠は、一般に認められた最先端の方法を考慮した信頼できる正確かつ再現性のある方法を用いて測定すべきである。製品の</w:t>
      </w:r>
      <w:r w:rsidR="23DF1179" w:rsidRPr="23DF1179">
        <w:rPr>
          <w:noProof/>
          <w:lang w:val="en-IE" w:eastAsia="fr-BE"/>
        </w:rPr>
        <w:t>エコデザイン</w:t>
      </w:r>
      <w:r w:rsidR="23DF1179">
        <w:rPr>
          <w:noProof/>
          <w:lang w:eastAsia="ja-JP"/>
        </w:rPr>
        <w:t>要件を定める委任法には、原則として、</w:t>
      </w:r>
      <w:r w:rsidR="23DF1179" w:rsidRPr="23DF1179">
        <w:rPr>
          <w:rFonts w:eastAsia="Times New Roman"/>
          <w:noProof/>
          <w:color w:val="000000" w:themeColor="text1"/>
          <w:lang w:val="en-IE" w:eastAsia="fr-BE"/>
        </w:rPr>
        <w:t>適合性を立証または検証するために必要な試験、測定または計算の</w:t>
      </w:r>
      <w:r w:rsidR="23DF1179">
        <w:rPr>
          <w:noProof/>
          <w:lang w:eastAsia="ja-JP"/>
        </w:rPr>
        <w:t>仕様が含まれていなければならない。</w:t>
      </w:r>
      <w:r w:rsidR="23DF1179" w:rsidRPr="23DF1179">
        <w:rPr>
          <w:rFonts w:eastAsia="Times New Roman"/>
          <w:noProof/>
          <w:color w:val="000000" w:themeColor="text1"/>
          <w:lang w:val="en-IE" w:eastAsia="fr-BE"/>
        </w:rPr>
        <w:t>さらに、</w:t>
      </w:r>
      <w:r w:rsidR="23DF1179">
        <w:rPr>
          <w:noProof/>
          <w:lang w:eastAsia="ja-JP"/>
        </w:rPr>
        <w:t>TFEU</w:t>
      </w:r>
      <w:r w:rsidR="23DF1179">
        <w:rPr>
          <w:noProof/>
          <w:lang w:eastAsia="ja-JP"/>
        </w:rPr>
        <w:t>第</w:t>
      </w:r>
      <w:r w:rsidR="23DF1179">
        <w:rPr>
          <w:noProof/>
          <w:lang w:eastAsia="ja-JP"/>
        </w:rPr>
        <w:t>290</w:t>
      </w:r>
      <w:r w:rsidR="23DF1179">
        <w:rPr>
          <w:noProof/>
          <w:lang w:eastAsia="ja-JP"/>
        </w:rPr>
        <w:t>条に従って法律を採択する権限を欧州委員会に委譲</w:t>
      </w:r>
      <w:r w:rsidR="23DF1179" w:rsidRPr="23DF1179">
        <w:rPr>
          <w:rFonts w:eastAsia="Times New Roman"/>
          <w:noProof/>
          <w:color w:val="000000" w:themeColor="text1"/>
          <w:lang w:val="en-IE" w:eastAsia="fr-BE"/>
        </w:rPr>
        <w:t>し、</w:t>
      </w:r>
      <w:r w:rsidR="23DF1179" w:rsidRPr="23DF1179">
        <w:rPr>
          <w:rFonts w:eastAsia="Times New Roman"/>
          <w:noProof/>
          <w:lang w:val="en-IE" w:eastAsia="fr-BE"/>
        </w:rPr>
        <w:t>適用される計算要件を反映したオンラインツールの使用を</w:t>
      </w:r>
      <w:r w:rsidR="23DF1179" w:rsidRPr="23DF1179">
        <w:rPr>
          <w:rFonts w:eastAsia="Times New Roman"/>
          <w:noProof/>
          <w:color w:val="000000" w:themeColor="text1"/>
          <w:lang w:val="en-IE" w:eastAsia="fr-BE"/>
        </w:rPr>
        <w:t>義務付けることによって、本規則を補完し</w:t>
      </w:r>
      <w:r w:rsidR="23DF1179" w:rsidRPr="23DF1179">
        <w:rPr>
          <w:rFonts w:eastAsia="Times New Roman"/>
          <w:noProof/>
          <w:lang w:val="en-IE" w:eastAsia="fr-BE"/>
        </w:rPr>
        <w:t>、その調和のとれた適用を確保することが</w:t>
      </w:r>
      <w:r w:rsidR="23DF1179">
        <w:rPr>
          <w:noProof/>
          <w:lang w:eastAsia="ja-JP"/>
        </w:rPr>
        <w:t>望ましい。</w:t>
      </w:r>
      <w:r w:rsidR="23DF1179">
        <w:rPr>
          <w:noProof/>
          <w:lang w:eastAsia="ja-JP"/>
        </w:rPr>
        <w:t xml:space="preserve"> </w:t>
      </w:r>
    </w:p>
    <w:p w14:paraId="374CCF2E" w14:textId="77777777" w:rsidR="0038775E" w:rsidRDefault="00877B9C" w:rsidP="002041D4">
      <w:pPr>
        <w:pStyle w:val="ManualConsidrant"/>
        <w:wordWrap w:val="0"/>
        <w:rPr>
          <w:noProof/>
          <w:lang w:eastAsia="ja-JP"/>
        </w:rPr>
      </w:pPr>
      <w:r w:rsidRPr="004F5E59">
        <w:rPr>
          <w:lang w:eastAsia="ja-JP"/>
        </w:rPr>
        <w:t>(66)</w:t>
      </w:r>
      <w:r w:rsidRPr="004F5E59">
        <w:rPr>
          <w:lang w:eastAsia="ja-JP"/>
        </w:rPr>
        <w:tab/>
      </w:r>
      <w:r w:rsidR="23DF1179" w:rsidRPr="23DF1179">
        <w:rPr>
          <w:noProof/>
          <w:lang w:eastAsia="ja-JP"/>
        </w:rPr>
        <w:t>エコデザイン要件がその意図する効果を確実に達成するために、本規則は、</w:t>
      </w:r>
      <w:r w:rsidR="23DF1179" w:rsidRPr="23DF1179">
        <w:rPr>
          <w:noProof/>
          <w:lang w:val="en-IE" w:eastAsia="fr-BE"/>
        </w:rPr>
        <w:t>エコデザイン</w:t>
      </w:r>
      <w:r w:rsidR="23DF1179" w:rsidRPr="23DF1179">
        <w:rPr>
          <w:noProof/>
          <w:lang w:eastAsia="ja-JP"/>
        </w:rPr>
        <w:t>要件の対象となるすべての製品に適用される、当該要件の回避を禁止する包括的かつ包括的な規定を定めるべきである。したがって、適合試験中または製品使用開始後の短期間に製品の性能を不当に変更し、使用中の製品の実際の性能と異なる性能を宣言することにつながる行為は、禁止されるべきである</w:t>
      </w:r>
      <w:r w:rsidR="23DF1179">
        <w:rPr>
          <w:noProof/>
          <w:lang w:eastAsia="ja-JP"/>
        </w:rPr>
        <w:t>。</w:t>
      </w:r>
    </w:p>
    <w:p w14:paraId="18B4F214" w14:textId="77777777" w:rsidR="0038775E" w:rsidRDefault="00877B9C" w:rsidP="002041D4">
      <w:pPr>
        <w:pStyle w:val="ManualConsidrant"/>
        <w:wordWrap w:val="0"/>
        <w:rPr>
          <w:noProof/>
          <w:lang w:eastAsia="ja-JP"/>
        </w:rPr>
      </w:pPr>
      <w:r w:rsidRPr="004F5E59">
        <w:rPr>
          <w:lang w:eastAsia="ja-JP"/>
        </w:rPr>
        <w:t>(67)</w:t>
      </w:r>
      <w:r w:rsidRPr="004F5E59">
        <w:rPr>
          <w:lang w:eastAsia="ja-JP"/>
        </w:rPr>
        <w:tab/>
      </w:r>
      <w:r w:rsidR="00223B07" w:rsidRPr="00DF5C23">
        <w:rPr>
          <w:noProof/>
          <w:lang w:eastAsia="ja-JP"/>
        </w:rPr>
        <w:t>適切な</w:t>
      </w:r>
      <w:r w:rsidR="002C00A7" w:rsidRPr="00DF5C23">
        <w:rPr>
          <w:noProof/>
          <w:lang w:eastAsia="ja-JP"/>
        </w:rPr>
        <w:t>場合、製品の</w:t>
      </w:r>
      <w:r w:rsidR="000A1AC3" w:rsidRPr="00DF5C23">
        <w:rPr>
          <w:noProof/>
          <w:lang w:val="en-IE" w:eastAsia="fr-BE"/>
        </w:rPr>
        <w:t>エコデザイン</w:t>
      </w:r>
      <w:r w:rsidR="002C00A7" w:rsidRPr="00DF5C23">
        <w:rPr>
          <w:noProof/>
          <w:lang w:eastAsia="ja-JP"/>
        </w:rPr>
        <w:t>要件を定める委任法は、</w:t>
      </w:r>
      <w:r w:rsidR="002C00A7" w:rsidRPr="00DF5C23">
        <w:rPr>
          <w:rFonts w:eastAsia="Times New Roman"/>
          <w:noProof/>
          <w:color w:val="000000"/>
          <w:lang w:val="en-IE" w:eastAsia="fr-BE"/>
        </w:rPr>
        <w:t>準拠を立証または検証するための</w:t>
      </w:r>
      <w:r w:rsidR="002C00A7" w:rsidRPr="00DF5C23">
        <w:rPr>
          <w:noProof/>
          <w:lang w:eastAsia="ja-JP"/>
        </w:rPr>
        <w:t>規格の使用に言及することができる。域内市場における貿易の障壁がないことを保証するため、当該規格は、</w:t>
      </w:r>
      <w:r w:rsidR="002C00A7" w:rsidRPr="00DF5C23">
        <w:rPr>
          <w:noProof/>
          <w:lang w:eastAsia="ja-JP"/>
        </w:rPr>
        <w:t>EU</w:t>
      </w:r>
      <w:r w:rsidR="002C00A7" w:rsidRPr="00DF5C23">
        <w:rPr>
          <w:noProof/>
          <w:lang w:eastAsia="ja-JP"/>
        </w:rPr>
        <w:t>レベルで調和されるべきである。欧州議会及び理事会規則（</w:t>
      </w:r>
      <w:r w:rsidR="002C00A7" w:rsidRPr="00DF5C23">
        <w:rPr>
          <w:noProof/>
          <w:lang w:eastAsia="ja-JP"/>
        </w:rPr>
        <w:t>EU</w:t>
      </w:r>
      <w:r w:rsidR="002C00A7" w:rsidRPr="00DF5C23">
        <w:rPr>
          <w:noProof/>
          <w:lang w:eastAsia="ja-JP"/>
        </w:rPr>
        <w:t>）</w:t>
      </w:r>
      <w:r w:rsidR="002C00A7" w:rsidRPr="00DF5C23">
        <w:rPr>
          <w:noProof/>
          <w:lang w:eastAsia="ja-JP"/>
        </w:rPr>
        <w:t xml:space="preserve">No </w:t>
      </w:r>
      <w:r w:rsidR="002C00A7" w:rsidRPr="00DF5C23">
        <w:rPr>
          <w:rStyle w:val="footnotereference"/>
          <w:noProof/>
          <w:lang w:eastAsia="ja-JP"/>
        </w:rPr>
        <w:t>1025/2012</w:t>
      </w:r>
      <w:r w:rsidR="002C00A7" w:rsidRPr="00DF5C23">
        <w:rPr>
          <w:rStyle w:val="footnotereference"/>
          <w:noProof/>
          <w:lang w:eastAsia="ja-JP"/>
        </w:rPr>
        <w:t>（</w:t>
      </w:r>
      <w:r w:rsidR="003B1393" w:rsidRPr="00DF5C23">
        <w:rPr>
          <w:rStyle w:val="afa"/>
          <w:noProof/>
        </w:rPr>
        <w:footnoteReference w:id="76"/>
      </w:r>
      <w:r w:rsidR="002C00A7" w:rsidRPr="00DF5C23">
        <w:rPr>
          <w:rStyle w:val="footnotereference"/>
          <w:noProof/>
          <w:lang w:eastAsia="ja-JP"/>
        </w:rPr>
        <w:t xml:space="preserve"> </w:t>
      </w:r>
      <w:r w:rsidR="002C00A7" w:rsidRPr="00DF5C23">
        <w:rPr>
          <w:rStyle w:val="footnotereference"/>
          <w:noProof/>
          <w:lang w:eastAsia="ja-JP"/>
        </w:rPr>
        <w:t>）</w:t>
      </w:r>
      <w:r w:rsidR="002C00A7" w:rsidRPr="00DF5C23">
        <w:rPr>
          <w:rStyle w:val="footnotereference"/>
          <w:noProof/>
          <w:lang w:eastAsia="ja-JP"/>
        </w:rPr>
        <w:t xml:space="preserve"> </w:t>
      </w:r>
      <w:r w:rsidR="002C00A7" w:rsidRPr="00DF5C23">
        <w:rPr>
          <w:rStyle w:val="footnotereference"/>
          <w:noProof/>
          <w:lang w:eastAsia="ja-JP"/>
        </w:rPr>
        <w:t>に</w:t>
      </w:r>
      <w:r w:rsidR="002C00A7" w:rsidRPr="00DF5C23">
        <w:rPr>
          <w:noProof/>
          <w:lang w:eastAsia="ja-JP"/>
        </w:rPr>
        <w:t>従って当該規格への言及が採択され、</w:t>
      </w:r>
      <w:r w:rsidR="002C00A7" w:rsidRPr="23DF1179">
        <w:rPr>
          <w:i/>
          <w:iCs/>
          <w:noProof/>
          <w:lang w:eastAsia="ja-JP"/>
        </w:rPr>
        <w:t>欧州連合官報に</w:t>
      </w:r>
      <w:r w:rsidR="002C00A7" w:rsidRPr="00DF5C23">
        <w:rPr>
          <w:noProof/>
          <w:lang w:eastAsia="ja-JP"/>
        </w:rPr>
        <w:t>掲載されると、本規則に従って</w:t>
      </w:r>
      <w:r w:rsidR="000A1AC3" w:rsidRPr="00DF5C23">
        <w:rPr>
          <w:noProof/>
          <w:lang w:val="en-IE" w:eastAsia="fr-BE"/>
        </w:rPr>
        <w:t>エコデザイン</w:t>
      </w:r>
      <w:r w:rsidR="002C00A7" w:rsidRPr="00DF5C23">
        <w:rPr>
          <w:noProof/>
          <w:lang w:eastAsia="ja-JP"/>
        </w:rPr>
        <w:t>要件が採択された当該規格に適合する製品は、</w:t>
      </w:r>
      <w:r w:rsidR="002C00A7" w:rsidRPr="00DF5C23">
        <w:rPr>
          <w:rFonts w:eastAsia="Times New Roman"/>
          <w:noProof/>
          <w:color w:val="000000"/>
          <w:lang w:val="en-IE" w:eastAsia="fr-BE"/>
        </w:rPr>
        <w:t>当該</w:t>
      </w:r>
      <w:r w:rsidR="001B0171" w:rsidRPr="00DF5C23">
        <w:rPr>
          <w:rFonts w:eastAsia="Times New Roman"/>
          <w:noProof/>
          <w:color w:val="000000"/>
          <w:lang w:val="en-IE" w:eastAsia="fr-BE"/>
        </w:rPr>
        <w:t>整合</w:t>
      </w:r>
      <w:r w:rsidR="002C00A7" w:rsidRPr="00DF5C23">
        <w:rPr>
          <w:rFonts w:eastAsia="Times New Roman"/>
          <w:noProof/>
          <w:color w:val="000000"/>
          <w:lang w:val="en-IE" w:eastAsia="fr-BE"/>
        </w:rPr>
        <w:t>規格がカバーする範囲において</w:t>
      </w:r>
      <w:r w:rsidR="002C00A7" w:rsidRPr="00DF5C23">
        <w:rPr>
          <w:noProof/>
          <w:lang w:eastAsia="ja-JP"/>
        </w:rPr>
        <w:t>当該要件に適合しているとみなされるべきである。同様に、整合規格に適合する</w:t>
      </w:r>
      <w:r w:rsidR="002C00A7" w:rsidRPr="00DF5C23">
        <w:rPr>
          <w:rFonts w:eastAsia="Times New Roman"/>
          <w:noProof/>
          <w:color w:val="000000"/>
          <w:lang w:val="en-IE" w:eastAsia="fr-BE"/>
        </w:rPr>
        <w:t>試験、測定又は計算のための方法は、関連する</w:t>
      </w:r>
      <w:r w:rsidR="001B0171" w:rsidRPr="00DF5C23">
        <w:rPr>
          <w:rFonts w:eastAsia="Times New Roman"/>
          <w:noProof/>
          <w:color w:val="000000"/>
          <w:lang w:val="en-IE" w:eastAsia="fr-BE"/>
        </w:rPr>
        <w:t>整合</w:t>
      </w:r>
      <w:r w:rsidR="002C00A7" w:rsidRPr="00DF5C23">
        <w:rPr>
          <w:rFonts w:eastAsia="Times New Roman"/>
          <w:noProof/>
          <w:color w:val="000000"/>
          <w:lang w:val="en-IE" w:eastAsia="fr-BE"/>
        </w:rPr>
        <w:t>規格の対象となる限り、</w:t>
      </w:r>
      <w:r w:rsidR="000A1AC3" w:rsidRPr="00DF5C23">
        <w:rPr>
          <w:noProof/>
          <w:lang w:val="en-IE" w:eastAsia="fr-BE"/>
        </w:rPr>
        <w:t>エコデザイン</w:t>
      </w:r>
      <w:r w:rsidR="002C00A7" w:rsidRPr="00DF5C23">
        <w:rPr>
          <w:noProof/>
          <w:lang w:val="en-IE" w:eastAsia="fr-BE"/>
        </w:rPr>
        <w:t>要件を定める</w:t>
      </w:r>
      <w:r w:rsidR="002C00A7" w:rsidRPr="00DF5C23">
        <w:rPr>
          <w:rFonts w:eastAsia="Times New Roman"/>
          <w:noProof/>
          <w:color w:val="000000"/>
          <w:lang w:val="en-IE" w:eastAsia="fr-BE"/>
        </w:rPr>
        <w:t>関連</w:t>
      </w:r>
      <w:r w:rsidR="002C00A7" w:rsidRPr="00DF5C23">
        <w:rPr>
          <w:noProof/>
          <w:lang w:val="en-IE" w:eastAsia="fr-BE"/>
        </w:rPr>
        <w:t>委任</w:t>
      </w:r>
      <w:r w:rsidR="002C00A7" w:rsidRPr="00DF5C23">
        <w:rPr>
          <w:rFonts w:eastAsia="Times New Roman"/>
          <w:noProof/>
          <w:color w:val="000000"/>
          <w:lang w:val="en-IE" w:eastAsia="fr-BE"/>
        </w:rPr>
        <w:t>法に規定された試験、測定及び計算要件に</w:t>
      </w:r>
      <w:r w:rsidR="002C00A7" w:rsidRPr="00DF5C23">
        <w:rPr>
          <w:noProof/>
          <w:lang w:eastAsia="ja-JP"/>
        </w:rPr>
        <w:t>適合していると見なされるべきである。</w:t>
      </w:r>
      <w:r w:rsidR="002C00A7" w:rsidRPr="00DF5C23">
        <w:rPr>
          <w:noProof/>
          <w:lang w:eastAsia="ja-JP"/>
        </w:rPr>
        <w:t xml:space="preserve"> </w:t>
      </w:r>
    </w:p>
    <w:p w14:paraId="4F5B32D1" w14:textId="77777777" w:rsidR="0038775E" w:rsidRDefault="00877B9C" w:rsidP="002041D4">
      <w:pPr>
        <w:pStyle w:val="ManualConsidrant"/>
        <w:wordWrap w:val="0"/>
        <w:rPr>
          <w:noProof/>
          <w:lang w:eastAsia="ja-JP"/>
        </w:rPr>
      </w:pPr>
      <w:r w:rsidRPr="004F5E59">
        <w:rPr>
          <w:lang w:eastAsia="ja-JP"/>
        </w:rPr>
        <w:t>(68)</w:t>
      </w:r>
      <w:r w:rsidRPr="004F5E59">
        <w:rPr>
          <w:lang w:eastAsia="ja-JP"/>
        </w:rPr>
        <w:tab/>
      </w:r>
      <w:r w:rsidR="23DF1179">
        <w:rPr>
          <w:noProof/>
          <w:lang w:eastAsia="ja-JP"/>
        </w:rPr>
        <w:t>整合規格がない場合、共通仕様への依拠は、例えば、利害関係者間のコンセンサス不足により標準化プロセスが阻害された場合や、整合規格の確立に不当な遅れが生じた場合に、</w:t>
      </w:r>
      <w:r w:rsidR="23DF1179" w:rsidRPr="23DF1179">
        <w:rPr>
          <w:noProof/>
          <w:lang w:val="en-IE" w:eastAsia="fr-BE"/>
        </w:rPr>
        <w:t>エコデザイン</w:t>
      </w:r>
      <w:r w:rsidR="23DF1179">
        <w:rPr>
          <w:noProof/>
          <w:lang w:eastAsia="ja-JP"/>
        </w:rPr>
        <w:t>要求事項を遵守する製造者の義務を促進するための予備的解決策として使用されるべきである。このような遅延は、例えば、要求される品質に達していない場合に発生する可能性がある。さらに、</w:t>
      </w:r>
      <w:r w:rsidR="23DF1179" w:rsidRPr="23DF1179">
        <w:rPr>
          <w:rFonts w:eastAsia="Times New Roman"/>
          <w:noProof/>
          <w:lang w:val="en-IE" w:eastAsia="fr-BE"/>
        </w:rPr>
        <w:t>規則（EU）No 1025/2012の第11条5項に従って、</w:t>
      </w:r>
      <w:r w:rsidR="23DF1179">
        <w:rPr>
          <w:noProof/>
          <w:lang w:eastAsia="ja-JP"/>
        </w:rPr>
        <w:t>欧州委員会が関連する整合規格への参照を制限または撤回した場合にも、この解決策を利用できるようにすべきである。共通仕様への準拠は、適合の推定を生じさせるべきである。</w:t>
      </w:r>
      <w:r w:rsidR="23DF1179">
        <w:rPr>
          <w:noProof/>
          <w:lang w:eastAsia="ja-JP"/>
        </w:rPr>
        <w:t xml:space="preserve"> </w:t>
      </w:r>
    </w:p>
    <w:p w14:paraId="78B94CC5" w14:textId="409A91C7" w:rsidR="0038775E" w:rsidRDefault="00877B9C" w:rsidP="002041D4">
      <w:pPr>
        <w:pStyle w:val="ManualConsidrant"/>
        <w:wordWrap w:val="0"/>
        <w:rPr>
          <w:noProof/>
          <w:lang w:eastAsia="ja-JP"/>
        </w:rPr>
      </w:pPr>
      <w:r w:rsidRPr="004F5E59">
        <w:rPr>
          <w:lang w:eastAsia="ja-JP"/>
        </w:rPr>
        <w:lastRenderedPageBreak/>
        <w:t>(69)</w:t>
      </w:r>
      <w:r w:rsidRPr="004F5E59">
        <w:rPr>
          <w:lang w:eastAsia="ja-JP"/>
        </w:rPr>
        <w:tab/>
      </w:r>
      <w:r w:rsidR="002C00A7" w:rsidRPr="00DF5C23">
        <w:rPr>
          <w:noProof/>
          <w:lang w:eastAsia="ja-JP"/>
        </w:rPr>
        <w:t>経済事業者が、市場で入手可能な製品が本規則に従って採用された</w:t>
      </w:r>
      <w:r w:rsidR="007960F7" w:rsidRPr="00DF5C23">
        <w:rPr>
          <w:noProof/>
          <w:lang w:val="en-IE" w:eastAsia="fr-BE"/>
        </w:rPr>
        <w:t>エコデザイン</w:t>
      </w:r>
      <w:r w:rsidR="002C00A7" w:rsidRPr="00DF5C23">
        <w:rPr>
          <w:noProof/>
          <w:lang w:eastAsia="ja-JP"/>
        </w:rPr>
        <w:t>要件に適合していることを証明</w:t>
      </w:r>
      <w:r w:rsidR="003641F6" w:rsidRPr="00DF5C23">
        <w:rPr>
          <w:noProof/>
          <w:lang w:eastAsia="ja-JP"/>
        </w:rPr>
        <w:t>し</w:t>
      </w:r>
      <w:r w:rsidR="002C00A7" w:rsidRPr="00DF5C23">
        <w:rPr>
          <w:noProof/>
          <w:lang w:eastAsia="ja-JP"/>
        </w:rPr>
        <w:t>、所轄官庁が</w:t>
      </w:r>
      <w:r w:rsidR="003641F6" w:rsidRPr="00DF5C23">
        <w:rPr>
          <w:noProof/>
          <w:lang w:eastAsia="ja-JP"/>
        </w:rPr>
        <w:t>それを</w:t>
      </w:r>
      <w:r w:rsidR="002C00A7" w:rsidRPr="00DF5C23">
        <w:rPr>
          <w:noProof/>
          <w:lang w:eastAsia="ja-JP"/>
        </w:rPr>
        <w:t>検証できるようにするため、</w:t>
      </w:r>
      <w:r w:rsidR="00383953" w:rsidRPr="00DF5C23">
        <w:rPr>
          <w:noProof/>
          <w:lang w:eastAsia="ja-JP"/>
        </w:rPr>
        <w:t>TFEU</w:t>
      </w:r>
      <w:r w:rsidR="00383953" w:rsidRPr="00DF5C23">
        <w:rPr>
          <w:noProof/>
          <w:lang w:eastAsia="ja-JP"/>
        </w:rPr>
        <w:t>第</w:t>
      </w:r>
      <w:r w:rsidR="00383953" w:rsidRPr="00DF5C23">
        <w:rPr>
          <w:noProof/>
          <w:lang w:eastAsia="ja-JP"/>
        </w:rPr>
        <w:t>290</w:t>
      </w:r>
      <w:r w:rsidR="00383953" w:rsidRPr="00DF5C23">
        <w:rPr>
          <w:noProof/>
          <w:lang w:eastAsia="ja-JP"/>
        </w:rPr>
        <w:t>条に基づく法律を採択する権限を委員会に委任し、</w:t>
      </w:r>
      <w:r w:rsidR="00A72175" w:rsidRPr="00DF5C23">
        <w:rPr>
          <w:noProof/>
          <w:lang w:eastAsia="ja-JP"/>
        </w:rPr>
        <w:t>当該</w:t>
      </w:r>
      <w:r w:rsidR="002C00A7" w:rsidRPr="00DF5C23">
        <w:rPr>
          <w:noProof/>
          <w:lang w:eastAsia="ja-JP"/>
        </w:rPr>
        <w:t>製品の性質</w:t>
      </w:r>
      <w:r w:rsidR="00A72175" w:rsidRPr="00DF5C23">
        <w:rPr>
          <w:noProof/>
          <w:lang w:eastAsia="ja-JP"/>
        </w:rPr>
        <w:t>および規制される製品パラメータに</w:t>
      </w:r>
      <w:r w:rsidR="003641F6" w:rsidRPr="00DF5C23">
        <w:rPr>
          <w:noProof/>
          <w:lang w:eastAsia="ja-JP"/>
        </w:rPr>
        <w:t>適切</w:t>
      </w:r>
      <w:r w:rsidR="00A72175" w:rsidRPr="00DF5C23">
        <w:rPr>
          <w:noProof/>
          <w:lang w:eastAsia="ja-JP"/>
        </w:rPr>
        <w:t>かつ比例した</w:t>
      </w:r>
      <w:r w:rsidR="003641F6" w:rsidRPr="00DF5C23">
        <w:rPr>
          <w:noProof/>
          <w:lang w:eastAsia="ja-JP"/>
        </w:rPr>
        <w:t>適合性評価手続きを定めて</w:t>
      </w:r>
      <w:r w:rsidR="00383953" w:rsidRPr="00DF5C23">
        <w:rPr>
          <w:noProof/>
          <w:lang w:eastAsia="ja-JP"/>
        </w:rPr>
        <w:t>本規則を補完することが望ましい。</w:t>
      </w:r>
      <w:r w:rsidR="00E57426" w:rsidRPr="00DF5C23">
        <w:rPr>
          <w:noProof/>
          <w:lang w:eastAsia="ja-JP"/>
        </w:rPr>
        <w:t>他の連合法との一貫性を確保するため、適合性評価手順は、</w:t>
      </w:r>
      <w:r w:rsidR="00A72175" w:rsidRPr="00DF5C23">
        <w:rPr>
          <w:noProof/>
          <w:lang w:eastAsia="ja-JP"/>
        </w:rPr>
        <w:t>本規則に含まれる内部生産管理モジュールと、</w:t>
      </w:r>
      <w:r w:rsidR="002C00A7" w:rsidRPr="00DF5C23">
        <w:rPr>
          <w:noProof/>
          <w:lang w:eastAsia="ja-JP"/>
        </w:rPr>
        <w:t>欧州議会および理事会の決定第</w:t>
      </w:r>
      <w:r w:rsidR="002C00A7" w:rsidRPr="00DF5C23">
        <w:rPr>
          <w:noProof/>
          <w:lang w:eastAsia="ja-JP"/>
        </w:rPr>
        <w:t>768/2008/EC</w:t>
      </w:r>
      <w:r w:rsidR="002C00A7" w:rsidRPr="00DF5C23">
        <w:rPr>
          <w:noProof/>
          <w:lang w:eastAsia="ja-JP"/>
        </w:rPr>
        <w:t>号（</w:t>
      </w:r>
      <w:r w:rsidR="00C06418" w:rsidRPr="00DF5C23">
        <w:rPr>
          <w:rStyle w:val="afa"/>
          <w:noProof/>
        </w:rPr>
        <w:footnoteReference w:id="77"/>
      </w:r>
      <w:r w:rsidR="002C00A7" w:rsidRPr="00DF5C23">
        <w:rPr>
          <w:noProof/>
          <w:lang w:eastAsia="ja-JP"/>
        </w:rPr>
        <w:t xml:space="preserve"> </w:t>
      </w:r>
      <w:r w:rsidR="00E57426" w:rsidRPr="00DF5C23">
        <w:rPr>
          <w:noProof/>
          <w:lang w:eastAsia="ja-JP"/>
        </w:rPr>
        <w:t>）に含まれるモジュールの中から、</w:t>
      </w:r>
      <w:r w:rsidR="002C00A7" w:rsidRPr="00DF5C23">
        <w:rPr>
          <w:noProof/>
          <w:lang w:eastAsia="ja-JP"/>
        </w:rPr>
        <w:t>最も厳しくないものから最も厳しいものまで、適宜</w:t>
      </w:r>
      <w:r w:rsidR="00E57426" w:rsidRPr="00DF5C23">
        <w:rPr>
          <w:noProof/>
          <w:lang w:eastAsia="ja-JP"/>
        </w:rPr>
        <w:t>選択されるべき</w:t>
      </w:r>
      <w:r w:rsidR="002041D4">
        <w:rPr>
          <w:noProof/>
          <w:lang w:eastAsia="ja-JP"/>
        </w:rPr>
        <w:t>である</w:t>
      </w:r>
      <w:r w:rsidR="00E57426" w:rsidRPr="00DF5C23">
        <w:rPr>
          <w:noProof/>
          <w:lang w:eastAsia="ja-JP"/>
        </w:rPr>
        <w:t>。</w:t>
      </w:r>
      <w:r w:rsidR="00A72175" w:rsidRPr="00DF5C23">
        <w:rPr>
          <w:noProof/>
          <w:lang w:eastAsia="ja-JP"/>
        </w:rPr>
        <w:t>適用される</w:t>
      </w:r>
      <w:r w:rsidR="00E57426" w:rsidRPr="00DF5C23">
        <w:rPr>
          <w:noProof/>
          <w:lang w:eastAsia="ja-JP"/>
        </w:rPr>
        <w:t>モジュールが、</w:t>
      </w:r>
      <w:r w:rsidR="00A72175" w:rsidRPr="00DF5C23">
        <w:rPr>
          <w:noProof/>
          <w:lang w:eastAsia="ja-JP"/>
        </w:rPr>
        <w:t>関係する製品および規制される製品パラメータの性質に適切かつ比例することをさらに</w:t>
      </w:r>
      <w:r w:rsidR="00E57426" w:rsidRPr="00DF5C23">
        <w:rPr>
          <w:noProof/>
          <w:lang w:eastAsia="ja-JP"/>
        </w:rPr>
        <w:t>確実にする</w:t>
      </w:r>
      <w:r w:rsidR="00A72175" w:rsidRPr="00DF5C23">
        <w:rPr>
          <w:noProof/>
          <w:lang w:eastAsia="ja-JP"/>
        </w:rPr>
        <w:t>ため</w:t>
      </w:r>
      <w:r w:rsidR="00E57426" w:rsidRPr="00DF5C23">
        <w:rPr>
          <w:noProof/>
          <w:lang w:eastAsia="ja-JP"/>
        </w:rPr>
        <w:t>、欧州委員会は、必要に応じて、その性質に照らして選択したモジュールを適合させるべきである。</w:t>
      </w:r>
      <w:r w:rsidR="00E57426" w:rsidRPr="00DF5C23">
        <w:rPr>
          <w:noProof/>
          <w:lang w:eastAsia="ja-JP"/>
        </w:rPr>
        <w:t xml:space="preserve"> </w:t>
      </w:r>
    </w:p>
    <w:p w14:paraId="13E4F50A" w14:textId="146FAD34" w:rsidR="0038775E" w:rsidRDefault="00877B9C" w:rsidP="002041D4">
      <w:pPr>
        <w:pStyle w:val="ManualConsidrant"/>
        <w:wordWrap w:val="0"/>
        <w:rPr>
          <w:noProof/>
          <w:lang w:eastAsia="ja-JP"/>
        </w:rPr>
      </w:pPr>
      <w:r w:rsidRPr="004F5E59">
        <w:rPr>
          <w:lang w:eastAsia="ja-JP"/>
        </w:rPr>
        <w:t>(70)</w:t>
      </w:r>
      <w:r w:rsidRPr="004F5E59">
        <w:rPr>
          <w:lang w:eastAsia="ja-JP"/>
        </w:rPr>
        <w:tab/>
      </w:r>
      <w:r w:rsidR="23DF1179">
        <w:rPr>
          <w:noProof/>
          <w:lang w:eastAsia="ja-JP"/>
        </w:rPr>
        <w:t>製造者は、製品の本規則への適合に関する情報を提供するために、</w:t>
      </w:r>
      <w:r w:rsidR="23DF1179">
        <w:rPr>
          <w:noProof/>
          <w:lang w:eastAsia="ja-JP"/>
        </w:rPr>
        <w:t>EU</w:t>
      </w:r>
      <w:r w:rsidR="23DF1179">
        <w:rPr>
          <w:noProof/>
          <w:lang w:eastAsia="ja-JP"/>
        </w:rPr>
        <w:t>適合宣言書を作成する必要があ</w:t>
      </w:r>
      <w:r w:rsidR="002041D4">
        <w:rPr>
          <w:noProof/>
          <w:lang w:eastAsia="ja-JP"/>
        </w:rPr>
        <w:t>る</w:t>
      </w:r>
      <w:r w:rsidR="23DF1179">
        <w:rPr>
          <w:noProof/>
          <w:lang w:eastAsia="ja-JP"/>
        </w:rPr>
        <w:t>。また、製造者は、他の</w:t>
      </w:r>
      <w:r w:rsidR="23DF1179">
        <w:rPr>
          <w:noProof/>
          <w:lang w:eastAsia="ja-JP"/>
        </w:rPr>
        <w:t>EU</w:t>
      </w:r>
      <w:r w:rsidR="23DF1179">
        <w:rPr>
          <w:noProof/>
          <w:lang w:eastAsia="ja-JP"/>
        </w:rPr>
        <w:t>法令により、</w:t>
      </w:r>
      <w:r w:rsidR="23DF1179">
        <w:rPr>
          <w:noProof/>
          <w:lang w:eastAsia="ja-JP"/>
        </w:rPr>
        <w:t>EU</w:t>
      </w:r>
      <w:r w:rsidR="23DF1179">
        <w:rPr>
          <w:noProof/>
          <w:lang w:eastAsia="ja-JP"/>
        </w:rPr>
        <w:t>適合宣言書の作成を求められる場合がある。市場監視のための情報への効果的なアクセスを確保するため、すべての</w:t>
      </w:r>
      <w:r w:rsidR="23DF1179">
        <w:rPr>
          <w:noProof/>
          <w:lang w:eastAsia="ja-JP"/>
        </w:rPr>
        <w:t>EU</w:t>
      </w:r>
      <w:r w:rsidR="23DF1179">
        <w:rPr>
          <w:noProof/>
          <w:lang w:eastAsia="ja-JP"/>
        </w:rPr>
        <w:t>法に関して単一の</w:t>
      </w:r>
      <w:r w:rsidR="23DF1179">
        <w:rPr>
          <w:noProof/>
          <w:lang w:eastAsia="ja-JP"/>
        </w:rPr>
        <w:t>EU</w:t>
      </w:r>
      <w:r w:rsidR="23DF1179">
        <w:rPr>
          <w:noProof/>
          <w:lang w:eastAsia="ja-JP"/>
        </w:rPr>
        <w:t>適合性宣言を作成すべきである。経済事業者の事務負担を軽減するために、単一の</w:t>
      </w:r>
      <w:r w:rsidR="23DF1179">
        <w:rPr>
          <w:noProof/>
          <w:lang w:eastAsia="ja-JP"/>
        </w:rPr>
        <w:t>EU</w:t>
      </w:r>
      <w:r w:rsidR="23DF1179">
        <w:rPr>
          <w:noProof/>
          <w:lang w:eastAsia="ja-JP"/>
        </w:rPr>
        <w:t>適合宣言は、関連する個々の適合宣言からなる書類とすることが可能であるべきである。</w:t>
      </w:r>
    </w:p>
    <w:p w14:paraId="51992FE9" w14:textId="2221BEBA" w:rsidR="0038775E" w:rsidRDefault="00877B9C" w:rsidP="002041D4">
      <w:pPr>
        <w:pStyle w:val="ManualConsidrant"/>
        <w:wordWrap w:val="0"/>
        <w:rPr>
          <w:noProof/>
          <w:lang w:eastAsia="ja-JP"/>
        </w:rPr>
      </w:pPr>
      <w:r w:rsidRPr="004F5E59">
        <w:t>(71)</w:t>
      </w:r>
      <w:r w:rsidRPr="004F5E59">
        <w:tab/>
      </w:r>
      <w:r w:rsidR="00D81745" w:rsidRPr="00DF5C23">
        <w:rPr>
          <w:noProof/>
        </w:rPr>
        <w:t>Regulation (EC) No 765/2008 of the European Parliament and of the Council</w:t>
      </w:r>
      <w:r w:rsidR="00F21D4A" w:rsidRPr="00DF5C23">
        <w:rPr>
          <w:rStyle w:val="afa"/>
          <w:noProof/>
        </w:rPr>
        <w:footnoteReference w:id="78"/>
      </w:r>
      <w:r w:rsidR="00D81745" w:rsidRPr="00DF5C23">
        <w:rPr>
          <w:noProof/>
        </w:rPr>
        <w:t xml:space="preserve"> </w:t>
      </w:r>
      <w:r w:rsidR="00D81745" w:rsidRPr="00DF5C23">
        <w:rPr>
          <w:noProof/>
        </w:rPr>
        <w:t>は、適合性評価機関の認定に関する規則を定め、製品の市場監視および第三国からの製品の管理のための枠組みを提供し、</w:t>
      </w:r>
      <w:r w:rsidR="00D81745" w:rsidRPr="00DF5C23">
        <w:rPr>
          <w:noProof/>
        </w:rPr>
        <w:t>CE</w:t>
      </w:r>
      <w:r w:rsidR="00D81745" w:rsidRPr="00DF5C23">
        <w:rPr>
          <w:noProof/>
        </w:rPr>
        <w:t>マーキングの一般原則を定めて</w:t>
      </w:r>
      <w:r w:rsidR="002041D4">
        <w:rPr>
          <w:noProof/>
        </w:rPr>
        <w:t>いる。</w:t>
      </w:r>
      <w:r w:rsidR="00D81745" w:rsidRPr="00DF5C23">
        <w:rPr>
          <w:noProof/>
          <w:lang w:eastAsia="ja-JP"/>
        </w:rPr>
        <w:t>同規則は、</w:t>
      </w:r>
      <w:r w:rsidR="00D81745" w:rsidRPr="00DF5C23">
        <w:rPr>
          <w:noProof/>
          <w:lang w:eastAsia="ja-JP"/>
        </w:rPr>
        <w:t>EU</w:t>
      </w:r>
      <w:r w:rsidR="00D81745" w:rsidRPr="00DF5C23">
        <w:rPr>
          <w:noProof/>
          <w:lang w:eastAsia="ja-JP"/>
        </w:rPr>
        <w:t>内での商品の自由な移動の恩恵を受ける製品が、人の健康、安全、環境などの公共の利益を高度に保護する要件を満たすことを保証するため、本規則の対象となる製品に適用されるべきである。製品に</w:t>
      </w:r>
      <w:r w:rsidR="007960F7" w:rsidRPr="00DF5C23">
        <w:rPr>
          <w:noProof/>
          <w:lang w:val="en-IE" w:eastAsia="fr-BE"/>
        </w:rPr>
        <w:t>エコデザイン</w:t>
      </w:r>
      <w:r w:rsidR="00D81745" w:rsidRPr="00DF5C23">
        <w:rPr>
          <w:noProof/>
          <w:lang w:eastAsia="ja-JP"/>
        </w:rPr>
        <w:t>要件が採用されている場合、</w:t>
      </w:r>
      <w:r w:rsidR="00D81745" w:rsidRPr="00DF5C23">
        <w:rPr>
          <w:noProof/>
          <w:lang w:eastAsia="ja-JP"/>
        </w:rPr>
        <w:t>CE</w:t>
      </w:r>
      <w:r w:rsidR="00D81745" w:rsidRPr="00DF5C23">
        <w:rPr>
          <w:noProof/>
          <w:lang w:eastAsia="ja-JP"/>
        </w:rPr>
        <w:t>マーキングは、製品に</w:t>
      </w:r>
      <w:r w:rsidR="00407243" w:rsidRPr="00DF5C23">
        <w:rPr>
          <w:noProof/>
          <w:lang w:eastAsia="ja-JP"/>
        </w:rPr>
        <w:t>関連する限りにおいて、</w:t>
      </w:r>
      <w:r w:rsidR="003641F6" w:rsidRPr="00DF5C23">
        <w:rPr>
          <w:noProof/>
          <w:lang w:eastAsia="ja-JP"/>
        </w:rPr>
        <w:t>当該製品が</w:t>
      </w:r>
      <w:r w:rsidR="00D81745" w:rsidRPr="00DF5C23">
        <w:rPr>
          <w:noProof/>
          <w:lang w:eastAsia="ja-JP"/>
        </w:rPr>
        <w:t>本規則</w:t>
      </w:r>
      <w:r w:rsidR="00547283" w:rsidRPr="00DF5C23">
        <w:rPr>
          <w:noProof/>
          <w:lang w:eastAsia="ja-JP"/>
        </w:rPr>
        <w:t>および本規則に従って採用された</w:t>
      </w:r>
      <w:r w:rsidR="007960F7" w:rsidRPr="00DF5C23">
        <w:rPr>
          <w:noProof/>
          <w:lang w:val="en-IE" w:eastAsia="fr-BE"/>
        </w:rPr>
        <w:t>エコデザイン</w:t>
      </w:r>
      <w:r w:rsidR="00547283" w:rsidRPr="00DF5C23">
        <w:rPr>
          <w:noProof/>
          <w:lang w:eastAsia="ja-JP"/>
        </w:rPr>
        <w:t>要件に</w:t>
      </w:r>
      <w:r w:rsidR="003641F6" w:rsidRPr="00DF5C23">
        <w:rPr>
          <w:noProof/>
          <w:lang w:eastAsia="ja-JP"/>
        </w:rPr>
        <w:t>適合していることを</w:t>
      </w:r>
      <w:r w:rsidR="00D81745" w:rsidRPr="00DF5C23">
        <w:rPr>
          <w:noProof/>
          <w:lang w:eastAsia="ja-JP"/>
        </w:rPr>
        <w:t>示すべきである。</w:t>
      </w:r>
      <w:r w:rsidR="00D81745" w:rsidRPr="00DF5C23">
        <w:rPr>
          <w:noProof/>
          <w:lang w:eastAsia="ja-JP"/>
        </w:rPr>
        <w:t>CE</w:t>
      </w:r>
      <w:r w:rsidR="00D81745" w:rsidRPr="00DF5C23">
        <w:rPr>
          <w:noProof/>
          <w:lang w:eastAsia="ja-JP"/>
        </w:rPr>
        <w:t>マーキングを規定する一般原則および他のマーキングとの関係は、規則（</w:t>
      </w:r>
      <w:r w:rsidR="00D81745" w:rsidRPr="00DF5C23">
        <w:rPr>
          <w:noProof/>
          <w:lang w:eastAsia="ja-JP"/>
        </w:rPr>
        <w:t>EC</w:t>
      </w:r>
      <w:r w:rsidR="00D81745" w:rsidRPr="00DF5C23">
        <w:rPr>
          <w:noProof/>
          <w:lang w:eastAsia="ja-JP"/>
        </w:rPr>
        <w:t>）</w:t>
      </w:r>
      <w:r w:rsidR="00D81745" w:rsidRPr="00DF5C23">
        <w:rPr>
          <w:noProof/>
          <w:lang w:eastAsia="ja-JP"/>
        </w:rPr>
        <w:t>No 765/2008</w:t>
      </w:r>
      <w:r w:rsidR="00D81745" w:rsidRPr="00DF5C23">
        <w:rPr>
          <w:noProof/>
          <w:lang w:eastAsia="ja-JP"/>
        </w:rPr>
        <w:t>に規定されて</w:t>
      </w:r>
      <w:r w:rsidR="002041D4">
        <w:rPr>
          <w:noProof/>
          <w:lang w:eastAsia="ja-JP"/>
        </w:rPr>
        <w:t>いる。</w:t>
      </w:r>
      <w:r w:rsidR="00D81745" w:rsidRPr="00DF5C23">
        <w:rPr>
          <w:noProof/>
          <w:lang w:eastAsia="ja-JP"/>
        </w:rPr>
        <w:t>本規則が広範</w:t>
      </w:r>
      <w:r w:rsidR="003641F6" w:rsidRPr="00DF5C23">
        <w:rPr>
          <w:noProof/>
          <w:lang w:eastAsia="ja-JP"/>
        </w:rPr>
        <w:t>な</w:t>
      </w:r>
      <w:r w:rsidR="00D81745" w:rsidRPr="00DF5C23">
        <w:rPr>
          <w:noProof/>
          <w:lang w:eastAsia="ja-JP"/>
        </w:rPr>
        <w:t>製品に対して</w:t>
      </w:r>
      <w:r w:rsidR="007960F7" w:rsidRPr="00DF5C23">
        <w:rPr>
          <w:noProof/>
          <w:lang w:val="en-IE" w:eastAsia="fr-BE"/>
        </w:rPr>
        <w:t>エコデザイン</w:t>
      </w:r>
      <w:r w:rsidR="00547283" w:rsidRPr="00DF5C23">
        <w:rPr>
          <w:noProof/>
          <w:lang w:eastAsia="ja-JP"/>
        </w:rPr>
        <w:t>要件を定めることを</w:t>
      </w:r>
      <w:r w:rsidR="00D81745" w:rsidRPr="00DF5C23">
        <w:rPr>
          <w:noProof/>
          <w:lang w:eastAsia="ja-JP"/>
        </w:rPr>
        <w:t>考慮すると、</w:t>
      </w:r>
      <w:r w:rsidR="00D81745" w:rsidRPr="00DF5C23">
        <w:rPr>
          <w:noProof/>
          <w:lang w:val="en-IE" w:eastAsia="ja-JP"/>
        </w:rPr>
        <w:t>対象となる製品に適用される</w:t>
      </w:r>
      <w:r w:rsidR="00110627" w:rsidRPr="00DF5C23">
        <w:rPr>
          <w:noProof/>
          <w:lang w:val="en-IE" w:eastAsia="ja-JP"/>
        </w:rPr>
        <w:t>EU</w:t>
      </w:r>
      <w:r w:rsidR="00110627" w:rsidRPr="00DF5C23">
        <w:rPr>
          <w:noProof/>
          <w:lang w:val="en-IE" w:eastAsia="ja-JP"/>
        </w:rPr>
        <w:t>法の</w:t>
      </w:r>
      <w:r w:rsidR="00D81745" w:rsidRPr="00DF5C23">
        <w:rPr>
          <w:noProof/>
          <w:lang w:val="en-IE" w:eastAsia="ja-JP"/>
        </w:rPr>
        <w:t>要件との</w:t>
      </w:r>
      <w:r w:rsidR="00110627" w:rsidRPr="00DF5C23">
        <w:rPr>
          <w:noProof/>
          <w:lang w:val="en-IE" w:eastAsia="ja-JP"/>
        </w:rPr>
        <w:t>一貫性を確保し、他のマーキングや宣言との混乱を防ぎ、</w:t>
      </w:r>
      <w:r w:rsidR="00110627" w:rsidRPr="00DF5C23">
        <w:rPr>
          <w:noProof/>
          <w:lang w:val="en-IE" w:eastAsia="fr-BE"/>
        </w:rPr>
        <w:t>経済事業者の管理負担を最小限に抑える</w:t>
      </w:r>
      <w:r w:rsidR="00D81745" w:rsidRPr="00DF5C23">
        <w:rPr>
          <w:noProof/>
          <w:lang w:val="en-IE" w:eastAsia="ja-JP"/>
        </w:rPr>
        <w:t>ために、</w:t>
      </w:r>
      <w:r w:rsidR="00110627" w:rsidRPr="00DF5C23">
        <w:rPr>
          <w:noProof/>
          <w:lang w:val="en-IE" w:eastAsia="ja-JP"/>
        </w:rPr>
        <w:t>エコデザイン要件に関連する</w:t>
      </w:r>
      <w:r w:rsidR="00D81745" w:rsidRPr="00DF5C23">
        <w:rPr>
          <w:noProof/>
          <w:lang w:val="en-IE" w:eastAsia="ja-JP"/>
        </w:rPr>
        <w:t>適合宣言または適合マーキングに関する代替的またはより具体的な規則を定めて</w:t>
      </w:r>
      <w:r w:rsidR="00383953" w:rsidRPr="00DF5C23">
        <w:rPr>
          <w:noProof/>
          <w:lang w:eastAsia="ja-JP"/>
        </w:rPr>
        <w:t>、本規則を補足</w:t>
      </w:r>
      <w:r w:rsidR="00110627" w:rsidRPr="00DF5C23">
        <w:rPr>
          <w:noProof/>
          <w:lang w:eastAsia="ja-JP"/>
        </w:rPr>
        <w:t>するために</w:t>
      </w:r>
      <w:r w:rsidR="00110627" w:rsidRPr="00DF5C23">
        <w:rPr>
          <w:noProof/>
          <w:lang w:eastAsia="ja-JP"/>
        </w:rPr>
        <w:t>TFEU</w:t>
      </w:r>
      <w:r w:rsidR="00110627" w:rsidRPr="00DF5C23">
        <w:rPr>
          <w:noProof/>
          <w:lang w:eastAsia="ja-JP"/>
        </w:rPr>
        <w:t>第</w:t>
      </w:r>
      <w:r w:rsidR="00110627" w:rsidRPr="00DF5C23">
        <w:rPr>
          <w:noProof/>
          <w:lang w:eastAsia="ja-JP"/>
        </w:rPr>
        <w:t>290</w:t>
      </w:r>
      <w:r w:rsidR="00110627" w:rsidRPr="00DF5C23">
        <w:rPr>
          <w:noProof/>
          <w:lang w:eastAsia="ja-JP"/>
        </w:rPr>
        <w:t>条に基づく法律の採択権限を委員会に委任する必要がある</w:t>
      </w:r>
      <w:r w:rsidR="00D81745" w:rsidRPr="00DF5C23">
        <w:rPr>
          <w:noProof/>
          <w:lang w:val="en-IE" w:eastAsia="ja-JP"/>
        </w:rPr>
        <w:t>。</w:t>
      </w:r>
      <w:r w:rsidR="00D81745" w:rsidRPr="00DF5C23">
        <w:rPr>
          <w:noProof/>
          <w:lang w:val="en-IE" w:eastAsia="ja-JP"/>
        </w:rPr>
        <w:t xml:space="preserve"> </w:t>
      </w:r>
    </w:p>
    <w:p w14:paraId="5013F8FB" w14:textId="10A8004B" w:rsidR="0038775E" w:rsidRDefault="00877B9C" w:rsidP="002041D4">
      <w:pPr>
        <w:pStyle w:val="ManualConsidrant"/>
        <w:wordWrap w:val="0"/>
        <w:rPr>
          <w:noProof/>
          <w:lang w:eastAsia="ja-JP"/>
        </w:rPr>
      </w:pPr>
      <w:r w:rsidRPr="004F5E59">
        <w:rPr>
          <w:lang w:eastAsia="ja-JP"/>
        </w:rPr>
        <w:t>(72)</w:t>
      </w:r>
      <w:r w:rsidRPr="004F5E59">
        <w:rPr>
          <w:lang w:eastAsia="ja-JP"/>
        </w:rPr>
        <w:tab/>
      </w:r>
      <w:r w:rsidR="23DF1179">
        <w:rPr>
          <w:noProof/>
          <w:lang w:eastAsia="ja-JP"/>
        </w:rPr>
        <w:t>Decision No 768/2008/EC</w:t>
      </w:r>
      <w:r w:rsidR="23DF1179">
        <w:rPr>
          <w:noProof/>
          <w:lang w:eastAsia="ja-JP"/>
        </w:rPr>
        <w:t>に規定されている適合性評価モジュールの中には、適合性評価機関の介入を必要とするものがある。本規則の実施条件を統一するため、これらの機関は加盟国当局から欧州委員会に通知される必要があ</w:t>
      </w:r>
      <w:r w:rsidR="002041D4">
        <w:rPr>
          <w:noProof/>
          <w:lang w:eastAsia="ja-JP"/>
        </w:rPr>
        <w:t>る</w:t>
      </w:r>
      <w:r w:rsidR="23DF1179">
        <w:rPr>
          <w:noProof/>
          <w:lang w:eastAsia="ja-JP"/>
        </w:rPr>
        <w:t>。</w:t>
      </w:r>
      <w:r w:rsidR="23DF1179">
        <w:rPr>
          <w:noProof/>
          <w:lang w:eastAsia="ja-JP"/>
        </w:rPr>
        <w:t xml:space="preserve"> </w:t>
      </w:r>
    </w:p>
    <w:p w14:paraId="294394DE" w14:textId="77777777" w:rsidR="0038775E" w:rsidRDefault="00877B9C" w:rsidP="002041D4">
      <w:pPr>
        <w:pStyle w:val="ManualConsidrant"/>
        <w:wordWrap w:val="0"/>
        <w:rPr>
          <w:noProof/>
          <w:lang w:val="en-IE" w:eastAsia="fr-BE"/>
        </w:rPr>
      </w:pPr>
      <w:r w:rsidRPr="004F5E59">
        <w:rPr>
          <w:lang w:eastAsia="ja-JP"/>
        </w:rPr>
        <w:lastRenderedPageBreak/>
        <w:t>(73)</w:t>
      </w:r>
      <w:r w:rsidRPr="004F5E59">
        <w:rPr>
          <w:lang w:eastAsia="ja-JP"/>
        </w:rPr>
        <w:tab/>
      </w:r>
      <w:r w:rsidR="23DF1179">
        <w:rPr>
          <w:noProof/>
          <w:lang w:eastAsia="ja-JP"/>
        </w:rPr>
        <w:t>適合性評価の実施において一貫した品質レベルを確保するためには、ノーティファイド・ボディの評価、通知及び監視に関与する通知当局に対する要件を設定することが必要である。特に、通知機関がその活動に関して客観的かつ公平であることが保証されなければならない。さらに、通知機関は、入手した情報の機密性を保護することが求められるべきであるが、それにもかかわらず、適合性評価の一貫性を確保するために、国内当局、他の加盟国の通知機関および欧州委員会と通知機関に関する情報を交換することができるようにすべきである。申請機関の能力と独立性を効果的に確立し監視するために、届出機関は、</w:t>
      </w:r>
      <w:r w:rsidR="23DF1179" w:rsidRPr="23DF1179">
        <w:rPr>
          <w:noProof/>
          <w:lang w:val="en-IE" w:eastAsia="fr-BE"/>
        </w:rPr>
        <w:t>親会社や姉妹会社の資格を考慮せず、申請する正確な法人のみを通知の根拠とすべきである。同じ理由で、申請機関は、すべての関連する要求事項及び適合性評価作業に対して、調和された規格がカバーする要求事項及び作業に対して、調和された規格に依拠しながら、申請機関を評価すべきである。</w:t>
      </w:r>
      <w:r w:rsidR="23DF1179" w:rsidRPr="23DF1179">
        <w:rPr>
          <w:noProof/>
          <w:lang w:val="en-IE" w:eastAsia="fr-BE"/>
        </w:rPr>
        <w:t xml:space="preserve"> </w:t>
      </w:r>
    </w:p>
    <w:p w14:paraId="20B2E0C4" w14:textId="77777777" w:rsidR="0038775E" w:rsidRDefault="00877B9C" w:rsidP="002041D4">
      <w:pPr>
        <w:pStyle w:val="ManualConsidrant"/>
        <w:wordWrap w:val="0"/>
        <w:rPr>
          <w:noProof/>
          <w:lang w:eastAsia="ja-JP"/>
        </w:rPr>
      </w:pPr>
      <w:r w:rsidRPr="004F5E59">
        <w:rPr>
          <w:lang w:eastAsia="ja-JP"/>
        </w:rPr>
        <w:t>(74)</w:t>
      </w:r>
      <w:r w:rsidRPr="004F5E59">
        <w:rPr>
          <w:lang w:eastAsia="ja-JP"/>
        </w:rPr>
        <w:tab/>
      </w:r>
      <w:r w:rsidR="23DF1179" w:rsidRPr="23DF1179">
        <w:rPr>
          <w:noProof/>
          <w:lang w:val="en-IE" w:eastAsia="fr-BE"/>
        </w:rPr>
        <w:t>エコデザイン要求事項に関する適合性評価の信頼性を確保するという中心的な役割を考えると、届出機関がその業務を適切に遂行するために、十分な数の有能な職員と十分な資金を自由に使えるようにすることが不可欠である。本規則の実施において、有能な人材の不足により、届出機関が効果的に</w:t>
      </w:r>
      <w:r w:rsidR="23DF1179" w:rsidRPr="23DF1179">
        <w:rPr>
          <w:noProof/>
          <w:lang w:eastAsia="fr-BE"/>
        </w:rPr>
        <w:t>検証</w:t>
      </w:r>
      <w:r w:rsidR="23DF1179" w:rsidRPr="23DF1179">
        <w:rPr>
          <w:noProof/>
          <w:lang w:val="en-IE" w:eastAsia="fr-BE"/>
        </w:rPr>
        <w:t>・監視を行うことができない場合、特定の適合性評価業務に関連して、必要に応じて、届出</w:t>
      </w:r>
      <w:r w:rsidR="23DF1179" w:rsidRPr="23DF1179">
        <w:rPr>
          <w:noProof/>
          <w:lang w:eastAsia="fr-BE"/>
        </w:rPr>
        <w:t>機関が</w:t>
      </w:r>
      <w:r w:rsidR="23DF1179" w:rsidRPr="23DF1179">
        <w:rPr>
          <w:noProof/>
          <w:lang w:val="en-IE" w:eastAsia="fr-BE"/>
        </w:rPr>
        <w:t>自由に使える最低数の常勤相当者を規定する実施権を欧州委員会に付与すべきである。</w:t>
      </w:r>
      <w:r w:rsidR="23DF1179" w:rsidRPr="23DF1179">
        <w:rPr>
          <w:noProof/>
          <w:lang w:val="en-IE" w:eastAsia="fr-BE"/>
        </w:rPr>
        <w:t xml:space="preserve">  </w:t>
      </w:r>
    </w:p>
    <w:p w14:paraId="09658A0F" w14:textId="77777777" w:rsidR="0038775E" w:rsidRDefault="00877B9C" w:rsidP="002041D4">
      <w:pPr>
        <w:pStyle w:val="ManualConsidrant"/>
        <w:wordWrap w:val="0"/>
        <w:rPr>
          <w:noProof/>
          <w:lang w:eastAsia="ja-JP"/>
        </w:rPr>
      </w:pPr>
      <w:r w:rsidRPr="004F5E59">
        <w:rPr>
          <w:lang w:eastAsia="ja-JP"/>
        </w:rPr>
        <w:t>(75)</w:t>
      </w:r>
      <w:r w:rsidRPr="004F5E59">
        <w:rPr>
          <w:lang w:eastAsia="ja-JP"/>
        </w:rPr>
        <w:tab/>
      </w:r>
      <w:r w:rsidR="23DF1179">
        <w:rPr>
          <w:noProof/>
          <w:lang w:eastAsia="ja-JP"/>
        </w:rPr>
        <w:t>すべてのノーティファイドボディが同じレベルで、平等な競争と自律の条件のもとでその機能を果たすことが不可欠である。したがって、適合性評価活動を提供するために、ノーティファイドボディの地位を得ようとする適合性評価機関には、要件を設定すべきである。これらの要件は、通知機関の能力を維持するために適用され続けるべきである。自律性を確保するため、通知機関及びその雇用するスタッフは、通知を受けた製品のバリューチェーンにおける経済事業者、及び事業者団体や親会社・子会社を含む他の企業からの独立性を維持することが要求されるべきである。</w:t>
      </w:r>
      <w:r w:rsidR="23DF1179">
        <w:rPr>
          <w:noProof/>
          <w:lang w:eastAsia="ja-JP"/>
        </w:rPr>
        <w:t xml:space="preserve"> </w:t>
      </w:r>
    </w:p>
    <w:p w14:paraId="176E2689" w14:textId="77777777" w:rsidR="0038775E" w:rsidRDefault="00877B9C" w:rsidP="002041D4">
      <w:pPr>
        <w:pStyle w:val="ManualConsidrant"/>
        <w:wordWrap w:val="0"/>
        <w:rPr>
          <w:noProof/>
          <w:lang w:eastAsia="ja-JP"/>
        </w:rPr>
      </w:pPr>
      <w:r w:rsidRPr="004F5E59">
        <w:rPr>
          <w:lang w:eastAsia="ja-JP"/>
        </w:rPr>
        <w:t>(76)</w:t>
      </w:r>
      <w:r w:rsidRPr="004F5E59">
        <w:rPr>
          <w:lang w:eastAsia="ja-JP"/>
        </w:rPr>
        <w:tab/>
      </w:r>
      <w:r w:rsidR="23DF1179">
        <w:rPr>
          <w:noProof/>
          <w:lang w:eastAsia="ja-JP"/>
        </w:rPr>
        <w:t>適合性評価機関が整合規格に規定された基準への適合を証明した場合、本規則に規定された対応する要求事項に適合していると推定されるべきである。</w:t>
      </w:r>
      <w:r w:rsidR="23DF1179">
        <w:rPr>
          <w:noProof/>
          <w:lang w:eastAsia="ja-JP"/>
        </w:rPr>
        <w:t xml:space="preserve"> </w:t>
      </w:r>
    </w:p>
    <w:p w14:paraId="77C91B60" w14:textId="1E260694" w:rsidR="0038775E" w:rsidRDefault="00877B9C" w:rsidP="002041D4">
      <w:pPr>
        <w:pStyle w:val="ManualConsidrant"/>
        <w:wordWrap w:val="0"/>
        <w:rPr>
          <w:noProof/>
          <w:lang w:eastAsia="ja-JP"/>
        </w:rPr>
      </w:pPr>
      <w:r w:rsidRPr="004F5E59">
        <w:rPr>
          <w:lang w:eastAsia="ja-JP"/>
        </w:rPr>
        <w:t>(77)</w:t>
      </w:r>
      <w:r w:rsidRPr="004F5E59">
        <w:rPr>
          <w:lang w:eastAsia="ja-JP"/>
        </w:rPr>
        <w:tab/>
      </w:r>
      <w:r w:rsidR="23DF1179">
        <w:rPr>
          <w:noProof/>
          <w:lang w:eastAsia="ja-JP"/>
        </w:rPr>
        <w:t>適合性評価機関は、適合性評価に関連する活動の一部を下請けに出したり、子会社に依頼したりすることがよくあ</w:t>
      </w:r>
      <w:r w:rsidR="002041D4">
        <w:rPr>
          <w:noProof/>
          <w:lang w:eastAsia="ja-JP"/>
        </w:rPr>
        <w:t>る</w:t>
      </w:r>
      <w:r w:rsidR="23DF1179">
        <w:rPr>
          <w:noProof/>
          <w:lang w:eastAsia="ja-JP"/>
        </w:rPr>
        <w:t>。</w:t>
      </w:r>
      <w:r w:rsidR="23DF1179">
        <w:rPr>
          <w:noProof/>
          <w:lang w:eastAsia="ja-JP"/>
        </w:rPr>
        <w:t>EU</w:t>
      </w:r>
      <w:r w:rsidR="23DF1179">
        <w:rPr>
          <w:noProof/>
          <w:lang w:eastAsia="ja-JP"/>
        </w:rPr>
        <w:t>市場に投入される製品が</w:t>
      </w:r>
      <w:r w:rsidR="23DF1179" w:rsidRPr="23DF1179">
        <w:rPr>
          <w:noProof/>
          <w:lang w:val="en-IE" w:eastAsia="fr-BE"/>
        </w:rPr>
        <w:t>エコデザインの</w:t>
      </w:r>
      <w:r w:rsidR="23DF1179">
        <w:rPr>
          <w:noProof/>
          <w:lang w:eastAsia="ja-JP"/>
        </w:rPr>
        <w:t>要求事項に適合することを確実にするため、適合性評価の下請け業者及び子会社は、本規則に基づく適合性評価業務の遂行に関して、届出機関と同様の要求事項を満たすべきである。</w:t>
      </w:r>
      <w:r w:rsidR="23DF1179">
        <w:rPr>
          <w:noProof/>
          <w:lang w:eastAsia="ja-JP"/>
        </w:rPr>
        <w:t xml:space="preserve"> </w:t>
      </w:r>
    </w:p>
    <w:p w14:paraId="792C2842" w14:textId="77777777" w:rsidR="0038775E" w:rsidRDefault="00877B9C" w:rsidP="002041D4">
      <w:pPr>
        <w:pStyle w:val="ManualConsidrant"/>
        <w:wordWrap w:val="0"/>
        <w:rPr>
          <w:noProof/>
          <w:lang w:eastAsia="ja-JP"/>
        </w:rPr>
      </w:pPr>
      <w:r w:rsidRPr="004F5E59">
        <w:rPr>
          <w:lang w:eastAsia="ja-JP"/>
        </w:rPr>
        <w:t>(78)</w:t>
      </w:r>
      <w:r w:rsidRPr="004F5E59">
        <w:rPr>
          <w:lang w:eastAsia="ja-JP"/>
        </w:rPr>
        <w:tab/>
      </w:r>
      <w:r w:rsidR="23DF1179">
        <w:rPr>
          <w:noProof/>
          <w:lang w:eastAsia="ja-JP"/>
        </w:rPr>
        <w:t>届出機関が申請機関の能力及び独立性を効果的に確立し監視するためには、申請機関は自律的であるべきであり、また、自律的であり続けるべきである。したがって、製品の適合性評価及び届出機関内部のその他の活動に関する特定の活動及び意思決定プロセスは、専ら個々の届出機関自体によって実施されなければならない。</w:t>
      </w:r>
      <w:r w:rsidR="23DF1179">
        <w:rPr>
          <w:noProof/>
          <w:lang w:eastAsia="ja-JP"/>
        </w:rPr>
        <w:t xml:space="preserve"> </w:t>
      </w:r>
    </w:p>
    <w:p w14:paraId="2E116BE1" w14:textId="77777777" w:rsidR="0038775E" w:rsidRDefault="00877B9C" w:rsidP="002041D4">
      <w:pPr>
        <w:pStyle w:val="ManualConsidrant"/>
        <w:wordWrap w:val="0"/>
        <w:rPr>
          <w:noProof/>
          <w:lang w:eastAsia="ja-JP"/>
        </w:rPr>
      </w:pPr>
      <w:r w:rsidRPr="004F5E59">
        <w:rPr>
          <w:lang w:eastAsia="ja-JP"/>
        </w:rPr>
        <w:t>(79)</w:t>
      </w:r>
      <w:r w:rsidRPr="004F5E59">
        <w:rPr>
          <w:lang w:eastAsia="ja-JP"/>
        </w:rPr>
        <w:tab/>
      </w:r>
      <w:r w:rsidR="23DF1179">
        <w:rPr>
          <w:noProof/>
          <w:lang w:eastAsia="ja-JP"/>
        </w:rPr>
        <w:t>申請機関の能力及び独立性を確立し監視するプロセスを促進するために、申請機関は資格マトリックスを作成し、定期的に更新することが望ましい。こ</w:t>
      </w:r>
      <w:r w:rsidR="23DF1179">
        <w:rPr>
          <w:noProof/>
          <w:lang w:eastAsia="ja-JP"/>
        </w:rPr>
        <w:lastRenderedPageBreak/>
        <w:t>のマトリックスは，人員及びその資格を特定の適合性評価業務に適合させるものでなければならず，これにより，届出機関が，人員配置の適切さ及び届出機関の継続的な自律性をより効果的に評価することができる。</w:t>
      </w:r>
      <w:r w:rsidR="23DF1179">
        <w:rPr>
          <w:noProof/>
          <w:lang w:eastAsia="ja-JP"/>
        </w:rPr>
        <w:t xml:space="preserve">  </w:t>
      </w:r>
    </w:p>
    <w:p w14:paraId="6D6472F9" w14:textId="77777777" w:rsidR="0038775E" w:rsidRDefault="00877B9C" w:rsidP="002041D4">
      <w:pPr>
        <w:pStyle w:val="ManualConsidrant"/>
        <w:wordWrap w:val="0"/>
        <w:rPr>
          <w:noProof/>
          <w:lang w:eastAsia="ja-JP"/>
        </w:rPr>
      </w:pPr>
      <w:r w:rsidRPr="004F5E59">
        <w:rPr>
          <w:lang w:eastAsia="ja-JP"/>
        </w:rPr>
        <w:t>(80)</w:t>
      </w:r>
      <w:r w:rsidRPr="004F5E59">
        <w:rPr>
          <w:lang w:eastAsia="ja-JP"/>
        </w:rPr>
        <w:tab/>
      </w:r>
      <w:r w:rsidR="23DF1179">
        <w:rPr>
          <w:noProof/>
          <w:lang w:eastAsia="ja-JP"/>
        </w:rPr>
        <w:t>ある加盟国のノーティファイド・ボディが提供するサービスは、</w:t>
      </w:r>
      <w:r w:rsidR="23DF1179">
        <w:rPr>
          <w:noProof/>
          <w:lang w:eastAsia="ja-JP"/>
        </w:rPr>
        <w:t>EU</w:t>
      </w:r>
      <w:r w:rsidR="23DF1179">
        <w:rPr>
          <w:noProof/>
          <w:lang w:eastAsia="ja-JP"/>
        </w:rPr>
        <w:t>全域で市販される製品に関連する可能性があるため、他の加盟国および欧州委員会に、ノーティファイド・ボディに関する異議を申し立てる機会を与えることが適切である。本規則の実施のための統一された条件を確保するため、欧州委員会には、通知機関が本規則の要件を満たしていない、または満たさなくなった場合に、通知する加盟国に対して是正措置をとるよう要請する実施権を付与すべきである。</w:t>
      </w:r>
    </w:p>
    <w:p w14:paraId="419BAB4D" w14:textId="77777777" w:rsidR="0038775E" w:rsidRDefault="00877B9C" w:rsidP="002041D4">
      <w:pPr>
        <w:pStyle w:val="ManualConsidrant"/>
        <w:wordWrap w:val="0"/>
        <w:rPr>
          <w:noProof/>
          <w:lang w:eastAsia="ja-JP"/>
        </w:rPr>
      </w:pPr>
      <w:r w:rsidRPr="004F5E59">
        <w:rPr>
          <w:lang w:eastAsia="ja-JP"/>
        </w:rPr>
        <w:t>(81)</w:t>
      </w:r>
      <w:r w:rsidRPr="004F5E59">
        <w:rPr>
          <w:lang w:eastAsia="ja-JP"/>
        </w:rPr>
        <w:tab/>
      </w:r>
      <w:r w:rsidR="23DF1179">
        <w:rPr>
          <w:noProof/>
          <w:lang w:eastAsia="ja-JP"/>
        </w:rPr>
        <w:t>適合性評価手続の円滑化・迅速化を図り、経済事業者の均等待遇を確保するためには、届出機関が適合性評価手続を一貫して、</w:t>
      </w:r>
      <w:r w:rsidR="23DF1179" w:rsidRPr="23DF1179">
        <w:rPr>
          <w:rFonts w:eastAsia="Times New Roman"/>
          <w:noProof/>
          <w:lang w:val="en-IE" w:eastAsia="fr-BE"/>
        </w:rPr>
        <w:t>経済事業者に不必要な負担をかけずに</w:t>
      </w:r>
      <w:r w:rsidR="23DF1179">
        <w:rPr>
          <w:noProof/>
          <w:lang w:eastAsia="ja-JP"/>
        </w:rPr>
        <w:t>適用することが極めて重要である。</w:t>
      </w:r>
      <w:r w:rsidR="23DF1179">
        <w:rPr>
          <w:noProof/>
          <w:lang w:eastAsia="ja-JP"/>
        </w:rPr>
        <w:t xml:space="preserve"> </w:t>
      </w:r>
    </w:p>
    <w:p w14:paraId="0C0771BB" w14:textId="77777777" w:rsidR="0038775E" w:rsidRDefault="00877B9C" w:rsidP="002041D4">
      <w:pPr>
        <w:pStyle w:val="ManualConsidrant"/>
        <w:wordWrap w:val="0"/>
        <w:rPr>
          <w:noProof/>
          <w:lang w:eastAsia="ja-JP"/>
        </w:rPr>
      </w:pPr>
      <w:r w:rsidRPr="004F5E59">
        <w:rPr>
          <w:lang w:eastAsia="ja-JP"/>
        </w:rPr>
        <w:t>(82)</w:t>
      </w:r>
      <w:r w:rsidRPr="004F5E59">
        <w:rPr>
          <w:lang w:eastAsia="ja-JP"/>
        </w:rPr>
        <w:tab/>
      </w:r>
      <w:r w:rsidR="23DF1179">
        <w:rPr>
          <w:noProof/>
          <w:lang w:eastAsia="ja-JP"/>
        </w:rPr>
        <w:t>製品に適合証明書を付与できるかどうかの最終決定を下す前に、その製品を市場に出すことを希望する経済事業者は、関連文書を一度だけ補足することを許されるべきである。この制限は、届出機関が、適合に達するまで製造者の変更を支援することができないことを保証するために必要なものである。適切な場合、ノーティファイドボディは、</w:t>
      </w:r>
      <w:r w:rsidR="23DF1179" w:rsidRPr="23DF1179">
        <w:rPr>
          <w:noProof/>
          <w:lang w:val="en-IE" w:eastAsia="fr-BE"/>
        </w:rPr>
        <w:t>認証又は承認決定を制限、停止又は撤回する</w:t>
      </w:r>
      <w:r w:rsidR="23DF1179">
        <w:rPr>
          <w:noProof/>
          <w:lang w:eastAsia="ja-JP"/>
        </w:rPr>
        <w:t>こともできるはずである。</w:t>
      </w:r>
    </w:p>
    <w:p w14:paraId="14A2D4B9" w14:textId="77777777" w:rsidR="0038775E" w:rsidRDefault="00877B9C" w:rsidP="002041D4">
      <w:pPr>
        <w:pStyle w:val="ManualConsidrant"/>
        <w:wordWrap w:val="0"/>
        <w:rPr>
          <w:noProof/>
          <w:lang w:eastAsia="ja-JP"/>
        </w:rPr>
      </w:pPr>
      <w:r w:rsidRPr="004F5E59">
        <w:rPr>
          <w:lang w:eastAsia="ja-JP"/>
        </w:rPr>
        <w:t>(83)</w:t>
      </w:r>
      <w:r w:rsidRPr="004F5E59">
        <w:rPr>
          <w:lang w:eastAsia="ja-JP"/>
        </w:rPr>
        <w:tab/>
      </w:r>
      <w:r w:rsidR="23DF1179" w:rsidRPr="23DF1179">
        <w:rPr>
          <w:noProof/>
          <w:lang w:eastAsia="ja-JP"/>
        </w:rPr>
        <w:t>ノーティファイドボディ、製造者又は製品の不適合事例の特定及び解決を促進するために、ノーティファイドボディは、その裁量で関連情報を通知当局又は市場監視当局に積極的に転送すべきである。</w:t>
      </w:r>
    </w:p>
    <w:p w14:paraId="45C7831D" w14:textId="77777777" w:rsidR="0038775E" w:rsidRDefault="00877B9C" w:rsidP="002041D4">
      <w:pPr>
        <w:pStyle w:val="ManualConsidrant"/>
        <w:wordWrap w:val="0"/>
        <w:rPr>
          <w:noProof/>
          <w:lang w:eastAsia="ja-JP"/>
        </w:rPr>
      </w:pPr>
      <w:r w:rsidRPr="004F5E59">
        <w:rPr>
          <w:lang w:eastAsia="ja-JP"/>
        </w:rPr>
        <w:t>(84)</w:t>
      </w:r>
      <w:r w:rsidRPr="004F5E59">
        <w:rPr>
          <w:lang w:eastAsia="ja-JP"/>
        </w:rPr>
        <w:tab/>
      </w:r>
      <w:r w:rsidR="23DF1179">
        <w:rPr>
          <w:noProof/>
          <w:lang w:eastAsia="ja-JP"/>
        </w:rPr>
        <w:t>通知機関と市場監視当局（他の加盟国を含む）との間の効率的な情報交換を確保することが重要である。そのために、通知機関および通知団体は、市場監視当局からの情報提供の要請に対するフォローアップを確実に行うことが必要である。</w:t>
      </w:r>
      <w:r w:rsidR="23DF1179">
        <w:rPr>
          <w:noProof/>
          <w:lang w:eastAsia="ja-JP"/>
        </w:rPr>
        <w:t xml:space="preserve"> </w:t>
      </w:r>
    </w:p>
    <w:p w14:paraId="11FDDB6F" w14:textId="77777777" w:rsidR="0038775E" w:rsidRDefault="00877B9C" w:rsidP="002041D4">
      <w:pPr>
        <w:pStyle w:val="ManualConsidrant"/>
        <w:wordWrap w:val="0"/>
        <w:rPr>
          <w:noProof/>
          <w:lang w:val="en-IE" w:eastAsia="ja-JP"/>
        </w:rPr>
      </w:pPr>
      <w:r w:rsidRPr="004F5E59">
        <w:rPr>
          <w:lang w:eastAsia="ja-JP"/>
        </w:rPr>
        <w:t>(85)</w:t>
      </w:r>
      <w:r w:rsidRPr="004F5E59">
        <w:rPr>
          <w:lang w:eastAsia="ja-JP"/>
        </w:rPr>
        <w:tab/>
      </w:r>
      <w:r w:rsidR="23DF1179">
        <w:rPr>
          <w:noProof/>
          <w:lang w:eastAsia="ja-JP"/>
        </w:rPr>
        <w:t>欧州委員会は、届出機関間の適切な調整と協力を可能にすべきである。</w:t>
      </w:r>
      <w:r w:rsidR="23DF1179" w:rsidRPr="23DF1179">
        <w:rPr>
          <w:noProof/>
          <w:lang w:val="en-IE" w:eastAsia="fr-BE"/>
        </w:rPr>
        <w:t>エコデザイン</w:t>
      </w:r>
      <w:r w:rsidR="23DF1179">
        <w:rPr>
          <w:noProof/>
          <w:lang w:eastAsia="ja-JP"/>
        </w:rPr>
        <w:t>要求事項の調和された適用を確保するため、通知機関は、相違が生じる可能性のあるテーマについて議論し、調整する必要がある。その際、</w:t>
      </w:r>
      <w:r w:rsidR="23DF1179" w:rsidRPr="23DF1179">
        <w:rPr>
          <w:noProof/>
          <w:lang w:val="en-IE" w:eastAsia="fr-BE"/>
        </w:rPr>
        <w:t>規則（</w:t>
      </w:r>
      <w:r w:rsidR="23DF1179" w:rsidRPr="23DF1179">
        <w:rPr>
          <w:noProof/>
          <w:lang w:val="en-IE" w:eastAsia="fr-BE"/>
        </w:rPr>
        <w:t>EU</w:t>
      </w:r>
      <w:r w:rsidR="23DF1179" w:rsidRPr="23DF1179">
        <w:rPr>
          <w:noProof/>
          <w:lang w:val="en-IE" w:eastAsia="fr-BE"/>
        </w:rPr>
        <w:t>）</w:t>
      </w:r>
      <w:r w:rsidR="23DF1179" w:rsidRPr="23DF1179">
        <w:rPr>
          <w:noProof/>
          <w:lang w:val="en-IE" w:eastAsia="fr-BE"/>
        </w:rPr>
        <w:t>2019/1020</w:t>
      </w:r>
      <w:r w:rsidR="23DF1179" w:rsidRPr="23DF1179">
        <w:rPr>
          <w:noProof/>
          <w:lang w:val="en-IE" w:eastAsia="fr-BE"/>
        </w:rPr>
        <w:t>の第</w:t>
      </w:r>
      <w:r w:rsidR="23DF1179" w:rsidRPr="23DF1179">
        <w:rPr>
          <w:noProof/>
          <w:lang w:val="en-IE" w:eastAsia="fr-BE"/>
        </w:rPr>
        <w:t>30</w:t>
      </w:r>
      <w:r w:rsidR="23DF1179" w:rsidRPr="23DF1179">
        <w:rPr>
          <w:noProof/>
          <w:lang w:val="en-IE" w:eastAsia="fr-BE"/>
        </w:rPr>
        <w:t>条（</w:t>
      </w:r>
      <w:r w:rsidR="23DF1179" w:rsidRPr="23DF1179">
        <w:rPr>
          <w:noProof/>
          <w:lang w:val="en-IE" w:eastAsia="fr-BE"/>
        </w:rPr>
        <w:t>2</w:t>
      </w:r>
      <w:r w:rsidR="23DF1179">
        <w:rPr>
          <w:noProof/>
          <w:lang w:eastAsia="ja-JP"/>
        </w:rPr>
        <w:t>）で言及されている、市場監視当局で構成される行政協力グループが作成する文書を一般的な指針として取り入れるべきである。</w:t>
      </w:r>
    </w:p>
    <w:p w14:paraId="52D7FA61" w14:textId="77777777" w:rsidR="0038775E" w:rsidRDefault="00877B9C" w:rsidP="002041D4">
      <w:pPr>
        <w:pStyle w:val="ManualConsidrant"/>
        <w:wordWrap w:val="0"/>
        <w:rPr>
          <w:noProof/>
          <w:lang w:eastAsia="ja-JP"/>
        </w:rPr>
      </w:pPr>
      <w:r w:rsidRPr="004F5E59">
        <w:rPr>
          <w:lang w:eastAsia="ja-JP"/>
        </w:rPr>
        <w:t>(86)</w:t>
      </w:r>
      <w:r w:rsidRPr="004F5E59">
        <w:rPr>
          <w:lang w:eastAsia="ja-JP"/>
        </w:rPr>
        <w:tab/>
      </w:r>
      <w:r w:rsidR="23DF1179" w:rsidRPr="23DF1179">
        <w:rPr>
          <w:noProof/>
          <w:lang w:val="en-IE" w:eastAsia="ja-JP"/>
        </w:rPr>
        <w:t>消費者が持続可能な選択をするインセンティブを与えるために、特に、より持続可能な製品が十分に手頃な価格でない場合、エコバウチャーやグリーン税制などのメカニズムを提供する必要がある。加盟国が、本規則に基づく委任法によって性能クラスが設定された製品のうち、最も性能の良い製品に報いるためのインセンティブを利用することを決定した場合、関連する委任法によって別段の指示がない限り、そのインセンティブは、最も人口の多い</w:t>
      </w:r>
      <w:r w:rsidR="23DF1179" w:rsidRPr="23DF1179">
        <w:rPr>
          <w:noProof/>
          <w:lang w:val="en-IE" w:eastAsia="ja-JP"/>
        </w:rPr>
        <w:t>2</w:t>
      </w:r>
      <w:r w:rsidR="23DF1179" w:rsidRPr="23DF1179">
        <w:rPr>
          <w:noProof/>
          <w:lang w:val="en-IE" w:eastAsia="ja-JP"/>
        </w:rPr>
        <w:t>クラスの性能クラスに的を絞って行われるべきである。しかし、加盟国は、性能等級に基づいて製品の上市を禁止することはできないはずである。同じ理由から、</w:t>
      </w:r>
      <w:r w:rsidR="23DF1179">
        <w:rPr>
          <w:noProof/>
          <w:lang w:eastAsia="ja-JP"/>
        </w:rPr>
        <w:t>TFEU290</w:t>
      </w:r>
      <w:r w:rsidR="23DF1179">
        <w:rPr>
          <w:noProof/>
          <w:lang w:eastAsia="ja-JP"/>
        </w:rPr>
        <w:t>条に従って法律を採択する権限を欧州委員会に委譲し、適用される委任法で性能クラスが決定されていない場合、または複数の製品パ</w:t>
      </w:r>
      <w:r w:rsidR="23DF1179">
        <w:rPr>
          <w:noProof/>
          <w:lang w:eastAsia="ja-JP"/>
        </w:rPr>
        <w:lastRenderedPageBreak/>
        <w:t>ラメータに関連して性能クラスが設定されている場合、加盟国のインセンティブがどの製品パラメータまたは性能レベルに関係するかをさらに特定することによって本規則を補足することが望ましい。</w:t>
      </w:r>
      <w:r w:rsidR="23DF1179" w:rsidRPr="23DF1179">
        <w:rPr>
          <w:noProof/>
          <w:lang w:val="en-IE" w:eastAsia="ja-JP"/>
        </w:rPr>
        <w:t>加盟国のインセンティブの導入は、</w:t>
      </w:r>
      <w:r w:rsidR="23DF1179" w:rsidRPr="23DF1179">
        <w:rPr>
          <w:noProof/>
          <w:lang w:val="en-IE" w:eastAsia="ja-JP"/>
        </w:rPr>
        <w:t>EU</w:t>
      </w:r>
      <w:r w:rsidR="23DF1179" w:rsidRPr="23DF1179">
        <w:rPr>
          <w:noProof/>
          <w:lang w:val="en-IE" w:eastAsia="ja-JP"/>
        </w:rPr>
        <w:t>の国家補助規則の適用を妨げるものであってはならない。</w:t>
      </w:r>
      <w:r w:rsidR="23DF1179" w:rsidRPr="23DF1179">
        <w:rPr>
          <w:noProof/>
          <w:lang w:val="en-IE" w:eastAsia="ja-JP"/>
        </w:rPr>
        <w:t xml:space="preserve"> </w:t>
      </w:r>
    </w:p>
    <w:p w14:paraId="42AD38E6" w14:textId="77777777" w:rsidR="0038775E" w:rsidRDefault="00877B9C" w:rsidP="002041D4">
      <w:pPr>
        <w:pStyle w:val="ManualConsidrant"/>
        <w:wordWrap w:val="0"/>
        <w:rPr>
          <w:noProof/>
          <w:lang w:eastAsia="ja-JP"/>
        </w:rPr>
      </w:pPr>
      <w:r w:rsidRPr="004F5E59">
        <w:rPr>
          <w:lang w:eastAsia="ja-JP"/>
        </w:rPr>
        <w:t>(87)</w:t>
      </w:r>
      <w:r w:rsidRPr="004F5E59">
        <w:rPr>
          <w:lang w:eastAsia="ja-JP"/>
        </w:rPr>
        <w:tab/>
      </w:r>
      <w:r w:rsidR="00D81745" w:rsidRPr="00DF5C23">
        <w:rPr>
          <w:noProof/>
          <w:lang w:val="en-IE" w:eastAsia="ja-JP"/>
        </w:rPr>
        <w:t>公共調達は、</w:t>
      </w:r>
      <w:r w:rsidR="00F4434C" w:rsidRPr="00DF5C23">
        <w:rPr>
          <w:noProof/>
          <w:lang w:val="en-IE" w:eastAsia="ja-JP"/>
        </w:rPr>
        <w:t>EU</w:t>
      </w:r>
      <w:r w:rsidR="00F4434C" w:rsidRPr="00DF5C23">
        <w:rPr>
          <w:noProof/>
          <w:lang w:val="en-IE" w:eastAsia="ja-JP"/>
        </w:rPr>
        <w:t>の</w:t>
      </w:r>
      <w:r w:rsidR="00D81745" w:rsidRPr="00DF5C23">
        <w:rPr>
          <w:noProof/>
          <w:lang w:val="en-IE" w:eastAsia="ja-JP"/>
        </w:rPr>
        <w:t>GDP</w:t>
      </w:r>
      <w:r w:rsidR="00D81745" w:rsidRPr="00DF5C23">
        <w:rPr>
          <w:noProof/>
          <w:lang w:val="en-IE" w:eastAsia="ja-JP"/>
        </w:rPr>
        <w:t>の</w:t>
      </w:r>
      <w:r w:rsidR="00D81745" w:rsidRPr="00DF5C23">
        <w:rPr>
          <w:noProof/>
          <w:lang w:val="en-IE" w:eastAsia="ja-JP"/>
        </w:rPr>
        <w:t>14%</w:t>
      </w:r>
      <w:r w:rsidR="00D81745" w:rsidRPr="00DF5C23">
        <w:rPr>
          <w:noProof/>
          <w:lang w:val="en-IE" w:eastAsia="ja-JP"/>
        </w:rPr>
        <w:t>に相当する。</w:t>
      </w:r>
      <w:r w:rsidR="003E5F3E" w:rsidRPr="00DF5C23">
        <w:rPr>
          <w:noProof/>
          <w:lang w:val="en-IE" w:eastAsia="ja-JP"/>
        </w:rPr>
        <w:t>気候中立の達成、エネルギーおよび資源効率の改善、公衆衛生と生物多様性を保護する循環型経済への移行という目的に貢献するため、</w:t>
      </w:r>
      <w:r w:rsidR="00383953" w:rsidRPr="00DF5C23">
        <w:rPr>
          <w:noProof/>
          <w:lang w:eastAsia="ja-JP"/>
        </w:rPr>
        <w:t>TFEU</w:t>
      </w:r>
      <w:r w:rsidR="00383953" w:rsidRPr="00DF5C23">
        <w:rPr>
          <w:noProof/>
          <w:lang w:eastAsia="ja-JP"/>
        </w:rPr>
        <w:t>第</w:t>
      </w:r>
      <w:r w:rsidR="00383953" w:rsidRPr="00DF5C23">
        <w:rPr>
          <w:noProof/>
          <w:lang w:eastAsia="ja-JP"/>
        </w:rPr>
        <w:t>290</w:t>
      </w:r>
      <w:r w:rsidR="00383953" w:rsidRPr="00DF5C23">
        <w:rPr>
          <w:noProof/>
          <w:lang w:eastAsia="ja-JP"/>
        </w:rPr>
        <w:t>条に基づく法律を採択する権限は、</w:t>
      </w:r>
      <w:r w:rsidR="00803B38" w:rsidRPr="00DF5C23">
        <w:rPr>
          <w:noProof/>
          <w:lang w:eastAsia="ja-JP"/>
        </w:rPr>
        <w:t>欧州議会および理事会の</w:t>
      </w:r>
      <w:r w:rsidR="00803B38" w:rsidRPr="00DF5C23">
        <w:rPr>
          <w:noProof/>
          <w:lang w:val="en-IE" w:eastAsia="ja-JP"/>
        </w:rPr>
        <w:t>指令</w:t>
      </w:r>
      <w:r w:rsidR="00803B38" w:rsidRPr="00DF5C23">
        <w:rPr>
          <w:noProof/>
          <w:lang w:val="en-IE" w:eastAsia="fr-BE"/>
        </w:rPr>
        <w:t>2014/24/EU</w:t>
      </w:r>
      <w:r w:rsidR="00803B38" w:rsidRPr="00DF5C23">
        <w:rPr>
          <w:rStyle w:val="afa"/>
          <w:noProof/>
          <w:lang w:val="en-IE" w:eastAsia="fr-BE"/>
        </w:rPr>
        <w:footnoteReference w:id="79"/>
      </w:r>
      <w:r w:rsidR="00803B38" w:rsidRPr="00DF5C23">
        <w:rPr>
          <w:noProof/>
          <w:lang w:val="en-IE" w:eastAsia="fr-BE"/>
        </w:rPr>
        <w:t xml:space="preserve"> </w:t>
      </w:r>
      <w:r w:rsidR="00803B38" w:rsidRPr="00DF5C23">
        <w:rPr>
          <w:noProof/>
          <w:lang w:val="en-IE" w:eastAsia="fr-BE"/>
        </w:rPr>
        <w:t>および</w:t>
      </w:r>
      <w:r w:rsidR="00803B38" w:rsidRPr="00DF5C23">
        <w:rPr>
          <w:noProof/>
          <w:lang w:val="en-IE" w:eastAsia="fr-BE"/>
        </w:rPr>
        <w:t xml:space="preserve"> 2014/25/EU</w:t>
      </w:r>
      <w:r w:rsidR="00803B38" w:rsidRPr="00DF5C23">
        <w:rPr>
          <w:rStyle w:val="afa"/>
          <w:noProof/>
          <w:lang w:val="en-IE" w:eastAsia="fr-BE"/>
        </w:rPr>
        <w:footnoteReference w:id="80"/>
      </w:r>
      <w:r w:rsidR="00803B38" w:rsidRPr="00DF5C23">
        <w:rPr>
          <w:noProof/>
          <w:lang w:val="en-IE" w:eastAsia="ja-JP"/>
        </w:rPr>
        <w:t xml:space="preserve"> </w:t>
      </w:r>
      <w:r w:rsidR="00803B38" w:rsidRPr="00DF5C23">
        <w:rPr>
          <w:noProof/>
          <w:lang w:val="en-IE" w:eastAsia="ja-JP"/>
        </w:rPr>
        <w:t>で定義されている</w:t>
      </w:r>
      <w:r w:rsidR="00D81745" w:rsidRPr="00DF5C23">
        <w:rPr>
          <w:noProof/>
          <w:lang w:val="en-IE" w:eastAsia="ja-JP"/>
        </w:rPr>
        <w:t>契約当局および団体に対し</w:t>
      </w:r>
      <w:r w:rsidR="00803B38" w:rsidRPr="00DF5C23">
        <w:rPr>
          <w:noProof/>
          <w:lang w:val="en-IE" w:eastAsia="fr-BE"/>
        </w:rPr>
        <w:t>、</w:t>
      </w:r>
      <w:r w:rsidR="00D81745" w:rsidRPr="00DF5C23">
        <w:rPr>
          <w:noProof/>
          <w:lang w:val="en-IE" w:eastAsia="ja-JP"/>
        </w:rPr>
        <w:t>その調達を、本規則に従って採択する委任行為に定める特定の</w:t>
      </w:r>
      <w:r w:rsidR="00311DDF" w:rsidRPr="00DF5C23">
        <w:rPr>
          <w:noProof/>
          <w:lang w:eastAsia="ja-JP"/>
        </w:rPr>
        <w:t>グリーン公共調達</w:t>
      </w:r>
      <w:r w:rsidR="00D81745" w:rsidRPr="00DF5C23">
        <w:rPr>
          <w:noProof/>
          <w:lang w:val="en-IE" w:eastAsia="ja-JP"/>
        </w:rPr>
        <w:t>基準または目標と整合するように</w:t>
      </w:r>
      <w:r w:rsidR="00803B38" w:rsidRPr="00DF5C23">
        <w:rPr>
          <w:noProof/>
          <w:lang w:val="en-IE" w:eastAsia="ja-JP"/>
        </w:rPr>
        <w:t>適宜、</w:t>
      </w:r>
      <w:r w:rsidR="00383953" w:rsidRPr="00DF5C23">
        <w:rPr>
          <w:noProof/>
          <w:lang w:eastAsia="ja-JP"/>
        </w:rPr>
        <w:t>委員会に委任されるべきである</w:t>
      </w:r>
      <w:r w:rsidR="00311DDF" w:rsidRPr="00DF5C23">
        <w:rPr>
          <w:noProof/>
          <w:lang w:val="en-IE" w:eastAsia="ja-JP"/>
        </w:rPr>
        <w:t>。</w:t>
      </w:r>
      <w:r w:rsidR="00D81745" w:rsidRPr="00DF5C23">
        <w:rPr>
          <w:noProof/>
          <w:lang w:val="en-IE" w:eastAsia="ja-JP"/>
        </w:rPr>
        <w:t>特定の製品群について委任法が定める基準または目標は、公共供給契約において当該製品を直接調達する場合のみならず、当該製品が</w:t>
      </w:r>
      <w:r w:rsidR="00311DDF" w:rsidRPr="00DF5C23">
        <w:rPr>
          <w:noProof/>
          <w:lang w:eastAsia="ja-JP"/>
        </w:rPr>
        <w:t>当該契約の主題を構成する活動に使用される</w:t>
      </w:r>
      <w:r w:rsidR="00D81745" w:rsidRPr="00DF5C23">
        <w:rPr>
          <w:noProof/>
          <w:lang w:val="en-IE" w:eastAsia="ja-JP"/>
        </w:rPr>
        <w:t>公共工事または公共サービス契約においても遵守されなければならない。</w:t>
      </w:r>
      <w:r w:rsidR="003E5F3E" w:rsidRPr="00DF5C23">
        <w:rPr>
          <w:noProof/>
          <w:lang w:val="en-IE" w:eastAsia="ja-JP"/>
        </w:rPr>
        <w:t>自主的なアプローチと比較して</w:t>
      </w:r>
      <w:r w:rsidR="005415AB" w:rsidRPr="00DF5C23">
        <w:rPr>
          <w:noProof/>
          <w:lang w:val="en-IE" w:eastAsia="ja-JP"/>
        </w:rPr>
        <w:t>、強制的な基準または目標は、より良い性能の製品への需要を高めるための公的支出の活用が最大化されることを保証するものである。基準は、透明性、客観性、非差別性であるべきである。</w:t>
      </w:r>
    </w:p>
    <w:p w14:paraId="4CB6DF55" w14:textId="77777777" w:rsidR="0038775E" w:rsidRDefault="00877B9C" w:rsidP="002041D4">
      <w:pPr>
        <w:pStyle w:val="ManualConsidrant"/>
        <w:wordWrap w:val="0"/>
        <w:rPr>
          <w:noProof/>
          <w:lang w:val="en-IE" w:eastAsia="ja-JP"/>
        </w:rPr>
      </w:pPr>
      <w:r w:rsidRPr="004F5E59">
        <w:rPr>
          <w:lang w:eastAsia="ja-JP"/>
        </w:rPr>
        <w:t>(88)</w:t>
      </w:r>
      <w:r w:rsidRPr="004F5E59">
        <w:rPr>
          <w:lang w:eastAsia="ja-JP"/>
        </w:rPr>
        <w:tab/>
      </w:r>
      <w:r w:rsidR="23DF1179" w:rsidRPr="23DF1179">
        <w:rPr>
          <w:noProof/>
          <w:lang w:val="en-IE" w:eastAsia="fr-BE"/>
        </w:rPr>
        <w:t>エコデザイン</w:t>
      </w:r>
      <w:r w:rsidR="23DF1179">
        <w:rPr>
          <w:noProof/>
          <w:lang w:eastAsia="ja-JP"/>
        </w:rPr>
        <w:t>要件の効果的な施行は、連合市場における平等な競争を確保し、本規則が期待する利益と連合の気候、エネルギー、循環の目標達成への貢献を確実にするために不可欠である</w:t>
      </w:r>
      <w:r w:rsidR="23DF1179" w:rsidRPr="23DF1179">
        <w:rPr>
          <w:noProof/>
          <w:lang w:val="en-IE" w:eastAsia="ja-JP"/>
        </w:rPr>
        <w:t>。</w:t>
      </w:r>
      <w:r w:rsidR="23DF1179">
        <w:rPr>
          <w:noProof/>
          <w:lang w:eastAsia="ja-JP"/>
        </w:rPr>
        <w:t>したがって、本規則</w:t>
      </w:r>
      <w:r w:rsidR="23DF1179" w:rsidRPr="23DF1179">
        <w:rPr>
          <w:noProof/>
          <w:lang w:val="en-IE" w:eastAsia="ja-JP"/>
        </w:rPr>
        <w:t>に同じ目的、性質、効果を持つ特定の規定がない限り、</w:t>
      </w:r>
      <w:r w:rsidR="23DF1179" w:rsidRPr="23DF1179">
        <w:rPr>
          <w:noProof/>
          <w:lang w:val="en-IE" w:eastAsia="ja-JP"/>
        </w:rPr>
        <w:t>EU</w:t>
      </w:r>
      <w:r w:rsidR="23DF1179" w:rsidRPr="23DF1179">
        <w:rPr>
          <w:noProof/>
          <w:lang w:val="en-IE" w:eastAsia="ja-JP"/>
        </w:rPr>
        <w:t>市場に参入する製品の市場監視と管理のための水平的枠組みを定めた規則（</w:t>
      </w:r>
      <w:r w:rsidR="23DF1179" w:rsidRPr="23DF1179">
        <w:rPr>
          <w:noProof/>
          <w:lang w:val="en-IE" w:eastAsia="ja-JP"/>
        </w:rPr>
        <w:t>EU</w:t>
      </w:r>
      <w:r w:rsidR="23DF1179" w:rsidRPr="23DF1179">
        <w:rPr>
          <w:noProof/>
          <w:lang w:val="en-IE" w:eastAsia="ja-JP"/>
        </w:rPr>
        <w:t>）</w:t>
      </w:r>
      <w:r w:rsidR="23DF1179" w:rsidRPr="23DF1179">
        <w:rPr>
          <w:noProof/>
          <w:lang w:val="en-IE" w:eastAsia="ja-JP"/>
        </w:rPr>
        <w:t>2019/1020</w:t>
      </w:r>
      <w:r w:rsidR="23DF1179" w:rsidRPr="23DF1179">
        <w:rPr>
          <w:noProof/>
          <w:lang w:val="en-IE" w:eastAsia="ja-JP"/>
        </w:rPr>
        <w:t>は、</w:t>
      </w:r>
      <w:r w:rsidR="23DF1179">
        <w:rPr>
          <w:noProof/>
          <w:lang w:eastAsia="ja-JP"/>
        </w:rPr>
        <w:t>本規則に従って</w:t>
      </w:r>
      <w:r w:rsidR="23DF1179" w:rsidRPr="23DF1179">
        <w:rPr>
          <w:noProof/>
          <w:lang w:val="en-IE" w:eastAsia="fr-BE"/>
        </w:rPr>
        <w:t>エコデザイン</w:t>
      </w:r>
      <w:r w:rsidR="23DF1179">
        <w:rPr>
          <w:noProof/>
          <w:lang w:eastAsia="ja-JP"/>
        </w:rPr>
        <w:t>要件が設定された</w:t>
      </w:r>
      <w:r w:rsidR="23DF1179" w:rsidRPr="23DF1179">
        <w:rPr>
          <w:noProof/>
          <w:lang w:val="en-IE" w:eastAsia="ja-JP"/>
        </w:rPr>
        <w:t>製品に適用されるべきである。さらに、指令</w:t>
      </w:r>
      <w:r w:rsidR="23DF1179" w:rsidRPr="23DF1179">
        <w:rPr>
          <w:noProof/>
          <w:lang w:val="en-IE" w:eastAsia="ja-JP"/>
        </w:rPr>
        <w:t xml:space="preserve"> 2009/125/EC </w:t>
      </w:r>
      <w:r w:rsidR="23DF1179">
        <w:rPr>
          <w:noProof/>
          <w:lang w:eastAsia="ja-JP"/>
        </w:rPr>
        <w:t>に基づいて採択された実施措置の</w:t>
      </w:r>
      <w:r w:rsidR="23DF1179" w:rsidRPr="23DF1179">
        <w:rPr>
          <w:noProof/>
          <w:lang w:val="en-IE" w:eastAsia="ja-JP"/>
        </w:rPr>
        <w:t>対象となる製品の問題になっている非遵守のレベルを下げ、将来のエコ</w:t>
      </w:r>
      <w:r w:rsidR="23DF1179" w:rsidRPr="23DF1179">
        <w:rPr>
          <w:noProof/>
          <w:lang w:val="en-IE" w:eastAsia="fr-BE"/>
        </w:rPr>
        <w:t>デザイン</w:t>
      </w:r>
      <w:r w:rsidR="23DF1179" w:rsidRPr="23DF1179">
        <w:rPr>
          <w:noProof/>
          <w:lang w:val="en-IE" w:eastAsia="ja-JP"/>
        </w:rPr>
        <w:t>要件の非遵守をよりよく防止し、指令</w:t>
      </w:r>
      <w:r w:rsidR="23DF1179" w:rsidRPr="23DF1179">
        <w:rPr>
          <w:noProof/>
          <w:lang w:val="en-IE" w:eastAsia="ja-JP"/>
        </w:rPr>
        <w:t xml:space="preserve"> 2009/125/EC </w:t>
      </w:r>
      <w:r w:rsidR="23DF1179" w:rsidRPr="23DF1179">
        <w:rPr>
          <w:noProof/>
          <w:lang w:val="en-IE" w:eastAsia="ja-JP"/>
        </w:rPr>
        <w:t>と比較して本規則の範囲が広く野心が高まっていることを考慮し、本規則には規則</w:t>
      </w:r>
      <w:r w:rsidR="23DF1179" w:rsidRPr="23DF1179">
        <w:rPr>
          <w:noProof/>
          <w:lang w:val="en-IE" w:eastAsia="ja-JP"/>
        </w:rPr>
        <w:t xml:space="preserve"> (EU) 2019/1020 </w:t>
      </w:r>
      <w:r w:rsidR="23DF1179" w:rsidRPr="23DF1179">
        <w:rPr>
          <w:noProof/>
          <w:lang w:val="en-IE" w:eastAsia="ja-JP"/>
        </w:rPr>
        <w:t>によって作られた枠組みを完成する特定の追加規則が含まれるべきである。これらの特定の追加規則は、加盟国の取り組みの計画、調整、支援をさらに強化することを目的とし、欧州委員会が、</w:t>
      </w:r>
      <w:r w:rsidR="23DF1179" w:rsidRPr="23DF1179">
        <w:rPr>
          <w:noProof/>
          <w:lang w:val="en-IE" w:eastAsia="fr-BE"/>
        </w:rPr>
        <w:t>エコデザイン</w:t>
      </w:r>
      <w:r w:rsidR="23DF1179" w:rsidRPr="23DF1179">
        <w:rPr>
          <w:noProof/>
          <w:lang w:val="en-IE" w:eastAsia="ja-JP"/>
        </w:rPr>
        <w:t>要件の不遵守を防ぐために市場監視当局が十分な行動を取ることを保証するための追加の手段を提供するべきである。</w:t>
      </w:r>
      <w:r w:rsidR="23DF1179" w:rsidRPr="23DF1179">
        <w:rPr>
          <w:noProof/>
          <w:lang w:val="en-IE" w:eastAsia="ja-JP"/>
        </w:rPr>
        <w:t xml:space="preserve"> </w:t>
      </w:r>
    </w:p>
    <w:p w14:paraId="1EA297D9" w14:textId="6829542F" w:rsidR="0038775E" w:rsidRDefault="00877B9C" w:rsidP="002041D4">
      <w:pPr>
        <w:pStyle w:val="ManualConsidrant"/>
        <w:wordWrap w:val="0"/>
        <w:rPr>
          <w:noProof/>
          <w:lang w:val="en-IE" w:eastAsia="ja-JP"/>
        </w:rPr>
      </w:pPr>
      <w:r w:rsidRPr="004F5E59">
        <w:rPr>
          <w:lang w:eastAsia="ja-JP"/>
        </w:rPr>
        <w:t>(89)</w:t>
      </w:r>
      <w:r w:rsidRPr="004F5E59">
        <w:rPr>
          <w:lang w:eastAsia="ja-JP"/>
        </w:rPr>
        <w:tab/>
      </w:r>
      <w:r w:rsidR="00EA2B0A" w:rsidRPr="00DF5C23">
        <w:rPr>
          <w:noProof/>
          <w:lang w:val="en-IE" w:eastAsia="ja-JP"/>
        </w:rPr>
        <w:t>市場監視当局だけでなく、</w:t>
      </w:r>
      <w:r w:rsidR="00EA2B0A" w:rsidRPr="00DF5C23">
        <w:rPr>
          <w:noProof/>
          <w:lang w:eastAsia="ja-JP"/>
        </w:rPr>
        <w:t>税関当局も輸入品に関して本規則を施行する上で重要な役割を担っており、そのために理事会規則（</w:t>
      </w:r>
      <w:r w:rsidR="00EA2B0A" w:rsidRPr="00DF5C23">
        <w:rPr>
          <w:noProof/>
          <w:lang w:eastAsia="ja-JP"/>
        </w:rPr>
        <w:t>EC</w:t>
      </w:r>
      <w:r w:rsidR="00EA2B0A" w:rsidRPr="00DF5C23">
        <w:rPr>
          <w:noProof/>
          <w:lang w:eastAsia="ja-JP"/>
        </w:rPr>
        <w:t>）</w:t>
      </w:r>
      <w:r w:rsidR="00EA2B0A" w:rsidRPr="00DF5C23">
        <w:rPr>
          <w:noProof/>
          <w:lang w:eastAsia="ja-JP"/>
        </w:rPr>
        <w:t>No 515/97</w:t>
      </w:r>
      <w:r w:rsidR="00382F9A" w:rsidRPr="00DF5C23">
        <w:rPr>
          <w:rStyle w:val="afa"/>
          <w:noProof/>
        </w:rPr>
        <w:footnoteReference w:id="81"/>
      </w:r>
      <w:r w:rsidR="00EA2B0A" w:rsidRPr="00DF5C23">
        <w:rPr>
          <w:noProof/>
          <w:lang w:eastAsia="ja-JP"/>
        </w:rPr>
        <w:t xml:space="preserve"> </w:t>
      </w:r>
      <w:r w:rsidR="00EA2B0A" w:rsidRPr="00DF5C23">
        <w:rPr>
          <w:noProof/>
          <w:lang w:eastAsia="ja-JP"/>
        </w:rPr>
        <w:t>に依拠することがで</w:t>
      </w:r>
      <w:r w:rsidR="002041D4">
        <w:rPr>
          <w:noProof/>
          <w:lang w:eastAsia="ja-JP"/>
        </w:rPr>
        <w:t>く</w:t>
      </w:r>
      <w:r w:rsidR="00EA2B0A" w:rsidRPr="00DF5C23">
        <w:rPr>
          <w:noProof/>
          <w:lang w:eastAsia="ja-JP"/>
        </w:rPr>
        <w:t>。</w:t>
      </w:r>
    </w:p>
    <w:p w14:paraId="7263BF13" w14:textId="5D25A70C" w:rsidR="0038775E" w:rsidRDefault="00877B9C" w:rsidP="002041D4">
      <w:pPr>
        <w:pStyle w:val="ManualConsidrant"/>
        <w:wordWrap w:val="0"/>
        <w:rPr>
          <w:noProof/>
          <w:lang w:eastAsia="ja-JP"/>
        </w:rPr>
      </w:pPr>
      <w:r w:rsidRPr="004F5E59">
        <w:rPr>
          <w:lang w:eastAsia="ja-JP"/>
        </w:rPr>
        <w:t>(90)</w:t>
      </w:r>
      <w:r w:rsidRPr="004F5E59">
        <w:rPr>
          <w:lang w:eastAsia="ja-JP"/>
        </w:rPr>
        <w:tab/>
      </w:r>
      <w:r w:rsidR="23DF1179" w:rsidRPr="23DF1179">
        <w:rPr>
          <w:noProof/>
          <w:lang w:val="en-IE" w:eastAsia="fr-BE"/>
        </w:rPr>
        <w:t>エコデザイン</w:t>
      </w:r>
      <w:r w:rsidR="23DF1179">
        <w:rPr>
          <w:noProof/>
          <w:lang w:eastAsia="ja-JP"/>
        </w:rPr>
        <w:t>要件に関連して</w:t>
      </w:r>
      <w:r w:rsidR="23DF1179" w:rsidRPr="23DF1179">
        <w:rPr>
          <w:noProof/>
          <w:lang w:eastAsia="fr-BE"/>
        </w:rPr>
        <w:t>適切な</w:t>
      </w:r>
      <w:r w:rsidR="23DF1179">
        <w:rPr>
          <w:noProof/>
          <w:lang w:eastAsia="ja-JP"/>
        </w:rPr>
        <w:t>チェックが適切な規模で行われることを確保するため、加盟国は、</w:t>
      </w:r>
      <w:r w:rsidR="23DF1179" w:rsidRPr="23DF1179">
        <w:rPr>
          <w:noProof/>
          <w:lang w:eastAsia="fr-BE"/>
        </w:rPr>
        <w:t>本規則に基づく市場監視の優先事項として特定さ</w:t>
      </w:r>
      <w:r w:rsidR="23DF1179" w:rsidRPr="23DF1179">
        <w:rPr>
          <w:noProof/>
          <w:lang w:eastAsia="fr-BE"/>
        </w:rPr>
        <w:lastRenderedPageBreak/>
        <w:t>れた製品又は要件と、関連製品の不適合又は関連エコデザイン要件の不適合を減らすために計画された活動を</w:t>
      </w:r>
      <w:r w:rsidR="23DF1179">
        <w:rPr>
          <w:noProof/>
          <w:lang w:eastAsia="ja-JP"/>
        </w:rPr>
        <w:t>示す専用の行動計画を作成する必要があ</w:t>
      </w:r>
      <w:r w:rsidR="002041D4">
        <w:rPr>
          <w:noProof/>
          <w:lang w:eastAsia="ja-JP"/>
        </w:rPr>
        <w:t>る</w:t>
      </w:r>
      <w:r w:rsidR="23DF1179">
        <w:rPr>
          <w:noProof/>
          <w:lang w:eastAsia="ja-JP"/>
        </w:rPr>
        <w:t>。</w:t>
      </w:r>
      <w:r w:rsidR="23DF1179" w:rsidRPr="23DF1179">
        <w:rPr>
          <w:noProof/>
          <w:lang w:eastAsia="fr-BE"/>
        </w:rPr>
        <w:t>関連する場合、この行動計画は、</w:t>
      </w:r>
      <w:r w:rsidR="23DF1179">
        <w:rPr>
          <w:noProof/>
          <w:lang w:eastAsia="ja-JP"/>
        </w:rPr>
        <w:t>規則（</w:t>
      </w:r>
      <w:r w:rsidR="23DF1179">
        <w:rPr>
          <w:noProof/>
          <w:lang w:eastAsia="ja-JP"/>
        </w:rPr>
        <w:t>EU</w:t>
      </w:r>
      <w:r w:rsidR="23DF1179">
        <w:rPr>
          <w:noProof/>
          <w:lang w:eastAsia="ja-JP"/>
        </w:rPr>
        <w:t>）</w:t>
      </w:r>
      <w:r w:rsidR="23DF1179">
        <w:rPr>
          <w:noProof/>
          <w:lang w:eastAsia="ja-JP"/>
        </w:rPr>
        <w:t>2019/1020</w:t>
      </w:r>
      <w:r w:rsidR="23DF1179">
        <w:rPr>
          <w:noProof/>
          <w:lang w:eastAsia="ja-JP"/>
        </w:rPr>
        <w:t>の第</w:t>
      </w:r>
      <w:r w:rsidR="23DF1179">
        <w:rPr>
          <w:noProof/>
          <w:lang w:eastAsia="ja-JP"/>
        </w:rPr>
        <w:t>13</w:t>
      </w:r>
      <w:r w:rsidR="23DF1179">
        <w:rPr>
          <w:noProof/>
          <w:lang w:eastAsia="ja-JP"/>
        </w:rPr>
        <w:t>条に従って採択された</w:t>
      </w:r>
      <w:r w:rsidR="23DF1179" w:rsidRPr="23DF1179">
        <w:rPr>
          <w:noProof/>
          <w:lang w:eastAsia="fr-BE"/>
        </w:rPr>
        <w:t>加盟国の</w:t>
      </w:r>
      <w:r w:rsidR="23DF1179">
        <w:rPr>
          <w:noProof/>
          <w:lang w:eastAsia="ja-JP"/>
        </w:rPr>
        <w:t>国内市場監視戦略の</w:t>
      </w:r>
      <w:r w:rsidR="23DF1179" w:rsidRPr="23DF1179">
        <w:rPr>
          <w:noProof/>
          <w:lang w:eastAsia="fr-BE"/>
        </w:rPr>
        <w:t>一部でなければならない</w:t>
      </w:r>
      <w:r w:rsidR="23DF1179" w:rsidRPr="23DF1179">
        <w:rPr>
          <w:noProof/>
          <w:lang w:val="en-IE" w:eastAsia="ja-JP"/>
        </w:rPr>
        <w:t>。</w:t>
      </w:r>
      <w:r w:rsidR="23DF1179" w:rsidRPr="23DF1179">
        <w:rPr>
          <w:noProof/>
          <w:lang w:val="en-IE" w:eastAsia="ja-JP"/>
        </w:rPr>
        <w:t xml:space="preserve"> </w:t>
      </w:r>
    </w:p>
    <w:p w14:paraId="77A6271F" w14:textId="77777777" w:rsidR="0038775E" w:rsidRDefault="00877B9C" w:rsidP="002041D4">
      <w:pPr>
        <w:pStyle w:val="ManualConsidrant"/>
        <w:wordWrap w:val="0"/>
        <w:rPr>
          <w:noProof/>
          <w:lang w:val="en-IE" w:eastAsia="fr-BE"/>
        </w:rPr>
      </w:pPr>
      <w:r w:rsidRPr="004F5E59">
        <w:rPr>
          <w:lang w:eastAsia="ja-JP"/>
        </w:rPr>
        <w:t>(91)</w:t>
      </w:r>
      <w:r w:rsidRPr="004F5E59">
        <w:rPr>
          <w:lang w:eastAsia="ja-JP"/>
        </w:rPr>
        <w:tab/>
      </w:r>
      <w:r w:rsidR="23DF1179" w:rsidRPr="23DF1179">
        <w:rPr>
          <w:noProof/>
          <w:lang w:val="en-IE" w:eastAsia="fr-BE"/>
        </w:rPr>
        <w:t>本規則に基づく市場サーベイランスの優先順位は、観察される違反のレベルや違反から生じる環境影響などの客観的な基準に基づいて特定されなければならない。優先順位に対処するために計画される活動は、その優先順位につながる事実に比例したものでなければならない。</w:t>
      </w:r>
      <w:r w:rsidR="23DF1179">
        <w:rPr>
          <w:noProof/>
          <w:lang w:eastAsia="ja-JP"/>
        </w:rPr>
        <w:t>本規則の実施のための統一された条件を確保するため、欧州委員会には、本規則に</w:t>
      </w:r>
      <w:r w:rsidR="23DF1179" w:rsidRPr="23DF1179">
        <w:rPr>
          <w:noProof/>
          <w:lang w:eastAsia="fr-BE"/>
        </w:rPr>
        <w:t>基づく市場サーベイランスの優先事項およびコンプライアンス違反を減らすために計画された活動を</w:t>
      </w:r>
      <w:r w:rsidR="23DF1179">
        <w:rPr>
          <w:noProof/>
          <w:lang w:eastAsia="ja-JP"/>
        </w:rPr>
        <w:t>特定する</w:t>
      </w:r>
      <w:r w:rsidR="23DF1179" w:rsidRPr="23DF1179">
        <w:rPr>
          <w:noProof/>
          <w:lang w:eastAsia="fr-BE"/>
        </w:rPr>
        <w:t>行動計画の中で、</w:t>
      </w:r>
      <w:r w:rsidR="23DF1179">
        <w:rPr>
          <w:noProof/>
          <w:lang w:eastAsia="ja-JP"/>
        </w:rPr>
        <w:t>加盟国が</w:t>
      </w:r>
      <w:r w:rsidR="23DF1179" w:rsidRPr="23DF1179">
        <w:rPr>
          <w:noProof/>
          <w:lang w:eastAsia="fr-BE"/>
        </w:rPr>
        <w:t>市場サーベイランスの優先事項として</w:t>
      </w:r>
      <w:r w:rsidR="23DF1179">
        <w:rPr>
          <w:noProof/>
          <w:lang w:eastAsia="ja-JP"/>
        </w:rPr>
        <w:t>考慮すべき製品および要件を決定する実施権が付与されるべきである。</w:t>
      </w:r>
      <w:r w:rsidR="23DF1179">
        <w:rPr>
          <w:noProof/>
          <w:lang w:eastAsia="ja-JP"/>
        </w:rPr>
        <w:t xml:space="preserve">  </w:t>
      </w:r>
    </w:p>
    <w:p w14:paraId="3C37CDC4" w14:textId="77777777" w:rsidR="0038775E" w:rsidRDefault="00877B9C" w:rsidP="002041D4">
      <w:pPr>
        <w:pStyle w:val="ManualConsidrant"/>
        <w:wordWrap w:val="0"/>
        <w:rPr>
          <w:noProof/>
          <w:lang w:val="en-IE" w:eastAsia="fr-BE"/>
        </w:rPr>
      </w:pPr>
      <w:r w:rsidRPr="004F5E59">
        <w:rPr>
          <w:lang w:eastAsia="ja-JP"/>
        </w:rPr>
        <w:t>(92)</w:t>
      </w:r>
      <w:r w:rsidRPr="004F5E59">
        <w:rPr>
          <w:lang w:eastAsia="ja-JP"/>
        </w:rPr>
        <w:tab/>
      </w:r>
      <w:r w:rsidR="23DF1179">
        <w:rPr>
          <w:noProof/>
          <w:lang w:eastAsia="ja-JP"/>
        </w:rPr>
        <w:t>本規則が定める計画、調整、支援の</w:t>
      </w:r>
      <w:r w:rsidR="23DF1179" w:rsidRPr="23DF1179">
        <w:rPr>
          <w:noProof/>
          <w:lang w:eastAsia="fr-BE"/>
        </w:rPr>
        <w:t>強化にもかかわらず、</w:t>
      </w:r>
      <w:r w:rsidR="23DF1179">
        <w:rPr>
          <w:noProof/>
          <w:lang w:eastAsia="ja-JP"/>
        </w:rPr>
        <w:t>問題のあるレベルのエコデザイン要求事項の不遵守が見られる</w:t>
      </w:r>
      <w:r w:rsidR="23DF1179" w:rsidRPr="23DF1179">
        <w:rPr>
          <w:noProof/>
          <w:lang w:eastAsia="fr-BE"/>
        </w:rPr>
        <w:t>場合、</w:t>
      </w:r>
      <w:r w:rsidR="23DF1179" w:rsidRPr="23DF1179">
        <w:rPr>
          <w:noProof/>
          <w:lang w:val="en-IE" w:eastAsia="ja-JP"/>
        </w:rPr>
        <w:t>欧州委員会は、</w:t>
      </w:r>
      <w:r w:rsidR="23DF1179" w:rsidRPr="23DF1179">
        <w:rPr>
          <w:noProof/>
          <w:lang w:val="en-IE" w:eastAsia="fr-BE"/>
        </w:rPr>
        <w:t>市場監視当局が適切な規模で検査を実施できるように</w:t>
      </w:r>
      <w:r w:rsidR="23DF1179" w:rsidRPr="23DF1179">
        <w:rPr>
          <w:noProof/>
          <w:lang w:val="en-IE" w:eastAsia="ja-JP"/>
        </w:rPr>
        <w:t>介入できるようにすべきである。したがって、</w:t>
      </w:r>
      <w:r w:rsidR="23DF1179" w:rsidRPr="23DF1179">
        <w:rPr>
          <w:noProof/>
          <w:lang w:val="en-IE" w:eastAsia="fr-BE"/>
        </w:rPr>
        <w:t>エコデザイン要求の効果的な実施を保護するために、</w:t>
      </w:r>
      <w:r w:rsidR="23DF1179">
        <w:rPr>
          <w:noProof/>
          <w:lang w:eastAsia="ja-JP"/>
        </w:rPr>
        <w:t>TFEU</w:t>
      </w:r>
      <w:r w:rsidR="23DF1179">
        <w:rPr>
          <w:noProof/>
          <w:lang w:eastAsia="ja-JP"/>
        </w:rPr>
        <w:t>第</w:t>
      </w:r>
      <w:r w:rsidR="23DF1179">
        <w:rPr>
          <w:noProof/>
          <w:lang w:eastAsia="ja-JP"/>
        </w:rPr>
        <w:t>290</w:t>
      </w:r>
      <w:r w:rsidR="23DF1179">
        <w:rPr>
          <w:noProof/>
          <w:lang w:eastAsia="ja-JP"/>
        </w:rPr>
        <w:t>条に従って法律を採択する権限を欧州委員会に委譲し、</w:t>
      </w:r>
      <w:r w:rsidR="23DF1179" w:rsidRPr="23DF1179">
        <w:rPr>
          <w:noProof/>
          <w:lang w:val="en-IE" w:eastAsia="fr-BE"/>
        </w:rPr>
        <w:t>特定の製品または要件について実施すべきチェックの最低数を</w:t>
      </w:r>
      <w:r w:rsidR="23DF1179">
        <w:rPr>
          <w:noProof/>
          <w:lang w:eastAsia="ja-JP"/>
        </w:rPr>
        <w:t>規定するべきである。</w:t>
      </w:r>
      <w:r w:rsidR="23DF1179" w:rsidRPr="23DF1179">
        <w:rPr>
          <w:noProof/>
          <w:lang w:val="en-IE" w:eastAsia="fr-BE"/>
        </w:rPr>
        <w:t>この権限は、</w:t>
      </w:r>
      <w:r w:rsidR="23DF1179" w:rsidRPr="23DF1179">
        <w:rPr>
          <w:noProof/>
          <w:lang w:val="en-IE" w:eastAsia="ja-JP"/>
        </w:rPr>
        <w:t>規則（</w:t>
      </w:r>
      <w:r w:rsidR="23DF1179" w:rsidRPr="23DF1179">
        <w:rPr>
          <w:noProof/>
          <w:lang w:val="en-IE" w:eastAsia="ja-JP"/>
        </w:rPr>
        <w:t>EU</w:t>
      </w:r>
      <w:r w:rsidR="23DF1179" w:rsidRPr="23DF1179">
        <w:rPr>
          <w:noProof/>
          <w:lang w:val="en-IE" w:eastAsia="ja-JP"/>
        </w:rPr>
        <w:t>）</w:t>
      </w:r>
      <w:r w:rsidR="23DF1179" w:rsidRPr="23DF1179">
        <w:rPr>
          <w:noProof/>
          <w:lang w:val="en-IE" w:eastAsia="ja-JP"/>
        </w:rPr>
        <w:t>2019/1020</w:t>
      </w:r>
      <w:r w:rsidR="23DF1179" w:rsidRPr="23DF1179">
        <w:rPr>
          <w:noProof/>
          <w:lang w:val="en-IE" w:eastAsia="ja-JP"/>
        </w:rPr>
        <w:t>の</w:t>
      </w:r>
      <w:r w:rsidR="23DF1179" w:rsidRPr="23DF1179">
        <w:rPr>
          <w:noProof/>
          <w:lang w:val="en-IE" w:eastAsia="fr-BE"/>
        </w:rPr>
        <w:t>第</w:t>
      </w:r>
      <w:r w:rsidR="23DF1179" w:rsidRPr="23DF1179">
        <w:rPr>
          <w:noProof/>
          <w:lang w:val="en-IE" w:eastAsia="fr-BE"/>
        </w:rPr>
        <w:t>11</w:t>
      </w:r>
      <w:r w:rsidR="23DF1179" w:rsidRPr="23DF1179">
        <w:rPr>
          <w:noProof/>
          <w:lang w:val="en-IE" w:eastAsia="fr-BE"/>
        </w:rPr>
        <w:t>条（</w:t>
      </w:r>
      <w:r w:rsidR="23DF1179" w:rsidRPr="23DF1179">
        <w:rPr>
          <w:noProof/>
          <w:lang w:val="en-IE" w:eastAsia="fr-BE"/>
        </w:rPr>
        <w:t>4</w:t>
      </w:r>
      <w:r w:rsidR="23DF1179" w:rsidRPr="23DF1179">
        <w:rPr>
          <w:noProof/>
          <w:lang w:val="en-IE" w:eastAsia="fr-BE"/>
        </w:rPr>
        <w:t>）における権限に追加されるべきである。</w:t>
      </w:r>
    </w:p>
    <w:p w14:paraId="43DDBBA2" w14:textId="252AB496" w:rsidR="0038775E" w:rsidRDefault="00877B9C" w:rsidP="002041D4">
      <w:pPr>
        <w:pStyle w:val="ManualConsidrant"/>
        <w:wordWrap w:val="0"/>
        <w:rPr>
          <w:noProof/>
          <w:lang w:val="en-IE" w:eastAsia="ja-JP"/>
        </w:rPr>
      </w:pPr>
      <w:r w:rsidRPr="004F5E59">
        <w:rPr>
          <w:lang w:eastAsia="ja-JP"/>
        </w:rPr>
        <w:t>(93)</w:t>
      </w:r>
      <w:r w:rsidRPr="004F5E59">
        <w:rPr>
          <w:lang w:eastAsia="ja-JP"/>
        </w:rPr>
        <w:tab/>
      </w:r>
      <w:r w:rsidR="23DF1179">
        <w:rPr>
          <w:noProof/>
          <w:lang w:eastAsia="ja-JP"/>
        </w:rPr>
        <w:t>市場監視のための情報通信</w:t>
      </w:r>
      <w:r w:rsidR="23DF1179" w:rsidRPr="23DF1179">
        <w:rPr>
          <w:noProof/>
          <w:lang w:val="en-IE" w:eastAsia="ja-JP"/>
        </w:rPr>
        <w:t>システムに入力された</w:t>
      </w:r>
      <w:r w:rsidR="23DF1179" w:rsidRPr="23DF1179">
        <w:rPr>
          <w:noProof/>
          <w:lang w:eastAsia="fr-BE"/>
        </w:rPr>
        <w:t>データに基づき、欧州委員会は、過去</w:t>
      </w:r>
      <w:r w:rsidR="23DF1179" w:rsidRPr="23DF1179">
        <w:rPr>
          <w:noProof/>
          <w:lang w:eastAsia="fr-BE"/>
        </w:rPr>
        <w:t>2</w:t>
      </w:r>
      <w:r w:rsidR="23DF1179" w:rsidRPr="23DF1179">
        <w:rPr>
          <w:noProof/>
          <w:lang w:eastAsia="fr-BE"/>
        </w:rPr>
        <w:t>暦年における</w:t>
      </w:r>
      <w:r w:rsidR="23DF1179" w:rsidRPr="23DF1179">
        <w:rPr>
          <w:noProof/>
          <w:lang w:val="en-IE" w:eastAsia="fr-BE"/>
        </w:rPr>
        <w:t>エコデザイン</w:t>
      </w:r>
      <w:r w:rsidR="23DF1179" w:rsidRPr="23DF1179">
        <w:rPr>
          <w:noProof/>
          <w:lang w:eastAsia="fr-BE"/>
        </w:rPr>
        <w:t>要件に関連して実施された検査の内容と数、特定された違反のレベル、科された罰則の内容と重さに関する情報を含む報告書を作成する必要があ</w:t>
      </w:r>
      <w:r w:rsidR="002041D4">
        <w:rPr>
          <w:noProof/>
          <w:lang w:eastAsia="fr-BE"/>
        </w:rPr>
        <w:t>る</w:t>
      </w:r>
      <w:r w:rsidR="23DF1179" w:rsidRPr="23DF1179">
        <w:rPr>
          <w:noProof/>
          <w:lang w:eastAsia="fr-BE"/>
        </w:rPr>
        <w:t>。報告書には、加盟国の活動と計画された活動の比較、および市場監視当局のための指標となるベンチマークが含まれるべきである。</w:t>
      </w:r>
      <w:r w:rsidR="23DF1179" w:rsidRPr="23DF1179">
        <w:rPr>
          <w:noProof/>
          <w:lang w:eastAsia="fr-BE"/>
        </w:rPr>
        <w:t xml:space="preserve"> </w:t>
      </w:r>
      <w:r w:rsidR="23DF1179" w:rsidRPr="23DF1179">
        <w:rPr>
          <w:noProof/>
          <w:lang w:val="en-IE" w:eastAsia="ja-JP"/>
        </w:rPr>
        <w:t xml:space="preserve">  </w:t>
      </w:r>
    </w:p>
    <w:p w14:paraId="2C74111E" w14:textId="77777777" w:rsidR="0038775E" w:rsidRDefault="00877B9C" w:rsidP="002041D4">
      <w:pPr>
        <w:pStyle w:val="ManualConsidrant"/>
        <w:wordWrap w:val="0"/>
        <w:rPr>
          <w:noProof/>
          <w:lang w:val="en-IE" w:eastAsia="ja-JP"/>
        </w:rPr>
      </w:pPr>
      <w:r w:rsidRPr="004F5E59">
        <w:rPr>
          <w:lang w:eastAsia="ja-JP"/>
        </w:rPr>
        <w:t>(94)</w:t>
      </w:r>
      <w:r w:rsidRPr="004F5E59">
        <w:rPr>
          <w:lang w:eastAsia="ja-JP"/>
        </w:rPr>
        <w:tab/>
      </w:r>
      <w:r w:rsidR="23DF1179" w:rsidRPr="23DF1179">
        <w:rPr>
          <w:noProof/>
          <w:lang w:val="en-IE" w:eastAsia="ja-JP"/>
        </w:rPr>
        <w:t>市場監視当局の調整をさらに強化するため、規則（</w:t>
      </w:r>
      <w:r w:rsidR="23DF1179" w:rsidRPr="23DF1179">
        <w:rPr>
          <w:noProof/>
          <w:lang w:val="en-IE" w:eastAsia="ja-JP"/>
        </w:rPr>
        <w:t>EU</w:t>
      </w:r>
      <w:r w:rsidR="23DF1179" w:rsidRPr="23DF1179">
        <w:rPr>
          <w:noProof/>
          <w:lang w:val="en-IE" w:eastAsia="ja-JP"/>
        </w:rPr>
        <w:t>）</w:t>
      </w:r>
      <w:r w:rsidR="23DF1179" w:rsidRPr="23DF1179">
        <w:rPr>
          <w:noProof/>
          <w:lang w:val="en-IE" w:eastAsia="ja-JP"/>
        </w:rPr>
        <w:t>2019/1020</w:t>
      </w:r>
      <w:r w:rsidR="23DF1179" w:rsidRPr="23DF1179">
        <w:rPr>
          <w:noProof/>
          <w:lang w:val="en-IE" w:eastAsia="ja-JP"/>
        </w:rPr>
        <w:t>に従って設置された行政協力グループ（「</w:t>
      </w:r>
      <w:r w:rsidR="23DF1179" w:rsidRPr="23DF1179">
        <w:rPr>
          <w:noProof/>
          <w:lang w:val="en-IE" w:eastAsia="ja-JP"/>
        </w:rPr>
        <w:t>ADCO</w:t>
      </w:r>
      <w:r w:rsidR="23DF1179" w:rsidRPr="23DF1179">
        <w:rPr>
          <w:noProof/>
          <w:lang w:val="en-IE" w:eastAsia="ja-JP"/>
        </w:rPr>
        <w:t>」）は、</w:t>
      </w:r>
      <w:r w:rsidR="23DF1179" w:rsidRPr="23DF1179">
        <w:rPr>
          <w:noProof/>
          <w:lang w:eastAsia="fr-BE"/>
        </w:rPr>
        <w:t>本規則に基づく市場監視の優先事項として特定された製品または要件、および</w:t>
      </w:r>
      <w:r w:rsidR="23DF1179" w:rsidRPr="23DF1179">
        <w:rPr>
          <w:noProof/>
          <w:lang w:val="en-IE" w:eastAsia="ja-JP"/>
        </w:rPr>
        <w:t>規則</w:t>
      </w:r>
      <w:r w:rsidR="23DF1179" w:rsidRPr="23DF1179">
        <w:rPr>
          <w:noProof/>
          <w:lang w:eastAsia="fr-BE"/>
        </w:rPr>
        <w:t>違反の削減のために計画された活動を</w:t>
      </w:r>
      <w:r w:rsidR="23DF1179">
        <w:rPr>
          <w:noProof/>
          <w:lang w:eastAsia="ja-JP"/>
        </w:rPr>
        <w:t>特定する目的で、</w:t>
      </w:r>
      <w:r w:rsidR="23DF1179" w:rsidRPr="23DF1179">
        <w:rPr>
          <w:noProof/>
          <w:lang w:val="en-IE" w:eastAsia="ja-JP"/>
        </w:rPr>
        <w:t>定期的に会合を開き、加盟国の行動計画に考慮されるべき市場監視の共通の優先事項、</w:t>
      </w:r>
      <w:r w:rsidR="23DF1179" w:rsidRPr="23DF1179">
        <w:rPr>
          <w:noProof/>
          <w:lang w:val="en-IE" w:eastAsia="ja-JP"/>
        </w:rPr>
        <w:t>EU</w:t>
      </w:r>
      <w:r w:rsidR="23DF1179" w:rsidRPr="23DF1179">
        <w:rPr>
          <w:noProof/>
          <w:lang w:val="en-IE" w:eastAsia="ja-JP"/>
        </w:rPr>
        <w:t>支援の提供に関する優先事項、市場の歪みにつながる異なる解釈をされている</w:t>
      </w:r>
      <w:r w:rsidR="23DF1179" w:rsidRPr="23DF1179">
        <w:rPr>
          <w:noProof/>
          <w:lang w:val="en-IE" w:eastAsia="fr-BE"/>
        </w:rPr>
        <w:t>エコデザイン</w:t>
      </w:r>
      <w:r w:rsidR="23DF1179" w:rsidRPr="23DF1179">
        <w:rPr>
          <w:noProof/>
          <w:lang w:val="en-IE" w:eastAsia="ja-JP"/>
        </w:rPr>
        <w:t>要件について特定するべきである。</w:t>
      </w:r>
      <w:r w:rsidR="23DF1179" w:rsidRPr="23DF1179">
        <w:rPr>
          <w:noProof/>
          <w:lang w:val="en-IE" w:eastAsia="ja-JP"/>
        </w:rPr>
        <w:t xml:space="preserve">    </w:t>
      </w:r>
    </w:p>
    <w:p w14:paraId="7BC16883" w14:textId="77777777" w:rsidR="0038775E" w:rsidRDefault="00877B9C" w:rsidP="002041D4">
      <w:pPr>
        <w:pStyle w:val="ManualConsidrant"/>
        <w:wordWrap w:val="0"/>
        <w:rPr>
          <w:noProof/>
          <w:lang w:val="en-IE" w:eastAsia="ja-JP"/>
        </w:rPr>
      </w:pPr>
      <w:r w:rsidRPr="004F5E59">
        <w:rPr>
          <w:lang w:eastAsia="ja-JP"/>
        </w:rPr>
        <w:t>(95)</w:t>
      </w:r>
      <w:r w:rsidRPr="004F5E59">
        <w:rPr>
          <w:lang w:eastAsia="ja-JP"/>
        </w:rPr>
        <w:tab/>
      </w:r>
      <w:r w:rsidR="23DF1179" w:rsidRPr="23DF1179">
        <w:rPr>
          <w:noProof/>
          <w:lang w:val="en-IE" w:eastAsia="fr-BE"/>
        </w:rPr>
        <w:t>加盟国がエコデザイン</w:t>
      </w:r>
      <w:r w:rsidR="23DF1179" w:rsidRPr="23DF1179">
        <w:rPr>
          <w:noProof/>
          <w:lang w:val="en-IE" w:eastAsia="ja-JP"/>
        </w:rPr>
        <w:t>要求事項の不遵守を防ぐために十分な行動をとることを確保する努力を支援するために、欧州委員会は、関連する場合、</w:t>
      </w:r>
      <w:r w:rsidR="23DF1179">
        <w:rPr>
          <w:noProof/>
          <w:lang w:eastAsia="ja-JP"/>
        </w:rPr>
        <w:t>規則（</w:t>
      </w:r>
      <w:r w:rsidR="23DF1179">
        <w:rPr>
          <w:noProof/>
          <w:lang w:eastAsia="ja-JP"/>
        </w:rPr>
        <w:t>EU</w:t>
      </w:r>
      <w:r w:rsidR="23DF1179">
        <w:rPr>
          <w:noProof/>
          <w:lang w:eastAsia="ja-JP"/>
        </w:rPr>
        <w:t>）</w:t>
      </w:r>
      <w:r w:rsidR="23DF1179">
        <w:rPr>
          <w:noProof/>
          <w:lang w:eastAsia="ja-JP"/>
        </w:rPr>
        <w:t>2019/1020</w:t>
      </w:r>
      <w:r w:rsidR="23DF1179">
        <w:rPr>
          <w:noProof/>
          <w:lang w:eastAsia="ja-JP"/>
        </w:rPr>
        <w:t>に</w:t>
      </w:r>
      <w:r w:rsidR="23DF1179" w:rsidRPr="23DF1179">
        <w:rPr>
          <w:noProof/>
          <w:lang w:val="en-IE" w:eastAsia="ja-JP"/>
        </w:rPr>
        <w:t>規定されている支援措置を活用すべきである。欧州委員会は、共通の関心分野での共同市場監視・試験プロジェクト、</w:t>
      </w:r>
      <w:r w:rsidR="23DF1179" w:rsidRPr="23DF1179">
        <w:rPr>
          <w:noProof/>
          <w:lang w:val="en-IE" w:eastAsia="fr-BE"/>
        </w:rPr>
        <w:t>市場監視能力への共同投資</w:t>
      </w:r>
      <w:r w:rsidR="23DF1179" w:rsidRPr="23DF1179">
        <w:rPr>
          <w:noProof/>
          <w:lang w:val="en-IE" w:eastAsia="ja-JP"/>
        </w:rPr>
        <w:t>、</w:t>
      </w:r>
      <w:r w:rsidR="23DF1179" w:rsidRPr="23DF1179">
        <w:rPr>
          <w:noProof/>
          <w:lang w:val="en-IE" w:eastAsia="fr-BE"/>
        </w:rPr>
        <w:t>市場監視当局、届出機関、通知機関の職員のための共同研修などを</w:t>
      </w:r>
      <w:r w:rsidR="23DF1179">
        <w:rPr>
          <w:noProof/>
          <w:lang w:eastAsia="ja-JP"/>
        </w:rPr>
        <w:t>企画</w:t>
      </w:r>
      <w:r w:rsidR="23DF1179" w:rsidRPr="23DF1179">
        <w:rPr>
          <w:noProof/>
          <w:lang w:val="en-IE" w:eastAsia="ja-JP"/>
        </w:rPr>
        <w:t>し、必要に応じて資金援助すべきである。</w:t>
      </w:r>
      <w:r w:rsidR="23DF1179" w:rsidRPr="23DF1179">
        <w:rPr>
          <w:noProof/>
          <w:lang w:val="en-IE" w:eastAsia="fr-BE"/>
        </w:rPr>
        <w:t>さらに、欧州委員会は、エコデザイン要求の調和された適用を確保するために必要な場合、その</w:t>
      </w:r>
      <w:r w:rsidR="23DF1179" w:rsidRPr="23DF1179">
        <w:rPr>
          <w:noProof/>
          <w:lang w:eastAsia="fr-BE"/>
        </w:rPr>
        <w:t>適用方法と施行方法に関するガイドラインを作成すべきである。</w:t>
      </w:r>
      <w:r w:rsidR="23DF1179" w:rsidRPr="23DF1179">
        <w:rPr>
          <w:noProof/>
          <w:lang w:eastAsia="fr-BE"/>
        </w:rPr>
        <w:t xml:space="preserve"> </w:t>
      </w:r>
    </w:p>
    <w:p w14:paraId="45D367C5" w14:textId="77777777" w:rsidR="0038775E" w:rsidRDefault="00877B9C" w:rsidP="002041D4">
      <w:pPr>
        <w:pStyle w:val="ManualConsidrant"/>
        <w:wordWrap w:val="0"/>
        <w:rPr>
          <w:noProof/>
          <w:lang w:eastAsia="ja-JP"/>
        </w:rPr>
      </w:pPr>
      <w:r w:rsidRPr="004F5E59">
        <w:rPr>
          <w:lang w:eastAsia="ja-JP"/>
        </w:rPr>
        <w:lastRenderedPageBreak/>
        <w:t>(96)</w:t>
      </w:r>
      <w:r w:rsidRPr="004F5E59">
        <w:rPr>
          <w:lang w:eastAsia="ja-JP"/>
        </w:rPr>
        <w:tab/>
      </w:r>
      <w:r w:rsidR="23DF1179">
        <w:rPr>
          <w:noProof/>
          <w:lang w:eastAsia="ja-JP"/>
        </w:rPr>
        <w:t>製品は、リスクをもたらさない場合にのみ上市されるべきである。</w:t>
      </w:r>
      <w:r w:rsidR="23DF1179" w:rsidRPr="23DF1179">
        <w:rPr>
          <w:noProof/>
          <w:lang w:val="en-IE" w:eastAsia="fr-BE"/>
        </w:rPr>
        <w:t>エコデザイン</w:t>
      </w:r>
      <w:r w:rsidR="23DF1179">
        <w:rPr>
          <w:noProof/>
          <w:lang w:eastAsia="ja-JP"/>
        </w:rPr>
        <w:t>要求事項の具体的な性質により合致し、市場監視の努力の焦点が当該要求事項の不遵守にあることを確実にするため、</w:t>
      </w:r>
      <w:r w:rsidR="23DF1179" w:rsidRPr="23DF1179">
        <w:rPr>
          <w:noProof/>
          <w:lang w:val="en-IE" w:eastAsia="ja-JP"/>
        </w:rPr>
        <w:t>本規則の目的上、リスクを提示する製品は、</w:t>
      </w:r>
      <w:r w:rsidR="23DF1179" w:rsidRPr="23DF1179">
        <w:rPr>
          <w:noProof/>
          <w:lang w:val="en-IE" w:eastAsia="fr-BE"/>
        </w:rPr>
        <w:t>エコデザイン</w:t>
      </w:r>
      <w:r w:rsidR="23DF1179" w:rsidRPr="23DF1179">
        <w:rPr>
          <w:noProof/>
          <w:lang w:val="en-IE" w:eastAsia="ja-JP"/>
        </w:rPr>
        <w:t>要求事項を遵守しないことにより、または責任ある経済事業者が</w:t>
      </w:r>
      <w:r w:rsidR="23DF1179" w:rsidRPr="23DF1179">
        <w:rPr>
          <w:noProof/>
          <w:lang w:val="en-IE" w:eastAsia="fr-BE"/>
        </w:rPr>
        <w:t>エコデザイン</w:t>
      </w:r>
      <w:r w:rsidR="23DF1179" w:rsidRPr="23DF1179">
        <w:rPr>
          <w:noProof/>
          <w:lang w:val="en-IE" w:eastAsia="ja-JP"/>
        </w:rPr>
        <w:t>要求事項を遵守しないことにより、環境または関連要求事項により保護されるその他の公共の利益に悪影響を与える可能性がある製品として定義するべきである。このより具体的な定義は、規則（</w:t>
      </w:r>
      <w:r w:rsidR="23DF1179" w:rsidRPr="23DF1179">
        <w:rPr>
          <w:noProof/>
          <w:lang w:val="en-IE" w:eastAsia="ja-JP"/>
        </w:rPr>
        <w:t>EU</w:t>
      </w:r>
      <w:r w:rsidR="23DF1179" w:rsidRPr="23DF1179">
        <w:rPr>
          <w:noProof/>
          <w:lang w:val="en-IE" w:eastAsia="ja-JP"/>
        </w:rPr>
        <w:t>）</w:t>
      </w:r>
      <w:r w:rsidR="23DF1179" w:rsidRPr="23DF1179">
        <w:rPr>
          <w:noProof/>
          <w:lang w:val="en-IE" w:eastAsia="ja-JP"/>
        </w:rPr>
        <w:t>2019/1020</w:t>
      </w:r>
      <w:r w:rsidR="23DF1179" w:rsidRPr="23DF1179">
        <w:rPr>
          <w:noProof/>
          <w:lang w:val="en-IE" w:eastAsia="ja-JP"/>
        </w:rPr>
        <w:t>の第</w:t>
      </w:r>
      <w:r w:rsidR="23DF1179" w:rsidRPr="23DF1179">
        <w:rPr>
          <w:noProof/>
          <w:lang w:val="en-IE" w:eastAsia="ja-JP"/>
        </w:rPr>
        <w:t>19</w:t>
      </w:r>
      <w:r w:rsidR="23DF1179" w:rsidRPr="23DF1179">
        <w:rPr>
          <w:noProof/>
          <w:lang w:val="en-IE" w:eastAsia="ja-JP"/>
        </w:rPr>
        <w:t>条および第</w:t>
      </w:r>
      <w:r w:rsidR="23DF1179" w:rsidRPr="23DF1179">
        <w:rPr>
          <w:noProof/>
          <w:lang w:val="en-IE" w:eastAsia="ja-JP"/>
        </w:rPr>
        <w:t>20</w:t>
      </w:r>
      <w:r w:rsidR="23DF1179" w:rsidRPr="23DF1179">
        <w:rPr>
          <w:noProof/>
          <w:lang w:val="en-IE" w:eastAsia="ja-JP"/>
        </w:rPr>
        <w:t>条を適用する際に使用する必要がある。</w:t>
      </w:r>
      <w:r w:rsidR="23DF1179" w:rsidRPr="23DF1179">
        <w:rPr>
          <w:noProof/>
          <w:lang w:val="en-IE" w:eastAsia="ja-JP"/>
        </w:rPr>
        <w:t xml:space="preserve"> </w:t>
      </w:r>
    </w:p>
    <w:p w14:paraId="5A40C5E9" w14:textId="35F51083" w:rsidR="0038775E" w:rsidRDefault="00877B9C" w:rsidP="002041D4">
      <w:pPr>
        <w:pStyle w:val="ManualConsidrant"/>
        <w:wordWrap w:val="0"/>
        <w:rPr>
          <w:noProof/>
          <w:lang w:eastAsia="ja-JP"/>
        </w:rPr>
      </w:pPr>
      <w:r w:rsidRPr="004F5E59">
        <w:rPr>
          <w:lang w:eastAsia="ja-JP"/>
        </w:rPr>
        <w:t>(97)</w:t>
      </w:r>
      <w:r w:rsidRPr="004F5E59">
        <w:rPr>
          <w:lang w:eastAsia="ja-JP"/>
        </w:rPr>
        <w:tab/>
      </w:r>
      <w:r w:rsidR="23DF1179">
        <w:rPr>
          <w:noProof/>
          <w:lang w:eastAsia="ja-JP"/>
        </w:rPr>
        <w:t>リスクを提示する製品に関して講じられる予定の措置について、利害関係者に通知される手順が存在することが望ましい。また、加盟国の市場監視当局が、関連する経済事業者と協力して、そのような製品に関して早い段階で行動できるようにする必要がある。このため、</w:t>
      </w:r>
      <w:r w:rsidR="23DF1179" w:rsidRPr="23DF1179">
        <w:rPr>
          <w:noProof/>
          <w:lang w:val="en-IE" w:eastAsia="ja-JP"/>
        </w:rPr>
        <w:t>指令</w:t>
      </w:r>
      <w:r w:rsidR="23DF1179" w:rsidRPr="23DF1179">
        <w:rPr>
          <w:noProof/>
          <w:lang w:val="en-IE" w:eastAsia="ja-JP"/>
        </w:rPr>
        <w:t xml:space="preserve"> 2009/125/EC </w:t>
      </w:r>
      <w:r w:rsidR="23DF1179">
        <w:rPr>
          <w:noProof/>
          <w:lang w:eastAsia="ja-JP"/>
        </w:rPr>
        <w:t>に現在含まれているセーフガード条項を</w:t>
      </w:r>
      <w:r w:rsidR="23DF1179" w:rsidRPr="23DF1179">
        <w:rPr>
          <w:noProof/>
          <w:lang w:val="en-IE" w:eastAsia="ja-JP"/>
        </w:rPr>
        <w:t>更新し、他の連合調和法および</w:t>
      </w:r>
      <w:r w:rsidR="23DF1179">
        <w:rPr>
          <w:noProof/>
          <w:lang w:eastAsia="ja-JP"/>
        </w:rPr>
        <w:t>決定番号</w:t>
      </w:r>
      <w:r w:rsidR="23DF1179">
        <w:rPr>
          <w:noProof/>
          <w:lang w:eastAsia="ja-JP"/>
        </w:rPr>
        <w:t xml:space="preserve"> 768/2008/EC </w:t>
      </w:r>
      <w:r w:rsidR="23DF1179" w:rsidRPr="23DF1179">
        <w:rPr>
          <w:noProof/>
          <w:lang w:val="en-IE" w:eastAsia="ja-JP"/>
        </w:rPr>
        <w:t>に含まれるセーフガード手続と整合させる必要があ</w:t>
      </w:r>
      <w:r w:rsidR="002041D4">
        <w:rPr>
          <w:noProof/>
          <w:lang w:val="en-IE" w:eastAsia="ja-JP"/>
        </w:rPr>
        <w:t>る</w:t>
      </w:r>
      <w:r w:rsidR="23DF1179" w:rsidRPr="23DF1179">
        <w:rPr>
          <w:noProof/>
          <w:lang w:val="en-IE" w:eastAsia="ja-JP"/>
        </w:rPr>
        <w:t>。</w:t>
      </w:r>
      <w:r w:rsidR="23DF1179">
        <w:rPr>
          <w:noProof/>
          <w:lang w:eastAsia="ja-JP"/>
        </w:rPr>
        <w:t>本規則の実施に際して均一な条件を確保するため、非適合製品に関する国内措置が正当化されるか否かを判断する実施権限を欧州委員会に付与すべきである。</w:t>
      </w:r>
      <w:r w:rsidR="23DF1179">
        <w:rPr>
          <w:noProof/>
          <w:lang w:eastAsia="ja-JP"/>
        </w:rPr>
        <w:t xml:space="preserve"> </w:t>
      </w:r>
    </w:p>
    <w:p w14:paraId="01F55137" w14:textId="77777777" w:rsidR="0038775E" w:rsidRDefault="00877B9C" w:rsidP="002041D4">
      <w:pPr>
        <w:pStyle w:val="ManualConsidrant"/>
        <w:wordWrap w:val="0"/>
        <w:rPr>
          <w:noProof/>
          <w:lang w:eastAsia="ja-JP"/>
        </w:rPr>
      </w:pPr>
      <w:r w:rsidRPr="004F5E59">
        <w:rPr>
          <w:lang w:eastAsia="ja-JP"/>
        </w:rPr>
        <w:t>(98)</w:t>
      </w:r>
      <w:r w:rsidRPr="004F5E59">
        <w:rPr>
          <w:lang w:eastAsia="ja-JP"/>
        </w:rPr>
        <w:tab/>
      </w:r>
      <w:r w:rsidR="23DF1179">
        <w:rPr>
          <w:noProof/>
          <w:lang w:eastAsia="ja-JP"/>
        </w:rPr>
        <w:t>市場監視当局は、製品が</w:t>
      </w:r>
      <w:r w:rsidR="23DF1179" w:rsidRPr="23DF1179">
        <w:rPr>
          <w:noProof/>
          <w:lang w:val="en-IE" w:eastAsia="fr-BE"/>
        </w:rPr>
        <w:t>エコデザイン</w:t>
      </w:r>
      <w:r w:rsidR="23DF1179">
        <w:rPr>
          <w:noProof/>
          <w:lang w:eastAsia="ja-JP"/>
        </w:rPr>
        <w:t>要件に適合していない、または経済事業者が製品の市場投入・入手に関する規則や経済事業者宛のその他の規則に違反しているという調査結果に基づいて、経済事業者に是正措置を要求する権利を有するべきである。</w:t>
      </w:r>
    </w:p>
    <w:p w14:paraId="3B396F17" w14:textId="77777777" w:rsidR="0038775E" w:rsidRDefault="00877B9C" w:rsidP="002041D4">
      <w:pPr>
        <w:pStyle w:val="ManualConsidrant"/>
        <w:wordWrap w:val="0"/>
        <w:rPr>
          <w:noProof/>
          <w:lang w:eastAsia="ja-JP"/>
        </w:rPr>
      </w:pPr>
      <w:r w:rsidRPr="004F5E59">
        <w:rPr>
          <w:lang w:eastAsia="ja-JP"/>
        </w:rPr>
        <w:t>(99)</w:t>
      </w:r>
      <w:r w:rsidRPr="004F5E59">
        <w:rPr>
          <w:lang w:eastAsia="ja-JP"/>
        </w:rPr>
        <w:tab/>
      </w:r>
      <w:r w:rsidR="00CC793D" w:rsidRPr="00DF5C23">
        <w:rPr>
          <w:noProof/>
          <w:lang w:eastAsia="ja-JP"/>
        </w:rPr>
        <w:t>TFEU290</w:t>
      </w:r>
      <w:r w:rsidR="00CC793D" w:rsidRPr="00DF5C23">
        <w:rPr>
          <w:noProof/>
          <w:lang w:eastAsia="ja-JP"/>
        </w:rPr>
        <w:t>条に従って委任法を採択する場合、</w:t>
      </w:r>
      <w:r w:rsidR="0681B866" w:rsidRPr="00DF5C23">
        <w:rPr>
          <w:noProof/>
          <w:lang w:eastAsia="ja-JP"/>
        </w:rPr>
        <w:t>欧州委員会がその準備作業において、専門家レベルも含めて適切な協議を行い、それらの協議が</w:t>
      </w:r>
      <w:r w:rsidR="0681B866" w:rsidRPr="00DF5C23">
        <w:rPr>
          <w:noProof/>
          <w:lang w:eastAsia="ja-JP"/>
        </w:rPr>
        <w:t>2016</w:t>
      </w:r>
      <w:r w:rsidR="0681B866" w:rsidRPr="00DF5C23">
        <w:rPr>
          <w:noProof/>
          <w:lang w:eastAsia="ja-JP"/>
        </w:rPr>
        <w:t>年</w:t>
      </w:r>
      <w:r w:rsidR="0681B866" w:rsidRPr="00DF5C23">
        <w:rPr>
          <w:noProof/>
          <w:lang w:eastAsia="ja-JP"/>
        </w:rPr>
        <w:t>4</w:t>
      </w:r>
      <w:r w:rsidR="0681B866" w:rsidRPr="00DF5C23">
        <w:rPr>
          <w:noProof/>
          <w:lang w:eastAsia="ja-JP"/>
        </w:rPr>
        <w:t>月</w:t>
      </w:r>
      <w:r w:rsidR="0681B866" w:rsidRPr="00DF5C23">
        <w:rPr>
          <w:noProof/>
          <w:lang w:eastAsia="ja-JP"/>
        </w:rPr>
        <w:t>13</w:t>
      </w:r>
      <w:r w:rsidR="0681B866" w:rsidRPr="00DF5C23">
        <w:rPr>
          <w:noProof/>
          <w:lang w:eastAsia="ja-JP"/>
        </w:rPr>
        <w:t>日の「より良い法作りに関する機関間協定」</w:t>
      </w:r>
      <w:r w:rsidR="006B2A80" w:rsidRPr="00DF5C23">
        <w:rPr>
          <w:rStyle w:val="afa"/>
          <w:noProof/>
        </w:rPr>
        <w:footnoteReference w:id="82"/>
      </w:r>
      <w:r w:rsidR="0681B866" w:rsidRPr="00DF5C23">
        <w:rPr>
          <w:noProof/>
          <w:lang w:eastAsia="ja-JP"/>
        </w:rPr>
        <w:t xml:space="preserve"> </w:t>
      </w:r>
      <w:r w:rsidR="0681B866" w:rsidRPr="00DF5C23">
        <w:rPr>
          <w:noProof/>
          <w:lang w:eastAsia="ja-JP"/>
        </w:rPr>
        <w:t>に定められた原則に従って行われることが特に重要である。特に、委任法の準備への平等な参加を確保するため、欧州議会と理事会は加盟国の専門家と同時にすべての文書を受け取り、加盟国の専門家は委任法の準備を扱う欧州委員会の専門家グループの会合に体系的にアクセスすることができる。</w:t>
      </w:r>
    </w:p>
    <w:p w14:paraId="13F70278" w14:textId="77777777" w:rsidR="0038775E" w:rsidRDefault="00877B9C" w:rsidP="002041D4">
      <w:pPr>
        <w:pStyle w:val="ManualConsidrant"/>
        <w:wordWrap w:val="0"/>
        <w:rPr>
          <w:noProof/>
          <w:lang w:eastAsia="ja-JP"/>
        </w:rPr>
      </w:pPr>
      <w:r w:rsidRPr="004F5E59">
        <w:rPr>
          <w:lang w:eastAsia="ja-JP"/>
        </w:rPr>
        <w:t>(100)</w:t>
      </w:r>
      <w:r w:rsidRPr="004F5E59">
        <w:rPr>
          <w:lang w:eastAsia="ja-JP"/>
        </w:rPr>
        <w:tab/>
      </w:r>
      <w:r w:rsidR="00D81745" w:rsidRPr="00DF5C23">
        <w:rPr>
          <w:noProof/>
          <w:lang w:eastAsia="ja-JP"/>
        </w:rPr>
        <w:t>本規則の実施のための統一された条件を確保するため、以下の点に関して、欧州委員会に実施権限を付与する必要がある</w:t>
      </w:r>
      <w:r w:rsidR="00AD1524" w:rsidRPr="00DF5C23">
        <w:rPr>
          <w:noProof/>
          <w:lang w:eastAsia="ja-JP"/>
        </w:rPr>
        <w:t>：</w:t>
      </w:r>
      <w:r w:rsidR="008D205D" w:rsidRPr="00DF5C23">
        <w:rPr>
          <w:rFonts w:eastAsia="Times New Roman"/>
          <w:noProof/>
          <w:color w:val="000000"/>
          <w:lang w:val="en-IE" w:eastAsia="fr-BE"/>
        </w:rPr>
        <w:t xml:space="preserve">(a) </w:t>
      </w:r>
      <w:r w:rsidR="00804E91" w:rsidRPr="00DF5C23">
        <w:rPr>
          <w:noProof/>
          <w:lang w:val="en-IE" w:eastAsia="fr-BE"/>
        </w:rPr>
        <w:t>第</w:t>
      </w:r>
      <w:r w:rsidR="00804E91" w:rsidRPr="00DF5C23">
        <w:rPr>
          <w:noProof/>
          <w:lang w:val="en-IE" w:eastAsia="fr-BE"/>
        </w:rPr>
        <w:t>12</w:t>
      </w:r>
      <w:r w:rsidR="00804E91" w:rsidRPr="00DF5C23">
        <w:rPr>
          <w:noProof/>
          <w:lang w:val="en-IE" w:eastAsia="fr-BE"/>
        </w:rPr>
        <w:t>条で言及されたレジストリと</w:t>
      </w:r>
      <w:r w:rsidR="00804E91" w:rsidRPr="00DF5C23">
        <w:rPr>
          <w:noProof/>
          <w:lang w:eastAsia="ja-JP"/>
        </w:rPr>
        <w:t>EU</w:t>
      </w:r>
      <w:r w:rsidR="00804E91" w:rsidRPr="00DF5C23">
        <w:rPr>
          <w:noProof/>
          <w:lang w:eastAsia="ja-JP"/>
        </w:rPr>
        <w:t>税関単一窓口証明書交換の</w:t>
      </w:r>
      <w:r w:rsidR="00804E91" w:rsidRPr="00DF5C23">
        <w:rPr>
          <w:noProof/>
          <w:lang w:val="en-IE" w:eastAsia="fr-BE"/>
        </w:rPr>
        <w:t>相互接続に関する実施上の取り決めを規定すること</w:t>
      </w:r>
      <w:r w:rsidR="00804E91" w:rsidRPr="00DF5C23">
        <w:rPr>
          <w:noProof/>
          <w:lang w:eastAsia="ja-JP"/>
        </w:rPr>
        <w:t>、</w:t>
      </w:r>
      <w:r w:rsidR="00804E91" w:rsidRPr="00DF5C23">
        <w:rPr>
          <w:noProof/>
          <w:lang w:eastAsia="ja-JP"/>
        </w:rPr>
        <w:t xml:space="preserve">(b) </w:t>
      </w:r>
      <w:r w:rsidR="008D205D" w:rsidRPr="00DF5C23">
        <w:rPr>
          <w:rFonts w:eastAsia="Times New Roman"/>
          <w:noProof/>
          <w:color w:val="000000"/>
          <w:lang w:val="en-IE" w:eastAsia="fr-BE"/>
        </w:rPr>
        <w:t>ラベルのレイアウトに関する共通要件を定めること、(</w:t>
      </w:r>
      <w:r w:rsidR="00804E91" w:rsidRPr="00DF5C23">
        <w:rPr>
          <w:rFonts w:eastAsia="Times New Roman"/>
          <w:noProof/>
          <w:color w:val="000000"/>
          <w:lang w:val="en-IE" w:eastAsia="fr-BE"/>
        </w:rPr>
        <w:t>c</w:t>
      </w:r>
      <w:r w:rsidR="008D205D" w:rsidRPr="00DF5C23">
        <w:rPr>
          <w:rFonts w:eastAsia="Times New Roman"/>
          <w:noProof/>
          <w:color w:val="000000"/>
          <w:lang w:val="en-IE" w:eastAsia="fr-BE"/>
        </w:rPr>
        <w:t>) 第4条に従って採択された委任法の有効な代替案として確立した自主規制措置のリストを含むこと、(</w:t>
      </w:r>
      <w:r w:rsidR="00804E91" w:rsidRPr="00DF5C23">
        <w:rPr>
          <w:rFonts w:eastAsia="Times New Roman"/>
          <w:noProof/>
          <w:color w:val="000000"/>
          <w:lang w:val="en-IE" w:eastAsia="fr-BE"/>
        </w:rPr>
        <w:t>d</w:t>
      </w:r>
      <w:r w:rsidR="008D205D" w:rsidRPr="00DF5C23">
        <w:rPr>
          <w:rFonts w:eastAsia="Times New Roman"/>
          <w:noProof/>
          <w:color w:val="000000"/>
          <w:lang w:val="en-IE" w:eastAsia="fr-BE"/>
        </w:rPr>
        <w:t xml:space="preserve">) 廃棄された未販売消費財に関する情報公開の形式について定めること、 </w:t>
      </w:r>
      <w:r w:rsidR="008D205D" w:rsidRPr="00DF5C23">
        <w:rPr>
          <w:noProof/>
          <w:lang w:eastAsia="ja-JP"/>
        </w:rPr>
        <w:t>(</w:t>
      </w:r>
      <w:r w:rsidR="00804E91" w:rsidRPr="00DF5C23">
        <w:rPr>
          <w:noProof/>
          <w:lang w:eastAsia="ja-JP"/>
        </w:rPr>
        <w:t xml:space="preserve">e) </w:t>
      </w:r>
      <w:r w:rsidR="008D205D" w:rsidRPr="00DF5C23">
        <w:rPr>
          <w:noProof/>
          <w:lang w:val="en-IE" w:eastAsia="fr-BE"/>
        </w:rPr>
        <w:t>エコサイン要件、製品パスポートの必須要件または試験、測定、計算方法に関する</w:t>
      </w:r>
      <w:r w:rsidR="008D205D" w:rsidRPr="00DF5C23">
        <w:rPr>
          <w:noProof/>
          <w:lang w:eastAsia="ja-JP"/>
        </w:rPr>
        <w:t>共通仕様書を制定、修正、廃止すること</w:t>
      </w:r>
      <w:r w:rsidR="008D205D" w:rsidRPr="00DF5C23">
        <w:rPr>
          <w:noProof/>
          <w:color w:val="000000"/>
          <w:lang w:val="en-IE" w:eastAsia="fr-BE"/>
        </w:rPr>
        <w:t>；</w:t>
      </w:r>
      <w:r w:rsidR="008D205D" w:rsidRPr="00DF5C23">
        <w:rPr>
          <w:noProof/>
          <w:color w:val="000000"/>
          <w:lang w:val="en-IE" w:eastAsia="fr-BE"/>
        </w:rPr>
        <w:t>(</w:t>
      </w:r>
      <w:r w:rsidR="00804E91" w:rsidRPr="00DF5C23">
        <w:rPr>
          <w:noProof/>
          <w:color w:val="000000"/>
          <w:lang w:val="en-IE" w:eastAsia="fr-BE"/>
        </w:rPr>
        <w:t>f</w:t>
      </w:r>
      <w:r w:rsidR="008D205D" w:rsidRPr="00DF5C23">
        <w:rPr>
          <w:noProof/>
          <w:color w:val="000000"/>
          <w:lang w:val="en-IE" w:eastAsia="fr-BE"/>
        </w:rPr>
        <w:t xml:space="preserve">) </w:t>
      </w:r>
      <w:r w:rsidR="008D205D" w:rsidRPr="00DF5C23">
        <w:rPr>
          <w:noProof/>
          <w:color w:val="000000"/>
          <w:lang w:val="en-IE" w:eastAsia="fr-BE"/>
        </w:rPr>
        <w:t>届出機関の適切な監視に十分と考えられる常勤の同等者の最低人数を定めること。</w:t>
      </w:r>
      <w:r w:rsidR="008D205D" w:rsidRPr="00DF5C23">
        <w:rPr>
          <w:noProof/>
          <w:color w:val="000000"/>
          <w:lang w:val="en-IE" w:eastAsia="fr-BE"/>
        </w:rPr>
        <w:t xml:space="preserve"> (</w:t>
      </w:r>
      <w:r w:rsidR="00804E91" w:rsidRPr="00DF5C23">
        <w:rPr>
          <w:noProof/>
          <w:color w:val="000000"/>
          <w:lang w:val="en-IE" w:eastAsia="fr-BE"/>
        </w:rPr>
        <w:t>g</w:t>
      </w:r>
      <w:r w:rsidR="008D205D" w:rsidRPr="00DF5C23">
        <w:rPr>
          <w:noProof/>
          <w:color w:val="000000"/>
          <w:lang w:val="en-IE" w:eastAsia="fr-BE"/>
        </w:rPr>
        <w:t xml:space="preserve">) </w:t>
      </w:r>
      <w:r w:rsidR="008D205D" w:rsidRPr="00DF5C23">
        <w:rPr>
          <w:rFonts w:eastAsia="Times New Roman"/>
          <w:noProof/>
          <w:color w:val="000000"/>
          <w:lang w:val="en-IE" w:eastAsia="fr-BE"/>
        </w:rPr>
        <w:t>非遵守の届出機関に対して、届出の撤回を含む是正措置をとることを加盟国に求めること。 (</w:t>
      </w:r>
      <w:r w:rsidR="00804E91" w:rsidRPr="00DF5C23">
        <w:rPr>
          <w:rFonts w:eastAsia="Times New Roman"/>
          <w:noProof/>
          <w:color w:val="000000"/>
          <w:lang w:val="en-IE" w:eastAsia="fr-BE"/>
        </w:rPr>
        <w:t>h</w:t>
      </w:r>
      <w:r w:rsidR="008D205D" w:rsidRPr="00DF5C23">
        <w:rPr>
          <w:rFonts w:eastAsia="Times New Roman"/>
          <w:noProof/>
          <w:color w:val="000000"/>
          <w:lang w:val="en-IE" w:eastAsia="fr-BE"/>
        </w:rPr>
        <w:t xml:space="preserve">) </w:t>
      </w:r>
      <w:r w:rsidR="008D205D" w:rsidRPr="00DF5C23">
        <w:rPr>
          <w:noProof/>
          <w:lang w:eastAsia="fr-BE"/>
        </w:rPr>
        <w:t>市場監視の優先事項として</w:t>
      </w:r>
      <w:r w:rsidR="008D205D" w:rsidRPr="00DF5C23">
        <w:rPr>
          <w:noProof/>
          <w:lang w:eastAsia="ja-JP"/>
        </w:rPr>
        <w:t>加盟国が少なくとも考慮しなければならない</w:t>
      </w:r>
      <w:r w:rsidR="008D205D" w:rsidRPr="00DF5C23">
        <w:rPr>
          <w:noProof/>
          <w:lang w:eastAsia="fr-BE"/>
        </w:rPr>
        <w:t>製品</w:t>
      </w:r>
      <w:r w:rsidR="008D205D" w:rsidRPr="00DF5C23">
        <w:rPr>
          <w:noProof/>
          <w:lang w:eastAsia="ja-JP"/>
        </w:rPr>
        <w:t>または要件をリストアップすること。</w:t>
      </w:r>
      <w:r w:rsidR="008D205D" w:rsidRPr="00DF5C23">
        <w:rPr>
          <w:noProof/>
          <w:lang w:eastAsia="ja-JP"/>
        </w:rPr>
        <w:t xml:space="preserve"> </w:t>
      </w:r>
      <w:r w:rsidR="008D205D" w:rsidRPr="00DF5C23">
        <w:rPr>
          <w:noProof/>
          <w:lang w:eastAsia="fr-BE"/>
        </w:rPr>
        <w:t>(</w:t>
      </w:r>
      <w:r w:rsidR="00804E91" w:rsidRPr="00DF5C23">
        <w:rPr>
          <w:noProof/>
          <w:lang w:eastAsia="fr-BE"/>
        </w:rPr>
        <w:t>i</w:t>
      </w:r>
      <w:r w:rsidR="008D205D" w:rsidRPr="00DF5C23">
        <w:rPr>
          <w:noProof/>
          <w:lang w:eastAsia="fr-BE"/>
        </w:rPr>
        <w:t xml:space="preserve">) </w:t>
      </w:r>
      <w:r w:rsidR="008D205D" w:rsidRPr="00DF5C23">
        <w:rPr>
          <w:noProof/>
          <w:lang w:eastAsia="fr-BE"/>
        </w:rPr>
        <w:t>国内の措置が正当であるかどうか、連合のセーフガード手続に従って判断すること</w:t>
      </w:r>
      <w:r w:rsidR="008D205D" w:rsidRPr="00DF5C23">
        <w:rPr>
          <w:noProof/>
          <w:lang w:val="en-IE" w:eastAsia="fr-BE"/>
        </w:rPr>
        <w:t>。</w:t>
      </w:r>
      <w:r w:rsidR="00D81745" w:rsidRPr="00DF5C23">
        <w:rPr>
          <w:noProof/>
          <w:lang w:eastAsia="ja-JP"/>
        </w:rPr>
        <w:t>これら</w:t>
      </w:r>
      <w:r w:rsidR="00D81745" w:rsidRPr="00DF5C23">
        <w:rPr>
          <w:noProof/>
          <w:lang w:eastAsia="ja-JP"/>
        </w:rPr>
        <w:lastRenderedPageBreak/>
        <w:t>の権限は、欧州議会および理事会の規則（</w:t>
      </w:r>
      <w:r w:rsidR="00D81745" w:rsidRPr="00DF5C23">
        <w:rPr>
          <w:noProof/>
          <w:lang w:eastAsia="ja-JP"/>
        </w:rPr>
        <w:t>EU</w:t>
      </w:r>
      <w:r w:rsidR="00D81745" w:rsidRPr="00DF5C23">
        <w:rPr>
          <w:noProof/>
          <w:lang w:eastAsia="ja-JP"/>
        </w:rPr>
        <w:t>）</w:t>
      </w:r>
      <w:r w:rsidR="00D81745" w:rsidRPr="00DF5C23">
        <w:rPr>
          <w:noProof/>
          <w:lang w:eastAsia="ja-JP"/>
        </w:rPr>
        <w:t>No182/2011</w:t>
      </w:r>
      <w:r w:rsidR="00D81745" w:rsidRPr="00DF5C23">
        <w:rPr>
          <w:noProof/>
          <w:lang w:eastAsia="ja-JP"/>
        </w:rPr>
        <w:t>に従って行使されるべきである。</w:t>
      </w:r>
      <w:r w:rsidR="006B2A80" w:rsidRPr="00DF5C23">
        <w:rPr>
          <w:rStyle w:val="afa"/>
          <w:noProof/>
        </w:rPr>
        <w:footnoteReference w:id="83"/>
      </w:r>
    </w:p>
    <w:p w14:paraId="0E373F92" w14:textId="77777777" w:rsidR="0038775E" w:rsidRDefault="00877B9C" w:rsidP="002041D4">
      <w:pPr>
        <w:pStyle w:val="ManualConsidrant"/>
        <w:wordWrap w:val="0"/>
        <w:rPr>
          <w:noProof/>
          <w:lang w:eastAsia="ja-JP"/>
        </w:rPr>
      </w:pPr>
      <w:r w:rsidRPr="004F5E59">
        <w:rPr>
          <w:lang w:eastAsia="ja-JP"/>
        </w:rPr>
        <w:t>(101)</w:t>
      </w:r>
      <w:r w:rsidRPr="004F5E59">
        <w:rPr>
          <w:lang w:eastAsia="ja-JP"/>
        </w:rPr>
        <w:tab/>
      </w:r>
      <w:r w:rsidR="23DF1179">
        <w:rPr>
          <w:noProof/>
          <w:lang w:eastAsia="ja-JP"/>
        </w:rPr>
        <w:t>市場に出された製品、特にエコデザイン要件に適合しているという事実に対する信頼を高めるために、国民は、非適合製品を市場に出す経済事業者が罰則の対象となることを確認する必要がある。したがって、加盟国は、本規則を遵守しなかった場合、国内法において効果的、比例的、かつ説得力のある罰則を定めることが必要である。</w:t>
      </w:r>
    </w:p>
    <w:p w14:paraId="788E86CC" w14:textId="77777777" w:rsidR="0038775E" w:rsidRDefault="00877B9C" w:rsidP="002041D4">
      <w:pPr>
        <w:pStyle w:val="ManualConsidrant"/>
        <w:wordWrap w:val="0"/>
        <w:rPr>
          <w:noProof/>
          <w:lang w:eastAsia="ja-JP"/>
        </w:rPr>
      </w:pPr>
      <w:r w:rsidRPr="004F5E59">
        <w:rPr>
          <w:lang w:eastAsia="ja-JP"/>
        </w:rPr>
        <w:t>(102)</w:t>
      </w:r>
      <w:r w:rsidRPr="004F5E59">
        <w:rPr>
          <w:lang w:eastAsia="ja-JP"/>
        </w:rPr>
        <w:tab/>
      </w:r>
      <w:r w:rsidR="23DF1179">
        <w:rPr>
          <w:noProof/>
          <w:lang w:eastAsia="ja-JP"/>
        </w:rPr>
        <w:t>欧州委員会は、本規則の評価を実施する必要がある。より良い法づくりに関する制度間協定の第</w:t>
      </w:r>
      <w:r w:rsidR="23DF1179">
        <w:rPr>
          <w:noProof/>
          <w:lang w:eastAsia="ja-JP"/>
        </w:rPr>
        <w:t>22</w:t>
      </w:r>
      <w:r w:rsidR="23DF1179">
        <w:rPr>
          <w:noProof/>
          <w:lang w:eastAsia="ja-JP"/>
        </w:rPr>
        <w:t>項に従い、その評価は、効率性、有効性、関連性、一貫性、</w:t>
      </w:r>
      <w:r w:rsidR="23DF1179">
        <w:rPr>
          <w:noProof/>
          <w:lang w:eastAsia="ja-JP"/>
        </w:rPr>
        <w:t>EU</w:t>
      </w:r>
      <w:r w:rsidR="23DF1179">
        <w:rPr>
          <w:noProof/>
          <w:lang w:eastAsia="ja-JP"/>
        </w:rPr>
        <w:t>の付加価値という</w:t>
      </w:r>
      <w:r w:rsidR="23DF1179">
        <w:rPr>
          <w:noProof/>
          <w:lang w:eastAsia="ja-JP"/>
        </w:rPr>
        <w:t>5</w:t>
      </w:r>
      <w:r w:rsidR="23DF1179">
        <w:rPr>
          <w:noProof/>
          <w:lang w:eastAsia="ja-JP"/>
        </w:rPr>
        <w:t>つの基準に基づいて行われるべきであり、可能な追加措置の影響評価の基礎となるものでなければならない。欧州委員会は、欧州議会、理事会、欧州経済社会委員会および地域委員会に対し、本規則の実施状況および製品の環境持続可能性と域内市場の機能に対するその影響に関する報告書を提出しなければならない。適切な場合には、報告書には、本規則の関連規定を改正するための提案を添付しなければならない。</w:t>
      </w:r>
    </w:p>
    <w:p w14:paraId="0ED63A3F" w14:textId="56B9858C" w:rsidR="0038775E" w:rsidRDefault="00877B9C" w:rsidP="002041D4">
      <w:pPr>
        <w:pStyle w:val="ManualConsidrant"/>
        <w:wordWrap w:val="0"/>
        <w:rPr>
          <w:noProof/>
          <w:lang w:eastAsia="ja-JP"/>
        </w:rPr>
      </w:pPr>
      <w:r w:rsidRPr="004F5E59">
        <w:rPr>
          <w:lang w:eastAsia="ja-JP"/>
        </w:rPr>
        <w:t>(103)</w:t>
      </w:r>
      <w:r w:rsidRPr="004F5E59">
        <w:rPr>
          <w:lang w:eastAsia="ja-JP"/>
        </w:rPr>
        <w:tab/>
      </w:r>
      <w:r w:rsidR="23DF1179">
        <w:rPr>
          <w:noProof/>
          <w:lang w:eastAsia="ja-JP"/>
        </w:rPr>
        <w:t>エコデザイン要件がエネルギー関連製品だけでなく、可能な限り幅広い製品に適用され、エコデザイン要件の定義が循環性のすべての側面を包含するように拡大されることが必要である。また、本規則を規則</w:t>
      </w:r>
      <w:r w:rsidR="23DF1179">
        <w:rPr>
          <w:noProof/>
          <w:lang w:eastAsia="ja-JP"/>
        </w:rPr>
        <w:t xml:space="preserve"> (EC) No 765/2008 </w:t>
      </w:r>
      <w:r w:rsidR="23DF1179">
        <w:rPr>
          <w:noProof/>
          <w:lang w:eastAsia="ja-JP"/>
        </w:rPr>
        <w:t>および決定</w:t>
      </w:r>
      <w:r w:rsidR="23DF1179">
        <w:rPr>
          <w:noProof/>
          <w:lang w:eastAsia="ja-JP"/>
        </w:rPr>
        <w:t xml:space="preserve"> No 768/2008/EC </w:t>
      </w:r>
      <w:r w:rsidR="23DF1179">
        <w:rPr>
          <w:noProof/>
          <w:lang w:eastAsia="ja-JP"/>
        </w:rPr>
        <w:t>に規定された新立法的枠組みに合わせ、市場監視に関連する規定を改善する必要がある。したがって、指令</w:t>
      </w:r>
      <w:r w:rsidR="23DF1179">
        <w:rPr>
          <w:noProof/>
          <w:lang w:eastAsia="ja-JP"/>
        </w:rPr>
        <w:t xml:space="preserve"> 2009/125/EC </w:t>
      </w:r>
      <w:r w:rsidR="23DF1179">
        <w:rPr>
          <w:noProof/>
          <w:lang w:eastAsia="ja-JP"/>
        </w:rPr>
        <w:t>は置き換えられるべきものである。本規則の発効日からすべての経済事業者に法的確実性を確保し、</w:t>
      </w:r>
      <w:r w:rsidR="23DF1179" w:rsidRPr="23DF1179">
        <w:rPr>
          <w:rFonts w:eastAsia="Arial Unicode MS"/>
          <w:noProof/>
          <w:lang w:eastAsia="ja-JP"/>
        </w:rPr>
        <w:t>域内市場で</w:t>
      </w:r>
      <w:r w:rsidR="23DF1179" w:rsidRPr="23DF1179">
        <w:rPr>
          <w:noProof/>
          <w:lang w:eastAsia="ja-JP"/>
        </w:rPr>
        <w:t>活動する事業</w:t>
      </w:r>
      <w:r w:rsidR="23DF1179">
        <w:rPr>
          <w:noProof/>
          <w:lang w:eastAsia="ja-JP"/>
        </w:rPr>
        <w:t>者に公平な競争環境を保証するために、売れ残った消費者製品の廃棄、回避、市場監視に関する透明性義務を定めた規定は、域内のすべての事業者に統一的に適用されるべき</w:t>
      </w:r>
      <w:r w:rsidR="002041D4">
        <w:rPr>
          <w:noProof/>
          <w:lang w:eastAsia="ja-JP"/>
        </w:rPr>
        <w:t>である</w:t>
      </w:r>
      <w:r w:rsidR="23DF1179">
        <w:rPr>
          <w:noProof/>
          <w:lang w:eastAsia="ja-JP"/>
        </w:rPr>
        <w:t>。したがって、指令</w:t>
      </w:r>
      <w:r w:rsidR="23DF1179">
        <w:rPr>
          <w:noProof/>
          <w:lang w:eastAsia="ja-JP"/>
        </w:rPr>
        <w:t>2009/125/EC</w:t>
      </w:r>
      <w:r w:rsidR="23DF1179">
        <w:rPr>
          <w:noProof/>
          <w:lang w:eastAsia="ja-JP"/>
        </w:rPr>
        <w:t>は規則で置き換えられるべきである。</w:t>
      </w:r>
    </w:p>
    <w:p w14:paraId="4B85395C" w14:textId="7E26FD84" w:rsidR="0038775E" w:rsidRDefault="00877B9C" w:rsidP="002041D4">
      <w:pPr>
        <w:pStyle w:val="ManualConsidrant"/>
        <w:wordWrap w:val="0"/>
        <w:rPr>
          <w:noProof/>
          <w:lang w:eastAsia="ja-JP"/>
        </w:rPr>
      </w:pPr>
      <w:r w:rsidRPr="004F5E59">
        <w:rPr>
          <w:lang w:eastAsia="ja-JP"/>
        </w:rPr>
        <w:t>(104)</w:t>
      </w:r>
      <w:r w:rsidRPr="004F5E59">
        <w:rPr>
          <w:lang w:eastAsia="ja-JP"/>
        </w:rPr>
        <w:tab/>
      </w:r>
      <w:r w:rsidR="23DF1179">
        <w:rPr>
          <w:noProof/>
          <w:lang w:eastAsia="ja-JP"/>
        </w:rPr>
        <w:t>本規則の適用日に適用されるバージョンの指令</w:t>
      </w:r>
      <w:r w:rsidR="23DF1179">
        <w:rPr>
          <w:noProof/>
          <w:lang w:eastAsia="ja-JP"/>
        </w:rPr>
        <w:t xml:space="preserve"> 2009/125/EC </w:t>
      </w:r>
      <w:r w:rsidR="23DF1179">
        <w:rPr>
          <w:noProof/>
          <w:lang w:eastAsia="ja-JP"/>
        </w:rPr>
        <w:t>に従って採択された実施措置に準拠して上市または使用開始された製品の法的確実性と継続性を確保するために、これらの措置はその日を超えて、本規則に従って採択された委任法によって廃止されるまで効力を維持する必要があ</w:t>
      </w:r>
      <w:r w:rsidR="002041D4">
        <w:rPr>
          <w:noProof/>
          <w:lang w:eastAsia="ja-JP"/>
        </w:rPr>
        <w:t>る</w:t>
      </w:r>
      <w:r w:rsidR="23DF1179">
        <w:rPr>
          <w:noProof/>
          <w:lang w:eastAsia="ja-JP"/>
        </w:rPr>
        <w:t>。同じ理由で、指令</w:t>
      </w:r>
      <w:r w:rsidR="23DF1179">
        <w:rPr>
          <w:noProof/>
          <w:lang w:eastAsia="ja-JP"/>
        </w:rPr>
        <w:t xml:space="preserve"> 2009/125/EC </w:t>
      </w:r>
      <w:r w:rsidR="23DF1179">
        <w:rPr>
          <w:noProof/>
          <w:lang w:eastAsia="ja-JP"/>
        </w:rPr>
        <w:t>の多くの条項は、これらの実施措置の適用という観点から、引き続き完全な効力を有するべきである。これは特に、指令</w:t>
      </w:r>
      <w:r w:rsidR="23DF1179">
        <w:rPr>
          <w:noProof/>
          <w:lang w:eastAsia="ja-JP"/>
        </w:rPr>
        <w:t>2009/125/EC</w:t>
      </w:r>
      <w:r w:rsidR="23DF1179">
        <w:rPr>
          <w:noProof/>
          <w:lang w:eastAsia="ja-JP"/>
        </w:rPr>
        <w:t>の、物品または人の輸送手段をその範囲から除外する規定、実施措置に関連する定義の確立、上市された製品に関する経済事業者の責任の設定、関連する適合性評価手続きおよび</w:t>
      </w:r>
      <w:r w:rsidR="23DF1179">
        <w:rPr>
          <w:noProof/>
          <w:lang w:eastAsia="ja-JP"/>
        </w:rPr>
        <w:t>EC</w:t>
      </w:r>
      <w:r w:rsidR="23DF1179">
        <w:rPr>
          <w:noProof/>
          <w:lang w:eastAsia="ja-JP"/>
        </w:rPr>
        <w:t>適合宣言の詳細の特定、</w:t>
      </w:r>
      <w:r w:rsidR="23DF1179">
        <w:rPr>
          <w:noProof/>
          <w:lang w:eastAsia="ja-JP"/>
        </w:rPr>
        <w:t>EU</w:t>
      </w:r>
      <w:r w:rsidR="23DF1179">
        <w:rPr>
          <w:noProof/>
          <w:lang w:eastAsia="ja-JP"/>
        </w:rPr>
        <w:t>エコラベルを付与された製品に対する適合性の推定の確立、調和規格に関連した必要な措置を可能にすることに関連している。商品の自由な移動を確保し、より有利な結果を得るために製品の性能を違法に変更する行為を禁止し、エコデザイン要件の適切な実施を確保することの重要性に留意しつつ、本規則の関連条項は、指</w:t>
      </w:r>
      <w:r w:rsidR="23DF1179">
        <w:rPr>
          <w:noProof/>
          <w:lang w:eastAsia="ja-JP"/>
        </w:rPr>
        <w:lastRenderedPageBreak/>
        <w:t>令</w:t>
      </w:r>
      <w:r w:rsidR="23DF1179">
        <w:rPr>
          <w:noProof/>
          <w:lang w:eastAsia="ja-JP"/>
        </w:rPr>
        <w:t>2009/125/EC</w:t>
      </w:r>
      <w:r w:rsidR="23DF1179">
        <w:rPr>
          <w:noProof/>
          <w:lang w:eastAsia="ja-JP"/>
        </w:rPr>
        <w:t>に基づく実施措置に従って市場に出されたエネルギー関連製品に適用されるものとする。</w:t>
      </w:r>
      <w:r w:rsidR="23DF1179">
        <w:rPr>
          <w:noProof/>
          <w:lang w:eastAsia="ja-JP"/>
        </w:rPr>
        <w:t xml:space="preserve"> </w:t>
      </w:r>
    </w:p>
    <w:p w14:paraId="50F65A49" w14:textId="77777777" w:rsidR="0038775E" w:rsidRDefault="00877B9C" w:rsidP="002041D4">
      <w:pPr>
        <w:pStyle w:val="ManualConsidrant"/>
        <w:wordWrap w:val="0"/>
        <w:rPr>
          <w:noProof/>
          <w:lang w:eastAsia="ja-JP"/>
        </w:rPr>
      </w:pPr>
      <w:r w:rsidRPr="004F5E59">
        <w:rPr>
          <w:lang w:eastAsia="ja-JP"/>
        </w:rPr>
        <w:t>(105)</w:t>
      </w:r>
      <w:r w:rsidRPr="004F5E59">
        <w:rPr>
          <w:lang w:eastAsia="ja-JP"/>
        </w:rPr>
        <w:tab/>
      </w:r>
      <w:r w:rsidR="23DF1179">
        <w:rPr>
          <w:noProof/>
          <w:lang w:eastAsia="ja-JP"/>
        </w:rPr>
        <w:t>本規則の目的、すなわち、</w:t>
      </w:r>
      <w:r w:rsidR="23DF1179" w:rsidRPr="23DF1179">
        <w:rPr>
          <w:noProof/>
          <w:lang w:val="en-IE" w:eastAsia="fr-BE"/>
        </w:rPr>
        <w:t>製品の環境持続性を向上させ、エコデザイン要求が設定された製品の域内市場における自由な移動を確保することは、</w:t>
      </w:r>
      <w:r w:rsidR="23DF1179">
        <w:rPr>
          <w:noProof/>
          <w:lang w:eastAsia="ja-JP"/>
        </w:rPr>
        <w:t>加盟国では十分に達成できず、むしろその規模や効果から、連合レベルでしか達成できないため、欧州連合条約（</w:t>
      </w:r>
      <w:r w:rsidR="23DF1179">
        <w:rPr>
          <w:noProof/>
          <w:lang w:eastAsia="ja-JP"/>
        </w:rPr>
        <w:t>TEU</w:t>
      </w:r>
      <w:r w:rsidR="23DF1179">
        <w:rPr>
          <w:noProof/>
          <w:lang w:eastAsia="ja-JP"/>
        </w:rPr>
        <w:t>）第</w:t>
      </w:r>
      <w:r w:rsidR="23DF1179">
        <w:rPr>
          <w:noProof/>
          <w:lang w:eastAsia="ja-JP"/>
        </w:rPr>
        <w:t>5</w:t>
      </w:r>
      <w:r w:rsidR="23DF1179">
        <w:rPr>
          <w:noProof/>
          <w:lang w:eastAsia="ja-JP"/>
        </w:rPr>
        <w:t>条に定める補完性の原則に従い、連合は措置を採用できる。同条に定める比例原則に従い、本規則は、その目的を達成するために必要なことを超えることはない、</w:t>
      </w:r>
    </w:p>
    <w:p w14:paraId="15F27086" w14:textId="77777777" w:rsidR="0038775E" w:rsidRDefault="00877B9C" w:rsidP="002041D4">
      <w:pPr>
        <w:pStyle w:val="Formuledadoption"/>
        <w:wordWrap w:val="0"/>
        <w:rPr>
          <w:noProof/>
          <w:lang w:eastAsia="ja-JP"/>
        </w:rPr>
      </w:pPr>
      <w:r w:rsidRPr="00DF5C23">
        <w:rPr>
          <w:noProof/>
          <w:lang w:eastAsia="ja-JP"/>
        </w:rPr>
        <w:t>は、この規則を採用しています：</w:t>
      </w:r>
    </w:p>
    <w:p w14:paraId="10D37B88" w14:textId="77777777" w:rsidR="0038775E" w:rsidRDefault="00877B9C" w:rsidP="002041D4">
      <w:pPr>
        <w:pStyle w:val="ManualHeading1"/>
        <w:wordWrap w:val="0"/>
        <w:jc w:val="center"/>
        <w:rPr>
          <w:noProof/>
          <w:lang w:eastAsia="ja-JP"/>
        </w:rPr>
      </w:pPr>
      <w:r w:rsidRPr="00DF5C23">
        <w:rPr>
          <w:noProof/>
          <w:lang w:eastAsia="ja-JP"/>
        </w:rPr>
        <w:t>第</w:t>
      </w:r>
      <w:r w:rsidRPr="00DF5C23">
        <w:rPr>
          <w:noProof/>
          <w:lang w:eastAsia="ja-JP"/>
        </w:rPr>
        <w:t>1</w:t>
      </w:r>
      <w:r w:rsidRPr="00DF5C23">
        <w:rPr>
          <w:noProof/>
          <w:lang w:eastAsia="ja-JP"/>
        </w:rPr>
        <w:t>章</w:t>
      </w:r>
      <w:r w:rsidRPr="00DF5C23">
        <w:rPr>
          <w:noProof/>
          <w:lang w:eastAsia="ja-JP"/>
        </w:rPr>
        <w:t xml:space="preserve"> </w:t>
      </w:r>
      <w:r w:rsidRPr="00DF5C23">
        <w:rPr>
          <w:noProof/>
          <w:lang w:eastAsia="ja-JP"/>
        </w:rPr>
        <w:t>総則</w:t>
      </w:r>
    </w:p>
    <w:p w14:paraId="1C36C263" w14:textId="77777777" w:rsidR="0038775E" w:rsidRDefault="00877B9C" w:rsidP="002041D4">
      <w:pPr>
        <w:pStyle w:val="Titrearticle"/>
        <w:wordWrap w:val="0"/>
        <w:rPr>
          <w:noProof/>
          <w:lang w:val="en-IE" w:eastAsia="fr-BE"/>
        </w:rPr>
      </w:pPr>
      <w:r w:rsidRPr="00DF5C23">
        <w:rPr>
          <w:noProof/>
          <w:lang w:eastAsia="ja-JP"/>
        </w:rPr>
        <w:t>第</w:t>
      </w:r>
      <w:r w:rsidRPr="00DF5C23">
        <w:rPr>
          <w:noProof/>
          <w:lang w:eastAsia="ja-JP"/>
        </w:rPr>
        <w:t>1</w:t>
      </w:r>
      <w:r w:rsidRPr="00DF5C23">
        <w:rPr>
          <w:noProof/>
          <w:lang w:eastAsia="ja-JP"/>
        </w:rPr>
        <w:t>条</w:t>
      </w:r>
      <w:r w:rsidR="00646885" w:rsidRPr="00DF5C23">
        <w:rPr>
          <w:noProof/>
          <w:lang w:eastAsia="ja-JP"/>
        </w:rPr>
        <w:br/>
      </w:r>
      <w:r w:rsidRPr="00DF5C23">
        <w:rPr>
          <w:noProof/>
          <w:lang w:val="en-IE" w:eastAsia="fr-BE"/>
        </w:rPr>
        <w:t>主題と範囲</w:t>
      </w:r>
    </w:p>
    <w:p w14:paraId="7BCC095B" w14:textId="77777777" w:rsidR="0038775E" w:rsidRDefault="00877B9C" w:rsidP="002041D4">
      <w:pPr>
        <w:pStyle w:val="ManualNumPar1"/>
        <w:wordWrap w:val="0"/>
        <w:rPr>
          <w:noProof/>
          <w:lang w:eastAsia="ja-JP"/>
        </w:rPr>
      </w:pPr>
      <w:r w:rsidRPr="004F5E59">
        <w:rPr>
          <w:lang w:eastAsia="ja-JP"/>
        </w:rPr>
        <w:t>1.</w:t>
      </w:r>
      <w:r w:rsidRPr="004F5E59">
        <w:rPr>
          <w:lang w:eastAsia="ja-JP"/>
        </w:rPr>
        <w:tab/>
      </w:r>
      <w:r w:rsidR="00646885" w:rsidRPr="00DF5C23">
        <w:rPr>
          <w:noProof/>
          <w:lang w:eastAsia="ja-JP"/>
        </w:rPr>
        <w:t>本規則は、</w:t>
      </w:r>
      <w:r w:rsidR="006600B1" w:rsidRPr="00DF5C23">
        <w:rPr>
          <w:noProof/>
          <w:lang w:eastAsia="ja-JP"/>
        </w:rPr>
        <w:t>製品が市場に投入され、または使用されるために満たすべき</w:t>
      </w:r>
      <w:r w:rsidR="007960F7" w:rsidRPr="00DF5C23">
        <w:rPr>
          <w:noProof/>
          <w:lang w:eastAsia="ja-JP"/>
        </w:rPr>
        <w:t>エコデザイン</w:t>
      </w:r>
      <w:r w:rsidR="00646885" w:rsidRPr="00DF5C23">
        <w:rPr>
          <w:noProof/>
          <w:lang w:eastAsia="ja-JP"/>
        </w:rPr>
        <w:t>要件を定める</w:t>
      </w:r>
      <w:r w:rsidR="00F00E73" w:rsidRPr="00DF5C23">
        <w:rPr>
          <w:noProof/>
          <w:lang w:eastAsia="ja-JP"/>
        </w:rPr>
        <w:t>ことにより、</w:t>
      </w:r>
      <w:r w:rsidR="00BC51D8" w:rsidRPr="00DF5C23">
        <w:rPr>
          <w:noProof/>
          <w:lang w:val="en-IE" w:eastAsia="ja-JP"/>
        </w:rPr>
        <w:t>製品の環境持続</w:t>
      </w:r>
      <w:r w:rsidR="00F00E73" w:rsidRPr="00DF5C23">
        <w:rPr>
          <w:noProof/>
          <w:lang w:eastAsia="ja-JP"/>
        </w:rPr>
        <w:t>性を向上させ、域内市場における自由な移動を確保するための</w:t>
      </w:r>
      <w:r w:rsidR="00646885" w:rsidRPr="00DF5C23">
        <w:rPr>
          <w:noProof/>
          <w:lang w:eastAsia="ja-JP"/>
        </w:rPr>
        <w:t>枠組みを確立するものである。</w:t>
      </w:r>
      <w:r w:rsidR="007C79ED" w:rsidRPr="00DF5C23">
        <w:rPr>
          <w:noProof/>
          <w:lang w:eastAsia="ja-JP"/>
        </w:rPr>
        <w:t>これらのエコデザイン要件は、</w:t>
      </w:r>
      <w:r w:rsidR="00BC51D8" w:rsidRPr="00DF5C23">
        <w:rPr>
          <w:noProof/>
          <w:lang w:eastAsia="ja-JP"/>
        </w:rPr>
        <w:t>欧州委員会が委任法の中でさらに詳しく説明するものとし、以下の事項に</w:t>
      </w:r>
      <w:r w:rsidR="007C79ED" w:rsidRPr="00DF5C23">
        <w:rPr>
          <w:noProof/>
          <w:lang w:eastAsia="ja-JP"/>
        </w:rPr>
        <w:t>関連する：</w:t>
      </w:r>
    </w:p>
    <w:p w14:paraId="5D8FED81" w14:textId="77777777" w:rsidR="0038775E" w:rsidRDefault="00877B9C" w:rsidP="002041D4">
      <w:pPr>
        <w:pStyle w:val="Point1"/>
        <w:wordWrap w:val="0"/>
        <w:rPr>
          <w:noProof/>
          <w:lang w:val="en-IE" w:eastAsia="fr-BE"/>
        </w:rPr>
      </w:pPr>
      <w:r w:rsidRPr="004F5E59">
        <w:rPr>
          <w:lang w:eastAsia="ja-JP"/>
        </w:rPr>
        <w:t>(a)</w:t>
      </w:r>
      <w:r w:rsidRPr="004F5E59">
        <w:rPr>
          <w:lang w:eastAsia="ja-JP"/>
        </w:rPr>
        <w:tab/>
      </w:r>
      <w:r w:rsidR="007C79ED" w:rsidRPr="00DF5C23">
        <w:rPr>
          <w:noProof/>
          <w:lang w:val="en-IE" w:eastAsia="fr-BE"/>
        </w:rPr>
        <w:t>製品の耐久性・信頼性を高める</w:t>
      </w:r>
      <w:r w:rsidR="007C79ED" w:rsidRPr="00DF5C23">
        <w:rPr>
          <w:noProof/>
          <w:lang w:val="en-IE" w:eastAsia="fr-BE"/>
        </w:rPr>
        <w:t xml:space="preserve"> </w:t>
      </w:r>
    </w:p>
    <w:p w14:paraId="75975B08" w14:textId="77777777" w:rsidR="0038775E" w:rsidRDefault="00877B9C" w:rsidP="002041D4">
      <w:pPr>
        <w:pStyle w:val="Point1"/>
        <w:wordWrap w:val="0"/>
        <w:rPr>
          <w:noProof/>
          <w:lang w:val="en-IE" w:eastAsia="fr-BE"/>
        </w:rPr>
      </w:pPr>
      <w:r w:rsidRPr="004F5E59">
        <w:rPr>
          <w:lang w:eastAsia="ja-JP"/>
        </w:rPr>
        <w:t>(b)</w:t>
      </w:r>
      <w:r w:rsidRPr="004F5E59">
        <w:rPr>
          <w:lang w:eastAsia="ja-JP"/>
        </w:rPr>
        <w:tab/>
      </w:r>
      <w:r w:rsidR="007C79ED" w:rsidRPr="00DF5C23">
        <w:rPr>
          <w:noProof/>
          <w:lang w:val="en-IE" w:eastAsia="fr-BE"/>
        </w:rPr>
        <w:t>製品の再利用性；</w:t>
      </w:r>
      <w:r w:rsidR="007C79ED" w:rsidRPr="00DF5C23">
        <w:rPr>
          <w:noProof/>
          <w:lang w:val="en-IE" w:eastAsia="fr-BE"/>
        </w:rPr>
        <w:t xml:space="preserve"> </w:t>
      </w:r>
    </w:p>
    <w:p w14:paraId="4A8C34B2" w14:textId="77777777" w:rsidR="0038775E" w:rsidRDefault="00877B9C" w:rsidP="002041D4">
      <w:pPr>
        <w:pStyle w:val="Point1"/>
        <w:wordWrap w:val="0"/>
        <w:rPr>
          <w:noProof/>
          <w:lang w:val="en-IE" w:eastAsia="fr-BE"/>
        </w:rPr>
      </w:pPr>
      <w:r w:rsidRPr="004F5E59">
        <w:rPr>
          <w:lang w:eastAsia="ja-JP"/>
        </w:rPr>
        <w:t>(c)</w:t>
      </w:r>
      <w:r w:rsidRPr="004F5E59">
        <w:rPr>
          <w:lang w:eastAsia="ja-JP"/>
        </w:rPr>
        <w:tab/>
      </w:r>
      <w:r w:rsidR="007C79ED" w:rsidRPr="00DF5C23">
        <w:rPr>
          <w:noProof/>
          <w:lang w:val="en-IE" w:eastAsia="fr-BE"/>
        </w:rPr>
        <w:t>製品のアップグレード、リペア、メンテナンス、リファビッシュ；</w:t>
      </w:r>
    </w:p>
    <w:p w14:paraId="7FCE74FD" w14:textId="77777777" w:rsidR="0038775E" w:rsidRDefault="00877B9C" w:rsidP="002041D4">
      <w:pPr>
        <w:pStyle w:val="Point1"/>
        <w:wordWrap w:val="0"/>
        <w:rPr>
          <w:noProof/>
          <w:lang w:val="en-IE" w:eastAsia="fr-BE"/>
        </w:rPr>
      </w:pPr>
      <w:r w:rsidRPr="004F5E59">
        <w:rPr>
          <w:lang w:eastAsia="ja-JP"/>
        </w:rPr>
        <w:t>(d)</w:t>
      </w:r>
      <w:r w:rsidRPr="004F5E59">
        <w:rPr>
          <w:lang w:eastAsia="ja-JP"/>
        </w:rPr>
        <w:tab/>
      </w:r>
      <w:r w:rsidR="007C79ED" w:rsidRPr="00DF5C23">
        <w:rPr>
          <w:noProof/>
          <w:lang w:val="en-IE" w:eastAsia="fr-BE"/>
        </w:rPr>
        <w:t>製品に懸念物質が含まれていること；</w:t>
      </w:r>
      <w:r w:rsidR="007C79ED" w:rsidRPr="00DF5C23">
        <w:rPr>
          <w:noProof/>
          <w:lang w:val="en-IE" w:eastAsia="fr-BE"/>
        </w:rPr>
        <w:t xml:space="preserve"> </w:t>
      </w:r>
    </w:p>
    <w:p w14:paraId="2E6B166E" w14:textId="77777777" w:rsidR="0038775E" w:rsidRDefault="00877B9C" w:rsidP="002041D4">
      <w:pPr>
        <w:pStyle w:val="Point1"/>
        <w:wordWrap w:val="0"/>
        <w:rPr>
          <w:noProof/>
          <w:lang w:val="en-IE" w:eastAsia="fr-BE"/>
        </w:rPr>
      </w:pPr>
      <w:r w:rsidRPr="004F5E59">
        <w:rPr>
          <w:lang w:eastAsia="ja-JP"/>
        </w:rPr>
        <w:t>(e)</w:t>
      </w:r>
      <w:r w:rsidRPr="004F5E59">
        <w:rPr>
          <w:lang w:eastAsia="ja-JP"/>
        </w:rPr>
        <w:tab/>
      </w:r>
      <w:r w:rsidR="007C79ED" w:rsidRPr="00DF5C23">
        <w:rPr>
          <w:noProof/>
          <w:lang w:val="en-IE" w:eastAsia="fr-BE"/>
        </w:rPr>
        <w:t>製品のエネルギーと資源の</w:t>
      </w:r>
      <w:r w:rsidR="00792673" w:rsidRPr="00DF5C23">
        <w:rPr>
          <w:noProof/>
          <w:lang w:val="en-IE" w:eastAsia="fr-BE"/>
        </w:rPr>
        <w:t>効率化；</w:t>
      </w:r>
      <w:r w:rsidR="00792673" w:rsidRPr="00DF5C23">
        <w:rPr>
          <w:noProof/>
          <w:lang w:val="en-IE" w:eastAsia="fr-BE"/>
        </w:rPr>
        <w:t xml:space="preserve"> </w:t>
      </w:r>
    </w:p>
    <w:p w14:paraId="5D485200" w14:textId="77777777" w:rsidR="0038775E" w:rsidRDefault="00877B9C" w:rsidP="002041D4">
      <w:pPr>
        <w:pStyle w:val="Point1"/>
        <w:wordWrap w:val="0"/>
        <w:rPr>
          <w:noProof/>
          <w:lang w:val="en-IE" w:eastAsia="fr-BE"/>
        </w:rPr>
      </w:pPr>
      <w:r w:rsidRPr="004F5E59">
        <w:rPr>
          <w:lang w:eastAsia="ja-JP"/>
        </w:rPr>
        <w:t>(f)</w:t>
      </w:r>
      <w:r w:rsidRPr="004F5E59">
        <w:rPr>
          <w:lang w:eastAsia="ja-JP"/>
        </w:rPr>
        <w:tab/>
      </w:r>
      <w:r w:rsidR="00792673" w:rsidRPr="00DF5C23">
        <w:rPr>
          <w:noProof/>
          <w:lang w:val="en-IE" w:eastAsia="fr-BE"/>
        </w:rPr>
        <w:t>製品に</w:t>
      </w:r>
      <w:r w:rsidR="007C79ED" w:rsidRPr="00DF5C23">
        <w:rPr>
          <w:noProof/>
          <w:lang w:val="en-IE" w:eastAsia="fr-BE"/>
        </w:rPr>
        <w:t>リサイクル素材を使用する；</w:t>
      </w:r>
      <w:r w:rsidR="007C79ED" w:rsidRPr="00DF5C23">
        <w:rPr>
          <w:noProof/>
          <w:lang w:val="en-IE" w:eastAsia="fr-BE"/>
        </w:rPr>
        <w:t xml:space="preserve"> </w:t>
      </w:r>
    </w:p>
    <w:p w14:paraId="3A7EB440" w14:textId="77777777" w:rsidR="0038775E" w:rsidRDefault="00877B9C" w:rsidP="002041D4">
      <w:pPr>
        <w:pStyle w:val="Point1"/>
        <w:wordWrap w:val="0"/>
        <w:rPr>
          <w:noProof/>
          <w:lang w:val="en-IE" w:eastAsia="fr-BE"/>
        </w:rPr>
      </w:pPr>
      <w:r w:rsidRPr="004F5E59">
        <w:rPr>
          <w:lang w:eastAsia="ja-JP"/>
        </w:rPr>
        <w:t>(g)</w:t>
      </w:r>
      <w:r w:rsidRPr="004F5E59">
        <w:rPr>
          <w:lang w:eastAsia="ja-JP"/>
        </w:rPr>
        <w:tab/>
      </w:r>
      <w:r w:rsidR="007C79ED" w:rsidRPr="00DF5C23">
        <w:rPr>
          <w:noProof/>
          <w:lang w:val="en-IE" w:eastAsia="fr-BE"/>
        </w:rPr>
        <w:t>製品の再製造とリサイクル；</w:t>
      </w:r>
      <w:r w:rsidR="007C79ED" w:rsidRPr="00DF5C23">
        <w:rPr>
          <w:noProof/>
          <w:lang w:val="en-IE" w:eastAsia="fr-BE"/>
        </w:rPr>
        <w:t xml:space="preserve"> </w:t>
      </w:r>
    </w:p>
    <w:p w14:paraId="29D5C475" w14:textId="77777777" w:rsidR="0038775E" w:rsidRDefault="00877B9C" w:rsidP="002041D4">
      <w:pPr>
        <w:pStyle w:val="Point1"/>
        <w:wordWrap w:val="0"/>
        <w:rPr>
          <w:noProof/>
          <w:lang w:val="en-IE" w:eastAsia="fr-BE"/>
        </w:rPr>
      </w:pPr>
      <w:r w:rsidRPr="004F5E59">
        <w:rPr>
          <w:lang w:eastAsia="ja-JP"/>
        </w:rPr>
        <w:t>(h)</w:t>
      </w:r>
      <w:r w:rsidRPr="004F5E59">
        <w:rPr>
          <w:lang w:eastAsia="ja-JP"/>
        </w:rPr>
        <w:tab/>
      </w:r>
      <w:r w:rsidR="007C79ED" w:rsidRPr="00DF5C23">
        <w:rPr>
          <w:noProof/>
          <w:lang w:val="en-IE" w:eastAsia="fr-BE"/>
        </w:rPr>
        <w:t>製品のカーボンフットプリントと環境フットプリント</w:t>
      </w:r>
      <w:r w:rsidR="007C79ED" w:rsidRPr="00DF5C23">
        <w:rPr>
          <w:noProof/>
          <w:lang w:val="en-IE" w:eastAsia="fr-BE"/>
        </w:rPr>
        <w:t xml:space="preserve"> </w:t>
      </w:r>
    </w:p>
    <w:p w14:paraId="08DE81BE" w14:textId="77777777" w:rsidR="0038775E" w:rsidRDefault="00877B9C" w:rsidP="002041D4">
      <w:pPr>
        <w:pStyle w:val="Point1"/>
        <w:wordWrap w:val="0"/>
        <w:rPr>
          <w:noProof/>
          <w:lang w:val="en-IE" w:eastAsia="fr-BE"/>
        </w:rPr>
      </w:pPr>
      <w:r w:rsidRPr="004F5E59">
        <w:rPr>
          <w:lang w:eastAsia="ja-JP"/>
        </w:rPr>
        <w:t>(i)</w:t>
      </w:r>
      <w:r w:rsidRPr="004F5E59">
        <w:rPr>
          <w:lang w:eastAsia="ja-JP"/>
        </w:rPr>
        <w:tab/>
      </w:r>
      <w:r w:rsidR="00BC51D8" w:rsidRPr="00DF5C23">
        <w:rPr>
          <w:noProof/>
          <w:lang w:val="en-IE" w:eastAsia="fr-BE"/>
        </w:rPr>
        <w:t>製品の</w:t>
      </w:r>
      <w:r w:rsidR="007C79ED" w:rsidRPr="00DF5C23">
        <w:rPr>
          <w:noProof/>
          <w:lang w:val="en-IE" w:eastAsia="fr-BE"/>
        </w:rPr>
        <w:t>予想される廃棄物発生量</w:t>
      </w:r>
      <w:r w:rsidR="007C79ED" w:rsidRPr="00DF5C23">
        <w:rPr>
          <w:noProof/>
          <w:lang w:val="en-IE" w:eastAsia="fr-BE"/>
        </w:rPr>
        <w:t xml:space="preserve"> </w:t>
      </w:r>
    </w:p>
    <w:p w14:paraId="5B240334" w14:textId="78EBD5CD" w:rsidR="0038775E" w:rsidRDefault="006012DA" w:rsidP="002041D4">
      <w:pPr>
        <w:pStyle w:val="Text1"/>
        <w:wordWrap w:val="0"/>
        <w:rPr>
          <w:noProof/>
          <w:lang w:val="en-IE" w:eastAsia="fr-BE"/>
        </w:rPr>
      </w:pPr>
      <w:r w:rsidRPr="00DF5C23">
        <w:rPr>
          <w:noProof/>
          <w:lang w:val="en-IE" w:eastAsia="fr-BE"/>
        </w:rPr>
        <w:t>また、</w:t>
      </w:r>
      <w:r w:rsidR="00877B9C" w:rsidRPr="00DF5C23">
        <w:rPr>
          <w:noProof/>
          <w:lang w:val="en-IE" w:eastAsia="fr-BE"/>
        </w:rPr>
        <w:t>本規則は、</w:t>
      </w:r>
      <w:r w:rsidR="007C79ED" w:rsidRPr="00DF5C23">
        <w:rPr>
          <w:noProof/>
          <w:lang w:val="en-IE" w:eastAsia="fr-BE"/>
        </w:rPr>
        <w:t>デジタル製品パスポート（以下、製品パスポート）の制定、グリーン公共調達の必須基準の設定、売れ残った消費者</w:t>
      </w:r>
      <w:r w:rsidR="007C79ED" w:rsidRPr="00DF5C23" w:rsidDel="00C64282">
        <w:rPr>
          <w:noProof/>
          <w:lang w:val="en-IE" w:eastAsia="fr-BE"/>
        </w:rPr>
        <w:t>製品の</w:t>
      </w:r>
      <w:r w:rsidR="007C79ED" w:rsidRPr="00DF5C23">
        <w:rPr>
          <w:noProof/>
          <w:lang w:val="en-IE" w:eastAsia="fr-BE"/>
        </w:rPr>
        <w:t>廃棄を防ぐための枠組みを定めて</w:t>
      </w:r>
      <w:r w:rsidR="002041D4">
        <w:rPr>
          <w:noProof/>
          <w:lang w:val="en-IE" w:eastAsia="fr-BE"/>
        </w:rPr>
        <w:t>いる。</w:t>
      </w:r>
      <w:r w:rsidR="007C79ED" w:rsidRPr="00DF5C23" w:rsidDel="00C64282">
        <w:rPr>
          <w:noProof/>
          <w:lang w:val="en-IE" w:eastAsia="fr-BE"/>
        </w:rPr>
        <w:t xml:space="preserve"> </w:t>
      </w:r>
    </w:p>
    <w:p w14:paraId="0F9BD00A" w14:textId="77777777" w:rsidR="0038775E" w:rsidRDefault="00877B9C" w:rsidP="002041D4">
      <w:pPr>
        <w:pStyle w:val="ManualNumPar1"/>
        <w:wordWrap w:val="0"/>
        <w:rPr>
          <w:noProof/>
          <w:lang w:eastAsia="ja-JP"/>
        </w:rPr>
      </w:pPr>
      <w:r w:rsidRPr="004F5E59">
        <w:rPr>
          <w:lang w:eastAsia="ja-JP"/>
        </w:rPr>
        <w:t>2.</w:t>
      </w:r>
      <w:r w:rsidRPr="004F5E59">
        <w:rPr>
          <w:lang w:eastAsia="ja-JP"/>
        </w:rPr>
        <w:tab/>
      </w:r>
      <w:r w:rsidR="00646885" w:rsidRPr="00DF5C23">
        <w:rPr>
          <w:noProof/>
          <w:lang w:eastAsia="ja-JP"/>
        </w:rPr>
        <w:t>本規定は、</w:t>
      </w:r>
      <w:r w:rsidR="00792673" w:rsidRPr="00DF5C23">
        <w:rPr>
          <w:noProof/>
          <w:lang w:eastAsia="ja-JP"/>
        </w:rPr>
        <w:t>部品及び中間製品を含め、市場に投入され、又は使用されるあらゆる物理的な物品に</w:t>
      </w:r>
      <w:r w:rsidR="003178D0" w:rsidRPr="00DF5C23">
        <w:rPr>
          <w:noProof/>
          <w:lang w:eastAsia="ja-JP"/>
        </w:rPr>
        <w:t>適用される。</w:t>
      </w:r>
      <w:r w:rsidR="00792673" w:rsidRPr="00DF5C23">
        <w:rPr>
          <w:noProof/>
          <w:lang w:eastAsia="ja-JP"/>
        </w:rPr>
        <w:t>ただし、以下の</w:t>
      </w:r>
      <w:r w:rsidR="00646885" w:rsidRPr="00DF5C23">
        <w:rPr>
          <w:noProof/>
          <w:lang w:eastAsia="ja-JP"/>
        </w:rPr>
        <w:t>ものには適用さ</w:t>
      </w:r>
      <w:r w:rsidR="003178D0" w:rsidRPr="00DF5C23">
        <w:rPr>
          <w:noProof/>
          <w:lang w:eastAsia="ja-JP"/>
        </w:rPr>
        <w:t>れない：</w:t>
      </w:r>
      <w:r w:rsidR="003178D0" w:rsidRPr="00DF5C23">
        <w:rPr>
          <w:noProof/>
          <w:lang w:eastAsia="ja-JP"/>
        </w:rPr>
        <w:t xml:space="preserve"> </w:t>
      </w:r>
    </w:p>
    <w:p w14:paraId="6788C38E" w14:textId="77777777" w:rsidR="0038775E" w:rsidRDefault="00877B9C" w:rsidP="002041D4">
      <w:pPr>
        <w:pStyle w:val="Point1"/>
        <w:wordWrap w:val="0"/>
        <w:rPr>
          <w:noProof/>
          <w:lang w:val="en-IE" w:eastAsia="fr-BE"/>
        </w:rPr>
      </w:pPr>
      <w:r w:rsidRPr="004F5E59">
        <w:t>(a)</w:t>
      </w:r>
      <w:r w:rsidRPr="004F5E59">
        <w:tab/>
      </w:r>
      <w:r w:rsidR="0681B866" w:rsidRPr="00DF5C23">
        <w:rPr>
          <w:noProof/>
          <w:lang w:val="en-IE" w:eastAsia="fr-BE"/>
        </w:rPr>
        <w:t xml:space="preserve">Regulation (EC) No 178/2002 </w:t>
      </w:r>
      <w:r w:rsidR="0681B866" w:rsidRPr="00DF5C23">
        <w:rPr>
          <w:noProof/>
          <w:lang w:val="en-IE" w:eastAsia="fr-BE"/>
        </w:rPr>
        <w:t>の</w:t>
      </w:r>
      <w:r w:rsidR="0681B866" w:rsidRPr="00DF5C23">
        <w:rPr>
          <w:noProof/>
          <w:lang w:val="en-IE" w:eastAsia="fr-BE"/>
        </w:rPr>
        <w:t xml:space="preserve"> Article 2 </w:t>
      </w:r>
      <w:r w:rsidR="0681B866" w:rsidRPr="00DF5C23">
        <w:rPr>
          <w:noProof/>
          <w:lang w:val="en-IE" w:eastAsia="fr-BE"/>
        </w:rPr>
        <w:t>で定義されている食品；</w:t>
      </w:r>
    </w:p>
    <w:p w14:paraId="04C31A12" w14:textId="77777777" w:rsidR="0038775E" w:rsidRDefault="00877B9C" w:rsidP="002041D4">
      <w:pPr>
        <w:pStyle w:val="Point1"/>
        <w:wordWrap w:val="0"/>
        <w:rPr>
          <w:noProof/>
          <w:lang w:val="en-IE" w:eastAsia="fr-BE"/>
        </w:rPr>
      </w:pPr>
      <w:r w:rsidRPr="004F5E59">
        <w:t>(b)</w:t>
      </w:r>
      <w:r w:rsidRPr="004F5E59">
        <w:tab/>
      </w:r>
      <w:r w:rsidR="0681B866" w:rsidRPr="00DF5C23">
        <w:rPr>
          <w:noProof/>
          <w:lang w:val="en-IE" w:eastAsia="fr-BE"/>
        </w:rPr>
        <w:t xml:space="preserve">Regulation (EC) No 178/2002 </w:t>
      </w:r>
      <w:r w:rsidR="0681B866" w:rsidRPr="00DF5C23">
        <w:rPr>
          <w:noProof/>
          <w:lang w:val="en-IE" w:eastAsia="fr-BE"/>
        </w:rPr>
        <w:t>の</w:t>
      </w:r>
      <w:r w:rsidR="0681B866" w:rsidRPr="00DF5C23">
        <w:rPr>
          <w:noProof/>
          <w:lang w:val="en-IE" w:eastAsia="fr-BE"/>
        </w:rPr>
        <w:t xml:space="preserve"> Article 3(4) </w:t>
      </w:r>
      <w:r w:rsidR="0681B866" w:rsidRPr="00DF5C23">
        <w:rPr>
          <w:noProof/>
          <w:lang w:val="en-IE" w:eastAsia="fr-BE"/>
        </w:rPr>
        <w:t>に定義される飼料；</w:t>
      </w:r>
      <w:r w:rsidR="0681B866" w:rsidRPr="00DF5C23">
        <w:rPr>
          <w:noProof/>
          <w:lang w:val="en-IE" w:eastAsia="fr-BE"/>
        </w:rPr>
        <w:t xml:space="preserve"> </w:t>
      </w:r>
    </w:p>
    <w:p w14:paraId="4BCBE534" w14:textId="77777777" w:rsidR="0038775E" w:rsidRDefault="00877B9C" w:rsidP="002041D4">
      <w:pPr>
        <w:pStyle w:val="Point1"/>
        <w:wordWrap w:val="0"/>
        <w:rPr>
          <w:noProof/>
          <w:lang w:val="en-IE" w:eastAsia="fr-BE"/>
        </w:rPr>
      </w:pPr>
      <w:r w:rsidRPr="004F5E59">
        <w:rPr>
          <w:lang w:eastAsia="ja-JP"/>
        </w:rPr>
        <w:t>(c)</w:t>
      </w:r>
      <w:r w:rsidRPr="004F5E59">
        <w:rPr>
          <w:lang w:eastAsia="ja-JP"/>
        </w:rPr>
        <w:tab/>
      </w:r>
      <w:r w:rsidR="0681B866" w:rsidRPr="00DF5C23">
        <w:rPr>
          <w:noProof/>
          <w:lang w:val="en-IE" w:eastAsia="fr-BE"/>
        </w:rPr>
        <w:t>指令</w:t>
      </w:r>
      <w:r w:rsidR="0681B866" w:rsidRPr="00DF5C23">
        <w:rPr>
          <w:noProof/>
          <w:lang w:val="en-IE" w:eastAsia="fr-BE"/>
        </w:rPr>
        <w:t>2001/83/EC</w:t>
      </w:r>
      <w:r w:rsidR="0681B866" w:rsidRPr="00DF5C23">
        <w:rPr>
          <w:noProof/>
          <w:lang w:val="en-IE" w:eastAsia="fr-BE"/>
        </w:rPr>
        <w:t>の第</w:t>
      </w:r>
      <w:r w:rsidR="0681B866" w:rsidRPr="00DF5C23">
        <w:rPr>
          <w:noProof/>
          <w:lang w:val="en-IE" w:eastAsia="fr-BE"/>
        </w:rPr>
        <w:t>1</w:t>
      </w:r>
      <w:r w:rsidR="0681B866" w:rsidRPr="00DF5C23">
        <w:rPr>
          <w:noProof/>
          <w:lang w:val="en-IE" w:eastAsia="fr-BE"/>
        </w:rPr>
        <w:t>条</w:t>
      </w:r>
      <w:r w:rsidR="0681B866" w:rsidRPr="00DF5C23">
        <w:rPr>
          <w:noProof/>
          <w:lang w:val="en-IE" w:eastAsia="fr-BE"/>
        </w:rPr>
        <w:t>(2)</w:t>
      </w:r>
      <w:r w:rsidR="0681B866" w:rsidRPr="00DF5C23">
        <w:rPr>
          <w:noProof/>
          <w:lang w:val="en-IE" w:eastAsia="fr-BE"/>
        </w:rPr>
        <w:t>に定義されるヒト用の医薬品；</w:t>
      </w:r>
      <w:r w:rsidR="0681B866" w:rsidRPr="00DF5C23">
        <w:rPr>
          <w:noProof/>
          <w:lang w:val="en-IE" w:eastAsia="fr-BE"/>
        </w:rPr>
        <w:t xml:space="preserve"> </w:t>
      </w:r>
    </w:p>
    <w:p w14:paraId="6824CC5D" w14:textId="77777777" w:rsidR="0038775E" w:rsidRDefault="00877B9C" w:rsidP="002041D4">
      <w:pPr>
        <w:pStyle w:val="Point1"/>
        <w:wordWrap w:val="0"/>
        <w:rPr>
          <w:noProof/>
          <w:lang w:val="en-IE" w:eastAsia="fr-BE"/>
        </w:rPr>
      </w:pPr>
      <w:r w:rsidRPr="004F5E59">
        <w:rPr>
          <w:lang w:eastAsia="ja-JP"/>
        </w:rPr>
        <w:t>(d)</w:t>
      </w:r>
      <w:r w:rsidRPr="004F5E59">
        <w:rPr>
          <w:lang w:eastAsia="ja-JP"/>
        </w:rPr>
        <w:tab/>
      </w:r>
      <w:r w:rsidR="0681B866" w:rsidRPr="00DF5C23">
        <w:rPr>
          <w:noProof/>
          <w:lang w:val="en-IE" w:eastAsia="fr-BE"/>
        </w:rPr>
        <w:t>規則（</w:t>
      </w:r>
      <w:r w:rsidR="0681B866" w:rsidRPr="00DF5C23">
        <w:rPr>
          <w:noProof/>
          <w:lang w:val="en-IE" w:eastAsia="fr-BE"/>
        </w:rPr>
        <w:t>EU</w:t>
      </w:r>
      <w:r w:rsidR="0681B866" w:rsidRPr="00DF5C23">
        <w:rPr>
          <w:noProof/>
          <w:lang w:val="en-IE" w:eastAsia="fr-BE"/>
        </w:rPr>
        <w:t>）</w:t>
      </w:r>
      <w:r w:rsidR="0681B866" w:rsidRPr="00DF5C23">
        <w:rPr>
          <w:noProof/>
          <w:lang w:val="en-IE" w:eastAsia="fr-BE"/>
        </w:rPr>
        <w:t xml:space="preserve">2019/6 </w:t>
      </w:r>
      <w:r w:rsidR="0681B866" w:rsidRPr="00DF5C23">
        <w:rPr>
          <w:noProof/>
          <w:lang w:val="en-IE" w:eastAsia="fr-BE"/>
        </w:rPr>
        <w:t>の第</w:t>
      </w:r>
      <w:r w:rsidR="0681B866" w:rsidRPr="00DF5C23">
        <w:rPr>
          <w:noProof/>
          <w:lang w:val="en-IE" w:eastAsia="fr-BE"/>
        </w:rPr>
        <w:t xml:space="preserve"> 4 </w:t>
      </w:r>
      <w:r w:rsidR="0681B866" w:rsidRPr="00DF5C23">
        <w:rPr>
          <w:noProof/>
          <w:lang w:val="en-IE" w:eastAsia="fr-BE"/>
        </w:rPr>
        <w:t>条（</w:t>
      </w:r>
      <w:r w:rsidR="0681B866" w:rsidRPr="00DF5C23">
        <w:rPr>
          <w:noProof/>
          <w:lang w:val="en-IE" w:eastAsia="fr-BE"/>
        </w:rPr>
        <w:t>1</w:t>
      </w:r>
      <w:r w:rsidR="0681B866" w:rsidRPr="00DF5C23">
        <w:rPr>
          <w:noProof/>
          <w:lang w:val="en-IE" w:eastAsia="fr-BE"/>
        </w:rPr>
        <w:t>）に定義される動物用医薬品；</w:t>
      </w:r>
    </w:p>
    <w:p w14:paraId="66C0E8C5" w14:textId="77777777" w:rsidR="0038775E" w:rsidRDefault="00877B9C" w:rsidP="002041D4">
      <w:pPr>
        <w:pStyle w:val="Point1"/>
        <w:wordWrap w:val="0"/>
        <w:rPr>
          <w:noProof/>
          <w:lang w:val="en-IE" w:eastAsia="fr-BE"/>
        </w:rPr>
      </w:pPr>
      <w:r w:rsidRPr="004F5E59">
        <w:rPr>
          <w:lang w:eastAsia="ja-JP"/>
        </w:rPr>
        <w:lastRenderedPageBreak/>
        <w:t>(e)</w:t>
      </w:r>
      <w:r w:rsidRPr="004F5E59">
        <w:rPr>
          <w:lang w:eastAsia="ja-JP"/>
        </w:rPr>
        <w:tab/>
      </w:r>
      <w:r w:rsidR="0681B866" w:rsidRPr="00DF5C23">
        <w:rPr>
          <w:noProof/>
          <w:lang w:val="en-IE" w:eastAsia="fr-BE"/>
        </w:rPr>
        <w:t>植物</w:t>
      </w:r>
      <w:r w:rsidR="007D1FA4" w:rsidRPr="00DF5C23">
        <w:rPr>
          <w:noProof/>
          <w:lang w:val="en-IE" w:eastAsia="fr-BE"/>
        </w:rPr>
        <w:t>、</w:t>
      </w:r>
      <w:r w:rsidR="0681B866" w:rsidRPr="00DF5C23">
        <w:rPr>
          <w:noProof/>
          <w:lang w:val="en-IE" w:eastAsia="fr-BE"/>
        </w:rPr>
        <w:t>動物</w:t>
      </w:r>
      <w:r w:rsidR="007D1FA4" w:rsidRPr="00DF5C23">
        <w:rPr>
          <w:noProof/>
          <w:lang w:val="en-IE" w:eastAsia="fr-BE"/>
        </w:rPr>
        <w:t>、</w:t>
      </w:r>
      <w:r w:rsidR="00792673" w:rsidRPr="00DF5C23">
        <w:rPr>
          <w:noProof/>
          <w:lang w:val="en-IE" w:eastAsia="fr-BE"/>
        </w:rPr>
        <w:t>微生物が生きている；</w:t>
      </w:r>
      <w:r w:rsidR="00792673" w:rsidRPr="00DF5C23">
        <w:rPr>
          <w:noProof/>
          <w:lang w:val="en-IE" w:eastAsia="fr-BE"/>
        </w:rPr>
        <w:t xml:space="preserve"> </w:t>
      </w:r>
    </w:p>
    <w:p w14:paraId="11AEB75E" w14:textId="77777777" w:rsidR="0038775E" w:rsidRDefault="00877B9C" w:rsidP="002041D4">
      <w:pPr>
        <w:pStyle w:val="Point1"/>
        <w:wordWrap w:val="0"/>
        <w:rPr>
          <w:noProof/>
          <w:lang w:val="en-IE" w:eastAsia="fr-BE"/>
        </w:rPr>
      </w:pPr>
      <w:r w:rsidRPr="004F5E59">
        <w:rPr>
          <w:lang w:eastAsia="ja-JP"/>
        </w:rPr>
        <w:t>(f)</w:t>
      </w:r>
      <w:r w:rsidRPr="004F5E59">
        <w:rPr>
          <w:lang w:eastAsia="ja-JP"/>
        </w:rPr>
        <w:tab/>
      </w:r>
      <w:r w:rsidR="0681B866" w:rsidRPr="00DF5C23">
        <w:rPr>
          <w:noProof/>
          <w:lang w:val="en-IE" w:eastAsia="fr-BE"/>
        </w:rPr>
        <w:t>人由来の製品</w:t>
      </w:r>
      <w:r w:rsidR="00792673" w:rsidRPr="00DF5C23">
        <w:rPr>
          <w:noProof/>
          <w:lang w:val="en-IE" w:eastAsia="fr-BE"/>
        </w:rPr>
        <w:t>；</w:t>
      </w:r>
    </w:p>
    <w:p w14:paraId="76BD56E7" w14:textId="77777777" w:rsidR="0038775E" w:rsidRDefault="00877B9C" w:rsidP="002041D4">
      <w:pPr>
        <w:pStyle w:val="Point1"/>
        <w:wordWrap w:val="0"/>
        <w:rPr>
          <w:noProof/>
          <w:lang w:val="en-IE" w:eastAsia="fr-BE"/>
        </w:rPr>
      </w:pPr>
      <w:r w:rsidRPr="004F5E59">
        <w:rPr>
          <w:lang w:eastAsia="ja-JP"/>
        </w:rPr>
        <w:t>(g)</w:t>
      </w:r>
      <w:r w:rsidRPr="004F5E59">
        <w:rPr>
          <w:lang w:eastAsia="ja-JP"/>
        </w:rPr>
        <w:tab/>
      </w:r>
      <w:r w:rsidR="0681B866" w:rsidRPr="00DF5C23">
        <w:rPr>
          <w:noProof/>
          <w:lang w:val="en-IE" w:eastAsia="fr-BE"/>
        </w:rPr>
        <w:t>動植物の将来の生殖に直接関係する産物。</w:t>
      </w:r>
      <w:r w:rsidR="0681B866" w:rsidRPr="00DF5C23">
        <w:rPr>
          <w:noProof/>
          <w:lang w:val="en-IE" w:eastAsia="fr-BE"/>
        </w:rPr>
        <w:t xml:space="preserve"> </w:t>
      </w:r>
    </w:p>
    <w:p w14:paraId="58BBE03D" w14:textId="77777777" w:rsidR="0038775E" w:rsidRDefault="00877B9C" w:rsidP="002041D4">
      <w:pPr>
        <w:pStyle w:val="Titrearticle"/>
        <w:wordWrap w:val="0"/>
        <w:rPr>
          <w:noProof/>
          <w:lang w:val="en-IE" w:eastAsia="fr-BE"/>
        </w:rPr>
      </w:pPr>
      <w:r w:rsidRPr="00DF5C23">
        <w:rPr>
          <w:noProof/>
          <w:lang w:val="en-IE" w:eastAsia="fr-BE"/>
        </w:rPr>
        <w:t>第</w:t>
      </w:r>
      <w:r w:rsidRPr="00DF5C23">
        <w:rPr>
          <w:noProof/>
          <w:lang w:val="en-IE" w:eastAsia="fr-BE"/>
        </w:rPr>
        <w:t>2</w:t>
      </w:r>
      <w:r w:rsidRPr="00DF5C23">
        <w:rPr>
          <w:noProof/>
          <w:lang w:val="en-IE" w:eastAsia="fr-BE"/>
        </w:rPr>
        <w:t>条</w:t>
      </w:r>
      <w:r w:rsidR="00F1169A" w:rsidRPr="00DF5C23">
        <w:rPr>
          <w:noProof/>
          <w:lang w:val="en-IE" w:eastAsia="fr-BE"/>
        </w:rPr>
        <w:br/>
      </w:r>
      <w:r w:rsidRPr="00DF5C23">
        <w:rPr>
          <w:noProof/>
          <w:lang w:val="en-IE" w:eastAsia="fr-BE"/>
        </w:rPr>
        <w:t>定義</w:t>
      </w:r>
    </w:p>
    <w:p w14:paraId="3A967BF9" w14:textId="77777777" w:rsidR="0038775E" w:rsidRDefault="00877B9C" w:rsidP="002041D4">
      <w:pPr>
        <w:shd w:val="clear" w:color="auto" w:fill="FFFFFF" w:themeFill="background1"/>
        <w:wordWrap w:val="0"/>
        <w:spacing w:after="0"/>
        <w:rPr>
          <w:rFonts w:eastAsia="Times New Roman"/>
          <w:noProof/>
          <w:color w:val="000000" w:themeColor="text1"/>
          <w:lang w:val="en-IE" w:eastAsia="fr-BE"/>
        </w:rPr>
      </w:pPr>
      <w:r w:rsidRPr="23DF1179">
        <w:rPr>
          <w:rFonts w:eastAsia="Times New Roman"/>
          <w:noProof/>
          <w:color w:val="000000" w:themeColor="text1"/>
          <w:lang w:val="en-IE" w:eastAsia="fr-BE"/>
        </w:rPr>
        <w:t>本規定において、以下の定義が適用されるものとする：</w:t>
      </w:r>
    </w:p>
    <w:p w14:paraId="3A1EC3F1" w14:textId="5C0F5B00" w:rsidR="0038775E" w:rsidRDefault="00877B9C" w:rsidP="002041D4">
      <w:pPr>
        <w:pStyle w:val="Point0"/>
        <w:wordWrap w:val="0"/>
        <w:rPr>
          <w:noProof/>
          <w:lang w:val="en-IE" w:eastAsia="fr-BE"/>
        </w:rPr>
      </w:pPr>
      <w:r w:rsidRPr="004F5E59">
        <w:rPr>
          <w:lang w:eastAsia="ja-JP"/>
        </w:rPr>
        <w:t>(1)</w:t>
      </w:r>
      <w:r w:rsidRPr="004F5E59">
        <w:rPr>
          <w:lang w:eastAsia="ja-JP"/>
        </w:rPr>
        <w:tab/>
      </w:r>
      <w:r w:rsidR="0681B866" w:rsidRPr="00DF5C23">
        <w:rPr>
          <w:noProof/>
          <w:lang w:val="en-IE" w:eastAsia="fr-BE"/>
        </w:rPr>
        <w:t>製品」とは、市場に出回る、または使用に供されるあらゆる物理的な物品を意味</w:t>
      </w:r>
      <w:r w:rsidR="002041D4">
        <w:rPr>
          <w:noProof/>
          <w:lang w:val="en-IE" w:eastAsia="fr-BE"/>
        </w:rPr>
        <w:t>する</w:t>
      </w:r>
      <w:r w:rsidR="0681B866" w:rsidRPr="00DF5C23">
        <w:rPr>
          <w:noProof/>
          <w:lang w:val="en-IE" w:eastAsia="fr-BE"/>
        </w:rPr>
        <w:t>；</w:t>
      </w:r>
      <w:r w:rsidR="0681B866" w:rsidRPr="00DF5C23">
        <w:rPr>
          <w:noProof/>
          <w:lang w:val="en-IE" w:eastAsia="fr-BE"/>
        </w:rPr>
        <w:t xml:space="preserve"> </w:t>
      </w:r>
    </w:p>
    <w:p w14:paraId="494FCF24" w14:textId="77777777" w:rsidR="0038775E" w:rsidRDefault="00877B9C" w:rsidP="002041D4">
      <w:pPr>
        <w:pStyle w:val="Point0"/>
        <w:wordWrap w:val="0"/>
        <w:rPr>
          <w:noProof/>
          <w:lang w:val="en-IE" w:eastAsia="fr-BE"/>
        </w:rPr>
      </w:pPr>
      <w:r w:rsidRPr="004F5E59">
        <w:rPr>
          <w:lang w:eastAsia="ja-JP"/>
        </w:rPr>
        <w:t>(2)</w:t>
      </w:r>
      <w:r w:rsidRPr="004F5E59">
        <w:rPr>
          <w:lang w:eastAsia="ja-JP"/>
        </w:rPr>
        <w:tab/>
      </w:r>
      <w:r w:rsidR="00516254" w:rsidRPr="00DF5C23">
        <w:rPr>
          <w:noProof/>
          <w:lang w:val="en-IE" w:eastAsia="fr-BE"/>
        </w:rPr>
        <w:t>コンポーネント</w:t>
      </w:r>
      <w:r w:rsidR="0681B866" w:rsidRPr="00DF5C23">
        <w:rPr>
          <w:noProof/>
          <w:lang w:val="en-IE" w:eastAsia="fr-BE"/>
        </w:rPr>
        <w:t>」とは、他の製品に組み込まれることを意図した製品をいう；</w:t>
      </w:r>
    </w:p>
    <w:p w14:paraId="15CA62B6" w14:textId="77777777" w:rsidR="0038775E" w:rsidRDefault="00877B9C" w:rsidP="002041D4">
      <w:pPr>
        <w:pStyle w:val="Point0"/>
        <w:wordWrap w:val="0"/>
        <w:rPr>
          <w:noProof/>
          <w:lang w:val="en-IE" w:eastAsia="fr-BE"/>
        </w:rPr>
      </w:pPr>
      <w:r w:rsidRPr="004F5E59">
        <w:rPr>
          <w:lang w:eastAsia="ja-JP"/>
        </w:rPr>
        <w:t>(3)</w:t>
      </w:r>
      <w:r w:rsidRPr="004F5E59">
        <w:rPr>
          <w:lang w:eastAsia="ja-JP"/>
        </w:rPr>
        <w:tab/>
      </w:r>
      <w:r w:rsidR="0681B866" w:rsidRPr="00DF5C23">
        <w:rPr>
          <w:rFonts w:eastAsia="Times New Roman"/>
          <w:noProof/>
          <w:color w:val="000000" w:themeColor="text1"/>
          <w:lang w:val="en-IE" w:eastAsia="fr-BE"/>
        </w:rPr>
        <w:t>中間製品」とは、</w:t>
      </w:r>
      <w:r w:rsidR="00AF75DA" w:rsidRPr="00DF5C23">
        <w:rPr>
          <w:noProof/>
          <w:lang w:eastAsia="ja-JP"/>
        </w:rPr>
        <w:t>最終消費者に適したものに</w:t>
      </w:r>
      <w:r w:rsidR="0681B866" w:rsidRPr="00DF5C23">
        <w:rPr>
          <w:noProof/>
          <w:lang w:eastAsia="ja-JP"/>
        </w:rPr>
        <w:t>するために、混合、コーティング、組み立てなど、さらなる製造または変形を必要とする製品を</w:t>
      </w:r>
      <w:r w:rsidR="0681B866" w:rsidRPr="00DF5C23">
        <w:rPr>
          <w:rFonts w:eastAsia="Times New Roman"/>
          <w:noProof/>
          <w:color w:val="000000" w:themeColor="text1"/>
          <w:lang w:val="en-IE" w:eastAsia="fr-BE"/>
        </w:rPr>
        <w:t>意味する</w:t>
      </w:r>
      <w:r w:rsidR="0681B866" w:rsidRPr="00DF5C23">
        <w:rPr>
          <w:noProof/>
          <w:lang w:eastAsia="ja-JP"/>
        </w:rPr>
        <w:t>；</w:t>
      </w:r>
    </w:p>
    <w:p w14:paraId="1039904D" w14:textId="77777777" w:rsidR="0038775E" w:rsidRDefault="00877B9C" w:rsidP="002041D4">
      <w:pPr>
        <w:pStyle w:val="Point0"/>
        <w:wordWrap w:val="0"/>
        <w:rPr>
          <w:noProof/>
          <w:lang w:val="en-IE" w:eastAsia="fr-BE"/>
        </w:rPr>
      </w:pPr>
      <w:r w:rsidRPr="004F5E59">
        <w:rPr>
          <w:lang w:eastAsia="ja-JP"/>
        </w:rPr>
        <w:t>(4)</w:t>
      </w:r>
      <w:r w:rsidRPr="004F5E59">
        <w:rPr>
          <w:lang w:eastAsia="ja-JP"/>
        </w:rPr>
        <w:tab/>
      </w:r>
      <w:r w:rsidR="0681B866" w:rsidRPr="00DF5C23">
        <w:rPr>
          <w:noProof/>
          <w:lang w:val="en-IE" w:eastAsia="fr-BE"/>
        </w:rPr>
        <w:t>エネルギー関連製品」とは、使用中のエネルギー消費に影響を与える製品をいう；</w:t>
      </w:r>
    </w:p>
    <w:p w14:paraId="0B618596" w14:textId="77777777" w:rsidR="0038775E" w:rsidRDefault="00877B9C" w:rsidP="002041D4">
      <w:pPr>
        <w:pStyle w:val="Point0"/>
        <w:wordWrap w:val="0"/>
        <w:rPr>
          <w:noProof/>
          <w:lang w:val="en-IE" w:eastAsia="fr-BE"/>
        </w:rPr>
      </w:pPr>
      <w:r w:rsidRPr="004F5E59">
        <w:rPr>
          <w:lang w:eastAsia="ja-JP"/>
        </w:rPr>
        <w:t>(5)</w:t>
      </w:r>
      <w:r w:rsidRPr="004F5E59">
        <w:rPr>
          <w:lang w:eastAsia="ja-JP"/>
        </w:rPr>
        <w:tab/>
      </w:r>
      <w:r w:rsidR="00646885" w:rsidRPr="00DF5C23">
        <w:rPr>
          <w:noProof/>
          <w:lang w:val="en-IE" w:eastAsia="fr-BE"/>
        </w:rPr>
        <w:t>商品群」とは、</w:t>
      </w:r>
      <w:r w:rsidR="003178D0" w:rsidRPr="00DF5C23">
        <w:rPr>
          <w:noProof/>
          <w:lang w:val="en-IE" w:eastAsia="fr-BE"/>
        </w:rPr>
        <w:t>類似の目的を果たし、使用方法が類似している、または類似の機能特性を有し、消費者の認識の点で類似している商品の集合をいう</w:t>
      </w:r>
      <w:r w:rsidR="00646885" w:rsidRPr="00DF5C23">
        <w:rPr>
          <w:noProof/>
          <w:lang w:val="en-IE" w:eastAsia="fr-BE"/>
        </w:rPr>
        <w:t>；</w:t>
      </w:r>
    </w:p>
    <w:p w14:paraId="374E7407" w14:textId="5B034980" w:rsidR="0038775E" w:rsidRDefault="00877B9C" w:rsidP="002041D4">
      <w:pPr>
        <w:pStyle w:val="Point0"/>
        <w:wordWrap w:val="0"/>
        <w:rPr>
          <w:noProof/>
          <w:lang w:val="en-IE" w:eastAsia="fr-BE"/>
        </w:rPr>
      </w:pPr>
      <w:r w:rsidRPr="004F5E59">
        <w:rPr>
          <w:lang w:eastAsia="ja-JP"/>
        </w:rPr>
        <w:t>(6)</w:t>
      </w:r>
      <w:r w:rsidRPr="004F5E59">
        <w:rPr>
          <w:lang w:eastAsia="ja-JP"/>
        </w:rPr>
        <w:tab/>
      </w:r>
      <w:r w:rsidR="00164A4B" w:rsidRPr="00DF5C23">
        <w:rPr>
          <w:noProof/>
          <w:lang w:val="en-IE" w:eastAsia="fr-BE"/>
        </w:rPr>
        <w:t>エコデザイン</w:t>
      </w:r>
      <w:r w:rsidR="00605AC3" w:rsidRPr="00DF5C23">
        <w:rPr>
          <w:noProof/>
          <w:lang w:val="en-IE" w:eastAsia="fr-BE"/>
        </w:rPr>
        <w:t>」とは、</w:t>
      </w:r>
      <w:r w:rsidR="007643FB" w:rsidRPr="00DF5C23">
        <w:rPr>
          <w:noProof/>
          <w:lang w:val="en-IE" w:eastAsia="fr-BE"/>
        </w:rPr>
        <w:t>製品の特性や</w:t>
      </w:r>
      <w:r w:rsidR="009A2B0A" w:rsidRPr="00DF5C23">
        <w:rPr>
          <w:noProof/>
          <w:lang w:val="en-IE" w:eastAsia="fr-BE"/>
        </w:rPr>
        <w:t>製品の</w:t>
      </w:r>
      <w:r w:rsidR="007643FB" w:rsidRPr="00DF5C23">
        <w:rPr>
          <w:noProof/>
          <w:lang w:val="en-IE" w:eastAsia="fr-BE"/>
        </w:rPr>
        <w:t>バリューチェーンを通じて行われるプロセスに、環境の持続可能性を考慮したものを統合することを意味</w:t>
      </w:r>
      <w:r w:rsidR="002041D4">
        <w:rPr>
          <w:noProof/>
          <w:lang w:val="en-IE" w:eastAsia="fr-BE"/>
        </w:rPr>
        <w:t>する</w:t>
      </w:r>
      <w:r w:rsidR="007643FB" w:rsidRPr="00DF5C23">
        <w:rPr>
          <w:noProof/>
          <w:lang w:val="en-IE" w:eastAsia="fr-BE"/>
        </w:rPr>
        <w:t>；</w:t>
      </w:r>
    </w:p>
    <w:p w14:paraId="57C614A5" w14:textId="77777777" w:rsidR="0038775E" w:rsidRDefault="00877B9C" w:rsidP="002041D4">
      <w:pPr>
        <w:pStyle w:val="Point0"/>
        <w:wordWrap w:val="0"/>
        <w:rPr>
          <w:noProof/>
          <w:lang w:val="en-IE" w:eastAsia="ja-JP"/>
        </w:rPr>
      </w:pPr>
      <w:r w:rsidRPr="004F5E59">
        <w:rPr>
          <w:lang w:eastAsia="ja-JP"/>
        </w:rPr>
        <w:t>(7)</w:t>
      </w:r>
      <w:r w:rsidRPr="004F5E59">
        <w:rPr>
          <w:lang w:eastAsia="ja-JP"/>
        </w:rPr>
        <w:tab/>
      </w:r>
      <w:r w:rsidR="00746AD1" w:rsidRPr="00DF5C23">
        <w:rPr>
          <w:noProof/>
          <w:lang w:val="en-IE" w:eastAsia="ja-JP"/>
        </w:rPr>
        <w:t>エコデザイン</w:t>
      </w:r>
      <w:r w:rsidR="003D7180" w:rsidRPr="00DF5C23">
        <w:rPr>
          <w:noProof/>
          <w:lang w:val="en-IE" w:eastAsia="ja-JP"/>
        </w:rPr>
        <w:t>要件」とは、製品をより</w:t>
      </w:r>
      <w:r w:rsidR="00B25B92" w:rsidRPr="00DF5C23">
        <w:rPr>
          <w:noProof/>
          <w:lang w:val="en-IE" w:eastAsia="ja-JP"/>
        </w:rPr>
        <w:t>環境的に</w:t>
      </w:r>
      <w:r w:rsidR="003D7180" w:rsidRPr="00DF5C23">
        <w:rPr>
          <w:noProof/>
          <w:lang w:val="en-IE" w:eastAsia="ja-JP"/>
        </w:rPr>
        <w:t>持続可能なものにすることを目的とした性能要件</w:t>
      </w:r>
      <w:r w:rsidR="00746AD1" w:rsidRPr="00DF5C23">
        <w:rPr>
          <w:noProof/>
          <w:lang w:val="en-IE" w:eastAsia="ja-JP"/>
        </w:rPr>
        <w:t>または</w:t>
      </w:r>
      <w:r w:rsidR="003D7180" w:rsidRPr="00DF5C23">
        <w:rPr>
          <w:noProof/>
          <w:lang w:val="en-IE" w:eastAsia="ja-JP"/>
        </w:rPr>
        <w:t>情報要件をいう；</w:t>
      </w:r>
    </w:p>
    <w:p w14:paraId="6512F18E" w14:textId="77777777" w:rsidR="0038775E" w:rsidRDefault="00877B9C" w:rsidP="002041D4">
      <w:pPr>
        <w:pStyle w:val="Point0"/>
        <w:wordWrap w:val="0"/>
        <w:rPr>
          <w:noProof/>
          <w:lang w:val="en-IE" w:eastAsia="ja-JP"/>
        </w:rPr>
      </w:pPr>
      <w:r w:rsidRPr="004F5E59">
        <w:rPr>
          <w:lang w:eastAsia="ja-JP"/>
        </w:rPr>
        <w:t>(8)</w:t>
      </w:r>
      <w:r w:rsidRPr="004F5E59">
        <w:rPr>
          <w:lang w:eastAsia="ja-JP"/>
        </w:rPr>
        <w:tab/>
      </w:r>
      <w:r w:rsidR="003D7180" w:rsidRPr="00DF5C23">
        <w:rPr>
          <w:noProof/>
          <w:lang w:val="en-IE" w:eastAsia="ja-JP"/>
        </w:rPr>
        <w:t>性能要件」とは、附属書</w:t>
      </w:r>
      <w:r w:rsidR="003D7180" w:rsidRPr="00DF5C23">
        <w:rPr>
          <w:noProof/>
          <w:lang w:val="en-IE" w:eastAsia="ja-JP"/>
        </w:rPr>
        <w:t xml:space="preserve"> I </w:t>
      </w:r>
      <w:r w:rsidR="003D7180" w:rsidRPr="00DF5C23">
        <w:rPr>
          <w:noProof/>
          <w:lang w:val="en-IE" w:eastAsia="ja-JP"/>
        </w:rPr>
        <w:t>で</w:t>
      </w:r>
      <w:r w:rsidR="009A2B0A" w:rsidRPr="00DF5C23">
        <w:rPr>
          <w:noProof/>
          <w:lang w:val="en-IE" w:eastAsia="ja-JP"/>
        </w:rPr>
        <w:t>言及される</w:t>
      </w:r>
      <w:r w:rsidR="00214C38" w:rsidRPr="00DF5C23">
        <w:rPr>
          <w:noProof/>
          <w:lang w:eastAsia="ja-JP"/>
        </w:rPr>
        <w:t>製品</w:t>
      </w:r>
      <w:r w:rsidR="003D7180" w:rsidRPr="00DF5C23">
        <w:rPr>
          <w:noProof/>
          <w:lang w:val="en-IE" w:eastAsia="ja-JP"/>
        </w:rPr>
        <w:t>パラメータに関連して、ある性能</w:t>
      </w:r>
      <w:r w:rsidR="00BD0D3A" w:rsidRPr="00DF5C23">
        <w:rPr>
          <w:noProof/>
          <w:lang w:val="en-IE" w:eastAsia="ja-JP"/>
        </w:rPr>
        <w:t>レベルを達成</w:t>
      </w:r>
      <w:r w:rsidR="003D7180" w:rsidRPr="00DF5C23">
        <w:rPr>
          <w:noProof/>
          <w:lang w:val="en-IE" w:eastAsia="ja-JP"/>
        </w:rPr>
        <w:t>するための、製品に対す</w:t>
      </w:r>
      <w:r w:rsidR="003D7180" w:rsidRPr="00DF5C23">
        <w:rPr>
          <w:noProof/>
          <w:lang w:val="en-IE" w:eastAsia="ja-JP"/>
        </w:rPr>
        <w:t xml:space="preserve"> </w:t>
      </w:r>
      <w:r w:rsidR="003D7180" w:rsidRPr="00DF5C23">
        <w:rPr>
          <w:noProof/>
          <w:lang w:val="en-IE" w:eastAsia="ja-JP"/>
        </w:rPr>
        <w:t>る定量的または非定量的な要件をいう；</w:t>
      </w:r>
    </w:p>
    <w:p w14:paraId="22C9B8D8" w14:textId="77777777" w:rsidR="0038775E" w:rsidRDefault="00877B9C" w:rsidP="002041D4">
      <w:pPr>
        <w:pStyle w:val="Point0"/>
        <w:wordWrap w:val="0"/>
        <w:rPr>
          <w:noProof/>
          <w:lang w:val="en-IE" w:eastAsia="ja-JP"/>
        </w:rPr>
      </w:pPr>
      <w:r w:rsidRPr="004F5E59">
        <w:rPr>
          <w:lang w:eastAsia="ja-JP"/>
        </w:rPr>
        <w:t>(9)</w:t>
      </w:r>
      <w:r w:rsidRPr="004F5E59">
        <w:rPr>
          <w:lang w:eastAsia="ja-JP"/>
        </w:rPr>
        <w:tab/>
      </w:r>
      <w:r w:rsidR="003D7180" w:rsidRPr="00DF5C23">
        <w:rPr>
          <w:noProof/>
          <w:lang w:val="en-IE" w:eastAsia="ja-JP"/>
        </w:rPr>
        <w:t>情報提供義務」とは、</w:t>
      </w:r>
      <w:r w:rsidR="00F67998" w:rsidRPr="00DF5C23">
        <w:rPr>
          <w:noProof/>
          <w:lang w:val="en-IE" w:eastAsia="ja-JP"/>
        </w:rPr>
        <w:t>第</w:t>
      </w:r>
      <w:r w:rsidR="00F67998" w:rsidRPr="00DF5C23">
        <w:rPr>
          <w:noProof/>
          <w:lang w:val="en-IE" w:eastAsia="ja-JP"/>
        </w:rPr>
        <w:t>7</w:t>
      </w:r>
      <w:r w:rsidR="00F67998" w:rsidRPr="00DF5C23">
        <w:rPr>
          <w:noProof/>
          <w:lang w:val="en-IE" w:eastAsia="ja-JP"/>
        </w:rPr>
        <w:t>条第</w:t>
      </w:r>
      <w:r w:rsidR="00F67998" w:rsidRPr="00DF5C23">
        <w:rPr>
          <w:noProof/>
          <w:lang w:val="en-IE" w:eastAsia="ja-JP"/>
        </w:rPr>
        <w:t>2</w:t>
      </w:r>
      <w:r w:rsidR="00F67998" w:rsidRPr="00DF5C23">
        <w:rPr>
          <w:noProof/>
          <w:lang w:val="en-IE" w:eastAsia="ja-JP"/>
        </w:rPr>
        <w:t>項に規定される、</w:t>
      </w:r>
      <w:r w:rsidR="003D7180" w:rsidRPr="00DF5C23">
        <w:rPr>
          <w:noProof/>
          <w:lang w:val="en-IE" w:eastAsia="ja-JP"/>
        </w:rPr>
        <w:t>製品に情報を添付する</w:t>
      </w:r>
      <w:r w:rsidR="009865E2" w:rsidRPr="00DF5C23">
        <w:rPr>
          <w:noProof/>
          <w:lang w:val="en-IE" w:eastAsia="ja-JP"/>
        </w:rPr>
        <w:t>義務をいう</w:t>
      </w:r>
      <w:r w:rsidR="003D7180" w:rsidRPr="00DF5C23">
        <w:rPr>
          <w:noProof/>
          <w:lang w:val="en-IE" w:eastAsia="ja-JP"/>
        </w:rPr>
        <w:t>；</w:t>
      </w:r>
    </w:p>
    <w:p w14:paraId="2FC4EB4B" w14:textId="110CCCC8" w:rsidR="0038775E" w:rsidRDefault="00877B9C" w:rsidP="002041D4">
      <w:pPr>
        <w:pStyle w:val="Point0"/>
        <w:wordWrap w:val="0"/>
        <w:rPr>
          <w:rFonts w:eastAsia="Times New Roman"/>
          <w:noProof/>
          <w:color w:val="000000" w:themeColor="text1"/>
          <w:lang w:val="en-IE" w:eastAsia="fr-BE"/>
        </w:rPr>
      </w:pPr>
      <w:r w:rsidRPr="004F5E59">
        <w:rPr>
          <w:lang w:eastAsia="ja-JP"/>
        </w:rPr>
        <w:t>(10)</w:t>
      </w:r>
      <w:r w:rsidRPr="004F5E59">
        <w:rPr>
          <w:lang w:eastAsia="ja-JP"/>
        </w:rPr>
        <w:tab/>
      </w:r>
      <w:r w:rsidR="003D7180" w:rsidRPr="00DF5C23">
        <w:rPr>
          <w:noProof/>
          <w:lang w:val="en-IE" w:eastAsia="ja-JP"/>
        </w:rPr>
        <w:t>サプライチェーン」とは、</w:t>
      </w:r>
      <w:r w:rsidR="00F67998" w:rsidRPr="00DF5C23">
        <w:rPr>
          <w:noProof/>
          <w:lang w:val="en-IE" w:eastAsia="ja-JP"/>
        </w:rPr>
        <w:t>製品が</w:t>
      </w:r>
      <w:r w:rsidR="003D7180" w:rsidRPr="00DF5C23">
        <w:rPr>
          <w:noProof/>
          <w:lang w:val="en-IE" w:eastAsia="ja-JP"/>
        </w:rPr>
        <w:t>エンド</w:t>
      </w:r>
      <w:r w:rsidR="00654D12" w:rsidRPr="00DF5C23">
        <w:rPr>
          <w:noProof/>
          <w:lang w:val="en-IE" w:eastAsia="ja-JP"/>
        </w:rPr>
        <w:t>ユーザーに</w:t>
      </w:r>
      <w:r w:rsidR="00F67998" w:rsidRPr="00DF5C23">
        <w:rPr>
          <w:noProof/>
          <w:lang w:val="en-IE" w:eastAsia="ja-JP"/>
        </w:rPr>
        <w:t>到達するまでの</w:t>
      </w:r>
      <w:r w:rsidR="003D7180" w:rsidRPr="00DF5C23">
        <w:rPr>
          <w:noProof/>
          <w:lang w:val="en-IE" w:eastAsia="ja-JP"/>
        </w:rPr>
        <w:t>、</w:t>
      </w:r>
      <w:r w:rsidR="00F67998" w:rsidRPr="00DF5C23">
        <w:rPr>
          <w:noProof/>
          <w:lang w:val="en-IE" w:eastAsia="ja-JP"/>
        </w:rPr>
        <w:t>製品の</w:t>
      </w:r>
      <w:r w:rsidR="003D7180" w:rsidRPr="00DF5C23">
        <w:rPr>
          <w:noProof/>
          <w:lang w:val="en-IE" w:eastAsia="ja-JP"/>
        </w:rPr>
        <w:t>バリューチェーンの上流の活動やプロセスをすべて指</w:t>
      </w:r>
      <w:r w:rsidR="002041D4">
        <w:rPr>
          <w:noProof/>
          <w:lang w:val="en-IE" w:eastAsia="ja-JP"/>
        </w:rPr>
        <w:t>する</w:t>
      </w:r>
      <w:r w:rsidR="003D7180" w:rsidRPr="00DF5C23">
        <w:rPr>
          <w:noProof/>
          <w:lang w:val="en-IE" w:eastAsia="ja-JP"/>
        </w:rPr>
        <w:t>；</w:t>
      </w:r>
      <w:r w:rsidR="003D7180" w:rsidRPr="00DF5C23">
        <w:rPr>
          <w:noProof/>
          <w:lang w:val="en-IE" w:eastAsia="ja-JP"/>
        </w:rPr>
        <w:t xml:space="preserve"> </w:t>
      </w:r>
    </w:p>
    <w:p w14:paraId="30837842" w14:textId="575E220F" w:rsidR="0038775E" w:rsidRDefault="00877B9C" w:rsidP="002041D4">
      <w:pPr>
        <w:pStyle w:val="Point0"/>
        <w:wordWrap w:val="0"/>
        <w:rPr>
          <w:noProof/>
          <w:lang w:val="en-IE" w:eastAsia="fr-BE"/>
        </w:rPr>
      </w:pPr>
      <w:r w:rsidRPr="004F5E59">
        <w:rPr>
          <w:lang w:eastAsia="ja-JP"/>
        </w:rPr>
        <w:t>(11)</w:t>
      </w:r>
      <w:r w:rsidRPr="004F5E59">
        <w:rPr>
          <w:lang w:eastAsia="ja-JP"/>
        </w:rPr>
        <w:tab/>
      </w:r>
      <w:r w:rsidR="003D7180" w:rsidRPr="00DF5C23">
        <w:rPr>
          <w:noProof/>
          <w:lang w:val="en-IE" w:eastAsia="fr-BE"/>
        </w:rPr>
        <w:t>バリューチェーン」とは、製品のライフサイクルに含ま</w:t>
      </w:r>
      <w:r w:rsidR="00BD0D3A" w:rsidRPr="00DF5C23">
        <w:rPr>
          <w:noProof/>
          <w:lang w:val="en-IE" w:eastAsia="fr-BE"/>
        </w:rPr>
        <w:t>れる</w:t>
      </w:r>
      <w:r w:rsidR="003D7180" w:rsidRPr="00DF5C23">
        <w:rPr>
          <w:noProof/>
          <w:lang w:val="en-IE" w:eastAsia="fr-BE"/>
        </w:rPr>
        <w:t>すべての活動やプロセス、およびその可能な再製造を意味</w:t>
      </w:r>
      <w:r w:rsidR="002041D4">
        <w:rPr>
          <w:noProof/>
          <w:lang w:val="en-IE" w:eastAsia="fr-BE"/>
        </w:rPr>
        <w:t>する</w:t>
      </w:r>
      <w:r w:rsidR="003D7180" w:rsidRPr="00DF5C23">
        <w:rPr>
          <w:noProof/>
          <w:lang w:val="en-IE" w:eastAsia="fr-BE"/>
        </w:rPr>
        <w:t>；</w:t>
      </w:r>
      <w:r w:rsidR="003D7180" w:rsidRPr="00DF5C23">
        <w:rPr>
          <w:noProof/>
          <w:lang w:val="en-IE" w:eastAsia="fr-BE"/>
        </w:rPr>
        <w:t xml:space="preserve"> </w:t>
      </w:r>
    </w:p>
    <w:p w14:paraId="3EA957EA" w14:textId="77777777" w:rsidR="0038775E" w:rsidRDefault="00877B9C" w:rsidP="002041D4">
      <w:pPr>
        <w:pStyle w:val="Point0"/>
        <w:wordWrap w:val="0"/>
        <w:rPr>
          <w:noProof/>
          <w:lang w:val="en-IE" w:eastAsia="fr-BE"/>
        </w:rPr>
      </w:pPr>
      <w:r w:rsidRPr="004F5E59">
        <w:rPr>
          <w:lang w:eastAsia="ja-JP"/>
        </w:rPr>
        <w:t>(12)</w:t>
      </w:r>
      <w:r w:rsidRPr="004F5E59">
        <w:rPr>
          <w:lang w:eastAsia="ja-JP"/>
        </w:rPr>
        <w:tab/>
      </w:r>
      <w:r w:rsidR="0681B866" w:rsidRPr="00DF5C23">
        <w:rPr>
          <w:noProof/>
          <w:lang w:val="en-IE" w:eastAsia="fr-BE"/>
        </w:rPr>
        <w:t>ライフサイクル」とは、天然資源からの原材料の入手または生成</w:t>
      </w:r>
      <w:r w:rsidR="00202CED" w:rsidRPr="00DF5C23">
        <w:rPr>
          <w:noProof/>
          <w:lang w:val="en-IE" w:eastAsia="fr-BE"/>
        </w:rPr>
        <w:t>、前処理</w:t>
      </w:r>
      <w:r w:rsidR="00E62E51" w:rsidRPr="00DF5C23">
        <w:rPr>
          <w:noProof/>
          <w:lang w:val="en-IE" w:eastAsia="fr-BE"/>
        </w:rPr>
        <w:t>、</w:t>
      </w:r>
      <w:r w:rsidR="00202CED" w:rsidRPr="00DF5C23">
        <w:rPr>
          <w:noProof/>
          <w:lang w:val="en-IE" w:eastAsia="fr-BE"/>
        </w:rPr>
        <w:t>製造</w:t>
      </w:r>
      <w:r w:rsidR="00E62E51" w:rsidRPr="00DF5C23">
        <w:rPr>
          <w:noProof/>
          <w:lang w:val="en-IE" w:eastAsia="fr-BE"/>
        </w:rPr>
        <w:t>、</w:t>
      </w:r>
      <w:r w:rsidR="00202CED" w:rsidRPr="00DF5C23">
        <w:rPr>
          <w:noProof/>
          <w:lang w:val="en-IE" w:eastAsia="fr-BE"/>
        </w:rPr>
        <w:t>保管</w:t>
      </w:r>
      <w:r w:rsidR="00E62E51" w:rsidRPr="00DF5C23">
        <w:rPr>
          <w:noProof/>
          <w:lang w:val="en-IE" w:eastAsia="fr-BE"/>
        </w:rPr>
        <w:t>、流通、</w:t>
      </w:r>
      <w:r w:rsidR="00202CED" w:rsidRPr="00DF5C23">
        <w:rPr>
          <w:noProof/>
          <w:lang w:val="en-IE" w:eastAsia="fr-BE"/>
        </w:rPr>
        <w:t>設置、</w:t>
      </w:r>
      <w:r w:rsidR="00E62E51" w:rsidRPr="00DF5C23">
        <w:rPr>
          <w:noProof/>
          <w:lang w:val="en-IE" w:eastAsia="fr-BE"/>
        </w:rPr>
        <w:t>使用、</w:t>
      </w:r>
      <w:r w:rsidR="00202CED" w:rsidRPr="00DF5C23">
        <w:rPr>
          <w:noProof/>
          <w:lang w:val="en-IE" w:eastAsia="fr-BE"/>
        </w:rPr>
        <w:t>保守、修理、</w:t>
      </w:r>
      <w:r w:rsidR="00E62E51" w:rsidRPr="00DF5C23">
        <w:rPr>
          <w:noProof/>
          <w:lang w:val="en-IE" w:eastAsia="fr-BE"/>
        </w:rPr>
        <w:t>改良、</w:t>
      </w:r>
      <w:r w:rsidR="00202CED" w:rsidRPr="00DF5C23">
        <w:rPr>
          <w:noProof/>
          <w:lang w:val="en-IE" w:eastAsia="fr-BE"/>
        </w:rPr>
        <w:t>改装および再利用</w:t>
      </w:r>
      <w:r w:rsidR="00E62E51" w:rsidRPr="00DF5C23">
        <w:rPr>
          <w:noProof/>
          <w:lang w:val="en-IE" w:eastAsia="fr-BE"/>
        </w:rPr>
        <w:t>、</w:t>
      </w:r>
      <w:r w:rsidR="00202CED" w:rsidRPr="00DF5C23">
        <w:rPr>
          <w:noProof/>
          <w:lang w:val="en-IE" w:eastAsia="fr-BE"/>
        </w:rPr>
        <w:t>ならびに使用終了から</w:t>
      </w:r>
      <w:r w:rsidR="00E62E51" w:rsidRPr="00DF5C23">
        <w:rPr>
          <w:noProof/>
          <w:lang w:val="en-IE" w:eastAsia="fr-BE"/>
        </w:rPr>
        <w:t>なる</w:t>
      </w:r>
      <w:r w:rsidR="007C0510" w:rsidRPr="00DF5C23">
        <w:rPr>
          <w:noProof/>
          <w:lang w:val="en-IE" w:eastAsia="fr-BE"/>
        </w:rPr>
        <w:t>、</w:t>
      </w:r>
      <w:r w:rsidR="0681B866" w:rsidRPr="00DF5C23">
        <w:rPr>
          <w:noProof/>
          <w:lang w:val="en-IE" w:eastAsia="fr-BE"/>
        </w:rPr>
        <w:t>製品の一生の連続した、相互に関連した段階をいう；</w:t>
      </w:r>
    </w:p>
    <w:p w14:paraId="019E80FB" w14:textId="2512DB20" w:rsidR="0038775E" w:rsidRDefault="00877B9C" w:rsidP="002041D4">
      <w:pPr>
        <w:pStyle w:val="Point0"/>
        <w:wordWrap w:val="0"/>
        <w:rPr>
          <w:noProof/>
          <w:lang w:val="en-IE" w:eastAsia="fr-BE"/>
        </w:rPr>
      </w:pPr>
      <w:r w:rsidRPr="004F5E59">
        <w:rPr>
          <w:lang w:eastAsia="ja-JP"/>
        </w:rPr>
        <w:t>(13)</w:t>
      </w:r>
      <w:r w:rsidRPr="004F5E59">
        <w:rPr>
          <w:lang w:eastAsia="ja-JP"/>
        </w:rPr>
        <w:tab/>
      </w:r>
      <w:r w:rsidR="00883598" w:rsidRPr="00DF5C23">
        <w:rPr>
          <w:rFonts w:eastAsia="Times New Roman"/>
          <w:noProof/>
          <w:color w:val="000000" w:themeColor="text1"/>
          <w:lang w:val="en-IE" w:eastAsia="fr-BE"/>
        </w:rPr>
        <w:t>エンドオブライフ」とは、</w:t>
      </w:r>
      <w:r w:rsidR="00883598" w:rsidRPr="00DF5C23">
        <w:rPr>
          <w:noProof/>
          <w:lang w:eastAsia="ja-JP"/>
        </w:rPr>
        <w:t>製品が廃棄されたときに始まり、製品が廃棄物として自然に戻されるか、他の製品のライフサイクルに入るときに終わる</w:t>
      </w:r>
      <w:r w:rsidR="00883598" w:rsidRPr="00DF5C23">
        <w:rPr>
          <w:rFonts w:eastAsia="Times New Roman"/>
          <w:noProof/>
          <w:color w:val="000000" w:themeColor="text1"/>
          <w:lang w:val="en-IE" w:eastAsia="fr-BE"/>
        </w:rPr>
        <w:t>ライフサイクル</w:t>
      </w:r>
      <w:r w:rsidR="00883598" w:rsidRPr="00DF5C23">
        <w:rPr>
          <w:noProof/>
          <w:lang w:eastAsia="ja-JP"/>
        </w:rPr>
        <w:t>段階を</w:t>
      </w:r>
      <w:r w:rsidR="00883598" w:rsidRPr="00DF5C23">
        <w:rPr>
          <w:rFonts w:eastAsia="Times New Roman"/>
          <w:noProof/>
          <w:color w:val="000000" w:themeColor="text1"/>
          <w:lang w:val="en-IE" w:eastAsia="fr-BE"/>
        </w:rPr>
        <w:t>意味</w:t>
      </w:r>
      <w:r w:rsidR="002041D4">
        <w:rPr>
          <w:rFonts w:ascii="ＭＳ 明朝" w:eastAsia="ＭＳ 明朝" w:hAnsi="ＭＳ 明朝" w:cs="ＭＳ 明朝" w:hint="eastAsia"/>
          <w:noProof/>
          <w:color w:val="000000" w:themeColor="text1"/>
          <w:lang w:val="en-IE" w:eastAsia="fr-BE"/>
        </w:rPr>
        <w:t>する</w:t>
      </w:r>
      <w:r w:rsidR="00883598" w:rsidRPr="00DF5C23">
        <w:rPr>
          <w:rFonts w:eastAsia="Times New Roman"/>
          <w:noProof/>
          <w:color w:val="000000" w:themeColor="text1"/>
          <w:lang w:val="en-IE" w:eastAsia="fr-BE"/>
        </w:rPr>
        <w:t xml:space="preserve">； </w:t>
      </w:r>
    </w:p>
    <w:p w14:paraId="38C6CFE9" w14:textId="77777777" w:rsidR="0038775E" w:rsidRDefault="00877B9C" w:rsidP="002041D4">
      <w:pPr>
        <w:pStyle w:val="Point0"/>
        <w:wordWrap w:val="0"/>
        <w:rPr>
          <w:noProof/>
          <w:lang w:val="en-IE" w:eastAsia="fr-BE"/>
        </w:rPr>
      </w:pPr>
      <w:r w:rsidRPr="004F5E59">
        <w:rPr>
          <w:lang w:eastAsia="ja-JP"/>
        </w:rPr>
        <w:lastRenderedPageBreak/>
        <w:t>(14)</w:t>
      </w:r>
      <w:r w:rsidRPr="004F5E59">
        <w:rPr>
          <w:lang w:eastAsia="ja-JP"/>
        </w:rPr>
        <w:tab/>
      </w:r>
      <w:r w:rsidR="00646885" w:rsidRPr="00DF5C23">
        <w:rPr>
          <w:noProof/>
          <w:lang w:val="en-IE" w:eastAsia="fr-BE"/>
        </w:rPr>
        <w:t>環境影響」とは、有害か有益かを問わず、製品のライフサイクルにおいて全体的または部分的に生じる環境に対する変化をいう；</w:t>
      </w:r>
    </w:p>
    <w:p w14:paraId="3E22F65C" w14:textId="77777777" w:rsidR="0038775E" w:rsidRDefault="00877B9C" w:rsidP="002041D4">
      <w:pPr>
        <w:pStyle w:val="Point0"/>
        <w:wordWrap w:val="0"/>
        <w:rPr>
          <w:noProof/>
          <w:lang w:val="en-IE" w:eastAsia="fr-BE"/>
        </w:rPr>
      </w:pPr>
      <w:r w:rsidRPr="004F5E59">
        <w:rPr>
          <w:lang w:eastAsia="ja-JP"/>
        </w:rPr>
        <w:t>(15)</w:t>
      </w:r>
      <w:r w:rsidRPr="004F5E59">
        <w:rPr>
          <w:lang w:eastAsia="ja-JP"/>
        </w:rPr>
        <w:tab/>
      </w:r>
      <w:r w:rsidR="00646885" w:rsidRPr="00DF5C23">
        <w:rPr>
          <w:noProof/>
          <w:lang w:val="en-IE" w:eastAsia="fr-BE"/>
        </w:rPr>
        <w:t>性能のクラス」とは</w:t>
      </w:r>
      <w:r w:rsidR="00893002" w:rsidRPr="00DF5C23">
        <w:rPr>
          <w:noProof/>
          <w:lang w:val="en-IE" w:eastAsia="fr-BE"/>
        </w:rPr>
        <w:t>、</w:t>
      </w:r>
      <w:r w:rsidR="00171675" w:rsidRPr="00DF5C23">
        <w:rPr>
          <w:noProof/>
          <w:lang w:val="en-IE" w:eastAsia="ja-JP"/>
        </w:rPr>
        <w:t>附属書</w:t>
      </w:r>
      <w:r w:rsidR="00171675" w:rsidRPr="00DF5C23">
        <w:rPr>
          <w:noProof/>
          <w:lang w:val="en-IE" w:eastAsia="ja-JP"/>
        </w:rPr>
        <w:t>Ⅰ</w:t>
      </w:r>
      <w:r w:rsidR="00171675" w:rsidRPr="00DF5C23">
        <w:rPr>
          <w:noProof/>
          <w:lang w:val="en-IE" w:eastAsia="ja-JP"/>
        </w:rPr>
        <w:t>で</w:t>
      </w:r>
      <w:r w:rsidR="00244960" w:rsidRPr="00DF5C23">
        <w:rPr>
          <w:noProof/>
          <w:lang w:val="en-IE" w:eastAsia="fr-BE"/>
        </w:rPr>
        <w:t>言及される</w:t>
      </w:r>
      <w:r w:rsidR="004D60BB" w:rsidRPr="00DF5C23">
        <w:rPr>
          <w:noProof/>
          <w:lang w:val="en-IE" w:eastAsia="fr-BE"/>
        </w:rPr>
        <w:t>1</w:t>
      </w:r>
      <w:r w:rsidR="004D60BB" w:rsidRPr="00DF5C23">
        <w:rPr>
          <w:noProof/>
          <w:lang w:val="en-IE" w:eastAsia="fr-BE"/>
        </w:rPr>
        <w:t>つ以上の</w:t>
      </w:r>
      <w:r w:rsidR="00214C38" w:rsidRPr="00DF5C23">
        <w:rPr>
          <w:noProof/>
          <w:lang w:eastAsia="ja-JP"/>
        </w:rPr>
        <w:t>製品</w:t>
      </w:r>
      <w:r w:rsidR="004D60BB" w:rsidRPr="00DF5C23">
        <w:rPr>
          <w:noProof/>
          <w:lang w:val="en-IE" w:eastAsia="fr-BE"/>
        </w:rPr>
        <w:t>パラメータに関する</w:t>
      </w:r>
      <w:r w:rsidR="00646885" w:rsidRPr="00DF5C23">
        <w:rPr>
          <w:noProof/>
          <w:lang w:val="en-IE" w:eastAsia="fr-BE"/>
        </w:rPr>
        <w:t>性能レベルの範囲を</w:t>
      </w:r>
      <w:r w:rsidR="00893002" w:rsidRPr="00DF5C23">
        <w:rPr>
          <w:noProof/>
          <w:lang w:val="en-IE" w:eastAsia="fr-BE"/>
        </w:rPr>
        <w:t>意味し</w:t>
      </w:r>
      <w:r w:rsidR="00674E9E" w:rsidRPr="00DF5C23">
        <w:rPr>
          <w:noProof/>
          <w:lang w:val="en-IE" w:eastAsia="fr-BE"/>
        </w:rPr>
        <w:t>、</w:t>
      </w:r>
      <w:r w:rsidR="00646885" w:rsidRPr="00DF5C23">
        <w:rPr>
          <w:noProof/>
          <w:lang w:val="en-IE" w:eastAsia="fr-BE"/>
        </w:rPr>
        <w:t>製品の差別化を可能にするために連続したステップに順序付けられる；</w:t>
      </w:r>
      <w:r w:rsidR="00646885" w:rsidRPr="00DF5C23">
        <w:rPr>
          <w:noProof/>
          <w:lang w:val="en-IE" w:eastAsia="fr-BE"/>
        </w:rPr>
        <w:t xml:space="preserve">  </w:t>
      </w:r>
    </w:p>
    <w:p w14:paraId="5E520F1F" w14:textId="77777777" w:rsidR="0038775E" w:rsidRDefault="00877B9C" w:rsidP="002041D4">
      <w:pPr>
        <w:pStyle w:val="Point0"/>
        <w:wordWrap w:val="0"/>
        <w:rPr>
          <w:rFonts w:eastAsia="Times New Roman"/>
          <w:noProof/>
          <w:color w:val="000000" w:themeColor="text1"/>
          <w:lang w:val="en-IE" w:eastAsia="fr-BE"/>
        </w:rPr>
      </w:pPr>
      <w:r w:rsidRPr="004F5E59">
        <w:rPr>
          <w:lang w:eastAsia="ja-JP"/>
        </w:rPr>
        <w:t>(16)</w:t>
      </w:r>
      <w:r w:rsidRPr="004F5E59">
        <w:rPr>
          <w:lang w:eastAsia="ja-JP"/>
        </w:rPr>
        <w:tab/>
      </w:r>
      <w:r w:rsidR="00646885" w:rsidRPr="00DF5C23">
        <w:rPr>
          <w:rFonts w:eastAsia="Times New Roman"/>
          <w:noProof/>
          <w:color w:val="000000"/>
          <w:lang w:val="en-IE" w:eastAsia="fr-BE"/>
        </w:rPr>
        <w:t>再製造」とは、</w:t>
      </w:r>
      <w:r w:rsidR="00BD0D3A" w:rsidRPr="00DF5C23">
        <w:rPr>
          <w:noProof/>
          <w:lang w:eastAsia="ja-JP"/>
        </w:rPr>
        <w:t>廃棄物、製品または</w:t>
      </w:r>
      <w:r w:rsidR="00883598" w:rsidRPr="00DF5C23">
        <w:rPr>
          <w:noProof/>
          <w:lang w:eastAsia="ja-JP"/>
        </w:rPr>
        <w:t>部品</w:t>
      </w:r>
      <w:r w:rsidR="00BD0D3A" w:rsidRPr="00DF5C23">
        <w:rPr>
          <w:noProof/>
          <w:lang w:eastAsia="ja-JP"/>
        </w:rPr>
        <w:t>である対象物から製品を製造する</w:t>
      </w:r>
      <w:r w:rsidR="00B474AE" w:rsidRPr="00DF5C23">
        <w:rPr>
          <w:noProof/>
          <w:lang w:val="en-IE" w:eastAsia="ja-JP"/>
        </w:rPr>
        <w:t>産業プロセスで</w:t>
      </w:r>
      <w:r w:rsidR="00E62E51" w:rsidRPr="00DF5C23">
        <w:rPr>
          <w:noProof/>
          <w:lang w:eastAsia="ja-JP"/>
        </w:rPr>
        <w:t>あって</w:t>
      </w:r>
      <w:r w:rsidR="009A7F4A" w:rsidRPr="00DF5C23">
        <w:rPr>
          <w:noProof/>
          <w:lang w:eastAsia="ja-JP"/>
        </w:rPr>
        <w:t>、</w:t>
      </w:r>
      <w:r w:rsidR="00BD0D3A" w:rsidRPr="00DF5C23">
        <w:rPr>
          <w:noProof/>
          <w:lang w:eastAsia="ja-JP"/>
        </w:rPr>
        <w:t>商業的</w:t>
      </w:r>
      <w:r w:rsidR="00893002" w:rsidRPr="00DF5C23">
        <w:rPr>
          <w:rFonts w:eastAsia="Times New Roman"/>
          <w:noProof/>
          <w:color w:val="000000"/>
          <w:lang w:val="en-IE" w:eastAsia="fr-BE"/>
        </w:rPr>
        <w:t>保証を伴って</w:t>
      </w:r>
      <w:r w:rsidR="00BD0D3A" w:rsidRPr="00DF5C23">
        <w:rPr>
          <w:noProof/>
          <w:lang w:eastAsia="ja-JP"/>
        </w:rPr>
        <w:t>通常市場に出される製品の安全性、性能、目的または種類に影響を与える少なくとも</w:t>
      </w:r>
      <w:r w:rsidR="00BD0D3A" w:rsidRPr="00DF5C23">
        <w:rPr>
          <w:noProof/>
          <w:lang w:eastAsia="ja-JP"/>
        </w:rPr>
        <w:t>1</w:t>
      </w:r>
      <w:r w:rsidR="00BD0D3A" w:rsidRPr="00DF5C23">
        <w:rPr>
          <w:noProof/>
          <w:lang w:eastAsia="ja-JP"/>
        </w:rPr>
        <w:t>つの変更が</w:t>
      </w:r>
      <w:r w:rsidR="00E62E51" w:rsidRPr="00DF5C23">
        <w:rPr>
          <w:noProof/>
          <w:lang w:eastAsia="ja-JP"/>
        </w:rPr>
        <w:t>製品に対して行われる</w:t>
      </w:r>
      <w:r w:rsidR="00CC0AD7" w:rsidRPr="00DF5C23">
        <w:rPr>
          <w:noProof/>
          <w:lang w:val="en-IE" w:eastAsia="ja-JP"/>
        </w:rPr>
        <w:t>ものをいう；</w:t>
      </w:r>
      <w:r w:rsidR="00CC0AD7" w:rsidRPr="00DF5C23">
        <w:rPr>
          <w:noProof/>
          <w:lang w:val="en-IE" w:eastAsia="ja-JP"/>
        </w:rPr>
        <w:t xml:space="preserve"> </w:t>
      </w:r>
    </w:p>
    <w:p w14:paraId="0D1B0117" w14:textId="75D9CC14" w:rsidR="0038775E" w:rsidRDefault="00877B9C" w:rsidP="002041D4">
      <w:pPr>
        <w:pStyle w:val="Point0"/>
        <w:wordWrap w:val="0"/>
        <w:rPr>
          <w:noProof/>
          <w:lang w:eastAsia="ja-JP"/>
        </w:rPr>
      </w:pPr>
      <w:r w:rsidRPr="004F5E59">
        <w:rPr>
          <w:lang w:eastAsia="ja-JP"/>
        </w:rPr>
        <w:t>(17)</w:t>
      </w:r>
      <w:r w:rsidRPr="004F5E59">
        <w:rPr>
          <w:lang w:eastAsia="ja-JP"/>
        </w:rPr>
        <w:tab/>
      </w:r>
      <w:r w:rsidR="00CD7E59" w:rsidRPr="00DF5C23">
        <w:rPr>
          <w:noProof/>
          <w:lang w:val="en-IE" w:eastAsia="fr-BE"/>
        </w:rPr>
        <w:t>アップグレード」とは、製品の機能、性能、容量、美観を高めることを意味</w:t>
      </w:r>
      <w:r w:rsidR="002041D4">
        <w:rPr>
          <w:noProof/>
          <w:lang w:val="en-IE" w:eastAsia="fr-BE"/>
        </w:rPr>
        <w:t>する</w:t>
      </w:r>
      <w:r w:rsidR="00CD7E59" w:rsidRPr="00DF5C23">
        <w:rPr>
          <w:noProof/>
          <w:lang w:val="en-IE" w:eastAsia="fr-BE"/>
        </w:rPr>
        <w:t>；</w:t>
      </w:r>
      <w:r w:rsidR="00CD7E59" w:rsidRPr="00DF5C23">
        <w:rPr>
          <w:noProof/>
          <w:lang w:val="en-IE" w:eastAsia="fr-BE"/>
        </w:rPr>
        <w:t xml:space="preserve"> </w:t>
      </w:r>
    </w:p>
    <w:p w14:paraId="60058740" w14:textId="77777777" w:rsidR="0038775E" w:rsidRDefault="00877B9C" w:rsidP="002041D4">
      <w:pPr>
        <w:pStyle w:val="Point0"/>
        <w:wordWrap w:val="0"/>
        <w:rPr>
          <w:noProof/>
          <w:lang w:eastAsia="ja-JP"/>
        </w:rPr>
      </w:pPr>
      <w:r w:rsidRPr="004F5E59">
        <w:rPr>
          <w:lang w:eastAsia="ja-JP"/>
        </w:rPr>
        <w:t>(18)</w:t>
      </w:r>
      <w:r w:rsidRPr="004F5E59">
        <w:rPr>
          <w:lang w:eastAsia="ja-JP"/>
        </w:rPr>
        <w:tab/>
      </w:r>
      <w:r w:rsidR="00D940FA" w:rsidRPr="00DF5C23">
        <w:rPr>
          <w:noProof/>
          <w:lang w:val="en-IE" w:eastAsia="ja-JP"/>
        </w:rPr>
        <w:t>改装」とは、廃棄物である物体または製品を、</w:t>
      </w:r>
      <w:r w:rsidR="00DF12CD" w:rsidRPr="00DF5C23">
        <w:rPr>
          <w:noProof/>
          <w:lang w:val="en-IE" w:eastAsia="ja-JP"/>
        </w:rPr>
        <w:t>設計段階で当初考えられた意図された用途、性能の範囲およびメンテナンスの範囲内で</w:t>
      </w:r>
      <w:r w:rsidR="004A1643" w:rsidRPr="00DF5C23">
        <w:rPr>
          <w:noProof/>
          <w:lang w:val="en-IE" w:eastAsia="ja-JP"/>
        </w:rPr>
        <w:t>その性能</w:t>
      </w:r>
      <w:r w:rsidR="00D940FA" w:rsidRPr="00DF5C23">
        <w:rPr>
          <w:noProof/>
          <w:lang w:val="en-IE" w:eastAsia="ja-JP"/>
        </w:rPr>
        <w:t>または機能を</w:t>
      </w:r>
      <w:r w:rsidR="004A1643" w:rsidRPr="00DF5C23">
        <w:rPr>
          <w:noProof/>
          <w:lang w:val="en-IE" w:eastAsia="ja-JP"/>
        </w:rPr>
        <w:t>回復するため、</w:t>
      </w:r>
      <w:r w:rsidR="00D940FA" w:rsidRPr="00DF5C23">
        <w:rPr>
          <w:noProof/>
          <w:lang w:val="en-IE" w:eastAsia="ja-JP"/>
        </w:rPr>
        <w:t>または適用される技術基準または規制要件を満たすために、完全に機能する製品を作る結果をもって</w:t>
      </w:r>
      <w:r w:rsidR="008F218C" w:rsidRPr="00DF5C23">
        <w:rPr>
          <w:noProof/>
          <w:lang w:val="en-IE" w:eastAsia="ja-JP"/>
        </w:rPr>
        <w:t>準備または</w:t>
      </w:r>
      <w:r w:rsidR="00BD0D3A" w:rsidRPr="00DF5C23">
        <w:rPr>
          <w:noProof/>
          <w:lang w:val="en-IE" w:eastAsia="ja-JP"/>
        </w:rPr>
        <w:t>変更することをいいます</w:t>
      </w:r>
      <w:r w:rsidR="004A1643" w:rsidRPr="00DF5C23">
        <w:rPr>
          <w:noProof/>
          <w:lang w:val="en-IE" w:eastAsia="ja-JP"/>
        </w:rPr>
        <w:t>；</w:t>
      </w:r>
    </w:p>
    <w:p w14:paraId="4F228F6B" w14:textId="77777777" w:rsidR="0038775E" w:rsidRDefault="00877B9C" w:rsidP="002041D4">
      <w:pPr>
        <w:pStyle w:val="Point0"/>
        <w:wordWrap w:val="0"/>
        <w:rPr>
          <w:noProof/>
          <w:lang w:eastAsia="ja-JP"/>
        </w:rPr>
      </w:pPr>
      <w:r w:rsidRPr="004F5E59">
        <w:rPr>
          <w:lang w:eastAsia="ja-JP"/>
        </w:rPr>
        <w:t>(19)</w:t>
      </w:r>
      <w:r w:rsidRPr="004F5E59">
        <w:rPr>
          <w:lang w:eastAsia="ja-JP"/>
        </w:rPr>
        <w:tab/>
      </w:r>
      <w:r w:rsidR="0681B866" w:rsidRPr="00DF5C23">
        <w:rPr>
          <w:noProof/>
          <w:lang w:val="en-IE" w:eastAsia="fr-BE"/>
        </w:rPr>
        <w:t>メンテナンス」とは、製品を必要な機能を発揮できる状態に</w:t>
      </w:r>
      <w:r w:rsidR="00BD0D3A" w:rsidRPr="00DF5C23">
        <w:rPr>
          <w:noProof/>
          <w:lang w:val="en-IE" w:eastAsia="fr-BE"/>
        </w:rPr>
        <w:t>維持するために実施される</w:t>
      </w:r>
      <w:r w:rsidR="0681B866" w:rsidRPr="00DF5C23">
        <w:rPr>
          <w:noProof/>
          <w:lang w:val="en-IE" w:eastAsia="fr-BE"/>
        </w:rPr>
        <w:t>行為をいいます；</w:t>
      </w:r>
    </w:p>
    <w:p w14:paraId="7BE4EEA8" w14:textId="77777777" w:rsidR="0038775E" w:rsidRDefault="00877B9C" w:rsidP="002041D4">
      <w:pPr>
        <w:pStyle w:val="Point0"/>
        <w:wordWrap w:val="0"/>
        <w:rPr>
          <w:noProof/>
          <w:lang w:eastAsia="ja-JP"/>
        </w:rPr>
      </w:pPr>
      <w:r w:rsidRPr="004F5E59">
        <w:rPr>
          <w:lang w:eastAsia="ja-JP"/>
        </w:rPr>
        <w:t>(20)</w:t>
      </w:r>
      <w:r w:rsidRPr="004F5E59">
        <w:rPr>
          <w:lang w:eastAsia="ja-JP"/>
        </w:rPr>
        <w:tab/>
      </w:r>
      <w:r w:rsidR="0681B866" w:rsidRPr="00DF5C23">
        <w:rPr>
          <w:noProof/>
          <w:lang w:val="en-IE" w:eastAsia="fr-BE"/>
        </w:rPr>
        <w:t>修理」とは、</w:t>
      </w:r>
      <w:r w:rsidR="00E62E51" w:rsidRPr="00DF5C23">
        <w:rPr>
          <w:noProof/>
          <w:lang w:val="en-IE" w:eastAsia="fr-BE"/>
        </w:rPr>
        <w:t>欠陥のある</w:t>
      </w:r>
      <w:r w:rsidR="0681B866" w:rsidRPr="00DF5C23">
        <w:rPr>
          <w:noProof/>
          <w:lang w:val="en-IE" w:eastAsia="fr-BE"/>
        </w:rPr>
        <w:t>製品</w:t>
      </w:r>
      <w:r w:rsidR="00430A51" w:rsidRPr="00DF5C23">
        <w:rPr>
          <w:noProof/>
          <w:lang w:val="en-IE" w:eastAsia="fr-BE"/>
        </w:rPr>
        <w:t>または廃棄物を、</w:t>
      </w:r>
      <w:r w:rsidR="0681B866" w:rsidRPr="00DF5C23">
        <w:rPr>
          <w:noProof/>
          <w:lang w:val="en-IE" w:eastAsia="fr-BE"/>
        </w:rPr>
        <w:t>その意図された使用を</w:t>
      </w:r>
      <w:r w:rsidR="00E62E51" w:rsidRPr="00DF5C23">
        <w:rPr>
          <w:noProof/>
          <w:lang w:val="en-IE" w:eastAsia="fr-BE"/>
        </w:rPr>
        <w:t>果たす</w:t>
      </w:r>
      <w:r w:rsidR="0681B866" w:rsidRPr="00DF5C23">
        <w:rPr>
          <w:noProof/>
          <w:lang w:val="en-IE" w:eastAsia="fr-BE"/>
        </w:rPr>
        <w:t>状態に戻すことをいいます；</w:t>
      </w:r>
    </w:p>
    <w:p w14:paraId="18A4ADBA" w14:textId="582353CE" w:rsidR="0038775E" w:rsidRDefault="00877B9C" w:rsidP="002041D4">
      <w:pPr>
        <w:pStyle w:val="Point0"/>
        <w:wordWrap w:val="0"/>
        <w:rPr>
          <w:noProof/>
          <w:lang w:val="en-IE" w:eastAsia="ja-JP"/>
        </w:rPr>
      </w:pPr>
      <w:r w:rsidRPr="004F5E59">
        <w:rPr>
          <w:lang w:eastAsia="ja-JP"/>
        </w:rPr>
        <w:t>(21)</w:t>
      </w:r>
      <w:r w:rsidRPr="004F5E59">
        <w:rPr>
          <w:lang w:eastAsia="ja-JP"/>
        </w:rPr>
        <w:tab/>
      </w:r>
      <w:r w:rsidR="003D7180" w:rsidRPr="00DF5C23">
        <w:rPr>
          <w:rFonts w:eastAsia="Times New Roman"/>
          <w:noProof/>
          <w:color w:val="000000" w:themeColor="text1"/>
          <w:lang w:val="en-IE" w:eastAsia="fr-BE"/>
        </w:rPr>
        <w:t>耐久性」とは、</w:t>
      </w:r>
      <w:r w:rsidR="003D7180" w:rsidRPr="00DF5C23">
        <w:rPr>
          <w:noProof/>
          <w:lang w:eastAsia="ja-JP"/>
        </w:rPr>
        <w:t>制限的な</w:t>
      </w:r>
      <w:r w:rsidR="00BB6FF0" w:rsidRPr="00DF5C23">
        <w:rPr>
          <w:noProof/>
          <w:lang w:eastAsia="ja-JP"/>
        </w:rPr>
        <w:t>事象によってその機能が</w:t>
      </w:r>
      <w:r w:rsidR="003D7180" w:rsidRPr="00DF5C23">
        <w:rPr>
          <w:noProof/>
          <w:lang w:eastAsia="ja-JP"/>
        </w:rPr>
        <w:t>妨げられるまで、使用、保守、修理の</w:t>
      </w:r>
      <w:r w:rsidR="00C46AB3" w:rsidRPr="00DF5C23">
        <w:rPr>
          <w:noProof/>
          <w:lang w:eastAsia="ja-JP"/>
        </w:rPr>
        <w:t>指定された</w:t>
      </w:r>
      <w:r w:rsidR="003D7180" w:rsidRPr="00DF5C23">
        <w:rPr>
          <w:noProof/>
          <w:lang w:eastAsia="ja-JP"/>
        </w:rPr>
        <w:t>条件下で、</w:t>
      </w:r>
      <w:r w:rsidR="00C46AB3" w:rsidRPr="00DF5C23">
        <w:rPr>
          <w:noProof/>
          <w:lang w:eastAsia="ja-JP"/>
        </w:rPr>
        <w:t>製品が</w:t>
      </w:r>
      <w:r w:rsidR="003D7180" w:rsidRPr="00DF5C23">
        <w:rPr>
          <w:noProof/>
          <w:lang w:eastAsia="ja-JP"/>
        </w:rPr>
        <w:t>要求通りに機能する能力を</w:t>
      </w:r>
      <w:r w:rsidR="003D7180" w:rsidRPr="00DF5C23">
        <w:rPr>
          <w:rFonts w:eastAsia="Times New Roman"/>
          <w:noProof/>
          <w:color w:val="000000" w:themeColor="text1"/>
          <w:lang w:val="en-IE" w:eastAsia="fr-BE"/>
        </w:rPr>
        <w:t>意味</w:t>
      </w:r>
      <w:r w:rsidR="002041D4">
        <w:rPr>
          <w:rFonts w:ascii="ＭＳ 明朝" w:eastAsia="ＭＳ 明朝" w:hAnsi="ＭＳ 明朝" w:cs="ＭＳ 明朝" w:hint="eastAsia"/>
          <w:noProof/>
          <w:color w:val="000000" w:themeColor="text1"/>
          <w:lang w:val="en-IE" w:eastAsia="fr-BE"/>
        </w:rPr>
        <w:t>する</w:t>
      </w:r>
      <w:r w:rsidR="003D7180" w:rsidRPr="00DF5C23">
        <w:rPr>
          <w:rFonts w:eastAsia="Times New Roman"/>
          <w:noProof/>
          <w:color w:val="000000" w:themeColor="text1"/>
          <w:lang w:val="en-IE" w:eastAsia="fr-BE"/>
        </w:rPr>
        <w:t xml:space="preserve">； </w:t>
      </w:r>
    </w:p>
    <w:p w14:paraId="00A97471" w14:textId="2CD19C38" w:rsidR="0038775E" w:rsidRDefault="00877B9C" w:rsidP="002041D4">
      <w:pPr>
        <w:pStyle w:val="Point0"/>
        <w:wordWrap w:val="0"/>
        <w:rPr>
          <w:noProof/>
          <w:lang w:val="en-IE" w:eastAsia="ja-JP"/>
        </w:rPr>
      </w:pPr>
      <w:r w:rsidRPr="004F5E59">
        <w:rPr>
          <w:lang w:eastAsia="ja-JP"/>
        </w:rPr>
        <w:t>(22)</w:t>
      </w:r>
      <w:r w:rsidRPr="004F5E59">
        <w:rPr>
          <w:lang w:eastAsia="ja-JP"/>
        </w:rPr>
        <w:tab/>
      </w:r>
      <w:r w:rsidR="003D7180" w:rsidRPr="00DF5C23">
        <w:rPr>
          <w:rFonts w:eastAsia="Times New Roman"/>
          <w:noProof/>
          <w:color w:val="000000" w:themeColor="text1"/>
          <w:lang w:val="en-IE" w:eastAsia="fr-BE"/>
        </w:rPr>
        <w:t>信頼性」とは、</w:t>
      </w:r>
      <w:r w:rsidR="003D7180" w:rsidRPr="00DF5C23">
        <w:rPr>
          <w:noProof/>
          <w:lang w:eastAsia="ja-JP"/>
        </w:rPr>
        <w:t>製品が所定の条件下で所定の期間、制限事象なしに要求通りに機能する確率を</w:t>
      </w:r>
      <w:r w:rsidR="003D7180" w:rsidRPr="00DF5C23">
        <w:rPr>
          <w:rFonts w:eastAsia="Times New Roman"/>
          <w:noProof/>
          <w:color w:val="000000" w:themeColor="text1"/>
          <w:lang w:val="en-IE" w:eastAsia="fr-BE"/>
        </w:rPr>
        <w:t>意味</w:t>
      </w:r>
      <w:r w:rsidR="002041D4">
        <w:rPr>
          <w:rFonts w:ascii="ＭＳ 明朝" w:eastAsia="ＭＳ 明朝" w:hAnsi="ＭＳ 明朝" w:cs="ＭＳ 明朝" w:hint="eastAsia"/>
          <w:noProof/>
          <w:color w:val="000000" w:themeColor="text1"/>
          <w:lang w:val="en-IE" w:eastAsia="fr-BE"/>
        </w:rPr>
        <w:t>する</w:t>
      </w:r>
      <w:r w:rsidR="003D7180" w:rsidRPr="00DF5C23">
        <w:rPr>
          <w:rFonts w:eastAsia="Times New Roman"/>
          <w:noProof/>
          <w:color w:val="000000" w:themeColor="text1"/>
          <w:lang w:val="en-IE" w:eastAsia="fr-BE"/>
        </w:rPr>
        <w:t>；</w:t>
      </w:r>
    </w:p>
    <w:p w14:paraId="7FE4CB8B" w14:textId="77777777" w:rsidR="0038775E" w:rsidRDefault="00877B9C" w:rsidP="002041D4">
      <w:pPr>
        <w:pStyle w:val="Point0"/>
        <w:wordWrap w:val="0"/>
        <w:rPr>
          <w:noProof/>
          <w:lang w:eastAsia="ja-JP"/>
        </w:rPr>
      </w:pPr>
      <w:r w:rsidRPr="004F5E59">
        <w:rPr>
          <w:lang w:eastAsia="ja-JP"/>
        </w:rPr>
        <w:t>(23)</w:t>
      </w:r>
      <w:r w:rsidRPr="004F5E59">
        <w:rPr>
          <w:lang w:eastAsia="ja-JP"/>
        </w:rPr>
        <w:tab/>
      </w:r>
      <w:r w:rsidR="0681B866" w:rsidRPr="00DF5C23">
        <w:rPr>
          <w:noProof/>
          <w:lang w:val="en-IE" w:eastAsia="fr-BE"/>
        </w:rPr>
        <w:t>環境フットプリント」とは、製品</w:t>
      </w:r>
      <w:r w:rsidR="006B2C4F" w:rsidRPr="00DF5C23">
        <w:rPr>
          <w:noProof/>
          <w:lang w:val="en-IE" w:eastAsia="fr-BE"/>
        </w:rPr>
        <w:t>環境フットプリント</w:t>
      </w:r>
      <w:r w:rsidR="00E62E51" w:rsidRPr="00DF5C23">
        <w:rPr>
          <w:noProof/>
          <w:lang w:val="en-IE" w:eastAsia="fr-BE"/>
        </w:rPr>
        <w:t>法に</w:t>
      </w:r>
      <w:r w:rsidR="006B2C4F" w:rsidRPr="00DF5C23">
        <w:rPr>
          <w:noProof/>
          <w:lang w:val="en-IE" w:eastAsia="fr-BE"/>
        </w:rPr>
        <w:t>基づき、</w:t>
      </w:r>
      <w:r w:rsidR="0681B866" w:rsidRPr="00DF5C23">
        <w:rPr>
          <w:noProof/>
          <w:lang w:val="en-IE" w:eastAsia="fr-BE"/>
        </w:rPr>
        <w:t>単一の環境影響カテゴリーに関連するか、影響カテゴリーの集合に関連するかを問わず、製品の環境影響を定量化したものをいう；</w:t>
      </w:r>
    </w:p>
    <w:p w14:paraId="0761920E" w14:textId="77777777" w:rsidR="0038775E" w:rsidRDefault="00877B9C" w:rsidP="002041D4">
      <w:pPr>
        <w:pStyle w:val="Point0"/>
        <w:wordWrap w:val="0"/>
        <w:rPr>
          <w:noProof/>
          <w:lang w:eastAsia="ja-JP"/>
        </w:rPr>
      </w:pPr>
      <w:r w:rsidRPr="004F5E59">
        <w:rPr>
          <w:lang w:eastAsia="ja-JP"/>
        </w:rPr>
        <w:t>(24)</w:t>
      </w:r>
      <w:r w:rsidRPr="004F5E59">
        <w:rPr>
          <w:lang w:eastAsia="ja-JP"/>
        </w:rPr>
        <w:tab/>
      </w:r>
      <w:r w:rsidR="00E62E51" w:rsidRPr="00DF5C23">
        <w:rPr>
          <w:noProof/>
          <w:lang w:val="en-IE" w:eastAsia="fr-BE"/>
        </w:rPr>
        <w:t>製品環境フットプリント法」とは、勧告</w:t>
      </w:r>
      <w:r w:rsidR="00E62E51" w:rsidRPr="00DF5C23">
        <w:rPr>
          <w:noProof/>
          <w:lang w:eastAsia="ja-JP"/>
        </w:rPr>
        <w:t>（</w:t>
      </w:r>
      <w:r w:rsidR="00E62E51" w:rsidRPr="00DF5C23">
        <w:rPr>
          <w:noProof/>
          <w:lang w:eastAsia="ja-JP"/>
        </w:rPr>
        <w:t>EU</w:t>
      </w:r>
      <w:r w:rsidR="00E62E51" w:rsidRPr="00DF5C23">
        <w:rPr>
          <w:noProof/>
          <w:lang w:eastAsia="ja-JP"/>
        </w:rPr>
        <w:t>）</w:t>
      </w:r>
      <w:r w:rsidR="00E62E51" w:rsidRPr="00DF5C23">
        <w:rPr>
          <w:noProof/>
          <w:lang w:eastAsia="ja-JP"/>
        </w:rPr>
        <w:t>2021/2279</w:t>
      </w:r>
      <w:r w:rsidR="00E62E51" w:rsidRPr="00DF5C23">
        <w:rPr>
          <w:noProof/>
          <w:lang w:eastAsia="ja-JP"/>
        </w:rPr>
        <w:t>で</w:t>
      </w:r>
      <w:r w:rsidR="00E62E51" w:rsidRPr="00DF5C23">
        <w:rPr>
          <w:noProof/>
          <w:lang w:val="en-IE" w:eastAsia="fr-BE"/>
        </w:rPr>
        <w:t>定められた製品の環境影響を定量化するライフサイクル評価</w:t>
      </w:r>
      <w:r w:rsidR="009A7F4A" w:rsidRPr="00DF5C23">
        <w:rPr>
          <w:noProof/>
          <w:lang w:val="en-IE" w:eastAsia="fr-BE"/>
        </w:rPr>
        <w:t>法を</w:t>
      </w:r>
      <w:r w:rsidR="00E62E51" w:rsidRPr="00DF5C23">
        <w:rPr>
          <w:noProof/>
          <w:lang w:val="en-IE" w:eastAsia="fr-BE"/>
        </w:rPr>
        <w:t>意味する；</w:t>
      </w:r>
    </w:p>
    <w:p w14:paraId="452CDA29" w14:textId="77777777" w:rsidR="0038775E" w:rsidRDefault="00877B9C" w:rsidP="002041D4">
      <w:pPr>
        <w:pStyle w:val="Point0"/>
        <w:wordWrap w:val="0"/>
        <w:rPr>
          <w:noProof/>
          <w:lang w:eastAsia="ja-JP"/>
        </w:rPr>
      </w:pPr>
      <w:r w:rsidRPr="004F5E59">
        <w:rPr>
          <w:lang w:eastAsia="ja-JP"/>
        </w:rPr>
        <w:t>(25)</w:t>
      </w:r>
      <w:r w:rsidRPr="004F5E59">
        <w:rPr>
          <w:lang w:eastAsia="ja-JP"/>
        </w:rPr>
        <w:tab/>
      </w:r>
      <w:r w:rsidR="00883598" w:rsidRPr="00DF5C23">
        <w:rPr>
          <w:rFonts w:eastAsia="Times New Roman"/>
          <w:noProof/>
          <w:color w:val="000000" w:themeColor="text1"/>
          <w:lang w:val="en-IE" w:eastAsia="fr-BE"/>
        </w:rPr>
        <w:t>カーボンフットプリント</w:t>
      </w:r>
      <w:r w:rsidR="001D1C77" w:rsidRPr="00DF5C23">
        <w:rPr>
          <w:noProof/>
          <w:lang w:eastAsia="ja-JP"/>
        </w:rPr>
        <w:t>」とは、</w:t>
      </w:r>
      <w:r w:rsidR="00947F0E" w:rsidRPr="00DF5C23">
        <w:rPr>
          <w:noProof/>
          <w:lang w:eastAsia="ja-JP"/>
        </w:rPr>
        <w:t>製品システムにおける温室効果ガス（</w:t>
      </w:r>
      <w:r w:rsidR="00947F0E" w:rsidRPr="00DF5C23">
        <w:rPr>
          <w:noProof/>
          <w:lang w:eastAsia="ja-JP"/>
        </w:rPr>
        <w:t>GHG</w:t>
      </w:r>
      <w:r w:rsidR="00947F0E" w:rsidRPr="00DF5C23">
        <w:rPr>
          <w:noProof/>
          <w:lang w:eastAsia="ja-JP"/>
        </w:rPr>
        <w:t>）排出量と</w:t>
      </w:r>
      <w:r w:rsidR="00947F0E" w:rsidRPr="00DF5C23">
        <w:rPr>
          <w:noProof/>
          <w:lang w:eastAsia="ja-JP"/>
        </w:rPr>
        <w:t>GHG</w:t>
      </w:r>
      <w:r w:rsidR="00947F0E" w:rsidRPr="00DF5C23">
        <w:rPr>
          <w:noProof/>
          <w:lang w:eastAsia="ja-JP"/>
        </w:rPr>
        <w:t>除去量の合計を</w:t>
      </w:r>
      <w:r w:rsidR="00947F0E" w:rsidRPr="00DF5C23">
        <w:rPr>
          <w:noProof/>
          <w:lang w:eastAsia="ja-JP"/>
        </w:rPr>
        <w:t>CO</w:t>
      </w:r>
      <w:r w:rsidR="00947F0E" w:rsidRPr="00DF5C23">
        <w:rPr>
          <w:noProof/>
          <w:vertAlign w:val="subscript"/>
          <w:lang w:eastAsia="ja-JP"/>
        </w:rPr>
        <w:t>2</w:t>
      </w:r>
      <w:r w:rsidR="00947F0E" w:rsidRPr="00DF5C23">
        <w:rPr>
          <w:noProof/>
          <w:lang w:eastAsia="ja-JP"/>
        </w:rPr>
        <w:t xml:space="preserve"> </w:t>
      </w:r>
      <w:r w:rsidR="00947F0E" w:rsidRPr="00DF5C23">
        <w:rPr>
          <w:noProof/>
          <w:lang w:eastAsia="ja-JP"/>
        </w:rPr>
        <w:t>相当として表し、気候変動という単一の影響カテゴリーを用いたライフサイクルアセスメントに基づくものをいう</w:t>
      </w:r>
      <w:r w:rsidR="00883598" w:rsidRPr="00DF5C23">
        <w:rPr>
          <w:rFonts w:eastAsia="Times New Roman"/>
          <w:noProof/>
          <w:color w:val="000000" w:themeColor="text1"/>
          <w:lang w:val="en-IE" w:eastAsia="fr-BE"/>
        </w:rPr>
        <w:t>；</w:t>
      </w:r>
    </w:p>
    <w:p w14:paraId="64BA1DC6" w14:textId="77777777" w:rsidR="0038775E" w:rsidRDefault="00877B9C" w:rsidP="002041D4">
      <w:pPr>
        <w:pStyle w:val="Point0"/>
        <w:wordWrap w:val="0"/>
        <w:rPr>
          <w:noProof/>
          <w:lang w:val="en-IE" w:eastAsia="ja-JP"/>
        </w:rPr>
      </w:pPr>
      <w:r w:rsidRPr="004F5E59">
        <w:rPr>
          <w:lang w:eastAsia="ja-JP"/>
        </w:rPr>
        <w:t>(26)</w:t>
      </w:r>
      <w:r w:rsidRPr="004F5E59">
        <w:rPr>
          <w:lang w:eastAsia="ja-JP"/>
        </w:rPr>
        <w:tab/>
      </w:r>
      <w:r w:rsidR="005C7C0C" w:rsidRPr="00DF5C23">
        <w:rPr>
          <w:noProof/>
          <w:lang w:val="en-IE" w:eastAsia="ja-JP"/>
        </w:rPr>
        <w:t>公共契約」とは、指令</w:t>
      </w:r>
      <w:r w:rsidR="005C7C0C" w:rsidRPr="00DF5C23">
        <w:rPr>
          <w:noProof/>
          <w:lang w:val="en-IE" w:eastAsia="ja-JP"/>
        </w:rPr>
        <w:t>2014/24/EU</w:t>
      </w:r>
      <w:r w:rsidR="005C7C0C" w:rsidRPr="00DF5C23">
        <w:rPr>
          <w:noProof/>
          <w:lang w:val="en-IE" w:eastAsia="ja-JP"/>
        </w:rPr>
        <w:t>の第</w:t>
      </w:r>
      <w:r w:rsidR="005C7C0C" w:rsidRPr="00DF5C23">
        <w:rPr>
          <w:noProof/>
          <w:lang w:val="en-IE" w:eastAsia="ja-JP"/>
        </w:rPr>
        <w:t>2</w:t>
      </w:r>
      <w:r w:rsidR="005C7C0C" w:rsidRPr="00DF5C23">
        <w:rPr>
          <w:noProof/>
          <w:lang w:val="en-IE" w:eastAsia="ja-JP"/>
        </w:rPr>
        <w:t>条</w:t>
      </w:r>
      <w:r w:rsidR="005C7C0C" w:rsidRPr="00DF5C23">
        <w:rPr>
          <w:noProof/>
          <w:lang w:val="en-IE" w:eastAsia="ja-JP"/>
        </w:rPr>
        <w:t>(5)</w:t>
      </w:r>
      <w:r w:rsidR="005C7C0C" w:rsidRPr="00DF5C23">
        <w:rPr>
          <w:noProof/>
          <w:lang w:val="en-IE" w:eastAsia="ja-JP"/>
        </w:rPr>
        <w:t>に定義される公共契約をいう</w:t>
      </w:r>
      <w:r w:rsidR="00803B38" w:rsidRPr="00DF5C23">
        <w:rPr>
          <w:noProof/>
          <w:lang w:val="en-IE" w:eastAsia="ja-JP"/>
        </w:rPr>
        <w:t>；</w:t>
      </w:r>
    </w:p>
    <w:p w14:paraId="53152EB0" w14:textId="77777777" w:rsidR="0038775E" w:rsidRDefault="00877B9C" w:rsidP="002041D4">
      <w:pPr>
        <w:pStyle w:val="Point0"/>
        <w:wordWrap w:val="0"/>
        <w:rPr>
          <w:noProof/>
          <w:lang w:val="en-IE" w:eastAsia="ja-JP"/>
        </w:rPr>
      </w:pPr>
      <w:r w:rsidRPr="004F5E59">
        <w:rPr>
          <w:lang w:eastAsia="ja-JP"/>
        </w:rPr>
        <w:t>(27)</w:t>
      </w:r>
      <w:r w:rsidRPr="004F5E59">
        <w:rPr>
          <w:lang w:eastAsia="ja-JP"/>
        </w:rPr>
        <w:tab/>
      </w:r>
      <w:r w:rsidR="00646885" w:rsidRPr="00DF5C23">
        <w:rPr>
          <w:noProof/>
          <w:lang w:val="en-IE" w:eastAsia="fr-BE"/>
        </w:rPr>
        <w:t>物質」とは、規則（</w:t>
      </w:r>
      <w:r w:rsidR="00646885" w:rsidRPr="00DF5C23">
        <w:rPr>
          <w:noProof/>
          <w:lang w:val="en-IE" w:eastAsia="fr-BE"/>
        </w:rPr>
        <w:t>EC</w:t>
      </w:r>
      <w:r w:rsidR="00646885" w:rsidRPr="00DF5C23">
        <w:rPr>
          <w:noProof/>
          <w:lang w:val="en-IE" w:eastAsia="fr-BE"/>
        </w:rPr>
        <w:t>）</w:t>
      </w:r>
      <w:r w:rsidR="00646885" w:rsidRPr="00DF5C23">
        <w:rPr>
          <w:noProof/>
          <w:lang w:val="en-IE" w:eastAsia="fr-BE"/>
        </w:rPr>
        <w:t xml:space="preserve">No 1907/2006 </w:t>
      </w:r>
      <w:r w:rsidR="00646885" w:rsidRPr="00DF5C23">
        <w:rPr>
          <w:noProof/>
          <w:lang w:val="en-IE" w:eastAsia="fr-BE"/>
        </w:rPr>
        <w:t>の第</w:t>
      </w:r>
      <w:r w:rsidR="00646885" w:rsidRPr="00DF5C23">
        <w:rPr>
          <w:noProof/>
          <w:lang w:val="en-IE" w:eastAsia="fr-BE"/>
        </w:rPr>
        <w:t xml:space="preserve"> 3 </w:t>
      </w:r>
      <w:r w:rsidR="00646885" w:rsidRPr="00DF5C23">
        <w:rPr>
          <w:noProof/>
          <w:lang w:val="en-IE" w:eastAsia="fr-BE"/>
        </w:rPr>
        <w:t>条</w:t>
      </w:r>
      <w:r w:rsidR="009A7F4A" w:rsidRPr="00DF5C23">
        <w:rPr>
          <w:noProof/>
          <w:lang w:val="en-IE" w:eastAsia="fr-BE"/>
        </w:rPr>
        <w:t>、ポイント</w:t>
      </w:r>
      <w:r w:rsidR="00646885" w:rsidRPr="00DF5C23">
        <w:rPr>
          <w:noProof/>
          <w:lang w:val="en-IE" w:eastAsia="fr-BE"/>
        </w:rPr>
        <w:t>（</w:t>
      </w:r>
      <w:r w:rsidR="00646885" w:rsidRPr="00DF5C23">
        <w:rPr>
          <w:noProof/>
          <w:lang w:val="en-IE" w:eastAsia="fr-BE"/>
        </w:rPr>
        <w:t>1</w:t>
      </w:r>
      <w:r w:rsidR="009A7F4A" w:rsidRPr="00DF5C23">
        <w:rPr>
          <w:noProof/>
          <w:lang w:val="en-IE" w:eastAsia="fr-BE"/>
        </w:rPr>
        <w:t>）に</w:t>
      </w:r>
      <w:r w:rsidR="00646885" w:rsidRPr="00DF5C23">
        <w:rPr>
          <w:noProof/>
          <w:lang w:val="en-IE" w:eastAsia="fr-BE"/>
        </w:rPr>
        <w:t>定義される物質を意味する；</w:t>
      </w:r>
    </w:p>
    <w:p w14:paraId="6EACF625" w14:textId="77777777" w:rsidR="0038775E" w:rsidRDefault="00877B9C" w:rsidP="002041D4">
      <w:pPr>
        <w:pStyle w:val="Point0"/>
        <w:wordWrap w:val="0"/>
        <w:rPr>
          <w:noProof/>
          <w:lang w:eastAsia="ja-JP"/>
        </w:rPr>
      </w:pPr>
      <w:r w:rsidRPr="004F5E59">
        <w:rPr>
          <w:lang w:eastAsia="ja-JP"/>
        </w:rPr>
        <w:t>(28)</w:t>
      </w:r>
      <w:r w:rsidRPr="004F5E59">
        <w:rPr>
          <w:lang w:eastAsia="ja-JP"/>
        </w:rPr>
        <w:tab/>
      </w:r>
      <w:r w:rsidR="23DF1179">
        <w:rPr>
          <w:noProof/>
          <w:lang w:eastAsia="ja-JP"/>
        </w:rPr>
        <w:t>懸念物質」とは、以下のような物質を</w:t>
      </w:r>
      <w:r w:rsidR="23DF1179" w:rsidRPr="23DF1179">
        <w:rPr>
          <w:noProof/>
          <w:lang w:val="en-IE" w:eastAsia="ja-JP"/>
        </w:rPr>
        <w:t>意味する：</w:t>
      </w:r>
    </w:p>
    <w:p w14:paraId="7C6BCBF8" w14:textId="77777777" w:rsidR="0038775E" w:rsidRDefault="00877B9C" w:rsidP="002041D4">
      <w:pPr>
        <w:pStyle w:val="Point1"/>
        <w:wordWrap w:val="0"/>
        <w:rPr>
          <w:noProof/>
          <w:lang w:val="en-IE" w:eastAsia="fr-BE"/>
        </w:rPr>
      </w:pPr>
      <w:r w:rsidRPr="004F5E59">
        <w:rPr>
          <w:lang w:eastAsia="ja-JP"/>
        </w:rPr>
        <w:t>(a)</w:t>
      </w:r>
      <w:r w:rsidRPr="004F5E59">
        <w:rPr>
          <w:lang w:eastAsia="ja-JP"/>
        </w:rPr>
        <w:tab/>
      </w:r>
      <w:r w:rsidR="00BB502F" w:rsidRPr="00DF5C23">
        <w:rPr>
          <w:noProof/>
          <w:lang w:val="en-IE" w:eastAsia="fr-BE"/>
        </w:rPr>
        <w:t>第</w:t>
      </w:r>
      <w:r w:rsidR="00BB502F" w:rsidRPr="00DF5C23">
        <w:rPr>
          <w:noProof/>
          <w:lang w:val="en-IE" w:eastAsia="fr-BE"/>
        </w:rPr>
        <w:t>57</w:t>
      </w:r>
      <w:r w:rsidR="00BB502F" w:rsidRPr="00DF5C23">
        <w:rPr>
          <w:noProof/>
          <w:lang w:val="en-IE" w:eastAsia="fr-BE"/>
        </w:rPr>
        <w:t>条に定める基準を満たし、規則（</w:t>
      </w:r>
      <w:r w:rsidR="00BB502F" w:rsidRPr="00DF5C23">
        <w:rPr>
          <w:noProof/>
          <w:lang w:val="en-IE" w:eastAsia="fr-BE"/>
        </w:rPr>
        <w:t>EC</w:t>
      </w:r>
      <w:r w:rsidR="00BB502F" w:rsidRPr="00DF5C23">
        <w:rPr>
          <w:noProof/>
          <w:lang w:val="en-IE" w:eastAsia="fr-BE"/>
        </w:rPr>
        <w:t>）</w:t>
      </w:r>
      <w:r w:rsidR="00BB502F" w:rsidRPr="00DF5C23">
        <w:rPr>
          <w:noProof/>
          <w:lang w:val="en-IE" w:eastAsia="fr-BE"/>
        </w:rPr>
        <w:t>No 1907/2006</w:t>
      </w:r>
      <w:r w:rsidR="00BB502F" w:rsidRPr="00DF5C23">
        <w:rPr>
          <w:noProof/>
          <w:lang w:val="en-IE" w:eastAsia="fr-BE"/>
        </w:rPr>
        <w:t>の第</w:t>
      </w:r>
      <w:r w:rsidR="00BB502F" w:rsidRPr="00DF5C23">
        <w:rPr>
          <w:noProof/>
          <w:lang w:val="en-IE" w:eastAsia="fr-BE"/>
        </w:rPr>
        <w:t>59</w:t>
      </w:r>
      <w:r w:rsidR="00BB502F" w:rsidRPr="00DF5C23">
        <w:rPr>
          <w:noProof/>
          <w:lang w:val="en-IE" w:eastAsia="fr-BE"/>
        </w:rPr>
        <w:t>条（</w:t>
      </w:r>
      <w:r w:rsidR="00BB502F" w:rsidRPr="00DF5C23">
        <w:rPr>
          <w:noProof/>
          <w:lang w:val="en-IE" w:eastAsia="fr-BE"/>
        </w:rPr>
        <w:t>1</w:t>
      </w:r>
      <w:r w:rsidR="00BB502F" w:rsidRPr="00DF5C23">
        <w:rPr>
          <w:noProof/>
          <w:lang w:val="en-IE" w:eastAsia="fr-BE"/>
        </w:rPr>
        <w:t>）に従って特定される、または</w:t>
      </w:r>
    </w:p>
    <w:p w14:paraId="4E7CE3E7" w14:textId="77777777" w:rsidR="0038775E" w:rsidRDefault="00877B9C" w:rsidP="002041D4">
      <w:pPr>
        <w:pStyle w:val="Point1"/>
        <w:wordWrap w:val="0"/>
        <w:rPr>
          <w:noProof/>
          <w:lang w:val="en-IE" w:eastAsia="fr-BE"/>
        </w:rPr>
      </w:pPr>
      <w:r w:rsidRPr="004F5E59">
        <w:rPr>
          <w:lang w:eastAsia="ja-JP"/>
        </w:rPr>
        <w:lastRenderedPageBreak/>
        <w:t>(b)</w:t>
      </w:r>
      <w:r w:rsidRPr="004F5E59">
        <w:rPr>
          <w:lang w:eastAsia="ja-JP"/>
        </w:rPr>
        <w:tab/>
      </w:r>
      <w:r w:rsidR="00BB502F" w:rsidRPr="00DF5C23">
        <w:rPr>
          <w:noProof/>
          <w:lang w:val="en-IE" w:eastAsia="fr-BE"/>
        </w:rPr>
        <w:t>は、</w:t>
      </w:r>
      <w:r w:rsidR="00BB502F" w:rsidRPr="00DF5C23">
        <w:rPr>
          <w:noProof/>
          <w:lang w:val="en-IE" w:eastAsia="fr-BE"/>
        </w:rPr>
        <w:t>Regulation (EC) No 1272/2008</w:t>
      </w:r>
      <w:r w:rsidR="00BB502F" w:rsidRPr="00DF5C23">
        <w:rPr>
          <w:noProof/>
          <w:lang w:val="en-IE" w:eastAsia="fr-BE"/>
        </w:rPr>
        <w:t>の</w:t>
      </w:r>
      <w:r w:rsidR="00BB502F" w:rsidRPr="00DF5C23">
        <w:rPr>
          <w:noProof/>
          <w:lang w:val="en-IE" w:eastAsia="fr-BE"/>
        </w:rPr>
        <w:t>Annex VI</w:t>
      </w:r>
      <w:r w:rsidR="00BB502F" w:rsidRPr="00DF5C23">
        <w:rPr>
          <w:noProof/>
          <w:lang w:val="en-IE" w:eastAsia="fr-BE"/>
        </w:rPr>
        <w:t>の</w:t>
      </w:r>
      <w:r w:rsidR="00BB502F" w:rsidRPr="00DF5C23">
        <w:rPr>
          <w:noProof/>
          <w:lang w:val="en-IE" w:eastAsia="fr-BE"/>
        </w:rPr>
        <w:t>Part 3</w:t>
      </w:r>
      <w:r w:rsidR="00BB502F" w:rsidRPr="00DF5C23">
        <w:rPr>
          <w:noProof/>
          <w:lang w:val="en-IE" w:eastAsia="fr-BE"/>
        </w:rPr>
        <w:t>において、以下のハザードクラスまたはハザードカテゴリのいずれかに分類される：</w:t>
      </w:r>
      <w:r w:rsidR="00BB502F" w:rsidRPr="00DF5C23">
        <w:rPr>
          <w:noProof/>
          <w:lang w:val="en-IE" w:eastAsia="fr-BE"/>
        </w:rPr>
        <w:t xml:space="preserve"> </w:t>
      </w:r>
    </w:p>
    <w:p w14:paraId="283FE3AB" w14:textId="77777777" w:rsidR="0038775E" w:rsidRDefault="00BB502F" w:rsidP="002041D4">
      <w:pPr>
        <w:pStyle w:val="Tiret2"/>
        <w:numPr>
          <w:ilvl w:val="0"/>
          <w:numId w:val="90"/>
        </w:numPr>
        <w:wordWrap w:val="0"/>
        <w:rPr>
          <w:rFonts w:asciiTheme="minorHAnsi" w:hAnsiTheme="minorHAnsi" w:cstheme="minorBidi"/>
          <w:noProof/>
          <w:lang w:val="en-IE" w:eastAsia="fr-BE"/>
        </w:rPr>
      </w:pPr>
      <w:r w:rsidRPr="00DF5C23">
        <w:rPr>
          <w:noProof/>
          <w:lang w:val="en-IE" w:eastAsia="fr-BE"/>
        </w:rPr>
        <w:t>発がん性区分</w:t>
      </w:r>
      <w:r w:rsidRPr="00DF5C23">
        <w:rPr>
          <w:noProof/>
          <w:lang w:val="en-IE" w:eastAsia="fr-BE"/>
        </w:rPr>
        <w:t>1</w:t>
      </w:r>
      <w:r w:rsidRPr="00DF5C23">
        <w:rPr>
          <w:noProof/>
          <w:lang w:val="en-IE" w:eastAsia="fr-BE"/>
        </w:rPr>
        <w:t>および</w:t>
      </w:r>
      <w:r w:rsidR="002B48DD" w:rsidRPr="00DF5C23">
        <w:rPr>
          <w:noProof/>
          <w:lang w:val="en-IE" w:eastAsia="fr-BE"/>
        </w:rPr>
        <w:t>2</w:t>
      </w:r>
      <w:r w:rsidR="002B48DD" w:rsidRPr="00DF5C23">
        <w:rPr>
          <w:noProof/>
          <w:lang w:val="en-IE" w:eastAsia="fr-BE"/>
        </w:rPr>
        <w:t>、</w:t>
      </w:r>
      <w:r w:rsidR="002B48DD" w:rsidRPr="00DF5C23">
        <w:rPr>
          <w:noProof/>
          <w:lang w:val="en-IE" w:eastAsia="fr-BE"/>
        </w:rPr>
        <w:t xml:space="preserve"> </w:t>
      </w:r>
    </w:p>
    <w:p w14:paraId="360DED4A" w14:textId="77777777" w:rsidR="0038775E" w:rsidRDefault="00BB502F" w:rsidP="002041D4">
      <w:pPr>
        <w:pStyle w:val="Tiret2"/>
        <w:numPr>
          <w:ilvl w:val="0"/>
          <w:numId w:val="90"/>
        </w:numPr>
        <w:wordWrap w:val="0"/>
        <w:rPr>
          <w:noProof/>
          <w:lang w:val="en-IE" w:eastAsia="fr-BE"/>
        </w:rPr>
      </w:pPr>
      <w:r w:rsidRPr="00DF5C23">
        <w:rPr>
          <w:noProof/>
          <w:lang w:val="en-IE" w:eastAsia="fr-BE"/>
        </w:rPr>
        <w:t>生殖細胞変異原性カテゴリー</w:t>
      </w:r>
      <w:r w:rsidRPr="00DF5C23">
        <w:rPr>
          <w:noProof/>
          <w:lang w:val="en-IE" w:eastAsia="fr-BE"/>
        </w:rPr>
        <w:t>1</w:t>
      </w:r>
      <w:r w:rsidRPr="00DF5C23">
        <w:rPr>
          <w:noProof/>
          <w:lang w:val="en-IE" w:eastAsia="fr-BE"/>
        </w:rPr>
        <w:t>および</w:t>
      </w:r>
      <w:r w:rsidR="002B48DD" w:rsidRPr="00DF5C23">
        <w:rPr>
          <w:noProof/>
          <w:lang w:val="en-IE" w:eastAsia="fr-BE"/>
        </w:rPr>
        <w:t>2</w:t>
      </w:r>
      <w:r w:rsidR="002B48DD" w:rsidRPr="00DF5C23">
        <w:rPr>
          <w:noProof/>
          <w:lang w:val="en-IE" w:eastAsia="fr-BE"/>
        </w:rPr>
        <w:t>、</w:t>
      </w:r>
      <w:r w:rsidR="002B48DD" w:rsidRPr="00DF5C23">
        <w:rPr>
          <w:noProof/>
          <w:lang w:val="en-IE" w:eastAsia="fr-BE"/>
        </w:rPr>
        <w:t xml:space="preserve"> </w:t>
      </w:r>
    </w:p>
    <w:p w14:paraId="4F550560" w14:textId="77777777" w:rsidR="0038775E" w:rsidRDefault="00BB502F" w:rsidP="002041D4">
      <w:pPr>
        <w:pStyle w:val="Tiret2"/>
        <w:numPr>
          <w:ilvl w:val="0"/>
          <w:numId w:val="90"/>
        </w:numPr>
        <w:wordWrap w:val="0"/>
        <w:rPr>
          <w:noProof/>
          <w:lang w:val="en-IE" w:eastAsia="fr-BE"/>
        </w:rPr>
      </w:pPr>
      <w:r w:rsidRPr="00DF5C23">
        <w:rPr>
          <w:noProof/>
          <w:lang w:val="en-IE" w:eastAsia="fr-BE"/>
        </w:rPr>
        <w:t>生殖</w:t>
      </w:r>
      <w:r w:rsidR="002B48DD" w:rsidRPr="00DF5C23">
        <w:rPr>
          <w:noProof/>
          <w:lang w:val="en-IE" w:eastAsia="fr-BE"/>
        </w:rPr>
        <w:t>毒性カテゴリー</w:t>
      </w:r>
      <w:r w:rsidR="002B48DD" w:rsidRPr="00DF5C23">
        <w:rPr>
          <w:noProof/>
          <w:lang w:val="en-IE" w:eastAsia="fr-BE"/>
        </w:rPr>
        <w:t>1</w:t>
      </w:r>
      <w:r w:rsidR="002B48DD" w:rsidRPr="00DF5C23">
        <w:rPr>
          <w:noProof/>
          <w:lang w:val="en-IE" w:eastAsia="fr-BE"/>
        </w:rPr>
        <w:t>および</w:t>
      </w:r>
      <w:r w:rsidR="002B48DD" w:rsidRPr="00DF5C23">
        <w:rPr>
          <w:noProof/>
          <w:lang w:val="en-IE" w:eastAsia="fr-BE"/>
        </w:rPr>
        <w:t>2</w:t>
      </w:r>
      <w:r w:rsidR="002B48DD" w:rsidRPr="00DF5C23">
        <w:rPr>
          <w:noProof/>
          <w:lang w:val="en-IE" w:eastAsia="fr-BE"/>
        </w:rPr>
        <w:t>、</w:t>
      </w:r>
      <w:r w:rsidRPr="00DF5C23">
        <w:rPr>
          <w:noProof/>
          <w:lang w:val="en-IE" w:eastAsia="fr-BE"/>
        </w:rPr>
        <w:t>［</w:t>
      </w:r>
      <w:r w:rsidRPr="00DF5C23">
        <w:rPr>
          <w:i/>
          <w:noProof/>
          <w:lang w:val="en-IE" w:eastAsia="fr-BE"/>
        </w:rPr>
        <w:t>規則（</w:t>
      </w:r>
      <w:r w:rsidRPr="00DF5C23">
        <w:rPr>
          <w:i/>
          <w:noProof/>
          <w:lang w:val="en-IE" w:eastAsia="fr-BE"/>
        </w:rPr>
        <w:t>EC</w:t>
      </w:r>
      <w:r w:rsidRPr="00DF5C23">
        <w:rPr>
          <w:i/>
          <w:noProof/>
          <w:lang w:val="en-IE" w:eastAsia="fr-BE"/>
        </w:rPr>
        <w:t>）</w:t>
      </w:r>
      <w:r w:rsidRPr="00DF5C23">
        <w:rPr>
          <w:i/>
          <w:noProof/>
          <w:lang w:val="en-IE" w:eastAsia="fr-BE"/>
        </w:rPr>
        <w:t>No 1272/2008</w:t>
      </w:r>
      <w:r w:rsidRPr="00DF5C23">
        <w:rPr>
          <w:i/>
          <w:noProof/>
          <w:lang w:val="en-IE" w:eastAsia="fr-BE"/>
        </w:rPr>
        <w:t>がこれらの危険有害性クラスを</w:t>
      </w:r>
      <w:r w:rsidR="00877B9C" w:rsidRPr="00DF5C23">
        <w:rPr>
          <w:i/>
          <w:noProof/>
          <w:lang w:val="en-IE" w:eastAsia="fr-BE"/>
        </w:rPr>
        <w:t>含むと</w:t>
      </w:r>
      <w:r w:rsidRPr="00DF5C23">
        <w:rPr>
          <w:i/>
          <w:noProof/>
          <w:lang w:val="en-IE" w:eastAsia="fr-BE"/>
        </w:rPr>
        <w:t>、立法手続きの過程で追加される］：難分解性、生物蓄積性、毒性（</w:t>
      </w:r>
      <w:r w:rsidRPr="00DF5C23">
        <w:rPr>
          <w:i/>
          <w:noProof/>
          <w:lang w:val="en-IE" w:eastAsia="fr-BE"/>
        </w:rPr>
        <w:t>PBTs</w:t>
      </w:r>
      <w:r w:rsidRPr="00DF5C23">
        <w:rPr>
          <w:i/>
          <w:noProof/>
          <w:lang w:val="en-IE" w:eastAsia="fr-BE"/>
        </w:rPr>
        <w:t>）、非常に難分解性、非常に生物蓄積性（</w:t>
      </w:r>
      <w:r w:rsidRPr="00DF5C23">
        <w:rPr>
          <w:i/>
          <w:noProof/>
          <w:lang w:val="en-IE" w:eastAsia="fr-BE"/>
        </w:rPr>
        <w:t>vPvBs</w:t>
      </w:r>
      <w:r w:rsidRPr="00DF5C23">
        <w:rPr>
          <w:i/>
          <w:noProof/>
          <w:lang w:val="en-IE" w:eastAsia="fr-BE"/>
        </w:rPr>
        <w:t>）；難分解性、移動性、毒性（</w:t>
      </w:r>
      <w:r w:rsidRPr="00DF5C23">
        <w:rPr>
          <w:i/>
          <w:noProof/>
          <w:lang w:val="en-IE" w:eastAsia="fr-BE"/>
        </w:rPr>
        <w:t>PMT</w:t>
      </w:r>
      <w:r w:rsidRPr="00DF5C23">
        <w:rPr>
          <w:i/>
          <w:noProof/>
          <w:lang w:val="en-IE" w:eastAsia="fr-BE"/>
        </w:rPr>
        <w:t>）、非常に移動性（</w:t>
      </w:r>
      <w:r w:rsidRPr="00DF5C23">
        <w:rPr>
          <w:i/>
          <w:noProof/>
          <w:lang w:val="en-IE" w:eastAsia="fr-BE"/>
        </w:rPr>
        <w:t>vPvM</w:t>
      </w:r>
      <w:r w:rsidRPr="00DF5C23">
        <w:rPr>
          <w:i/>
          <w:noProof/>
          <w:lang w:val="en-IE" w:eastAsia="fr-BE"/>
        </w:rPr>
        <w:t>）；内分泌撹乱性</w:t>
      </w:r>
      <w:r w:rsidR="002B48DD" w:rsidRPr="00DF5C23">
        <w:rPr>
          <w:noProof/>
          <w:lang w:val="en-IE" w:eastAsia="fr-BE"/>
        </w:rPr>
        <w:t>］、</w:t>
      </w:r>
      <w:r w:rsidR="002B48DD" w:rsidRPr="00DF5C23">
        <w:rPr>
          <w:noProof/>
          <w:lang w:val="en-IE" w:eastAsia="fr-BE"/>
        </w:rPr>
        <w:t xml:space="preserve"> </w:t>
      </w:r>
    </w:p>
    <w:p w14:paraId="0BBC1762" w14:textId="77777777" w:rsidR="0038775E" w:rsidRDefault="00877B9C" w:rsidP="002041D4">
      <w:pPr>
        <w:pStyle w:val="Tiret2"/>
        <w:numPr>
          <w:ilvl w:val="0"/>
          <w:numId w:val="90"/>
        </w:numPr>
        <w:wordWrap w:val="0"/>
        <w:rPr>
          <w:noProof/>
          <w:lang w:val="en-IE" w:eastAsia="fr-BE"/>
        </w:rPr>
      </w:pPr>
      <w:r w:rsidRPr="00DF5C23">
        <w:rPr>
          <w:noProof/>
          <w:lang w:val="en-IE" w:eastAsia="fr-BE"/>
        </w:rPr>
        <w:t>呼吸器感作性</w:t>
      </w:r>
      <w:r w:rsidRPr="00DF5C23">
        <w:rPr>
          <w:noProof/>
          <w:lang w:val="en-IE" w:eastAsia="fr-BE"/>
        </w:rPr>
        <w:t xml:space="preserve"> </w:t>
      </w:r>
      <w:r w:rsidRPr="00DF5C23">
        <w:rPr>
          <w:noProof/>
          <w:lang w:val="en-IE" w:eastAsia="fr-BE"/>
        </w:rPr>
        <w:t>カテゴリー</w:t>
      </w:r>
      <w:r w:rsidR="000914C8" w:rsidRPr="00DF5C23">
        <w:rPr>
          <w:noProof/>
          <w:lang w:val="en-IE" w:eastAsia="fr-BE"/>
        </w:rPr>
        <w:t xml:space="preserve">1 </w:t>
      </w:r>
    </w:p>
    <w:p w14:paraId="49D9C678" w14:textId="77777777" w:rsidR="0038775E" w:rsidRDefault="00877B9C" w:rsidP="002041D4">
      <w:pPr>
        <w:pStyle w:val="Tiret2"/>
        <w:numPr>
          <w:ilvl w:val="0"/>
          <w:numId w:val="90"/>
        </w:numPr>
        <w:wordWrap w:val="0"/>
        <w:rPr>
          <w:noProof/>
          <w:lang w:val="en-IE" w:eastAsia="fr-BE"/>
        </w:rPr>
      </w:pPr>
      <w:r w:rsidRPr="00DF5C23">
        <w:rPr>
          <w:noProof/>
          <w:lang w:val="en-IE" w:eastAsia="fr-BE"/>
        </w:rPr>
        <w:t>皮膚感作性</w:t>
      </w:r>
      <w:r w:rsidRPr="00DF5C23">
        <w:rPr>
          <w:noProof/>
          <w:lang w:val="en-IE" w:eastAsia="fr-BE"/>
        </w:rPr>
        <w:t xml:space="preserve"> </w:t>
      </w:r>
      <w:r w:rsidRPr="00DF5C23">
        <w:rPr>
          <w:noProof/>
          <w:lang w:val="en-IE" w:eastAsia="fr-BE"/>
        </w:rPr>
        <w:t>カテゴリー</w:t>
      </w:r>
      <w:r w:rsidR="000914C8" w:rsidRPr="00DF5C23">
        <w:rPr>
          <w:noProof/>
          <w:lang w:val="en-IE" w:eastAsia="fr-BE"/>
        </w:rPr>
        <w:t>1</w:t>
      </w:r>
      <w:r w:rsidR="000914C8" w:rsidRPr="00DF5C23">
        <w:rPr>
          <w:noProof/>
          <w:lang w:val="en-IE" w:eastAsia="fr-BE"/>
        </w:rPr>
        <w:t>、</w:t>
      </w:r>
      <w:r w:rsidR="000914C8" w:rsidRPr="00DF5C23">
        <w:rPr>
          <w:noProof/>
          <w:lang w:val="en-IE" w:eastAsia="fr-BE"/>
        </w:rPr>
        <w:t xml:space="preserve"> </w:t>
      </w:r>
    </w:p>
    <w:p w14:paraId="429FC874" w14:textId="77777777" w:rsidR="0038775E" w:rsidRDefault="00877B9C" w:rsidP="002041D4">
      <w:pPr>
        <w:pStyle w:val="Tiret2"/>
        <w:numPr>
          <w:ilvl w:val="0"/>
          <w:numId w:val="90"/>
        </w:numPr>
        <w:wordWrap w:val="0"/>
        <w:rPr>
          <w:noProof/>
          <w:lang w:val="en-IE" w:eastAsia="fr-BE"/>
        </w:rPr>
      </w:pPr>
      <w:r w:rsidRPr="00DF5C23">
        <w:rPr>
          <w:noProof/>
          <w:lang w:val="en-IE" w:eastAsia="fr-BE"/>
        </w:rPr>
        <w:t>水生環境慢性有害性</w:t>
      </w:r>
      <w:r w:rsidRPr="00DF5C23">
        <w:rPr>
          <w:noProof/>
          <w:lang w:val="en-IE" w:eastAsia="fr-BE"/>
        </w:rPr>
        <w:t xml:space="preserve"> </w:t>
      </w:r>
      <w:r w:rsidRPr="00DF5C23">
        <w:rPr>
          <w:noProof/>
          <w:lang w:val="en-IE" w:eastAsia="fr-BE"/>
        </w:rPr>
        <w:t>カテゴリー</w:t>
      </w:r>
      <w:r w:rsidRPr="00DF5C23">
        <w:rPr>
          <w:noProof/>
          <w:lang w:val="en-IE" w:eastAsia="fr-BE"/>
        </w:rPr>
        <w:t>1</w:t>
      </w:r>
      <w:r w:rsidRPr="00DF5C23">
        <w:rPr>
          <w:noProof/>
          <w:lang w:val="en-IE" w:eastAsia="fr-BE"/>
        </w:rPr>
        <w:t>～</w:t>
      </w:r>
      <w:r w:rsidR="000914C8" w:rsidRPr="00DF5C23">
        <w:rPr>
          <w:noProof/>
          <w:lang w:val="en-IE" w:eastAsia="fr-BE"/>
        </w:rPr>
        <w:t xml:space="preserve">4 </w:t>
      </w:r>
    </w:p>
    <w:p w14:paraId="06D9E256" w14:textId="77777777" w:rsidR="0038775E" w:rsidRDefault="00877B9C" w:rsidP="002041D4">
      <w:pPr>
        <w:pStyle w:val="Tiret2"/>
        <w:numPr>
          <w:ilvl w:val="0"/>
          <w:numId w:val="90"/>
        </w:numPr>
        <w:wordWrap w:val="0"/>
        <w:rPr>
          <w:noProof/>
          <w:lang w:val="en-IE" w:eastAsia="fr-BE"/>
        </w:rPr>
      </w:pPr>
      <w:r w:rsidRPr="00DF5C23">
        <w:rPr>
          <w:noProof/>
          <w:lang w:val="en-IE" w:eastAsia="fr-BE"/>
        </w:rPr>
        <w:t>オゾン</w:t>
      </w:r>
      <w:r w:rsidR="000914C8" w:rsidRPr="00DF5C23">
        <w:rPr>
          <w:noProof/>
          <w:lang w:val="en-IE" w:eastAsia="fr-BE"/>
        </w:rPr>
        <w:t>層への</w:t>
      </w:r>
      <w:r w:rsidRPr="00DF5C23">
        <w:rPr>
          <w:noProof/>
          <w:lang w:val="en-IE" w:eastAsia="fr-BE"/>
        </w:rPr>
        <w:t>有害性</w:t>
      </w:r>
      <w:r w:rsidRPr="00DF5C23">
        <w:rPr>
          <w:noProof/>
          <w:lang w:val="en-IE" w:eastAsia="fr-BE"/>
        </w:rPr>
        <w:t xml:space="preserve"> </w:t>
      </w:r>
    </w:p>
    <w:p w14:paraId="6FCCA8B3" w14:textId="77777777" w:rsidR="0038775E" w:rsidRDefault="00877B9C" w:rsidP="002041D4">
      <w:pPr>
        <w:pStyle w:val="Tiret2"/>
        <w:numPr>
          <w:ilvl w:val="0"/>
          <w:numId w:val="90"/>
        </w:numPr>
        <w:wordWrap w:val="0"/>
        <w:rPr>
          <w:noProof/>
          <w:lang w:val="en-IE" w:eastAsia="fr-BE"/>
        </w:rPr>
      </w:pPr>
      <w:r w:rsidRPr="00DF5C23">
        <w:rPr>
          <w:noProof/>
          <w:lang w:val="en-IE" w:eastAsia="fr-BE"/>
        </w:rPr>
        <w:t>特定標的臓器毒性</w:t>
      </w:r>
      <w:r w:rsidRPr="00DF5C23">
        <w:rPr>
          <w:noProof/>
          <w:lang w:val="en-IE" w:eastAsia="fr-BE"/>
        </w:rPr>
        <w:t>-</w:t>
      </w:r>
      <w:r w:rsidRPr="00DF5C23">
        <w:rPr>
          <w:noProof/>
          <w:lang w:val="en-IE" w:eastAsia="fr-BE"/>
        </w:rPr>
        <w:t>反復暴露カテゴリー</w:t>
      </w:r>
      <w:r w:rsidRPr="00DF5C23">
        <w:rPr>
          <w:noProof/>
          <w:lang w:val="en-IE" w:eastAsia="fr-BE"/>
        </w:rPr>
        <w:t>1</w:t>
      </w:r>
      <w:r w:rsidRPr="00DF5C23">
        <w:rPr>
          <w:noProof/>
          <w:lang w:val="en-IE" w:eastAsia="fr-BE"/>
        </w:rPr>
        <w:t>および</w:t>
      </w:r>
      <w:r w:rsidRPr="00DF5C23">
        <w:rPr>
          <w:noProof/>
          <w:lang w:val="en-IE" w:eastAsia="fr-BE"/>
        </w:rPr>
        <w:t>2</w:t>
      </w:r>
      <w:r w:rsidR="000914C8" w:rsidRPr="00DF5C23">
        <w:rPr>
          <w:noProof/>
          <w:lang w:val="en-IE" w:eastAsia="fr-BE"/>
        </w:rPr>
        <w:t>、</w:t>
      </w:r>
    </w:p>
    <w:p w14:paraId="1970C25B" w14:textId="77777777" w:rsidR="0038775E" w:rsidRDefault="00877B9C" w:rsidP="002041D4">
      <w:pPr>
        <w:pStyle w:val="Tiret2"/>
        <w:numPr>
          <w:ilvl w:val="0"/>
          <w:numId w:val="90"/>
        </w:numPr>
        <w:wordWrap w:val="0"/>
        <w:rPr>
          <w:noProof/>
          <w:lang w:val="en-IE" w:eastAsia="fr-BE"/>
        </w:rPr>
      </w:pPr>
      <w:r w:rsidRPr="00DF5C23">
        <w:rPr>
          <w:noProof/>
          <w:lang w:val="en-IE" w:eastAsia="fr-BE"/>
        </w:rPr>
        <w:t>特定標的臓器毒性</w:t>
      </w:r>
      <w:r w:rsidRPr="00DF5C23">
        <w:rPr>
          <w:noProof/>
          <w:lang w:val="en-IE" w:eastAsia="fr-BE"/>
        </w:rPr>
        <w:t>-</w:t>
      </w:r>
      <w:r w:rsidRPr="00DF5C23">
        <w:rPr>
          <w:noProof/>
          <w:lang w:val="en-IE" w:eastAsia="fr-BE"/>
        </w:rPr>
        <w:t>単回暴露カテゴリー</w:t>
      </w:r>
      <w:r w:rsidRPr="00DF5C23">
        <w:rPr>
          <w:noProof/>
          <w:lang w:val="en-IE" w:eastAsia="fr-BE"/>
        </w:rPr>
        <w:t>1</w:t>
      </w:r>
      <w:r w:rsidRPr="00DF5C23">
        <w:rPr>
          <w:noProof/>
          <w:lang w:val="en-IE" w:eastAsia="fr-BE"/>
        </w:rPr>
        <w:t>および</w:t>
      </w:r>
      <w:r w:rsidRPr="00DF5C23">
        <w:rPr>
          <w:noProof/>
          <w:lang w:val="en-IE" w:eastAsia="fr-BE"/>
        </w:rPr>
        <w:t>2</w:t>
      </w:r>
      <w:r w:rsidR="000914C8" w:rsidRPr="00DF5C23">
        <w:rPr>
          <w:noProof/>
          <w:lang w:val="en-IE" w:eastAsia="fr-BE"/>
        </w:rPr>
        <w:t>；</w:t>
      </w:r>
      <w:r w:rsidRPr="00DF5C23">
        <w:rPr>
          <w:noProof/>
          <w:lang w:val="en-IE" w:eastAsia="fr-BE"/>
        </w:rPr>
        <w:t>または</w:t>
      </w:r>
    </w:p>
    <w:p w14:paraId="15DCE31F" w14:textId="77777777" w:rsidR="0038775E" w:rsidRDefault="00877B9C" w:rsidP="002041D4">
      <w:pPr>
        <w:pStyle w:val="Point1"/>
        <w:wordWrap w:val="0"/>
        <w:rPr>
          <w:noProof/>
          <w:lang w:val="en-IE" w:eastAsia="ja-JP"/>
        </w:rPr>
      </w:pPr>
      <w:r w:rsidRPr="004F5E59">
        <w:rPr>
          <w:lang w:eastAsia="ja-JP"/>
        </w:rPr>
        <w:t>(c)</w:t>
      </w:r>
      <w:r w:rsidRPr="004F5E59">
        <w:rPr>
          <w:lang w:eastAsia="ja-JP"/>
        </w:rPr>
        <w:tab/>
      </w:r>
      <w:r w:rsidR="00BB502F" w:rsidRPr="00DF5C23">
        <w:rPr>
          <w:noProof/>
          <w:lang w:val="en-IE" w:eastAsia="fr-BE"/>
        </w:rPr>
        <w:t>は、それが存在する製品における材料の再使用やリサイクルに悪影響を及ぼす；</w:t>
      </w:r>
      <w:r w:rsidR="00BB502F" w:rsidRPr="00DF5C23">
        <w:rPr>
          <w:noProof/>
          <w:lang w:val="en-IE" w:eastAsia="fr-BE"/>
        </w:rPr>
        <w:t xml:space="preserve"> </w:t>
      </w:r>
    </w:p>
    <w:p w14:paraId="5601C95E" w14:textId="77777777" w:rsidR="0038775E" w:rsidRDefault="00877B9C" w:rsidP="002041D4">
      <w:pPr>
        <w:pStyle w:val="Point0"/>
        <w:wordWrap w:val="0"/>
        <w:rPr>
          <w:noProof/>
          <w:lang w:val="en-IE" w:eastAsia="fr-BE"/>
        </w:rPr>
      </w:pPr>
      <w:r w:rsidRPr="004F5E59">
        <w:rPr>
          <w:lang w:eastAsia="ja-JP"/>
        </w:rPr>
        <w:t>(29)</w:t>
      </w:r>
      <w:r w:rsidRPr="004F5E59">
        <w:rPr>
          <w:lang w:eastAsia="ja-JP"/>
        </w:rPr>
        <w:tab/>
      </w:r>
      <w:r w:rsidR="0038372C" w:rsidRPr="00DF5C23">
        <w:rPr>
          <w:noProof/>
          <w:lang w:val="en-IE" w:eastAsia="fr-BE"/>
        </w:rPr>
        <w:t>製品パスポート」とは、製品に固有のデータの集合であって、</w:t>
      </w:r>
      <w:r w:rsidR="00850318" w:rsidRPr="00DF5C23">
        <w:rPr>
          <w:noProof/>
          <w:lang w:val="en-IE" w:eastAsia="fr-BE"/>
        </w:rPr>
        <w:t>第</w:t>
      </w:r>
      <w:r w:rsidR="00850318" w:rsidRPr="00DF5C23">
        <w:rPr>
          <w:noProof/>
          <w:lang w:val="en-IE" w:eastAsia="fr-BE"/>
        </w:rPr>
        <w:t>4</w:t>
      </w:r>
      <w:r w:rsidR="00850318" w:rsidRPr="00DF5C23">
        <w:rPr>
          <w:noProof/>
          <w:lang w:val="en-IE" w:eastAsia="fr-BE"/>
        </w:rPr>
        <w:t>条に従って採択された</w:t>
      </w:r>
      <w:r w:rsidR="0038372C" w:rsidRPr="00DF5C23">
        <w:rPr>
          <w:noProof/>
          <w:lang w:val="en-IE" w:eastAsia="fr-BE"/>
        </w:rPr>
        <w:t>該当する委任法に規定される情報を含み、かつ、</w:t>
      </w:r>
      <w:r w:rsidR="00AD7103" w:rsidRPr="00DF5C23">
        <w:rPr>
          <w:noProof/>
          <w:lang w:val="en-IE" w:eastAsia="fr-BE"/>
        </w:rPr>
        <w:t>第</w:t>
      </w:r>
      <w:r w:rsidR="00AD7103" w:rsidRPr="00DF5C23">
        <w:rPr>
          <w:noProof/>
          <w:lang w:val="en-IE" w:eastAsia="fr-BE"/>
        </w:rPr>
        <w:t>3</w:t>
      </w:r>
      <w:r w:rsidR="00AD7103" w:rsidRPr="00DF5C23">
        <w:rPr>
          <w:noProof/>
          <w:lang w:val="en-IE" w:eastAsia="fr-BE"/>
        </w:rPr>
        <w:t>章に従って</w:t>
      </w:r>
      <w:r w:rsidR="0038372C" w:rsidRPr="00DF5C23">
        <w:rPr>
          <w:noProof/>
          <w:lang w:val="en-IE" w:eastAsia="fr-BE"/>
        </w:rPr>
        <w:t>データキャリアを通じて電子的手段でアクセス可能なものをいいます；</w:t>
      </w:r>
    </w:p>
    <w:p w14:paraId="1D970254" w14:textId="77777777" w:rsidR="0038775E" w:rsidRDefault="00877B9C" w:rsidP="002041D4">
      <w:pPr>
        <w:pStyle w:val="Point0"/>
        <w:wordWrap w:val="0"/>
        <w:rPr>
          <w:noProof/>
          <w:lang w:val="en-IE" w:eastAsia="fr-BE"/>
        </w:rPr>
      </w:pPr>
      <w:r w:rsidRPr="004F5E59">
        <w:rPr>
          <w:lang w:eastAsia="ja-JP"/>
        </w:rPr>
        <w:t>(30)</w:t>
      </w:r>
      <w:r w:rsidRPr="004F5E59">
        <w:rPr>
          <w:lang w:eastAsia="ja-JP"/>
        </w:rPr>
        <w:tab/>
      </w:r>
      <w:r w:rsidR="0038372C" w:rsidRPr="00DF5C23">
        <w:rPr>
          <w:noProof/>
          <w:lang w:val="en-IE" w:eastAsia="fr-BE"/>
        </w:rPr>
        <w:t>データキャリア」とは、リニアバーコードシンボル、二次元シンボル、その他の自動識別データ取得</w:t>
      </w:r>
      <w:r w:rsidR="0038372C" w:rsidRPr="00DF5C23">
        <w:rPr>
          <w:noProof/>
          <w:lang w:eastAsia="fr-BE"/>
        </w:rPr>
        <w:t>媒体で、装置によって読み取ることができるものをいう；</w:t>
      </w:r>
      <w:r w:rsidR="0038372C" w:rsidRPr="00DF5C23">
        <w:rPr>
          <w:noProof/>
          <w:lang w:eastAsia="fr-BE"/>
        </w:rPr>
        <w:t xml:space="preserve"> </w:t>
      </w:r>
    </w:p>
    <w:p w14:paraId="45410890" w14:textId="77777777" w:rsidR="0038775E" w:rsidRDefault="00877B9C" w:rsidP="002041D4">
      <w:pPr>
        <w:pStyle w:val="Point0"/>
        <w:wordWrap w:val="0"/>
        <w:rPr>
          <w:noProof/>
          <w:lang w:val="en-IE" w:eastAsia="fr-BE"/>
        </w:rPr>
      </w:pPr>
      <w:r w:rsidRPr="004F5E59">
        <w:rPr>
          <w:lang w:eastAsia="ja-JP"/>
        </w:rPr>
        <w:t>(31)</w:t>
      </w:r>
      <w:r w:rsidRPr="004F5E59">
        <w:rPr>
          <w:lang w:eastAsia="ja-JP"/>
        </w:rPr>
        <w:tab/>
      </w:r>
      <w:r w:rsidR="00A6746E" w:rsidRPr="00DF5C23">
        <w:rPr>
          <w:noProof/>
          <w:lang w:val="en-IE" w:eastAsia="fr-BE"/>
        </w:rPr>
        <w:t>ユニークな製品識別子」とは、製品を識別するための固有の文字列で、製品パスポートへのウェブリンクも可能にするものをいう；</w:t>
      </w:r>
    </w:p>
    <w:p w14:paraId="6AF2510E" w14:textId="6B5A9A4A" w:rsidR="0038775E" w:rsidRDefault="00877B9C" w:rsidP="002041D4">
      <w:pPr>
        <w:pStyle w:val="Point0"/>
        <w:wordWrap w:val="0"/>
        <w:rPr>
          <w:rFonts w:eastAsia="Times New Roman"/>
          <w:noProof/>
          <w:lang w:val="en-IE" w:eastAsia="fr-BE"/>
        </w:rPr>
      </w:pPr>
      <w:r w:rsidRPr="004F5E59">
        <w:rPr>
          <w:lang w:eastAsia="ja-JP"/>
        </w:rPr>
        <w:t>(32)</w:t>
      </w:r>
      <w:r w:rsidRPr="004F5E59">
        <w:rPr>
          <w:lang w:eastAsia="ja-JP"/>
        </w:rPr>
        <w:tab/>
      </w:r>
      <w:r w:rsidR="005400DA" w:rsidRPr="00DF5C23">
        <w:rPr>
          <w:noProof/>
          <w:lang w:val="en-IE" w:eastAsia="fr-BE"/>
        </w:rPr>
        <w:t>事業者固有識別子」とは、製品のバリューチェーンに関わる事業者を識別するための固有の文字列を意味</w:t>
      </w:r>
      <w:r w:rsidR="002041D4">
        <w:rPr>
          <w:noProof/>
          <w:lang w:val="en-IE" w:eastAsia="fr-BE"/>
        </w:rPr>
        <w:t>する</w:t>
      </w:r>
      <w:r w:rsidR="005400DA" w:rsidRPr="00DF5C23">
        <w:rPr>
          <w:noProof/>
          <w:lang w:val="en-IE" w:eastAsia="fr-BE"/>
        </w:rPr>
        <w:t>；</w:t>
      </w:r>
    </w:p>
    <w:p w14:paraId="6D1C70A2" w14:textId="77777777" w:rsidR="0038775E" w:rsidRDefault="00877B9C" w:rsidP="002041D4">
      <w:pPr>
        <w:pStyle w:val="Point0"/>
        <w:wordWrap w:val="0"/>
        <w:rPr>
          <w:noProof/>
          <w:lang w:val="en-IE" w:eastAsia="fr-BE"/>
        </w:rPr>
      </w:pPr>
      <w:r w:rsidRPr="004F5E59">
        <w:rPr>
          <w:lang w:eastAsia="ja-JP"/>
        </w:rPr>
        <w:t>(33)</w:t>
      </w:r>
      <w:r w:rsidRPr="004F5E59">
        <w:rPr>
          <w:lang w:eastAsia="ja-JP"/>
        </w:rPr>
        <w:tab/>
      </w:r>
      <w:r w:rsidR="005400DA" w:rsidRPr="00DF5C23">
        <w:rPr>
          <w:noProof/>
          <w:lang w:val="en-IE" w:eastAsia="fr-BE"/>
        </w:rPr>
        <w:t>ユニークな施設識別子」とは、製品のバリューチェーンに関わる場所や建物、または製品のバリューチェーンに関わる行為者が使用するものを識別するためのユニークな文字列をいう；</w:t>
      </w:r>
      <w:r w:rsidR="005400DA" w:rsidRPr="00DF5C23">
        <w:rPr>
          <w:noProof/>
          <w:lang w:val="en-IE" w:eastAsia="fr-BE"/>
        </w:rPr>
        <w:t xml:space="preserve"> </w:t>
      </w:r>
    </w:p>
    <w:p w14:paraId="7719DC14" w14:textId="194ED9B8" w:rsidR="0038775E" w:rsidRDefault="00877B9C" w:rsidP="002041D4">
      <w:pPr>
        <w:pStyle w:val="Point0"/>
        <w:wordWrap w:val="0"/>
        <w:rPr>
          <w:noProof/>
          <w:lang w:val="en-IE" w:eastAsia="fr-BE"/>
        </w:rPr>
      </w:pPr>
      <w:r w:rsidRPr="004F5E59">
        <w:rPr>
          <w:lang w:eastAsia="ja-JP"/>
        </w:rPr>
        <w:t>(34)</w:t>
      </w:r>
      <w:r w:rsidRPr="004F5E59">
        <w:rPr>
          <w:lang w:eastAsia="ja-JP"/>
        </w:rPr>
        <w:tab/>
      </w:r>
      <w:r w:rsidR="00710DF1" w:rsidRPr="00DF5C23">
        <w:rPr>
          <w:noProof/>
          <w:lang w:val="en-IE" w:eastAsia="fr-BE"/>
        </w:rPr>
        <w:t>処理」とは、規則（</w:t>
      </w:r>
      <w:r w:rsidR="00710DF1" w:rsidRPr="00DF5C23">
        <w:rPr>
          <w:noProof/>
          <w:lang w:val="en-IE" w:eastAsia="fr-BE"/>
        </w:rPr>
        <w:t>EU</w:t>
      </w:r>
      <w:r w:rsidR="00710DF1" w:rsidRPr="00DF5C23">
        <w:rPr>
          <w:noProof/>
          <w:lang w:val="en-IE" w:eastAsia="fr-BE"/>
        </w:rPr>
        <w:t>）</w:t>
      </w:r>
      <w:r w:rsidR="00710DF1" w:rsidRPr="00DF5C23">
        <w:rPr>
          <w:noProof/>
          <w:lang w:val="en-IE" w:eastAsia="fr-BE"/>
        </w:rPr>
        <w:t>2018/1807</w:t>
      </w:r>
      <w:r w:rsidR="00710DF1" w:rsidRPr="00DF5C23">
        <w:rPr>
          <w:noProof/>
          <w:lang w:val="en-IE" w:eastAsia="fr-BE"/>
        </w:rPr>
        <w:t>の第</w:t>
      </w:r>
      <w:r w:rsidR="00710DF1" w:rsidRPr="00DF5C23">
        <w:rPr>
          <w:noProof/>
          <w:lang w:val="en-IE" w:eastAsia="fr-BE"/>
        </w:rPr>
        <w:t>3</w:t>
      </w:r>
      <w:r w:rsidR="00710DF1" w:rsidRPr="00DF5C23">
        <w:rPr>
          <w:noProof/>
          <w:lang w:val="en-IE" w:eastAsia="fr-BE"/>
        </w:rPr>
        <w:t>条</w:t>
      </w:r>
      <w:r w:rsidR="009A7F4A" w:rsidRPr="00DF5C23">
        <w:rPr>
          <w:noProof/>
          <w:lang w:val="en-IE" w:eastAsia="fr-BE"/>
        </w:rPr>
        <w:t>、ポイント</w:t>
      </w:r>
      <w:r w:rsidR="00710DF1" w:rsidRPr="00DF5C23">
        <w:rPr>
          <w:noProof/>
          <w:lang w:val="en-IE" w:eastAsia="fr-BE"/>
        </w:rPr>
        <w:t>（</w:t>
      </w:r>
      <w:r w:rsidR="00710DF1" w:rsidRPr="00DF5C23">
        <w:rPr>
          <w:noProof/>
          <w:lang w:val="en-IE" w:eastAsia="fr-BE"/>
        </w:rPr>
        <w:t>2</w:t>
      </w:r>
      <w:r w:rsidR="009A7F4A" w:rsidRPr="00DF5C23">
        <w:rPr>
          <w:noProof/>
          <w:lang w:val="en-IE" w:eastAsia="fr-BE"/>
        </w:rPr>
        <w:t>）に</w:t>
      </w:r>
      <w:r w:rsidR="00710DF1" w:rsidRPr="00DF5C23">
        <w:rPr>
          <w:noProof/>
          <w:lang w:val="en-IE" w:eastAsia="fr-BE"/>
        </w:rPr>
        <w:t>定義される処理を意味</w:t>
      </w:r>
      <w:r w:rsidR="002041D4">
        <w:rPr>
          <w:noProof/>
          <w:lang w:val="en-IE" w:eastAsia="fr-BE"/>
        </w:rPr>
        <w:t>する</w:t>
      </w:r>
      <w:r w:rsidR="00710DF1" w:rsidRPr="00DF5C23">
        <w:rPr>
          <w:noProof/>
          <w:lang w:val="en-IE" w:eastAsia="fr-BE"/>
        </w:rPr>
        <w:t>；</w:t>
      </w:r>
    </w:p>
    <w:p w14:paraId="361CD464" w14:textId="77777777" w:rsidR="0038775E" w:rsidRDefault="00877B9C" w:rsidP="002041D4">
      <w:pPr>
        <w:pStyle w:val="Point0"/>
        <w:wordWrap w:val="0"/>
        <w:rPr>
          <w:noProof/>
          <w:lang w:val="en-IE" w:eastAsia="ja-JP"/>
        </w:rPr>
      </w:pPr>
      <w:r w:rsidRPr="004F5E59">
        <w:rPr>
          <w:lang w:eastAsia="ja-JP"/>
        </w:rPr>
        <w:t>(35)</w:t>
      </w:r>
      <w:r w:rsidRPr="004F5E59">
        <w:rPr>
          <w:lang w:eastAsia="ja-JP"/>
        </w:rPr>
        <w:tab/>
      </w:r>
      <w:r w:rsidR="0038372C" w:rsidRPr="00DF5C23">
        <w:rPr>
          <w:noProof/>
          <w:lang w:val="en-IE" w:eastAsia="ja-JP"/>
        </w:rPr>
        <w:t>破壊」とは、</w:t>
      </w:r>
      <w:r w:rsidR="00AB244C" w:rsidRPr="00DF5C23">
        <w:rPr>
          <w:noProof/>
          <w:lang w:val="en-IE" w:eastAsia="ja-JP"/>
        </w:rPr>
        <w:t>再使用</w:t>
      </w:r>
      <w:r w:rsidR="0038372C" w:rsidRPr="00DF5C23">
        <w:rPr>
          <w:noProof/>
          <w:lang w:val="en-IE" w:eastAsia="ja-JP"/>
        </w:rPr>
        <w:t>または再製造作業の準備のために製品を引き渡す</w:t>
      </w:r>
      <w:r w:rsidR="003D1315" w:rsidRPr="00DF5C23">
        <w:rPr>
          <w:noProof/>
          <w:lang w:val="en-IE" w:eastAsia="ja-JP"/>
        </w:rPr>
        <w:t>ことのみを目的とした廃棄を</w:t>
      </w:r>
      <w:r w:rsidR="0038372C" w:rsidRPr="00DF5C23">
        <w:rPr>
          <w:noProof/>
          <w:lang w:val="en-IE" w:eastAsia="ja-JP"/>
        </w:rPr>
        <w:t>除き、製品を</w:t>
      </w:r>
      <w:r w:rsidR="003D1315" w:rsidRPr="00DF5C23">
        <w:rPr>
          <w:noProof/>
          <w:lang w:val="en-IE" w:eastAsia="ja-JP"/>
        </w:rPr>
        <w:t>意図的に損傷し、または</w:t>
      </w:r>
      <w:r w:rsidR="00983F51" w:rsidRPr="00DF5C23">
        <w:rPr>
          <w:noProof/>
          <w:lang w:val="en-IE" w:eastAsia="ja-JP"/>
        </w:rPr>
        <w:t>廃棄物として廃棄することをいう；</w:t>
      </w:r>
    </w:p>
    <w:p w14:paraId="0B0CD42D" w14:textId="77777777" w:rsidR="0038775E" w:rsidRDefault="00877B9C" w:rsidP="002041D4">
      <w:pPr>
        <w:pStyle w:val="Point0"/>
        <w:wordWrap w:val="0"/>
        <w:rPr>
          <w:noProof/>
          <w:lang w:val="en-IE" w:eastAsia="ja-JP"/>
        </w:rPr>
      </w:pPr>
      <w:r w:rsidRPr="004F5E59">
        <w:rPr>
          <w:lang w:eastAsia="ja-JP"/>
        </w:rPr>
        <w:t>(36)</w:t>
      </w:r>
      <w:r w:rsidRPr="004F5E59">
        <w:rPr>
          <w:lang w:eastAsia="ja-JP"/>
        </w:rPr>
        <w:tab/>
      </w:r>
      <w:r w:rsidR="0038372C" w:rsidRPr="00DF5C23">
        <w:rPr>
          <w:noProof/>
          <w:lang w:val="en-IE" w:eastAsia="ja-JP"/>
        </w:rPr>
        <w:t>消費者製品」とは、</w:t>
      </w:r>
      <w:r w:rsidR="0038372C" w:rsidRPr="00DF5C23">
        <w:rPr>
          <w:noProof/>
          <w:shd w:val="clear" w:color="auto" w:fill="FFFFFF"/>
          <w:lang w:val="en-US" w:eastAsia="ja-JP"/>
        </w:rPr>
        <w:t>指令（</w:t>
      </w:r>
      <w:r w:rsidR="0038372C" w:rsidRPr="00DF5C23">
        <w:rPr>
          <w:noProof/>
          <w:shd w:val="clear" w:color="auto" w:fill="FFFFFF"/>
          <w:lang w:val="en-US" w:eastAsia="ja-JP"/>
        </w:rPr>
        <w:t>EU</w:t>
      </w:r>
      <w:r w:rsidR="0038372C" w:rsidRPr="00DF5C23">
        <w:rPr>
          <w:noProof/>
          <w:shd w:val="clear" w:color="auto" w:fill="FFFFFF"/>
          <w:lang w:val="en-US" w:eastAsia="ja-JP"/>
        </w:rPr>
        <w:t>）</w:t>
      </w:r>
      <w:r w:rsidR="0038372C" w:rsidRPr="00DF5C23">
        <w:rPr>
          <w:noProof/>
          <w:shd w:val="clear" w:color="auto" w:fill="FFFFFF"/>
          <w:lang w:val="en-US" w:eastAsia="ja-JP"/>
        </w:rPr>
        <w:t>2019/771</w:t>
      </w:r>
      <w:r w:rsidR="0038372C" w:rsidRPr="00DF5C23">
        <w:rPr>
          <w:noProof/>
          <w:shd w:val="clear" w:color="auto" w:fill="FFFFFF"/>
          <w:lang w:val="en-US" w:eastAsia="ja-JP"/>
        </w:rPr>
        <w:t>の</w:t>
      </w:r>
      <w:r w:rsidR="00423406" w:rsidRPr="00DF5C23">
        <w:rPr>
          <w:noProof/>
          <w:lang w:eastAsia="ja-JP"/>
        </w:rPr>
        <w:t>第</w:t>
      </w:r>
      <w:r w:rsidR="00423406" w:rsidRPr="00DF5C23">
        <w:rPr>
          <w:noProof/>
          <w:lang w:eastAsia="ja-JP"/>
        </w:rPr>
        <w:t>2</w:t>
      </w:r>
      <w:r w:rsidR="00423406" w:rsidRPr="00DF5C23">
        <w:rPr>
          <w:noProof/>
          <w:lang w:eastAsia="ja-JP"/>
        </w:rPr>
        <w:t>条</w:t>
      </w:r>
      <w:r w:rsidR="009A7F4A" w:rsidRPr="00DF5C23">
        <w:rPr>
          <w:noProof/>
          <w:lang w:eastAsia="ja-JP"/>
        </w:rPr>
        <w:t>、ポイント</w:t>
      </w:r>
      <w:r w:rsidR="00423406" w:rsidRPr="00DF5C23">
        <w:rPr>
          <w:noProof/>
          <w:lang w:eastAsia="ja-JP"/>
        </w:rPr>
        <w:t>（</w:t>
      </w:r>
      <w:r w:rsidR="00423406" w:rsidRPr="00DF5C23">
        <w:rPr>
          <w:noProof/>
          <w:lang w:eastAsia="ja-JP"/>
        </w:rPr>
        <w:t>2</w:t>
      </w:r>
      <w:r w:rsidR="00423406" w:rsidRPr="00DF5C23">
        <w:rPr>
          <w:noProof/>
          <w:lang w:eastAsia="ja-JP"/>
        </w:rPr>
        <w:t>）に</w:t>
      </w:r>
      <w:r w:rsidR="0038372C" w:rsidRPr="00DF5C23">
        <w:rPr>
          <w:noProof/>
          <w:lang w:eastAsia="ja-JP"/>
        </w:rPr>
        <w:t>定義されるように、主に消費者を対象とする</w:t>
      </w:r>
      <w:r w:rsidR="0038372C" w:rsidRPr="00DF5C23">
        <w:rPr>
          <w:noProof/>
          <w:lang w:val="en-IE" w:eastAsia="ja-JP"/>
        </w:rPr>
        <w:t>、部品および中間製品を除く製品をいう；</w:t>
      </w:r>
    </w:p>
    <w:p w14:paraId="06347FA5" w14:textId="77777777" w:rsidR="0038775E" w:rsidRDefault="00877B9C" w:rsidP="002041D4">
      <w:pPr>
        <w:pStyle w:val="Point0"/>
        <w:wordWrap w:val="0"/>
        <w:rPr>
          <w:noProof/>
          <w:lang w:eastAsia="ja-JP"/>
        </w:rPr>
      </w:pPr>
      <w:r w:rsidRPr="004F5E59">
        <w:rPr>
          <w:lang w:eastAsia="ja-JP"/>
        </w:rPr>
        <w:lastRenderedPageBreak/>
        <w:t>(37)</w:t>
      </w:r>
      <w:r w:rsidRPr="004F5E59">
        <w:rPr>
          <w:lang w:eastAsia="ja-JP"/>
        </w:rPr>
        <w:tab/>
      </w:r>
      <w:r w:rsidR="0038372C" w:rsidRPr="00DF5C23">
        <w:rPr>
          <w:noProof/>
          <w:lang w:eastAsia="ja-JP"/>
        </w:rPr>
        <w:t>未販売の消費者製品」とは、</w:t>
      </w:r>
      <w:r w:rsidR="0038372C" w:rsidRPr="00DF5C23" w:rsidDel="000821AF">
        <w:rPr>
          <w:noProof/>
          <w:lang w:eastAsia="ja-JP"/>
        </w:rPr>
        <w:t>販売されて</w:t>
      </w:r>
      <w:r w:rsidR="0038372C" w:rsidRPr="00DF5C23">
        <w:rPr>
          <w:noProof/>
          <w:lang w:eastAsia="ja-JP"/>
        </w:rPr>
        <w:t>いない消費者製品</w:t>
      </w:r>
      <w:r w:rsidR="000D697D" w:rsidRPr="00DF5C23">
        <w:rPr>
          <w:noProof/>
          <w:lang w:eastAsia="ja-JP"/>
        </w:rPr>
        <w:t>、または</w:t>
      </w:r>
      <w:r w:rsidR="00C03D04" w:rsidRPr="00DF5C23">
        <w:rPr>
          <w:noProof/>
          <w:lang w:eastAsia="ja-JP"/>
        </w:rPr>
        <w:t>指令（</w:t>
      </w:r>
      <w:r w:rsidR="00C03D04" w:rsidRPr="00DF5C23">
        <w:rPr>
          <w:noProof/>
          <w:lang w:eastAsia="ja-JP"/>
        </w:rPr>
        <w:t>EU</w:t>
      </w:r>
      <w:r w:rsidR="00C03D04" w:rsidRPr="00DF5C23">
        <w:rPr>
          <w:noProof/>
          <w:lang w:eastAsia="ja-JP"/>
        </w:rPr>
        <w:t>）</w:t>
      </w:r>
      <w:r w:rsidR="00C03D04" w:rsidRPr="00DF5C23">
        <w:rPr>
          <w:noProof/>
          <w:lang w:eastAsia="ja-JP"/>
        </w:rPr>
        <w:t>2011/83/EU</w:t>
      </w:r>
      <w:r w:rsidR="00C03D04" w:rsidRPr="00DF5C23">
        <w:rPr>
          <w:noProof/>
          <w:lang w:eastAsia="ja-JP"/>
        </w:rPr>
        <w:t>の第</w:t>
      </w:r>
      <w:r w:rsidR="00C03D04" w:rsidRPr="00DF5C23">
        <w:rPr>
          <w:noProof/>
          <w:lang w:eastAsia="ja-JP"/>
        </w:rPr>
        <w:t>9</w:t>
      </w:r>
      <w:r w:rsidR="00C03D04" w:rsidRPr="00DF5C23">
        <w:rPr>
          <w:noProof/>
          <w:lang w:eastAsia="ja-JP"/>
        </w:rPr>
        <w:t>条に従った</w:t>
      </w:r>
      <w:r w:rsidR="0038372C" w:rsidRPr="00DF5C23">
        <w:rPr>
          <w:noProof/>
          <w:lang w:eastAsia="ja-JP"/>
        </w:rPr>
        <w:t>消費</w:t>
      </w:r>
      <w:r w:rsidR="00C62289" w:rsidRPr="00DF5C23">
        <w:rPr>
          <w:noProof/>
          <w:lang w:eastAsia="ja-JP"/>
        </w:rPr>
        <w:t>者の撤回権に鑑みて</w:t>
      </w:r>
      <w:r w:rsidR="0038372C" w:rsidRPr="00DF5C23">
        <w:rPr>
          <w:noProof/>
          <w:lang w:eastAsia="ja-JP"/>
        </w:rPr>
        <w:t>消費者から返品さ</w:t>
      </w:r>
      <w:r w:rsidR="00C005E6" w:rsidRPr="00DF5C23">
        <w:rPr>
          <w:noProof/>
          <w:lang w:eastAsia="ja-JP"/>
        </w:rPr>
        <w:t>れた</w:t>
      </w:r>
      <w:r w:rsidR="0038372C" w:rsidRPr="00DF5C23">
        <w:rPr>
          <w:noProof/>
          <w:lang w:eastAsia="ja-JP"/>
        </w:rPr>
        <w:t>消費者製品をいう；</w:t>
      </w:r>
      <w:r w:rsidR="0038372C" w:rsidRPr="00DF5C23">
        <w:rPr>
          <w:noProof/>
          <w:lang w:eastAsia="ja-JP"/>
        </w:rPr>
        <w:t xml:space="preserve"> </w:t>
      </w:r>
    </w:p>
    <w:p w14:paraId="27118062" w14:textId="77777777" w:rsidR="0038775E" w:rsidRDefault="00877B9C" w:rsidP="002041D4">
      <w:pPr>
        <w:pStyle w:val="Point0"/>
        <w:wordWrap w:val="0"/>
        <w:rPr>
          <w:noProof/>
          <w:lang w:val="en-IE" w:eastAsia="fr-BE"/>
        </w:rPr>
      </w:pPr>
      <w:r w:rsidRPr="004F5E59">
        <w:rPr>
          <w:lang w:eastAsia="ja-JP"/>
        </w:rPr>
        <w:t>(38)</w:t>
      </w:r>
      <w:r w:rsidRPr="004F5E59">
        <w:rPr>
          <w:lang w:eastAsia="ja-JP"/>
        </w:rPr>
        <w:tab/>
      </w:r>
      <w:r w:rsidR="0038372C" w:rsidRPr="00DF5C23">
        <w:rPr>
          <w:noProof/>
          <w:lang w:val="en-IE" w:eastAsia="fr-BE"/>
        </w:rPr>
        <w:t>自主規制措置」とは、産業部門が自らの意思で締結する自主的な合意や行動規範を意味し、その実施に責任を持つものである；</w:t>
      </w:r>
    </w:p>
    <w:p w14:paraId="65770637" w14:textId="77777777" w:rsidR="0038775E" w:rsidRDefault="00877B9C" w:rsidP="002041D4">
      <w:pPr>
        <w:pStyle w:val="Point0"/>
        <w:wordWrap w:val="0"/>
        <w:rPr>
          <w:noProof/>
          <w:lang w:val="en-IE" w:eastAsia="fr-BE"/>
        </w:rPr>
      </w:pPr>
      <w:r w:rsidRPr="004F5E59">
        <w:rPr>
          <w:lang w:eastAsia="ja-JP"/>
        </w:rPr>
        <w:t>(39)</w:t>
      </w:r>
      <w:r w:rsidRPr="004F5E59">
        <w:rPr>
          <w:lang w:eastAsia="ja-JP"/>
        </w:rPr>
        <w:tab/>
      </w:r>
      <w:r w:rsidR="003D7180" w:rsidRPr="00DF5C23">
        <w:rPr>
          <w:noProof/>
          <w:lang w:val="en-IE" w:eastAsia="fr-BE"/>
        </w:rPr>
        <w:t>市場で入手可能にする</w:t>
      </w:r>
      <w:r w:rsidR="00BD0D3A" w:rsidRPr="00DF5C23">
        <w:rPr>
          <w:noProof/>
          <w:lang w:val="en-IE" w:eastAsia="fr-BE"/>
        </w:rPr>
        <w:t>」とは、</w:t>
      </w:r>
      <w:r w:rsidR="003D7180" w:rsidRPr="00DF5C23">
        <w:rPr>
          <w:noProof/>
          <w:lang w:val="en-IE" w:eastAsia="fr-BE"/>
        </w:rPr>
        <w:t>商業活動の過程において、有償であるか無償であるかを問わず、連合市場において流通、消費又は使用のために製品を供給することをいいます；</w:t>
      </w:r>
    </w:p>
    <w:p w14:paraId="22366B49" w14:textId="6F950673" w:rsidR="0038775E" w:rsidRDefault="00877B9C" w:rsidP="002041D4">
      <w:pPr>
        <w:pStyle w:val="Point0"/>
        <w:wordWrap w:val="0"/>
        <w:rPr>
          <w:noProof/>
          <w:lang w:val="en-IE" w:eastAsia="fr-BE"/>
        </w:rPr>
      </w:pPr>
      <w:r w:rsidRPr="004F5E59">
        <w:rPr>
          <w:lang w:eastAsia="ja-JP"/>
        </w:rPr>
        <w:t>(40)</w:t>
      </w:r>
      <w:r w:rsidRPr="004F5E59">
        <w:rPr>
          <w:lang w:eastAsia="ja-JP"/>
        </w:rPr>
        <w:tab/>
      </w:r>
      <w:r w:rsidR="003D7180" w:rsidRPr="00DF5C23">
        <w:rPr>
          <w:noProof/>
          <w:lang w:val="en-IE" w:eastAsia="fr-BE"/>
        </w:rPr>
        <w:t>市場に出す</w:t>
      </w:r>
      <w:r w:rsidR="00BD0D3A" w:rsidRPr="00DF5C23">
        <w:rPr>
          <w:noProof/>
          <w:lang w:val="en-IE" w:eastAsia="fr-BE"/>
        </w:rPr>
        <w:t>」とは、</w:t>
      </w:r>
      <w:r w:rsidR="003D7180" w:rsidRPr="00DF5C23">
        <w:rPr>
          <w:noProof/>
          <w:lang w:val="en-IE" w:eastAsia="fr-BE"/>
        </w:rPr>
        <w:t>製品を連合市場で最初に入手可能にすることを</w:t>
      </w:r>
      <w:r w:rsidR="00BD0D3A" w:rsidRPr="00DF5C23">
        <w:rPr>
          <w:noProof/>
          <w:lang w:val="en-IE" w:eastAsia="fr-BE"/>
        </w:rPr>
        <w:t>意味</w:t>
      </w:r>
      <w:r w:rsidR="002041D4">
        <w:rPr>
          <w:noProof/>
          <w:lang w:val="en-IE" w:eastAsia="fr-BE"/>
        </w:rPr>
        <w:t>する</w:t>
      </w:r>
      <w:r w:rsidR="00BD0D3A" w:rsidRPr="00DF5C23">
        <w:rPr>
          <w:noProof/>
          <w:lang w:val="en-IE" w:eastAsia="fr-BE"/>
        </w:rPr>
        <w:t>；</w:t>
      </w:r>
    </w:p>
    <w:p w14:paraId="1CBE9A4D" w14:textId="77777777" w:rsidR="0038775E" w:rsidRDefault="00877B9C" w:rsidP="002041D4">
      <w:pPr>
        <w:pStyle w:val="Point0"/>
        <w:wordWrap w:val="0"/>
        <w:rPr>
          <w:noProof/>
          <w:lang w:val="en-IE" w:eastAsia="fr-BE"/>
        </w:rPr>
      </w:pPr>
      <w:r w:rsidRPr="004F5E59">
        <w:rPr>
          <w:lang w:eastAsia="ja-JP"/>
        </w:rPr>
        <w:t>(41)</w:t>
      </w:r>
      <w:r w:rsidRPr="004F5E59">
        <w:rPr>
          <w:lang w:eastAsia="ja-JP"/>
        </w:rPr>
        <w:tab/>
      </w:r>
      <w:r w:rsidR="003D7180" w:rsidRPr="00DF5C23">
        <w:rPr>
          <w:noProof/>
          <w:lang w:val="en-IE" w:eastAsia="fr-BE"/>
        </w:rPr>
        <w:t>使用開始」とは、製品が意図された目的のために、組合内で初めて使用されることをいいます；</w:t>
      </w:r>
      <w:r w:rsidR="003D7180" w:rsidRPr="00DF5C23">
        <w:rPr>
          <w:noProof/>
          <w:lang w:val="en-IE" w:eastAsia="fr-BE"/>
        </w:rPr>
        <w:t xml:space="preserve"> </w:t>
      </w:r>
    </w:p>
    <w:p w14:paraId="57323A16" w14:textId="77777777" w:rsidR="0038775E" w:rsidRDefault="00877B9C" w:rsidP="002041D4">
      <w:pPr>
        <w:pStyle w:val="Point0"/>
        <w:wordWrap w:val="0"/>
        <w:rPr>
          <w:noProof/>
          <w:lang w:val="en-IE" w:eastAsia="fr-BE"/>
        </w:rPr>
      </w:pPr>
      <w:r w:rsidRPr="004F5E59">
        <w:rPr>
          <w:lang w:eastAsia="ja-JP"/>
        </w:rPr>
        <w:t>(42)</w:t>
      </w:r>
      <w:r w:rsidRPr="004F5E59">
        <w:rPr>
          <w:lang w:eastAsia="ja-JP"/>
        </w:rPr>
        <w:tab/>
      </w:r>
      <w:r w:rsidR="003D7180" w:rsidRPr="00DF5C23">
        <w:rPr>
          <w:noProof/>
          <w:lang w:val="en-IE" w:eastAsia="fr-BE"/>
        </w:rPr>
        <w:t>製造者」とは、製品を製造する、またはそのような製品を設計もしくは製造させ、その製品をその名称もしくは商標で販売する自然人もしくは法人</w:t>
      </w:r>
      <w:r w:rsidR="003C43B4" w:rsidRPr="00DF5C23">
        <w:rPr>
          <w:noProof/>
          <w:color w:val="1F497D"/>
          <w:lang w:val="en-IE" w:eastAsia="ja-JP"/>
        </w:rPr>
        <w:t>、または</w:t>
      </w:r>
      <w:r w:rsidR="003C43B4" w:rsidRPr="00DF5C23">
        <w:rPr>
          <w:iCs/>
          <w:noProof/>
          <w:color w:val="1F497D"/>
          <w:lang w:val="en-IE" w:eastAsia="ja-JP"/>
        </w:rPr>
        <w:t>そのような者もしくは</w:t>
      </w:r>
      <w:r w:rsidR="003C43B4" w:rsidRPr="00DF5C23">
        <w:rPr>
          <w:iCs/>
          <w:noProof/>
          <w:color w:val="000000"/>
          <w:lang w:val="en-IE" w:eastAsia="ja-JP"/>
        </w:rPr>
        <w:t>輸入者がいない場合には、製品を市場に出す、もしくは使用開始する自然人もしくは法人を</w:t>
      </w:r>
      <w:r w:rsidR="003D7180" w:rsidRPr="00DF5C23">
        <w:rPr>
          <w:noProof/>
          <w:lang w:val="en-IE" w:eastAsia="fr-BE"/>
        </w:rPr>
        <w:t>意味する；；</w:t>
      </w:r>
      <w:r w:rsidR="003D7180" w:rsidRPr="00DF5C23">
        <w:rPr>
          <w:noProof/>
          <w:lang w:val="en-IE" w:eastAsia="fr-BE"/>
        </w:rPr>
        <w:t xml:space="preserve"> </w:t>
      </w:r>
    </w:p>
    <w:p w14:paraId="3CEB4E16" w14:textId="77777777" w:rsidR="0038775E" w:rsidRDefault="00877B9C" w:rsidP="002041D4">
      <w:pPr>
        <w:pStyle w:val="Point0"/>
        <w:wordWrap w:val="0"/>
        <w:rPr>
          <w:noProof/>
          <w:lang w:val="en-IE" w:eastAsia="fr-BE"/>
        </w:rPr>
      </w:pPr>
      <w:r w:rsidRPr="004F5E59">
        <w:rPr>
          <w:lang w:eastAsia="ja-JP"/>
        </w:rPr>
        <w:t>(43)</w:t>
      </w:r>
      <w:r w:rsidRPr="004F5E59">
        <w:rPr>
          <w:lang w:eastAsia="ja-JP"/>
        </w:rPr>
        <w:tab/>
      </w:r>
      <w:r w:rsidR="003D7180" w:rsidRPr="00DF5C23">
        <w:rPr>
          <w:noProof/>
          <w:lang w:val="en-IE" w:eastAsia="fr-BE"/>
        </w:rPr>
        <w:t>認定代理人」とは、本規則に基づく製造者の義務に関して、特定の業務に関して製造者に代わって行動するよう製造者から書面による委任を受けた、連合国内に設立された自然人または法人をいう；</w:t>
      </w:r>
    </w:p>
    <w:p w14:paraId="2A1F71A5" w14:textId="0B689608" w:rsidR="0038775E" w:rsidRDefault="00877B9C" w:rsidP="002041D4">
      <w:pPr>
        <w:pStyle w:val="Point0"/>
        <w:wordWrap w:val="0"/>
        <w:rPr>
          <w:noProof/>
          <w:lang w:val="en-IE" w:eastAsia="fr-BE"/>
        </w:rPr>
      </w:pPr>
      <w:r w:rsidRPr="004F5E59">
        <w:rPr>
          <w:lang w:eastAsia="ja-JP"/>
        </w:rPr>
        <w:t>(44)</w:t>
      </w:r>
      <w:r w:rsidRPr="004F5E59">
        <w:rPr>
          <w:lang w:eastAsia="ja-JP"/>
        </w:rPr>
        <w:tab/>
      </w:r>
      <w:r w:rsidR="003D7180" w:rsidRPr="00DF5C23">
        <w:rPr>
          <w:noProof/>
          <w:lang w:val="en-IE" w:eastAsia="fr-BE"/>
        </w:rPr>
        <w:t>輸入者」とは、連合国内に設立された自然人または法人で、第三国からの製品を連合市場に出す者を意味</w:t>
      </w:r>
      <w:r w:rsidR="002041D4">
        <w:rPr>
          <w:noProof/>
          <w:lang w:val="en-IE" w:eastAsia="fr-BE"/>
        </w:rPr>
        <w:t>する</w:t>
      </w:r>
      <w:r w:rsidR="003D7180" w:rsidRPr="00DF5C23">
        <w:rPr>
          <w:noProof/>
          <w:lang w:val="en-IE" w:eastAsia="fr-BE"/>
        </w:rPr>
        <w:t>；</w:t>
      </w:r>
    </w:p>
    <w:p w14:paraId="13577DA4" w14:textId="77777777" w:rsidR="0038775E" w:rsidRDefault="00877B9C" w:rsidP="002041D4">
      <w:pPr>
        <w:pStyle w:val="Point0"/>
        <w:wordWrap w:val="0"/>
        <w:rPr>
          <w:noProof/>
          <w:lang w:val="en-IE" w:eastAsia="fr-BE"/>
        </w:rPr>
      </w:pPr>
      <w:r w:rsidRPr="004F5E59">
        <w:rPr>
          <w:lang w:eastAsia="ja-JP"/>
        </w:rPr>
        <w:t>(45)</w:t>
      </w:r>
      <w:r w:rsidRPr="004F5E59">
        <w:rPr>
          <w:lang w:eastAsia="ja-JP"/>
        </w:rPr>
        <w:tab/>
      </w:r>
      <w:r w:rsidR="003D7180" w:rsidRPr="00DF5C23">
        <w:rPr>
          <w:noProof/>
          <w:lang w:val="en-IE" w:eastAsia="fr-BE"/>
        </w:rPr>
        <w:t>販売業者」とは、製造業者または輸入業者以外のサプライチェーンにおける自然人または法人で、製品を市場で入手できるようにする者をいう；</w:t>
      </w:r>
    </w:p>
    <w:p w14:paraId="1E7BC6FC" w14:textId="77777777" w:rsidR="0038775E" w:rsidRDefault="00877B9C" w:rsidP="002041D4">
      <w:pPr>
        <w:pStyle w:val="Point0"/>
        <w:wordWrap w:val="0"/>
        <w:rPr>
          <w:noProof/>
          <w:lang w:val="en-IE" w:eastAsia="fr-BE"/>
        </w:rPr>
      </w:pPr>
      <w:r w:rsidRPr="004F5E59">
        <w:rPr>
          <w:lang w:eastAsia="ja-JP"/>
        </w:rPr>
        <w:t>(46)</w:t>
      </w:r>
      <w:r w:rsidRPr="004F5E59">
        <w:rPr>
          <w:lang w:eastAsia="ja-JP"/>
        </w:rPr>
        <w:tab/>
      </w:r>
      <w:r w:rsidR="003D7180" w:rsidRPr="00DF5C23">
        <w:rPr>
          <w:noProof/>
          <w:lang w:val="en-IE" w:eastAsia="fr-BE"/>
        </w:rPr>
        <w:t>経済事業者」とは、製造者、公認代理店、輸入業者、販売業者および履行サービス提供者をいう；</w:t>
      </w:r>
    </w:p>
    <w:p w14:paraId="0D8D7330" w14:textId="77777777" w:rsidR="0038775E" w:rsidRDefault="00877B9C" w:rsidP="002041D4">
      <w:pPr>
        <w:pStyle w:val="Point0"/>
        <w:wordWrap w:val="0"/>
        <w:rPr>
          <w:noProof/>
          <w:lang w:val="en-IE" w:eastAsia="fr-BE"/>
        </w:rPr>
      </w:pPr>
      <w:r w:rsidRPr="004F5E59">
        <w:rPr>
          <w:lang w:eastAsia="ja-JP"/>
        </w:rPr>
        <w:t>(47)</w:t>
      </w:r>
      <w:r w:rsidRPr="004F5E59">
        <w:rPr>
          <w:lang w:eastAsia="ja-JP"/>
        </w:rPr>
        <w:tab/>
      </w:r>
      <w:r w:rsidR="0681B866" w:rsidRPr="00DF5C23">
        <w:rPr>
          <w:noProof/>
          <w:lang w:val="en-IE" w:eastAsia="fr-BE"/>
        </w:rPr>
        <w:t>技術仕様書」とは、製品、プロセスまたはサービスが満たすべき技術的要件を規定した文書をいう；</w:t>
      </w:r>
    </w:p>
    <w:p w14:paraId="0688B06A" w14:textId="77777777" w:rsidR="0038775E" w:rsidRDefault="00877B9C" w:rsidP="002041D4">
      <w:pPr>
        <w:pStyle w:val="Point0"/>
        <w:wordWrap w:val="0"/>
        <w:rPr>
          <w:noProof/>
          <w:lang w:val="en-IE" w:eastAsia="ja-JP"/>
        </w:rPr>
      </w:pPr>
      <w:r w:rsidRPr="004F5E59">
        <w:rPr>
          <w:lang w:eastAsia="ja-JP"/>
        </w:rPr>
        <w:t>(48)</w:t>
      </w:r>
      <w:r w:rsidRPr="004F5E59">
        <w:rPr>
          <w:lang w:eastAsia="ja-JP"/>
        </w:rPr>
        <w:tab/>
      </w:r>
      <w:r w:rsidR="0681B866" w:rsidRPr="00DF5C23">
        <w:rPr>
          <w:noProof/>
          <w:lang w:val="en-IE" w:eastAsia="fr-BE"/>
        </w:rPr>
        <w:t>整合規格」とは、規則（</w:t>
      </w:r>
      <w:r w:rsidR="0681B866" w:rsidRPr="00DF5C23">
        <w:rPr>
          <w:noProof/>
          <w:lang w:val="en-IE" w:eastAsia="fr-BE"/>
        </w:rPr>
        <w:t>EU</w:t>
      </w:r>
      <w:r w:rsidR="0681B866" w:rsidRPr="00DF5C23">
        <w:rPr>
          <w:noProof/>
          <w:lang w:val="en-IE" w:eastAsia="fr-BE"/>
        </w:rPr>
        <w:t>）</w:t>
      </w:r>
      <w:r w:rsidR="0681B866" w:rsidRPr="00DF5C23">
        <w:rPr>
          <w:noProof/>
          <w:lang w:val="en-IE" w:eastAsia="fr-BE"/>
        </w:rPr>
        <w:t xml:space="preserve">No 1025/2012 </w:t>
      </w:r>
      <w:r w:rsidR="0681B866" w:rsidRPr="00DF5C23">
        <w:rPr>
          <w:noProof/>
          <w:lang w:val="en-IE" w:eastAsia="fr-BE"/>
        </w:rPr>
        <w:t>の第</w:t>
      </w:r>
      <w:r w:rsidR="0681B866" w:rsidRPr="00DF5C23">
        <w:rPr>
          <w:noProof/>
          <w:lang w:val="en-IE" w:eastAsia="fr-BE"/>
        </w:rPr>
        <w:t xml:space="preserve"> 2 </w:t>
      </w:r>
      <w:r w:rsidR="0681B866" w:rsidRPr="00DF5C23">
        <w:rPr>
          <w:noProof/>
          <w:lang w:val="en-IE" w:eastAsia="fr-BE"/>
        </w:rPr>
        <w:t>条（</w:t>
      </w:r>
      <w:r w:rsidR="0681B866" w:rsidRPr="00DF5C23">
        <w:rPr>
          <w:noProof/>
          <w:lang w:val="en-IE" w:eastAsia="fr-BE"/>
        </w:rPr>
        <w:t>1</w:t>
      </w:r>
      <w:r w:rsidR="0681B866" w:rsidRPr="00DF5C23">
        <w:rPr>
          <w:noProof/>
          <w:lang w:val="en-IE" w:eastAsia="fr-BE"/>
        </w:rPr>
        <w:t>）</w:t>
      </w:r>
      <w:r w:rsidR="00C005E6" w:rsidRPr="00DF5C23">
        <w:rPr>
          <w:noProof/>
          <w:lang w:val="en-IE" w:eastAsia="fr-BE"/>
        </w:rPr>
        <w:t>項、ポイント</w:t>
      </w:r>
      <w:r w:rsidR="0681B866" w:rsidRPr="00DF5C23">
        <w:rPr>
          <w:noProof/>
          <w:lang w:val="en-IE" w:eastAsia="fr-BE"/>
        </w:rPr>
        <w:t>（</w:t>
      </w:r>
      <w:r w:rsidR="0681B866" w:rsidRPr="00DF5C23">
        <w:rPr>
          <w:noProof/>
          <w:lang w:val="en-IE" w:eastAsia="fr-BE"/>
        </w:rPr>
        <w:t>c</w:t>
      </w:r>
      <w:r w:rsidR="0681B866" w:rsidRPr="00DF5C23">
        <w:rPr>
          <w:noProof/>
          <w:lang w:val="en-IE" w:eastAsia="fr-BE"/>
        </w:rPr>
        <w:t>）に定義される規格をいう；</w:t>
      </w:r>
    </w:p>
    <w:p w14:paraId="44E479EC" w14:textId="77777777" w:rsidR="0038775E" w:rsidRDefault="00877B9C" w:rsidP="002041D4">
      <w:pPr>
        <w:pStyle w:val="Point0"/>
        <w:wordWrap w:val="0"/>
        <w:rPr>
          <w:noProof/>
          <w:lang w:val="en-IE" w:eastAsia="ja-JP"/>
        </w:rPr>
      </w:pPr>
      <w:r w:rsidRPr="004F5E59">
        <w:rPr>
          <w:lang w:eastAsia="ja-JP"/>
        </w:rPr>
        <w:t>(49)</w:t>
      </w:r>
      <w:r w:rsidRPr="004F5E59">
        <w:rPr>
          <w:lang w:eastAsia="ja-JP"/>
        </w:rPr>
        <w:tab/>
      </w:r>
      <w:r w:rsidR="0681B866" w:rsidRPr="00DF5C23">
        <w:rPr>
          <w:noProof/>
          <w:lang w:val="en-IE" w:eastAsia="fr-BE"/>
        </w:rPr>
        <w:t>CE</w:t>
      </w:r>
      <w:r w:rsidR="0681B866" w:rsidRPr="00DF5C23">
        <w:rPr>
          <w:noProof/>
          <w:lang w:val="en-IE" w:eastAsia="fr-BE"/>
        </w:rPr>
        <w:t>マーキング」とは、製造者が、当該製品が、その貼付を規定する欧州連合の調和に関する法律に定める適用要件に適合していることを表示するためのマーキングをいう；</w:t>
      </w:r>
    </w:p>
    <w:p w14:paraId="0C261B0B" w14:textId="77777777" w:rsidR="0038775E" w:rsidRDefault="00877B9C" w:rsidP="002041D4">
      <w:pPr>
        <w:pStyle w:val="Point0"/>
        <w:wordWrap w:val="0"/>
        <w:rPr>
          <w:noProof/>
          <w:lang w:val="en-IE" w:eastAsia="ja-JP"/>
        </w:rPr>
      </w:pPr>
      <w:r w:rsidRPr="004F5E59">
        <w:rPr>
          <w:lang w:eastAsia="ja-JP"/>
        </w:rPr>
        <w:t>(50)</w:t>
      </w:r>
      <w:r w:rsidRPr="004F5E59">
        <w:rPr>
          <w:lang w:eastAsia="ja-JP"/>
        </w:rPr>
        <w:tab/>
      </w:r>
      <w:r w:rsidR="0681B866" w:rsidRPr="00DF5C23">
        <w:rPr>
          <w:noProof/>
          <w:lang w:val="en-IE" w:eastAsia="fr-BE"/>
        </w:rPr>
        <w:t>認定」とは、規則（</w:t>
      </w:r>
      <w:r w:rsidR="0681B866" w:rsidRPr="00DF5C23">
        <w:rPr>
          <w:noProof/>
          <w:lang w:val="en-IE" w:eastAsia="fr-BE"/>
        </w:rPr>
        <w:t>EC</w:t>
      </w:r>
      <w:r w:rsidR="0681B866" w:rsidRPr="00DF5C23">
        <w:rPr>
          <w:noProof/>
          <w:lang w:val="en-IE" w:eastAsia="fr-BE"/>
        </w:rPr>
        <w:t>）</w:t>
      </w:r>
      <w:r w:rsidR="0681B866" w:rsidRPr="00DF5C23">
        <w:rPr>
          <w:noProof/>
          <w:lang w:val="en-IE" w:eastAsia="fr-BE"/>
        </w:rPr>
        <w:t xml:space="preserve">No 765/2008 </w:t>
      </w:r>
      <w:r w:rsidR="0681B866" w:rsidRPr="00DF5C23">
        <w:rPr>
          <w:noProof/>
          <w:lang w:val="en-IE" w:eastAsia="fr-BE"/>
        </w:rPr>
        <w:t>の第</w:t>
      </w:r>
      <w:r w:rsidR="0681B866" w:rsidRPr="00DF5C23">
        <w:rPr>
          <w:noProof/>
          <w:lang w:val="en-IE" w:eastAsia="fr-BE"/>
        </w:rPr>
        <w:t xml:space="preserve"> 2 </w:t>
      </w:r>
      <w:r w:rsidR="0681B866" w:rsidRPr="00DF5C23">
        <w:rPr>
          <w:noProof/>
          <w:lang w:val="en-IE" w:eastAsia="fr-BE"/>
        </w:rPr>
        <w:t>条（</w:t>
      </w:r>
      <w:r w:rsidR="0681B866" w:rsidRPr="00DF5C23">
        <w:rPr>
          <w:noProof/>
          <w:lang w:val="en-IE" w:eastAsia="fr-BE"/>
        </w:rPr>
        <w:t>10</w:t>
      </w:r>
      <w:r w:rsidR="0681B866" w:rsidRPr="00DF5C23">
        <w:rPr>
          <w:noProof/>
          <w:lang w:val="en-IE" w:eastAsia="fr-BE"/>
        </w:rPr>
        <w:t>）に定義される認定を意味する；</w:t>
      </w:r>
      <w:r w:rsidR="0681B866" w:rsidRPr="00DF5C23">
        <w:rPr>
          <w:noProof/>
          <w:lang w:val="en-IE" w:eastAsia="fr-BE"/>
        </w:rPr>
        <w:t xml:space="preserve"> </w:t>
      </w:r>
    </w:p>
    <w:p w14:paraId="2CE83357" w14:textId="77777777" w:rsidR="0038775E" w:rsidRDefault="00877B9C" w:rsidP="002041D4">
      <w:pPr>
        <w:pStyle w:val="Point0"/>
        <w:wordWrap w:val="0"/>
        <w:rPr>
          <w:noProof/>
          <w:lang w:val="en-IE" w:eastAsia="ja-JP"/>
        </w:rPr>
      </w:pPr>
      <w:r w:rsidRPr="004F5E59">
        <w:rPr>
          <w:lang w:eastAsia="ja-JP"/>
        </w:rPr>
        <w:t>(51)</w:t>
      </w:r>
      <w:r w:rsidRPr="004F5E59">
        <w:rPr>
          <w:lang w:eastAsia="ja-JP"/>
        </w:rPr>
        <w:tab/>
      </w:r>
      <w:r w:rsidR="0681B866" w:rsidRPr="00DF5C23">
        <w:rPr>
          <w:noProof/>
          <w:lang w:val="en-IE" w:eastAsia="fr-BE"/>
        </w:rPr>
        <w:t>国家認定機関」とは、規則（</w:t>
      </w:r>
      <w:r w:rsidR="0681B866" w:rsidRPr="00DF5C23">
        <w:rPr>
          <w:noProof/>
          <w:lang w:val="en-IE" w:eastAsia="fr-BE"/>
        </w:rPr>
        <w:t>EC</w:t>
      </w:r>
      <w:r w:rsidR="0681B866" w:rsidRPr="00DF5C23">
        <w:rPr>
          <w:noProof/>
          <w:lang w:val="en-IE" w:eastAsia="fr-BE"/>
        </w:rPr>
        <w:t>）</w:t>
      </w:r>
      <w:r w:rsidR="0681B866" w:rsidRPr="00DF5C23">
        <w:rPr>
          <w:noProof/>
          <w:lang w:val="en-IE" w:eastAsia="fr-BE"/>
        </w:rPr>
        <w:t xml:space="preserve">No 765/2008 </w:t>
      </w:r>
      <w:r w:rsidR="0681B866" w:rsidRPr="00DF5C23">
        <w:rPr>
          <w:noProof/>
          <w:lang w:val="en-IE" w:eastAsia="fr-BE"/>
        </w:rPr>
        <w:t>の第</w:t>
      </w:r>
      <w:r w:rsidR="0681B866" w:rsidRPr="00DF5C23">
        <w:rPr>
          <w:noProof/>
          <w:lang w:val="en-IE" w:eastAsia="fr-BE"/>
        </w:rPr>
        <w:t xml:space="preserve"> 2 </w:t>
      </w:r>
      <w:r w:rsidR="0681B866" w:rsidRPr="00DF5C23">
        <w:rPr>
          <w:noProof/>
          <w:lang w:val="en-IE" w:eastAsia="fr-BE"/>
        </w:rPr>
        <w:t>条（</w:t>
      </w:r>
      <w:r w:rsidR="0681B866" w:rsidRPr="00DF5C23">
        <w:rPr>
          <w:noProof/>
          <w:lang w:val="en-IE" w:eastAsia="fr-BE"/>
        </w:rPr>
        <w:t>11</w:t>
      </w:r>
      <w:r w:rsidR="0681B866" w:rsidRPr="00DF5C23">
        <w:rPr>
          <w:noProof/>
          <w:lang w:val="en-IE" w:eastAsia="fr-BE"/>
        </w:rPr>
        <w:t>）に定義される国家認定機関をいう；</w:t>
      </w:r>
      <w:r w:rsidR="0681B866" w:rsidRPr="00DF5C23">
        <w:rPr>
          <w:noProof/>
          <w:lang w:val="en-IE" w:eastAsia="fr-BE"/>
        </w:rPr>
        <w:t xml:space="preserve"> </w:t>
      </w:r>
    </w:p>
    <w:p w14:paraId="630648E0" w14:textId="77777777" w:rsidR="0038775E" w:rsidRDefault="00877B9C" w:rsidP="002041D4">
      <w:pPr>
        <w:pStyle w:val="Point0"/>
        <w:wordWrap w:val="0"/>
        <w:rPr>
          <w:noProof/>
          <w:lang w:val="en-IE" w:eastAsia="ja-JP"/>
        </w:rPr>
      </w:pPr>
      <w:r w:rsidRPr="004F5E59">
        <w:rPr>
          <w:lang w:eastAsia="ja-JP"/>
        </w:rPr>
        <w:t>(52)</w:t>
      </w:r>
      <w:r w:rsidRPr="004F5E59">
        <w:rPr>
          <w:lang w:eastAsia="ja-JP"/>
        </w:rPr>
        <w:tab/>
      </w:r>
      <w:r w:rsidR="0681B866" w:rsidRPr="00DF5C23">
        <w:rPr>
          <w:noProof/>
          <w:lang w:val="en-IE" w:eastAsia="fr-BE"/>
        </w:rPr>
        <w:t>適合性評価」とは、</w:t>
      </w:r>
      <w:r w:rsidR="00850318" w:rsidRPr="00DF5C23">
        <w:rPr>
          <w:noProof/>
          <w:lang w:val="en-IE" w:eastAsia="fr-BE"/>
        </w:rPr>
        <w:t>第</w:t>
      </w:r>
      <w:r w:rsidR="00850318" w:rsidRPr="00DF5C23">
        <w:rPr>
          <w:noProof/>
          <w:lang w:val="en-IE" w:eastAsia="fr-BE"/>
        </w:rPr>
        <w:t>4</w:t>
      </w:r>
      <w:r w:rsidR="00850318" w:rsidRPr="00DF5C23">
        <w:rPr>
          <w:noProof/>
          <w:lang w:val="en-IE" w:eastAsia="fr-BE"/>
        </w:rPr>
        <w:t>条に従って採択された</w:t>
      </w:r>
      <w:r w:rsidR="0681B866" w:rsidRPr="00DF5C23">
        <w:rPr>
          <w:noProof/>
          <w:lang w:val="en-IE" w:eastAsia="fr-BE"/>
        </w:rPr>
        <w:t>関連する委任行為に規定された要件が満たされているかどうかを実証するプロセスをいう；</w:t>
      </w:r>
      <w:r w:rsidR="0681B866" w:rsidRPr="00DF5C23">
        <w:rPr>
          <w:noProof/>
          <w:lang w:val="en-IE" w:eastAsia="fr-BE"/>
        </w:rPr>
        <w:t xml:space="preserve"> </w:t>
      </w:r>
    </w:p>
    <w:p w14:paraId="0326A307" w14:textId="77777777" w:rsidR="0038775E" w:rsidRDefault="00877B9C" w:rsidP="002041D4">
      <w:pPr>
        <w:pStyle w:val="Point0"/>
        <w:wordWrap w:val="0"/>
        <w:rPr>
          <w:noProof/>
          <w:lang w:val="en-IE" w:eastAsia="ja-JP"/>
        </w:rPr>
      </w:pPr>
      <w:r w:rsidRPr="004F5E59">
        <w:rPr>
          <w:lang w:eastAsia="ja-JP"/>
        </w:rPr>
        <w:lastRenderedPageBreak/>
        <w:t>(53)</w:t>
      </w:r>
      <w:r w:rsidRPr="004F5E59">
        <w:rPr>
          <w:lang w:eastAsia="ja-JP"/>
        </w:rPr>
        <w:tab/>
      </w:r>
      <w:r w:rsidR="0681B866" w:rsidRPr="00DF5C23">
        <w:rPr>
          <w:noProof/>
          <w:lang w:val="en-IE" w:eastAsia="fr-BE"/>
        </w:rPr>
        <w:t>適合性評価機関」とは、校正、試験、認証および検査を含む適合性評価活動を行う機関をいう；</w:t>
      </w:r>
    </w:p>
    <w:p w14:paraId="7C48FB5C" w14:textId="77777777" w:rsidR="0038775E" w:rsidRDefault="00877B9C" w:rsidP="002041D4">
      <w:pPr>
        <w:pStyle w:val="Point0"/>
        <w:wordWrap w:val="0"/>
        <w:rPr>
          <w:noProof/>
          <w:lang w:val="en-IE" w:eastAsia="ja-JP"/>
        </w:rPr>
      </w:pPr>
      <w:r w:rsidRPr="004F5E59">
        <w:rPr>
          <w:lang w:eastAsia="ja-JP"/>
        </w:rPr>
        <w:t>(54)</w:t>
      </w:r>
      <w:r w:rsidRPr="004F5E59">
        <w:rPr>
          <w:lang w:eastAsia="ja-JP"/>
        </w:rPr>
        <w:tab/>
      </w:r>
      <w:r w:rsidR="00646885" w:rsidRPr="00DF5C23">
        <w:rPr>
          <w:noProof/>
          <w:lang w:val="en-IE" w:eastAsia="fr-BE"/>
        </w:rPr>
        <w:t>通知機関」とは、本規則</w:t>
      </w:r>
      <w:r w:rsidR="00C03D04" w:rsidRPr="00DF5C23">
        <w:rPr>
          <w:noProof/>
          <w:lang w:val="en-IE" w:eastAsia="fr-BE"/>
        </w:rPr>
        <w:t>第</w:t>
      </w:r>
      <w:r w:rsidR="00C03D04" w:rsidRPr="00DF5C23">
        <w:rPr>
          <w:noProof/>
          <w:lang w:val="en-IE" w:eastAsia="fr-BE"/>
        </w:rPr>
        <w:t>IX</w:t>
      </w:r>
      <w:r w:rsidR="00C03D04" w:rsidRPr="00DF5C23">
        <w:rPr>
          <w:noProof/>
          <w:lang w:val="en-IE" w:eastAsia="fr-BE"/>
        </w:rPr>
        <w:t>章に従って</w:t>
      </w:r>
      <w:r w:rsidR="00646885" w:rsidRPr="00DF5C23">
        <w:rPr>
          <w:noProof/>
          <w:lang w:val="en-IE" w:eastAsia="fr-BE"/>
        </w:rPr>
        <w:t>通知された適合性評価機関をいう</w:t>
      </w:r>
      <w:r w:rsidR="00EE27E2" w:rsidRPr="00DF5C23">
        <w:rPr>
          <w:noProof/>
          <w:lang w:val="en-IE" w:eastAsia="fr-BE"/>
        </w:rPr>
        <w:t>；</w:t>
      </w:r>
    </w:p>
    <w:p w14:paraId="16E004FE" w14:textId="77777777" w:rsidR="0038775E" w:rsidRDefault="00877B9C" w:rsidP="002041D4">
      <w:pPr>
        <w:pStyle w:val="Point0"/>
        <w:wordWrap w:val="0"/>
        <w:rPr>
          <w:noProof/>
          <w:lang w:val="en-IE" w:eastAsia="ja-JP"/>
        </w:rPr>
      </w:pPr>
      <w:r w:rsidRPr="004F5E59">
        <w:rPr>
          <w:lang w:eastAsia="ja-JP"/>
        </w:rPr>
        <w:t>(55)</w:t>
      </w:r>
      <w:r w:rsidRPr="004F5E59">
        <w:rPr>
          <w:lang w:eastAsia="ja-JP"/>
        </w:rPr>
        <w:tab/>
      </w:r>
      <w:r w:rsidR="0681B866" w:rsidRPr="00DF5C23">
        <w:rPr>
          <w:noProof/>
          <w:lang w:eastAsia="ja-JP"/>
        </w:rPr>
        <w:t>オンラインマーケットプレイス」とは、ウェブサイト、ウェブサイトの一部またはアプリケーションを含むソフトウェアを使用する仲介サービスのプロバイダーであって</w:t>
      </w:r>
      <w:r w:rsidR="00BD0D3A" w:rsidRPr="00DF5C23">
        <w:rPr>
          <w:noProof/>
          <w:lang w:eastAsia="ja-JP"/>
        </w:rPr>
        <w:t>、</w:t>
      </w:r>
      <w:r w:rsidR="008B0A11" w:rsidRPr="00DF5C23">
        <w:rPr>
          <w:noProof/>
          <w:lang w:eastAsia="ja-JP"/>
        </w:rPr>
        <w:t>顧客が</w:t>
      </w:r>
      <w:r w:rsidR="00850318" w:rsidRPr="00DF5C23">
        <w:rPr>
          <w:noProof/>
          <w:lang w:eastAsia="ja-JP"/>
        </w:rPr>
        <w:t>第</w:t>
      </w:r>
      <w:r w:rsidR="00850318" w:rsidRPr="00DF5C23">
        <w:rPr>
          <w:noProof/>
          <w:lang w:eastAsia="ja-JP"/>
        </w:rPr>
        <w:t>4</w:t>
      </w:r>
      <w:r w:rsidR="00850318" w:rsidRPr="00DF5C23">
        <w:rPr>
          <w:noProof/>
          <w:lang w:eastAsia="ja-JP"/>
        </w:rPr>
        <w:t>条に従って採択された</w:t>
      </w:r>
      <w:r w:rsidR="0681B866" w:rsidRPr="00DF5C23">
        <w:rPr>
          <w:noProof/>
          <w:lang w:eastAsia="ja-JP"/>
        </w:rPr>
        <w:t>委任法の対象となる製品の販売について</w:t>
      </w:r>
      <w:r w:rsidR="008B0A11" w:rsidRPr="00DF5C23">
        <w:rPr>
          <w:noProof/>
          <w:lang w:eastAsia="ja-JP"/>
        </w:rPr>
        <w:t>経済事業</w:t>
      </w:r>
      <w:r w:rsidR="0681B866" w:rsidRPr="00DF5C23">
        <w:rPr>
          <w:noProof/>
          <w:lang w:eastAsia="ja-JP"/>
        </w:rPr>
        <w:t>者と遠隔契約を締結することを可能にするものをいいます；</w:t>
      </w:r>
    </w:p>
    <w:p w14:paraId="2B2C458A" w14:textId="77777777" w:rsidR="0038775E" w:rsidRDefault="00877B9C" w:rsidP="002041D4">
      <w:pPr>
        <w:pStyle w:val="Point0"/>
        <w:wordWrap w:val="0"/>
        <w:rPr>
          <w:rFonts w:eastAsia="Times New Roman"/>
          <w:noProof/>
          <w:color w:val="000000" w:themeColor="text1"/>
          <w:lang w:val="en-IE" w:eastAsia="fr-BE"/>
        </w:rPr>
      </w:pPr>
      <w:r w:rsidRPr="004F5E59">
        <w:rPr>
          <w:lang w:eastAsia="ja-JP"/>
        </w:rPr>
        <w:t>(56)</w:t>
      </w:r>
      <w:r w:rsidRPr="004F5E59">
        <w:rPr>
          <w:lang w:eastAsia="ja-JP"/>
        </w:rPr>
        <w:tab/>
      </w:r>
      <w:r w:rsidR="009A1350" w:rsidRPr="00DF5C23">
        <w:rPr>
          <w:noProof/>
          <w:lang w:val="en-IE" w:eastAsia="fr-BE"/>
        </w:rPr>
        <w:t>ディーラー」とは、商業活動の過程で、対価の有無にかかわらず、販売、レンタルまたは購入のために</w:t>
      </w:r>
      <w:r w:rsidR="007D4BFF" w:rsidRPr="00DF5C23">
        <w:rPr>
          <w:noProof/>
          <w:lang w:val="en-IE" w:eastAsia="fr-BE"/>
        </w:rPr>
        <w:t>製品を</w:t>
      </w:r>
      <w:r w:rsidR="009A1350" w:rsidRPr="00DF5C23">
        <w:rPr>
          <w:noProof/>
          <w:lang w:val="en-IE" w:eastAsia="fr-BE"/>
        </w:rPr>
        <w:t>提供し、または顧客に製品を展示する、</w:t>
      </w:r>
      <w:r w:rsidR="003C1B7E" w:rsidRPr="00DF5C23">
        <w:rPr>
          <w:rFonts w:eastAsia="Times New Roman"/>
          <w:noProof/>
          <w:color w:val="000000" w:themeColor="text1"/>
          <w:lang w:val="en-IE" w:eastAsia="fr-BE"/>
        </w:rPr>
        <w:t>小売業者またはその他の自然人もしくは法人</w:t>
      </w:r>
      <w:r w:rsidR="00C005E6" w:rsidRPr="00DF5C23">
        <w:rPr>
          <w:rFonts w:eastAsia="Times New Roman"/>
          <w:noProof/>
          <w:color w:val="000000" w:themeColor="text1"/>
          <w:lang w:val="en-IE" w:eastAsia="fr-BE"/>
        </w:rPr>
        <w:t>をいいます；</w:t>
      </w:r>
    </w:p>
    <w:p w14:paraId="5C747AA0" w14:textId="77777777" w:rsidR="0038775E" w:rsidRDefault="00877B9C" w:rsidP="002041D4">
      <w:pPr>
        <w:pStyle w:val="Point0"/>
        <w:wordWrap w:val="0"/>
        <w:rPr>
          <w:noProof/>
          <w:lang w:val="en-IE" w:eastAsia="fr-BE"/>
        </w:rPr>
      </w:pPr>
      <w:r w:rsidRPr="004F5E59">
        <w:rPr>
          <w:lang w:eastAsia="ja-JP"/>
        </w:rPr>
        <w:t>(57)</w:t>
      </w:r>
      <w:r w:rsidRPr="004F5E59">
        <w:rPr>
          <w:lang w:eastAsia="ja-JP"/>
        </w:rPr>
        <w:tab/>
      </w:r>
      <w:r w:rsidR="0681B866" w:rsidRPr="00DF5C23">
        <w:rPr>
          <w:noProof/>
          <w:lang w:val="en-IE" w:eastAsia="fr-BE"/>
        </w:rPr>
        <w:t>遠隔販売」とは、オンラインまたはその他の遠隔販売手段により、潜在顧客が物理的に表示された製品にアクセスできない状態で、製品の販売、レンタルまたはレンタル購入のために提供することをいいます；</w:t>
      </w:r>
    </w:p>
    <w:p w14:paraId="7B912E81" w14:textId="77777777" w:rsidR="0038775E" w:rsidRDefault="00877B9C" w:rsidP="002041D4">
      <w:pPr>
        <w:pStyle w:val="Point0"/>
        <w:wordWrap w:val="0"/>
        <w:rPr>
          <w:rFonts w:eastAsia="Times New Roman"/>
          <w:noProof/>
          <w:color w:val="000000" w:themeColor="text1"/>
          <w:lang w:val="en-IE" w:eastAsia="fr-BE"/>
        </w:rPr>
      </w:pPr>
      <w:r w:rsidRPr="004F5E59">
        <w:rPr>
          <w:lang w:eastAsia="ja-JP"/>
        </w:rPr>
        <w:t>(58)</w:t>
      </w:r>
      <w:r w:rsidRPr="004F5E59">
        <w:rPr>
          <w:lang w:eastAsia="ja-JP"/>
        </w:rPr>
        <w:tab/>
      </w:r>
      <w:r w:rsidR="00016927" w:rsidRPr="00DF5C23">
        <w:rPr>
          <w:noProof/>
          <w:lang w:val="en-IE" w:eastAsia="ja-JP"/>
        </w:rPr>
        <w:t>リスクを提示する製品」とは、</w:t>
      </w:r>
      <w:r w:rsidR="00B12939" w:rsidRPr="00DF5C23">
        <w:rPr>
          <w:noProof/>
          <w:lang w:val="en-IE" w:eastAsia="ja-JP"/>
        </w:rPr>
        <w:t>第</w:t>
      </w:r>
      <w:r w:rsidR="00B12939" w:rsidRPr="00DF5C23">
        <w:rPr>
          <w:noProof/>
          <w:lang w:val="en-IE" w:eastAsia="ja-JP"/>
        </w:rPr>
        <w:t>65</w:t>
      </w:r>
      <w:r w:rsidR="00B12939" w:rsidRPr="00DF5C23">
        <w:rPr>
          <w:noProof/>
          <w:lang w:val="en-IE" w:eastAsia="ja-JP"/>
        </w:rPr>
        <w:t>条</w:t>
      </w:r>
      <w:r w:rsidR="00016927" w:rsidRPr="00DF5C23">
        <w:rPr>
          <w:noProof/>
          <w:lang w:val="en-IE" w:eastAsia="ja-JP"/>
        </w:rPr>
        <w:t>(1)</w:t>
      </w:r>
      <w:r w:rsidR="00016927" w:rsidRPr="00DF5C23">
        <w:rPr>
          <w:noProof/>
          <w:lang w:val="en-IE" w:eastAsia="ja-JP"/>
        </w:rPr>
        <w:t>に列挙された要件以外の本規則に定める又は本規則に従って定める要件に適合しないことにより</w:t>
      </w:r>
      <w:r w:rsidR="007D4BFF" w:rsidRPr="00DF5C23">
        <w:rPr>
          <w:noProof/>
          <w:lang w:val="en-IE" w:eastAsia="ja-JP"/>
        </w:rPr>
        <w:t>、</w:t>
      </w:r>
      <w:r w:rsidR="00016927" w:rsidRPr="00DF5C23">
        <w:rPr>
          <w:noProof/>
          <w:lang w:val="en-IE" w:eastAsia="ja-JP"/>
        </w:rPr>
        <w:t>環境又は当該要件により保護されるその他の公共の利益に悪影響を及ぼす</w:t>
      </w:r>
      <w:r w:rsidR="00EF3EAC" w:rsidRPr="00DF5C23">
        <w:rPr>
          <w:noProof/>
          <w:lang w:val="en-IE" w:eastAsia="ja-JP"/>
        </w:rPr>
        <w:t>可能性がある</w:t>
      </w:r>
      <w:r w:rsidR="00016927" w:rsidRPr="00DF5C23">
        <w:rPr>
          <w:noProof/>
          <w:lang w:val="en-IE" w:eastAsia="ja-JP"/>
        </w:rPr>
        <w:t>製品をいう</w:t>
      </w:r>
      <w:r w:rsidR="00A24123" w:rsidRPr="00DF5C23">
        <w:rPr>
          <w:noProof/>
          <w:lang w:val="en-IE" w:eastAsia="ja-JP"/>
        </w:rPr>
        <w:t>；</w:t>
      </w:r>
    </w:p>
    <w:p w14:paraId="0BB1F7AA" w14:textId="77777777" w:rsidR="0038775E" w:rsidRDefault="00877B9C" w:rsidP="002041D4">
      <w:pPr>
        <w:pStyle w:val="Point0"/>
        <w:wordWrap w:val="0"/>
        <w:rPr>
          <w:noProof/>
          <w:lang w:val="en-IE" w:eastAsia="ja-JP"/>
        </w:rPr>
      </w:pPr>
      <w:r w:rsidRPr="004F5E59">
        <w:rPr>
          <w:lang w:eastAsia="ja-JP"/>
        </w:rPr>
        <w:t>(59)</w:t>
      </w:r>
      <w:r w:rsidRPr="004F5E59">
        <w:rPr>
          <w:lang w:eastAsia="ja-JP"/>
        </w:rPr>
        <w:tab/>
      </w:r>
      <w:r w:rsidR="00756D5E" w:rsidRPr="00DF5C23">
        <w:rPr>
          <w:noProof/>
          <w:lang w:val="en-IE" w:eastAsia="ja-JP"/>
        </w:rPr>
        <w:t>重大なリスクを提示する製品」とは、評価に基づき、関連する不遵守の程度または関連する危害が、市場監視当局による迅速な介入を必要とすると考えられるリスクを提示する製品をいい、不遵守の影響が即時でない場合を含む</w:t>
      </w:r>
      <w:r w:rsidR="00A24123" w:rsidRPr="00DF5C23">
        <w:rPr>
          <w:noProof/>
          <w:lang w:val="en-IE" w:eastAsia="ja-JP"/>
        </w:rPr>
        <w:t>。</w:t>
      </w:r>
    </w:p>
    <w:p w14:paraId="4576DE58" w14:textId="13C6452F" w:rsidR="0038775E" w:rsidRDefault="00877B9C" w:rsidP="002041D4">
      <w:pPr>
        <w:wordWrap w:val="0"/>
        <w:rPr>
          <w:noProof/>
          <w:lang w:val="en-IE" w:eastAsia="fr-BE"/>
        </w:rPr>
      </w:pPr>
      <w:r w:rsidRPr="00DF5C23">
        <w:rPr>
          <w:noProof/>
          <w:lang w:val="en-IE" w:eastAsia="fr-BE"/>
        </w:rPr>
        <w:t>また、欧州議会および理事会の</w:t>
      </w:r>
      <w:r w:rsidR="004A1643" w:rsidRPr="00DF5C23">
        <w:rPr>
          <w:noProof/>
          <w:lang w:val="en-IE" w:eastAsia="fr-BE"/>
        </w:rPr>
        <w:t>指令</w:t>
      </w:r>
      <w:r w:rsidR="004A1643" w:rsidRPr="00DF5C23">
        <w:rPr>
          <w:noProof/>
          <w:lang w:val="en-IE" w:eastAsia="fr-BE"/>
        </w:rPr>
        <w:t>2008/98/EC</w:t>
      </w:r>
      <w:r w:rsidR="00BB6FF0" w:rsidRPr="00DF5C23">
        <w:rPr>
          <w:rStyle w:val="afa"/>
          <w:noProof/>
          <w:lang w:val="en-IE" w:eastAsia="fr-BE"/>
        </w:rPr>
        <w:footnoteReference w:id="84"/>
      </w:r>
      <w:r w:rsidR="004A1643" w:rsidRPr="00DF5C23">
        <w:rPr>
          <w:noProof/>
          <w:lang w:val="en-IE" w:eastAsia="fr-BE"/>
        </w:rPr>
        <w:t xml:space="preserve"> </w:t>
      </w:r>
      <w:r w:rsidR="004A1643" w:rsidRPr="00DF5C23">
        <w:rPr>
          <w:noProof/>
          <w:lang w:val="en-IE" w:eastAsia="fr-BE"/>
        </w:rPr>
        <w:t>の第</w:t>
      </w:r>
      <w:r w:rsidR="004A1643" w:rsidRPr="00DF5C23">
        <w:rPr>
          <w:noProof/>
          <w:lang w:val="en-IE" w:eastAsia="fr-BE"/>
        </w:rPr>
        <w:t>3</w:t>
      </w:r>
      <w:r w:rsidR="004A1643" w:rsidRPr="00DF5C23">
        <w:rPr>
          <w:noProof/>
          <w:lang w:val="en-IE" w:eastAsia="fr-BE"/>
        </w:rPr>
        <w:t>条</w:t>
      </w:r>
      <w:r w:rsidR="00A95E12" w:rsidRPr="00DF5C23">
        <w:rPr>
          <w:noProof/>
          <w:lang w:val="en-IE" w:eastAsia="fr-BE"/>
        </w:rPr>
        <w:t>、</w:t>
      </w:r>
      <w:r w:rsidR="00A95E12" w:rsidRPr="00DF5C23">
        <w:rPr>
          <w:noProof/>
          <w:lang w:val="en-IE" w:eastAsia="ja-JP"/>
        </w:rPr>
        <w:t xml:space="preserve">(1), (2), (13), (15), (16) </w:t>
      </w:r>
      <w:r w:rsidR="00A95E12" w:rsidRPr="00DF5C23">
        <w:rPr>
          <w:noProof/>
          <w:lang w:val="en-IE" w:eastAsia="ja-JP"/>
        </w:rPr>
        <w:t>および</w:t>
      </w:r>
      <w:r w:rsidR="00A95E12" w:rsidRPr="00DF5C23">
        <w:rPr>
          <w:noProof/>
          <w:lang w:val="en-IE" w:eastAsia="ja-JP"/>
        </w:rPr>
        <w:t xml:space="preserve"> (17) </w:t>
      </w:r>
      <w:r w:rsidR="00A95E12" w:rsidRPr="00DF5C23">
        <w:rPr>
          <w:noProof/>
          <w:lang w:val="en-IE" w:eastAsia="ja-JP"/>
        </w:rPr>
        <w:t>における</w:t>
      </w:r>
      <w:r w:rsidR="004A1643" w:rsidRPr="00DF5C23">
        <w:rPr>
          <w:noProof/>
          <w:lang w:val="en-IE" w:eastAsia="fr-BE"/>
        </w:rPr>
        <w:t>「廃棄物」、「有害廃棄物」、「</w:t>
      </w:r>
      <w:r w:rsidR="002B360E" w:rsidRPr="00DF5C23">
        <w:rPr>
          <w:noProof/>
          <w:lang w:val="en-IE" w:eastAsia="fr-BE"/>
        </w:rPr>
        <w:t>再利用」、「</w:t>
      </w:r>
      <w:r w:rsidR="004A1643" w:rsidRPr="00DF5C23">
        <w:rPr>
          <w:noProof/>
          <w:lang w:val="en-IE" w:eastAsia="fr-BE"/>
        </w:rPr>
        <w:t>回収」</w:t>
      </w:r>
      <w:r w:rsidR="005439C4" w:rsidRPr="00DF5C23">
        <w:rPr>
          <w:noProof/>
          <w:lang w:val="en-IE" w:eastAsia="fr-BE"/>
        </w:rPr>
        <w:t>、「再利用準備」</w:t>
      </w:r>
      <w:r w:rsidR="004A1643" w:rsidRPr="00DF5C23">
        <w:rPr>
          <w:noProof/>
          <w:lang w:val="en-IE" w:eastAsia="fr-BE"/>
        </w:rPr>
        <w:t>および「リサイクル」の定義が適用されるものと</w:t>
      </w:r>
      <w:r w:rsidR="002041D4">
        <w:rPr>
          <w:noProof/>
          <w:lang w:val="en-IE" w:eastAsia="fr-BE"/>
        </w:rPr>
        <w:t>する</w:t>
      </w:r>
      <w:r w:rsidR="004A1643" w:rsidRPr="00DF5C23">
        <w:rPr>
          <w:noProof/>
          <w:lang w:val="en-IE" w:eastAsia="fr-BE"/>
        </w:rPr>
        <w:t>。</w:t>
      </w:r>
    </w:p>
    <w:p w14:paraId="3E1A966B" w14:textId="43473893" w:rsidR="0038775E" w:rsidRDefault="004A1643" w:rsidP="002041D4">
      <w:pPr>
        <w:wordWrap w:val="0"/>
        <w:rPr>
          <w:noProof/>
          <w:lang w:val="en-IE" w:eastAsia="fr-BE"/>
        </w:rPr>
      </w:pPr>
      <w:r w:rsidRPr="00DF5C23">
        <w:rPr>
          <w:noProof/>
          <w:lang w:val="en-IE" w:eastAsia="fr-BE"/>
        </w:rPr>
        <w:t>規則（</w:t>
      </w:r>
      <w:r w:rsidRPr="00DF5C23">
        <w:rPr>
          <w:noProof/>
          <w:lang w:val="en-IE" w:eastAsia="fr-BE"/>
        </w:rPr>
        <w:t>EU</w:t>
      </w:r>
      <w:r w:rsidRPr="00DF5C23">
        <w:rPr>
          <w:noProof/>
          <w:lang w:val="en-IE" w:eastAsia="fr-BE"/>
        </w:rPr>
        <w:t>）</w:t>
      </w:r>
      <w:r w:rsidRPr="00DF5C23">
        <w:rPr>
          <w:noProof/>
          <w:lang w:val="en-IE" w:eastAsia="fr-BE"/>
        </w:rPr>
        <w:t>2019/1020</w:t>
      </w:r>
      <w:r w:rsidRPr="00DF5C23">
        <w:rPr>
          <w:noProof/>
          <w:lang w:val="en-IE" w:eastAsia="fr-BE"/>
        </w:rPr>
        <w:t>の第</w:t>
      </w:r>
      <w:r w:rsidRPr="00DF5C23">
        <w:rPr>
          <w:noProof/>
          <w:lang w:val="en-IE" w:eastAsia="fr-BE"/>
        </w:rPr>
        <w:t>3</w:t>
      </w:r>
      <w:r w:rsidRPr="00DF5C23">
        <w:rPr>
          <w:noProof/>
          <w:lang w:val="en-IE" w:eastAsia="fr-BE"/>
        </w:rPr>
        <w:t>条</w:t>
      </w:r>
      <w:r w:rsidR="00877B9C" w:rsidRPr="00DF5C23">
        <w:rPr>
          <w:noProof/>
          <w:lang w:val="en-IE" w:eastAsia="fr-BE"/>
        </w:rPr>
        <w:t>、</w:t>
      </w:r>
      <w:r w:rsidR="00877B9C" w:rsidRPr="00DF5C23">
        <w:rPr>
          <w:noProof/>
          <w:lang w:val="en-IE" w:eastAsia="ja-JP"/>
        </w:rPr>
        <w:t>ポイント（</w:t>
      </w:r>
      <w:r w:rsidR="00877B9C" w:rsidRPr="00DF5C23">
        <w:rPr>
          <w:noProof/>
          <w:lang w:val="en-IE" w:eastAsia="ja-JP"/>
        </w:rPr>
        <w:t>3</w:t>
      </w:r>
      <w:r w:rsidR="00877B9C" w:rsidRPr="00DF5C23">
        <w:rPr>
          <w:noProof/>
          <w:lang w:val="en-IE" w:eastAsia="ja-JP"/>
        </w:rPr>
        <w:t>）、（</w:t>
      </w:r>
      <w:r w:rsidR="00877B9C" w:rsidRPr="00DF5C23">
        <w:rPr>
          <w:noProof/>
          <w:lang w:val="en-IE" w:eastAsia="ja-JP"/>
        </w:rPr>
        <w:t>4</w:t>
      </w:r>
      <w:r w:rsidR="00877B9C" w:rsidRPr="00DF5C23">
        <w:rPr>
          <w:noProof/>
          <w:lang w:val="en-IE" w:eastAsia="ja-JP"/>
        </w:rPr>
        <w:t>）、（</w:t>
      </w:r>
      <w:r w:rsidR="00877B9C" w:rsidRPr="00DF5C23">
        <w:rPr>
          <w:noProof/>
          <w:lang w:val="en-IE" w:eastAsia="ja-JP"/>
        </w:rPr>
        <w:t>11</w:t>
      </w:r>
      <w:r w:rsidR="00877B9C" w:rsidRPr="00DF5C23">
        <w:rPr>
          <w:noProof/>
          <w:lang w:val="en-IE" w:eastAsia="ja-JP"/>
        </w:rPr>
        <w:t>）、（</w:t>
      </w:r>
      <w:r w:rsidR="00877B9C" w:rsidRPr="00DF5C23">
        <w:rPr>
          <w:noProof/>
          <w:lang w:val="en-IE" w:eastAsia="ja-JP"/>
        </w:rPr>
        <w:t>15</w:t>
      </w:r>
      <w:r w:rsidR="00877B9C" w:rsidRPr="00DF5C23">
        <w:rPr>
          <w:noProof/>
          <w:lang w:val="en-IE" w:eastAsia="ja-JP"/>
        </w:rPr>
        <w:t>）、（</w:t>
      </w:r>
      <w:r w:rsidR="00877B9C" w:rsidRPr="00DF5C23">
        <w:rPr>
          <w:noProof/>
          <w:lang w:val="en-IE" w:eastAsia="ja-JP"/>
        </w:rPr>
        <w:t>16</w:t>
      </w:r>
      <w:r w:rsidR="00877B9C" w:rsidRPr="00DF5C23">
        <w:rPr>
          <w:noProof/>
          <w:lang w:val="en-IE" w:eastAsia="ja-JP"/>
        </w:rPr>
        <w:t>）、（</w:t>
      </w:r>
      <w:r w:rsidR="00877B9C" w:rsidRPr="00DF5C23">
        <w:rPr>
          <w:noProof/>
          <w:lang w:val="en-IE" w:eastAsia="ja-JP"/>
        </w:rPr>
        <w:t>21</w:t>
      </w:r>
      <w:r w:rsidR="00877B9C" w:rsidRPr="00DF5C23">
        <w:rPr>
          <w:noProof/>
          <w:lang w:val="en-IE" w:eastAsia="ja-JP"/>
        </w:rPr>
        <w:t>）、（</w:t>
      </w:r>
      <w:r w:rsidR="00877B9C" w:rsidRPr="00DF5C23">
        <w:rPr>
          <w:noProof/>
          <w:lang w:val="en-IE" w:eastAsia="ja-JP"/>
        </w:rPr>
        <w:t>22</w:t>
      </w:r>
      <w:r w:rsidR="00877B9C" w:rsidRPr="00DF5C23">
        <w:rPr>
          <w:noProof/>
          <w:lang w:val="en-IE" w:eastAsia="ja-JP"/>
        </w:rPr>
        <w:t>）</w:t>
      </w:r>
      <w:r w:rsidR="00365F11" w:rsidRPr="00DF5C23">
        <w:rPr>
          <w:noProof/>
          <w:lang w:val="en-IE" w:eastAsia="ja-JP"/>
        </w:rPr>
        <w:t>、</w:t>
      </w:r>
      <w:r w:rsidR="00877B9C" w:rsidRPr="00DF5C23">
        <w:rPr>
          <w:noProof/>
          <w:lang w:val="en-IE" w:eastAsia="ja-JP"/>
        </w:rPr>
        <w:t>（</w:t>
      </w:r>
      <w:r w:rsidR="00877B9C" w:rsidRPr="00DF5C23">
        <w:rPr>
          <w:noProof/>
          <w:lang w:val="en-IE" w:eastAsia="ja-JP"/>
        </w:rPr>
        <w:t>23</w:t>
      </w:r>
      <w:r w:rsidR="00877B9C" w:rsidRPr="00DF5C23">
        <w:rPr>
          <w:noProof/>
          <w:lang w:val="en-IE" w:eastAsia="ja-JP"/>
        </w:rPr>
        <w:t>）、（</w:t>
      </w:r>
      <w:r w:rsidR="00365F11" w:rsidRPr="00DF5C23">
        <w:rPr>
          <w:noProof/>
          <w:lang w:val="en-IE" w:eastAsia="ja-JP"/>
        </w:rPr>
        <w:t>24</w:t>
      </w:r>
      <w:r w:rsidR="00877B9C" w:rsidRPr="00DF5C23">
        <w:rPr>
          <w:noProof/>
          <w:lang w:val="en-IE" w:eastAsia="ja-JP"/>
        </w:rPr>
        <w:t>）及び（</w:t>
      </w:r>
      <w:r w:rsidR="00365F11" w:rsidRPr="00DF5C23">
        <w:rPr>
          <w:noProof/>
          <w:lang w:val="en-IE" w:eastAsia="ja-JP"/>
        </w:rPr>
        <w:t>25</w:t>
      </w:r>
      <w:r w:rsidRPr="00DF5C23">
        <w:rPr>
          <w:noProof/>
          <w:lang w:val="en-IE" w:eastAsia="fr-BE"/>
        </w:rPr>
        <w:t>）における「市場監視」、「市場監視当局」、「履行サービス業者」、</w:t>
      </w:r>
      <w:r w:rsidRPr="00DF5C23">
        <w:rPr>
          <w:noProof/>
          <w:lang w:eastAsia="ja-JP"/>
        </w:rPr>
        <w:t>「オンラインインターフェース」、</w:t>
      </w:r>
      <w:r w:rsidRPr="00DF5C23">
        <w:rPr>
          <w:noProof/>
          <w:lang w:val="en-IE" w:eastAsia="fr-BE"/>
        </w:rPr>
        <w:t>「矯正措置」、</w:t>
      </w:r>
      <w:r w:rsidRPr="00DF5C23">
        <w:rPr>
          <w:noProof/>
          <w:lang w:val="en-IE" w:eastAsia="ja-JP"/>
        </w:rPr>
        <w:t>「</w:t>
      </w:r>
      <w:r w:rsidR="00877B9C" w:rsidRPr="00DF5C23">
        <w:rPr>
          <w:noProof/>
          <w:lang w:val="en-IE" w:eastAsia="ja-JP"/>
        </w:rPr>
        <w:t>エンドユーザー」、「</w:t>
      </w:r>
      <w:r w:rsidRPr="00DF5C23">
        <w:rPr>
          <w:noProof/>
          <w:lang w:val="en-IE" w:eastAsia="fr-BE"/>
        </w:rPr>
        <w:t>回収」</w:t>
      </w:r>
      <w:r w:rsidR="00365F11" w:rsidRPr="00DF5C23">
        <w:rPr>
          <w:noProof/>
          <w:lang w:val="en-IE" w:eastAsia="fr-BE"/>
        </w:rPr>
        <w:t>、「</w:t>
      </w:r>
      <w:r w:rsidRPr="00DF5C23">
        <w:rPr>
          <w:noProof/>
          <w:lang w:val="en-IE" w:eastAsia="fr-BE"/>
        </w:rPr>
        <w:t>撤回」</w:t>
      </w:r>
      <w:r w:rsidR="00365F11" w:rsidRPr="00DF5C23">
        <w:rPr>
          <w:noProof/>
          <w:lang w:val="en-IE" w:eastAsia="fr-BE"/>
        </w:rPr>
        <w:t>、「税関」及び</w:t>
      </w:r>
      <w:r w:rsidR="00C03D04" w:rsidRPr="00DF5C23">
        <w:rPr>
          <w:noProof/>
          <w:lang w:val="en-IE" w:eastAsia="fr-BE"/>
        </w:rPr>
        <w:t>「自由流通への解放</w:t>
      </w:r>
      <w:r w:rsidRPr="00DF5C23">
        <w:rPr>
          <w:noProof/>
          <w:lang w:val="en-IE" w:eastAsia="fr-BE"/>
        </w:rPr>
        <w:t>」の</w:t>
      </w:r>
      <w:r w:rsidR="00877B9C" w:rsidRPr="00DF5C23">
        <w:rPr>
          <w:noProof/>
          <w:lang w:val="en-IE" w:eastAsia="fr-BE"/>
        </w:rPr>
        <w:t>定義も</w:t>
      </w:r>
      <w:r w:rsidR="009A7F4A" w:rsidRPr="00DF5C23">
        <w:rPr>
          <w:noProof/>
          <w:lang w:val="en-IE" w:eastAsia="ja-JP"/>
        </w:rPr>
        <w:t>、</w:t>
      </w:r>
      <w:r w:rsidRPr="00DF5C23">
        <w:rPr>
          <w:noProof/>
          <w:lang w:val="en-IE" w:eastAsia="fr-BE"/>
        </w:rPr>
        <w:t>適用するものと</w:t>
      </w:r>
      <w:r w:rsidR="002041D4">
        <w:rPr>
          <w:noProof/>
          <w:lang w:val="en-IE" w:eastAsia="fr-BE"/>
        </w:rPr>
        <w:t>する</w:t>
      </w:r>
      <w:r w:rsidRPr="00DF5C23">
        <w:rPr>
          <w:noProof/>
          <w:lang w:val="en-IE" w:eastAsia="fr-BE"/>
        </w:rPr>
        <w:t>。</w:t>
      </w:r>
      <w:r w:rsidRPr="00DF5C23">
        <w:rPr>
          <w:noProof/>
          <w:lang w:val="en-IE" w:eastAsia="fr-BE"/>
        </w:rPr>
        <w:t xml:space="preserve"> </w:t>
      </w:r>
    </w:p>
    <w:p w14:paraId="1D094A16" w14:textId="77777777" w:rsidR="0038775E" w:rsidRDefault="00877B9C" w:rsidP="002041D4">
      <w:pPr>
        <w:wordWrap w:val="0"/>
        <w:rPr>
          <w:noProof/>
          <w:lang w:val="en-IE" w:eastAsia="fr-BE"/>
        </w:rPr>
      </w:pPr>
      <w:r w:rsidRPr="00DF5C23">
        <w:rPr>
          <w:noProof/>
          <w:lang w:val="en-IE" w:eastAsia="ja-JP"/>
        </w:rPr>
        <w:t>欧州委員会勧告</w:t>
      </w:r>
      <w:r w:rsidRPr="00DF5C23">
        <w:rPr>
          <w:noProof/>
          <w:lang w:val="en-IE" w:eastAsia="ja-JP"/>
        </w:rPr>
        <w:t xml:space="preserve"> </w:t>
      </w:r>
      <w:r w:rsidRPr="00DF5C23">
        <w:rPr>
          <w:noProof/>
          <w:lang w:eastAsia="ja-JP"/>
        </w:rPr>
        <w:t>2003/361/EC</w:t>
      </w:r>
      <w:r w:rsidR="007225F9" w:rsidRPr="00DF5C23">
        <w:rPr>
          <w:rStyle w:val="afa"/>
          <w:noProof/>
        </w:rPr>
        <w:footnoteReference w:id="85"/>
      </w:r>
      <w:r w:rsidRPr="00DF5C23">
        <w:rPr>
          <w:noProof/>
          <w:lang w:val="en-IE" w:eastAsia="fr-BE"/>
        </w:rPr>
        <w:t xml:space="preserve"> </w:t>
      </w:r>
      <w:r w:rsidRPr="00DF5C23">
        <w:rPr>
          <w:noProof/>
          <w:lang w:val="en-IE" w:eastAsia="fr-BE"/>
        </w:rPr>
        <w:t>の附属書</w:t>
      </w:r>
      <w:r w:rsidRPr="00DF5C23">
        <w:rPr>
          <w:noProof/>
          <w:lang w:val="en-IE" w:eastAsia="fr-BE"/>
        </w:rPr>
        <w:t xml:space="preserve"> I </w:t>
      </w:r>
      <w:r w:rsidR="009A7F4A" w:rsidRPr="00DF5C23">
        <w:rPr>
          <w:noProof/>
          <w:lang w:val="en-IE" w:eastAsia="fr-BE"/>
        </w:rPr>
        <w:t>の</w:t>
      </w:r>
      <w:r w:rsidRPr="00DF5C23">
        <w:rPr>
          <w:noProof/>
          <w:lang w:val="en-IE" w:eastAsia="fr-BE"/>
        </w:rPr>
        <w:t>第</w:t>
      </w:r>
      <w:r w:rsidRPr="00DF5C23">
        <w:rPr>
          <w:noProof/>
          <w:lang w:val="en-IE" w:eastAsia="fr-BE"/>
        </w:rPr>
        <w:t xml:space="preserve"> 2 </w:t>
      </w:r>
      <w:r w:rsidRPr="00DF5C23">
        <w:rPr>
          <w:noProof/>
          <w:lang w:val="en-IE" w:eastAsia="fr-BE"/>
        </w:rPr>
        <w:t>条</w:t>
      </w:r>
      <w:r w:rsidRPr="00DF5C23">
        <w:rPr>
          <w:noProof/>
          <w:lang w:val="en-IE" w:eastAsia="fr-BE"/>
        </w:rPr>
        <w:t>(1)</w:t>
      </w:r>
      <w:r w:rsidRPr="00DF5C23">
        <w:rPr>
          <w:noProof/>
          <w:lang w:val="en-IE" w:eastAsia="fr-BE"/>
        </w:rPr>
        <w:t>、</w:t>
      </w:r>
      <w:r w:rsidRPr="00DF5C23">
        <w:rPr>
          <w:noProof/>
          <w:lang w:val="en-IE" w:eastAsia="fr-BE"/>
        </w:rPr>
        <w:t>(2)</w:t>
      </w:r>
      <w:r w:rsidRPr="00DF5C23">
        <w:rPr>
          <w:noProof/>
          <w:lang w:val="en-IE" w:eastAsia="fr-BE"/>
        </w:rPr>
        <w:t>、</w:t>
      </w:r>
      <w:r w:rsidRPr="00DF5C23">
        <w:rPr>
          <w:noProof/>
          <w:lang w:val="en-IE" w:eastAsia="fr-BE"/>
        </w:rPr>
        <w:t>(3)</w:t>
      </w:r>
      <w:r w:rsidRPr="00DF5C23">
        <w:rPr>
          <w:noProof/>
          <w:lang w:val="en-IE" w:eastAsia="fr-BE"/>
        </w:rPr>
        <w:t>にある「中小企業」「</w:t>
      </w:r>
      <w:r w:rsidR="00C70A1E" w:rsidRPr="00DF5C23">
        <w:rPr>
          <w:noProof/>
          <w:lang w:val="en-IE" w:eastAsia="fr-BE"/>
        </w:rPr>
        <w:t>小規模</w:t>
      </w:r>
      <w:r w:rsidR="009A7F4A" w:rsidRPr="00DF5C23">
        <w:rPr>
          <w:noProof/>
          <w:lang w:eastAsia="fr-BE"/>
        </w:rPr>
        <w:t>企業</w:t>
      </w:r>
      <w:r w:rsidRPr="00DF5C23">
        <w:rPr>
          <w:noProof/>
          <w:lang w:eastAsia="fr-BE"/>
        </w:rPr>
        <w:t>」</w:t>
      </w:r>
      <w:r w:rsidR="00C70A1E" w:rsidRPr="00DF5C23">
        <w:rPr>
          <w:noProof/>
          <w:lang w:eastAsia="fr-BE"/>
        </w:rPr>
        <w:t>「</w:t>
      </w:r>
      <w:r w:rsidR="009A7F4A" w:rsidRPr="00DF5C23">
        <w:rPr>
          <w:noProof/>
          <w:lang w:eastAsia="fr-BE"/>
        </w:rPr>
        <w:t>零細企業</w:t>
      </w:r>
      <w:r w:rsidRPr="00DF5C23">
        <w:rPr>
          <w:noProof/>
          <w:lang w:val="en-IE" w:eastAsia="fr-BE"/>
        </w:rPr>
        <w:t>」の</w:t>
      </w:r>
      <w:r w:rsidRPr="00DF5C23">
        <w:rPr>
          <w:noProof/>
          <w:lang w:val="en-IE" w:eastAsia="ja-JP"/>
        </w:rPr>
        <w:t>定義も適用するものとする。</w:t>
      </w:r>
      <w:r w:rsidRPr="00DF5C23">
        <w:rPr>
          <w:noProof/>
          <w:lang w:val="en-IE" w:eastAsia="ja-JP"/>
        </w:rPr>
        <w:t xml:space="preserve"> </w:t>
      </w:r>
    </w:p>
    <w:p w14:paraId="2D50EECB" w14:textId="77777777" w:rsidR="0038775E" w:rsidRDefault="00877B9C" w:rsidP="002041D4">
      <w:pPr>
        <w:pStyle w:val="Titrearticle"/>
        <w:wordWrap w:val="0"/>
        <w:rPr>
          <w:noProof/>
          <w:color w:val="000000" w:themeColor="text1"/>
          <w:lang w:val="en-IE" w:eastAsia="fr-BE"/>
        </w:rPr>
      </w:pPr>
      <w:r w:rsidRPr="00DF5C23">
        <w:rPr>
          <w:noProof/>
          <w:lang w:val="en-IE" w:eastAsia="fr-BE"/>
        </w:rPr>
        <w:lastRenderedPageBreak/>
        <w:t>第</w:t>
      </w:r>
      <w:r w:rsidRPr="00DF5C23">
        <w:rPr>
          <w:noProof/>
          <w:lang w:val="en-IE" w:eastAsia="fr-BE"/>
        </w:rPr>
        <w:t>3</w:t>
      </w:r>
      <w:r w:rsidRPr="00DF5C23">
        <w:rPr>
          <w:noProof/>
          <w:lang w:val="en-IE" w:eastAsia="fr-BE"/>
        </w:rPr>
        <w:t>条</w:t>
      </w:r>
      <w:r w:rsidR="00646885" w:rsidRPr="00DF5C23">
        <w:rPr>
          <w:noProof/>
          <w:lang w:eastAsia="ja-JP"/>
        </w:rPr>
        <w:br/>
      </w:r>
      <w:r w:rsidRPr="00DF5C23">
        <w:rPr>
          <w:noProof/>
          <w:color w:val="000000" w:themeColor="text1"/>
          <w:lang w:val="en-IE" w:eastAsia="fr-BE"/>
        </w:rPr>
        <w:t>自由行動</w:t>
      </w:r>
    </w:p>
    <w:p w14:paraId="14E5B1EC" w14:textId="77777777" w:rsidR="0038775E" w:rsidRDefault="00877B9C" w:rsidP="002041D4">
      <w:pPr>
        <w:pStyle w:val="ManualNumPar1"/>
        <w:wordWrap w:val="0"/>
        <w:rPr>
          <w:noProof/>
          <w:color w:val="000000" w:themeColor="text1"/>
          <w:lang w:val="en-IE" w:eastAsia="fr-BE"/>
        </w:rPr>
      </w:pPr>
      <w:r w:rsidRPr="004F5E59">
        <w:rPr>
          <w:lang w:eastAsia="ja-JP"/>
        </w:rPr>
        <w:t>1.</w:t>
      </w:r>
      <w:r w:rsidRPr="004F5E59">
        <w:rPr>
          <w:lang w:eastAsia="ja-JP"/>
        </w:rPr>
        <w:tab/>
      </w:r>
      <w:r w:rsidR="00236EB4" w:rsidRPr="00DF5C23">
        <w:rPr>
          <w:noProof/>
          <w:lang w:eastAsia="ja-JP"/>
        </w:rPr>
        <w:t>製品は、</w:t>
      </w:r>
      <w:r w:rsidR="00236EB4" w:rsidRPr="00DF5C23">
        <w:rPr>
          <w:noProof/>
          <w:lang w:val="en-IE" w:eastAsia="fr-BE"/>
        </w:rPr>
        <w:t>当該製品に適用される</w:t>
      </w:r>
      <w:r w:rsidR="00AF17E7" w:rsidRPr="00DF5C23">
        <w:rPr>
          <w:noProof/>
          <w:lang w:val="en-IE" w:eastAsia="fr-BE"/>
        </w:rPr>
        <w:t>第</w:t>
      </w:r>
      <w:r w:rsidR="00AF17E7" w:rsidRPr="00DF5C23">
        <w:rPr>
          <w:noProof/>
          <w:lang w:val="en-IE" w:eastAsia="fr-BE"/>
        </w:rPr>
        <w:t>4</w:t>
      </w:r>
      <w:r w:rsidR="00236EB4" w:rsidRPr="00DF5C23">
        <w:rPr>
          <w:noProof/>
          <w:lang w:val="en-IE" w:eastAsia="fr-BE"/>
        </w:rPr>
        <w:t>条に従って採択された委任法に規定されたエコデザイン要件に</w:t>
      </w:r>
      <w:r w:rsidR="00236EB4" w:rsidRPr="00DF5C23">
        <w:rPr>
          <w:noProof/>
          <w:lang w:eastAsia="ja-JP"/>
        </w:rPr>
        <w:t>適合する場合にのみ、上市または使用開始されるものとする。</w:t>
      </w:r>
    </w:p>
    <w:p w14:paraId="4AE76BD9" w14:textId="77777777" w:rsidR="0038775E" w:rsidRDefault="00877B9C" w:rsidP="002041D4">
      <w:pPr>
        <w:pStyle w:val="ManualNumPar1"/>
        <w:wordWrap w:val="0"/>
        <w:rPr>
          <w:noProof/>
          <w:lang w:eastAsia="ja-JP"/>
        </w:rPr>
      </w:pPr>
      <w:r w:rsidRPr="004F5E59">
        <w:rPr>
          <w:lang w:eastAsia="ja-JP"/>
        </w:rPr>
        <w:t>2.</w:t>
      </w:r>
      <w:r w:rsidRPr="004F5E59">
        <w:rPr>
          <w:lang w:eastAsia="ja-JP"/>
        </w:rPr>
        <w:tab/>
      </w:r>
      <w:r w:rsidR="00646885" w:rsidRPr="00DF5C23">
        <w:rPr>
          <w:noProof/>
          <w:lang w:eastAsia="ja-JP"/>
        </w:rPr>
        <w:t>加盟国は、</w:t>
      </w:r>
      <w:r w:rsidR="00AF17E7" w:rsidRPr="00DF5C23">
        <w:rPr>
          <w:noProof/>
          <w:lang w:eastAsia="ja-JP"/>
        </w:rPr>
        <w:t>第</w:t>
      </w:r>
      <w:r w:rsidR="00AF17E7" w:rsidRPr="00DF5C23">
        <w:rPr>
          <w:noProof/>
          <w:lang w:eastAsia="ja-JP"/>
        </w:rPr>
        <w:t>4</w:t>
      </w:r>
      <w:r w:rsidR="00AF17E7" w:rsidRPr="00DF5C23">
        <w:rPr>
          <w:noProof/>
          <w:lang w:eastAsia="ja-JP"/>
        </w:rPr>
        <w:t>条に従って採択された</w:t>
      </w:r>
      <w:r w:rsidR="00D42014" w:rsidRPr="00DF5C23">
        <w:rPr>
          <w:noProof/>
          <w:lang w:eastAsia="ja-JP"/>
        </w:rPr>
        <w:t>委任行為に定める</w:t>
      </w:r>
      <w:r w:rsidR="001A6523">
        <w:rPr>
          <w:noProof/>
          <w:lang w:val="en-IE" w:eastAsia="fr-BE"/>
        </w:rPr>
        <w:t>性能</w:t>
      </w:r>
      <w:r w:rsidR="00D42014" w:rsidRPr="00DF5C23">
        <w:rPr>
          <w:noProof/>
          <w:lang w:eastAsia="ja-JP"/>
        </w:rPr>
        <w:t>要件に</w:t>
      </w:r>
      <w:r w:rsidR="007D4BFF" w:rsidRPr="00DF5C23">
        <w:rPr>
          <w:noProof/>
          <w:lang w:eastAsia="fr-BE"/>
        </w:rPr>
        <w:t>適合</w:t>
      </w:r>
      <w:r w:rsidR="00BD5EC4" w:rsidRPr="00DF5C23">
        <w:rPr>
          <w:noProof/>
          <w:lang w:eastAsia="ja-JP"/>
        </w:rPr>
        <w:t>する</w:t>
      </w:r>
      <w:r w:rsidR="00646885" w:rsidRPr="00DF5C23">
        <w:rPr>
          <w:noProof/>
          <w:lang w:eastAsia="ja-JP"/>
        </w:rPr>
        <w:t>製品について、</w:t>
      </w:r>
      <w:r w:rsidR="00AE6630" w:rsidRPr="00DF5C23">
        <w:rPr>
          <w:noProof/>
          <w:lang w:eastAsia="ja-JP"/>
        </w:rPr>
        <w:t>当該</w:t>
      </w:r>
      <w:r w:rsidR="004A1643" w:rsidRPr="00DF5C23">
        <w:rPr>
          <w:noProof/>
          <w:lang w:eastAsia="ja-JP"/>
        </w:rPr>
        <w:t>委任</w:t>
      </w:r>
      <w:r w:rsidR="007D4BFF" w:rsidRPr="00DF5C23">
        <w:rPr>
          <w:noProof/>
          <w:lang w:eastAsia="ja-JP"/>
        </w:rPr>
        <w:t>行為に</w:t>
      </w:r>
      <w:r w:rsidR="005400DA" w:rsidRPr="00DF5C23">
        <w:rPr>
          <w:noProof/>
          <w:lang w:eastAsia="ja-JP"/>
        </w:rPr>
        <w:t>含まれる</w:t>
      </w:r>
      <w:r w:rsidR="001A6523">
        <w:rPr>
          <w:noProof/>
          <w:lang w:eastAsia="ja-JP"/>
        </w:rPr>
        <w:t>性能</w:t>
      </w:r>
      <w:r w:rsidR="005400DA" w:rsidRPr="00DF5C23">
        <w:rPr>
          <w:noProof/>
          <w:lang w:eastAsia="ja-JP"/>
        </w:rPr>
        <w:t>要件が</w:t>
      </w:r>
      <w:r w:rsidR="00D42014" w:rsidRPr="00DF5C23">
        <w:rPr>
          <w:noProof/>
          <w:lang w:eastAsia="ja-JP"/>
        </w:rPr>
        <w:t>対象とする</w:t>
      </w:r>
      <w:r w:rsidR="00AF17E7" w:rsidRPr="00DF5C23">
        <w:rPr>
          <w:noProof/>
          <w:lang w:val="en-IE" w:eastAsia="fr-BE"/>
        </w:rPr>
        <w:t>附属書</w:t>
      </w:r>
      <w:r w:rsidR="00AF17E7" w:rsidRPr="00DF5C23">
        <w:rPr>
          <w:noProof/>
          <w:lang w:val="en-IE" w:eastAsia="fr-BE"/>
        </w:rPr>
        <w:t>I</w:t>
      </w:r>
      <w:r w:rsidR="00AF17E7" w:rsidRPr="00DF5C23">
        <w:rPr>
          <w:noProof/>
          <w:lang w:val="en-IE" w:eastAsia="fr-BE"/>
        </w:rPr>
        <w:t>に言及する</w:t>
      </w:r>
      <w:r w:rsidR="00214C38" w:rsidRPr="00DF5C23">
        <w:rPr>
          <w:noProof/>
          <w:lang w:eastAsia="ja-JP"/>
        </w:rPr>
        <w:t>製品</w:t>
      </w:r>
      <w:r w:rsidR="00AF17E7" w:rsidRPr="00DF5C23">
        <w:rPr>
          <w:noProof/>
          <w:lang w:val="en-IE" w:eastAsia="fr-BE"/>
        </w:rPr>
        <w:t>パラメータに関する</w:t>
      </w:r>
      <w:r w:rsidR="005400DA" w:rsidRPr="00DF5C23">
        <w:rPr>
          <w:noProof/>
          <w:lang w:val="en-IE" w:eastAsia="fr-BE"/>
        </w:rPr>
        <w:t>国内</w:t>
      </w:r>
      <w:r w:rsidR="001A6523">
        <w:rPr>
          <w:noProof/>
          <w:lang w:val="en-IE" w:eastAsia="fr-BE"/>
        </w:rPr>
        <w:t>性能</w:t>
      </w:r>
      <w:r w:rsidR="00AF17E7" w:rsidRPr="00DF5C23">
        <w:rPr>
          <w:noProof/>
          <w:lang w:val="en-IE" w:eastAsia="fr-BE"/>
        </w:rPr>
        <w:t>要件に適合しないことを</w:t>
      </w:r>
      <w:r w:rsidR="00AF17E7" w:rsidRPr="00DF5C23">
        <w:rPr>
          <w:noProof/>
          <w:lang w:eastAsia="ja-JP"/>
        </w:rPr>
        <w:t>理由として、</w:t>
      </w:r>
      <w:r w:rsidR="00646885" w:rsidRPr="00DF5C23">
        <w:rPr>
          <w:noProof/>
          <w:lang w:eastAsia="ja-JP"/>
        </w:rPr>
        <w:t>市場への投入又は使用開始を禁止、制限又は妨げてはならない。</w:t>
      </w:r>
      <w:r w:rsidR="00646885" w:rsidRPr="00DF5C23">
        <w:rPr>
          <w:noProof/>
          <w:lang w:eastAsia="ja-JP"/>
        </w:rPr>
        <w:t xml:space="preserve"> </w:t>
      </w:r>
    </w:p>
    <w:p w14:paraId="2B2137C1" w14:textId="77777777" w:rsidR="0038775E" w:rsidRDefault="00877B9C" w:rsidP="002041D4">
      <w:pPr>
        <w:pStyle w:val="Text1"/>
        <w:wordWrap w:val="0"/>
        <w:rPr>
          <w:noProof/>
          <w:lang w:eastAsia="ja-JP"/>
        </w:rPr>
      </w:pPr>
      <w:r w:rsidRPr="23DF1179">
        <w:rPr>
          <w:noProof/>
          <w:lang w:val="en-IE" w:eastAsia="ja-JP"/>
        </w:rPr>
        <w:t>加盟国は、第</w:t>
      </w:r>
      <w:r w:rsidRPr="23DF1179">
        <w:rPr>
          <w:noProof/>
          <w:lang w:val="en-IE" w:eastAsia="ja-JP"/>
        </w:rPr>
        <w:t>4</w:t>
      </w:r>
      <w:r w:rsidRPr="23DF1179">
        <w:rPr>
          <w:noProof/>
          <w:lang w:val="en-IE" w:eastAsia="ja-JP"/>
        </w:rPr>
        <w:t>条に従って採択された委任法に規定された情報要件に適合する製品について、当該委任</w:t>
      </w:r>
      <w:r w:rsidRPr="23DF1179">
        <w:rPr>
          <w:noProof/>
          <w:color w:val="000000"/>
          <w:lang w:val="en-IE" w:eastAsia="ja-JP"/>
        </w:rPr>
        <w:t>法に</w:t>
      </w:r>
      <w:r w:rsidRPr="23DF1179">
        <w:rPr>
          <w:noProof/>
          <w:lang w:val="en-IE" w:eastAsia="ja-JP"/>
        </w:rPr>
        <w:t>含まれる情報要件の対象となる附属書</w:t>
      </w:r>
      <w:r w:rsidRPr="23DF1179">
        <w:rPr>
          <w:noProof/>
          <w:lang w:val="en-IE" w:eastAsia="ja-JP"/>
        </w:rPr>
        <w:t>I</w:t>
      </w:r>
      <w:r w:rsidRPr="23DF1179">
        <w:rPr>
          <w:noProof/>
          <w:lang w:val="en-IE" w:eastAsia="ja-JP"/>
        </w:rPr>
        <w:t>に言及する製品パラメータに関する国内情報要件の不遵守を理由として、市場への出品又は使用開始を禁止、制限又は妨げてはならない。</w:t>
      </w:r>
    </w:p>
    <w:p w14:paraId="3464AB60" w14:textId="77777777" w:rsidR="0038775E" w:rsidRDefault="00877B9C" w:rsidP="002041D4">
      <w:pPr>
        <w:pStyle w:val="ManualNumPar1"/>
        <w:wordWrap w:val="0"/>
        <w:rPr>
          <w:noProof/>
          <w:lang w:val="en-IE" w:eastAsia="fr-BE"/>
        </w:rPr>
      </w:pPr>
      <w:r w:rsidRPr="004F5E59">
        <w:rPr>
          <w:lang w:eastAsia="ja-JP"/>
        </w:rPr>
        <w:t>3.</w:t>
      </w:r>
      <w:r w:rsidRPr="004F5E59">
        <w:rPr>
          <w:lang w:eastAsia="ja-JP"/>
        </w:rPr>
        <w:tab/>
      </w:r>
      <w:r w:rsidR="001C6360">
        <w:rPr>
          <w:noProof/>
          <w:lang w:val="en-IE" w:eastAsia="fr-BE"/>
        </w:rPr>
        <w:t>第</w:t>
      </w:r>
      <w:r w:rsidR="001C6360">
        <w:rPr>
          <w:noProof/>
          <w:lang w:val="en-IE" w:eastAsia="fr-BE"/>
        </w:rPr>
        <w:t xml:space="preserve"> 2 </w:t>
      </w:r>
      <w:r w:rsidR="001C6360">
        <w:rPr>
          <w:noProof/>
          <w:lang w:val="en-IE" w:eastAsia="fr-BE"/>
        </w:rPr>
        <w:t>項は、</w:t>
      </w:r>
      <w:r w:rsidR="0681B866" w:rsidRPr="00DF5C23">
        <w:rPr>
          <w:noProof/>
          <w:lang w:val="en-IE" w:eastAsia="fr-BE"/>
        </w:rPr>
        <w:t>加盟国が、</w:t>
      </w:r>
      <w:r w:rsidR="00DA1886" w:rsidRPr="00DF5C23">
        <w:rPr>
          <w:noProof/>
          <w:lang w:val="en-IE" w:eastAsia="fr-BE"/>
        </w:rPr>
        <w:t>欧州議会および理事会の</w:t>
      </w:r>
      <w:r w:rsidR="0681B866" w:rsidRPr="00DF5C23">
        <w:rPr>
          <w:noProof/>
          <w:lang w:val="en-IE" w:eastAsia="fr-BE"/>
        </w:rPr>
        <w:t>指令</w:t>
      </w:r>
      <w:r w:rsidR="0681B866" w:rsidRPr="00DF5C23">
        <w:rPr>
          <w:noProof/>
          <w:lang w:val="en-IE" w:eastAsia="fr-BE"/>
        </w:rPr>
        <w:t xml:space="preserve"> 2010/31/EU</w:t>
      </w:r>
      <w:r w:rsidR="00DA1886" w:rsidRPr="00DF5C23">
        <w:rPr>
          <w:rStyle w:val="afa"/>
          <w:noProof/>
          <w:lang w:val="en-IE" w:eastAsia="fr-BE"/>
        </w:rPr>
        <w:footnoteReference w:id="86"/>
      </w:r>
      <w:r w:rsidR="00FB5188" w:rsidRPr="00DF5C23">
        <w:rPr>
          <w:noProof/>
          <w:lang w:val="en-IE" w:eastAsia="fr-BE"/>
        </w:rPr>
        <w:t xml:space="preserve"> </w:t>
      </w:r>
      <w:r w:rsidR="00FB5188" w:rsidRPr="00DF5C23">
        <w:rPr>
          <w:noProof/>
          <w:lang w:val="en-IE" w:eastAsia="fr-BE"/>
        </w:rPr>
        <w:t>の第</w:t>
      </w:r>
      <w:r w:rsidR="00FB5188" w:rsidRPr="00DF5C23">
        <w:rPr>
          <w:noProof/>
          <w:lang w:val="en-IE" w:eastAsia="fr-BE"/>
        </w:rPr>
        <w:t xml:space="preserve"> </w:t>
      </w:r>
      <w:r w:rsidR="00DA1886" w:rsidRPr="00DF5C23">
        <w:rPr>
          <w:noProof/>
          <w:lang w:val="en-IE" w:eastAsia="fr-BE"/>
        </w:rPr>
        <w:t xml:space="preserve">4 </w:t>
      </w:r>
      <w:r w:rsidR="00FB5188" w:rsidRPr="00DF5C23">
        <w:rPr>
          <w:noProof/>
          <w:lang w:val="en-IE" w:eastAsia="fr-BE"/>
        </w:rPr>
        <w:t>条（</w:t>
      </w:r>
      <w:r w:rsidR="00FB5188" w:rsidRPr="00DF5C23">
        <w:rPr>
          <w:noProof/>
          <w:lang w:val="en-IE" w:eastAsia="fr-BE"/>
        </w:rPr>
        <w:t>1</w:t>
      </w:r>
      <w:r w:rsidR="00FB5188" w:rsidRPr="00DF5C23">
        <w:rPr>
          <w:noProof/>
          <w:lang w:val="en-IE" w:eastAsia="fr-BE"/>
        </w:rPr>
        <w:t>）に従って最低</w:t>
      </w:r>
      <w:r w:rsidR="0681B866" w:rsidRPr="00DF5C23">
        <w:rPr>
          <w:noProof/>
          <w:lang w:val="en-IE" w:eastAsia="fr-BE"/>
        </w:rPr>
        <w:t>エネルギー性能要件を、第</w:t>
      </w:r>
      <w:r w:rsidR="0681B866" w:rsidRPr="00DF5C23">
        <w:rPr>
          <w:noProof/>
          <w:lang w:val="en-IE" w:eastAsia="fr-BE"/>
        </w:rPr>
        <w:t xml:space="preserve"> </w:t>
      </w:r>
      <w:r w:rsidR="00DA1886" w:rsidRPr="00DF5C23">
        <w:rPr>
          <w:noProof/>
          <w:lang w:val="en-IE" w:eastAsia="fr-BE"/>
        </w:rPr>
        <w:t xml:space="preserve">8 </w:t>
      </w:r>
      <w:r w:rsidR="0681B866" w:rsidRPr="00DF5C23">
        <w:rPr>
          <w:noProof/>
          <w:lang w:val="en-IE" w:eastAsia="fr-BE"/>
        </w:rPr>
        <w:t>条に従ってシステム要件を設定することを妨げない</w:t>
      </w:r>
      <w:r w:rsidR="00FB5188" w:rsidRPr="00DF5C23">
        <w:rPr>
          <w:noProof/>
          <w:lang w:val="en-IE" w:eastAsia="fr-BE"/>
        </w:rPr>
        <w:t>ものとする。</w:t>
      </w:r>
    </w:p>
    <w:p w14:paraId="06390FF2" w14:textId="77777777" w:rsidR="0038775E" w:rsidRDefault="00877B9C" w:rsidP="002041D4">
      <w:pPr>
        <w:pStyle w:val="ManualNumPar1"/>
        <w:wordWrap w:val="0"/>
        <w:rPr>
          <w:noProof/>
          <w:lang w:val="en-IE" w:eastAsia="fr-BE"/>
        </w:rPr>
      </w:pPr>
      <w:r w:rsidRPr="004F5E59">
        <w:rPr>
          <w:lang w:eastAsia="ja-JP"/>
        </w:rPr>
        <w:t>4.</w:t>
      </w:r>
      <w:r w:rsidRPr="004F5E59">
        <w:rPr>
          <w:lang w:eastAsia="ja-JP"/>
        </w:rPr>
        <w:tab/>
      </w:r>
      <w:r w:rsidR="00646885" w:rsidRPr="00DF5C23">
        <w:rPr>
          <w:noProof/>
          <w:lang w:val="en-IE" w:eastAsia="fr-BE"/>
        </w:rPr>
        <w:t>加盟国は、</w:t>
      </w:r>
      <w:r w:rsidR="00850318" w:rsidRPr="00DF5C23">
        <w:rPr>
          <w:noProof/>
          <w:lang w:val="en-IE" w:eastAsia="fr-BE"/>
        </w:rPr>
        <w:t>第</w:t>
      </w:r>
      <w:r w:rsidR="00850318" w:rsidRPr="00DF5C23">
        <w:rPr>
          <w:noProof/>
          <w:lang w:val="en-IE" w:eastAsia="fr-BE"/>
        </w:rPr>
        <w:t>4</w:t>
      </w:r>
      <w:r w:rsidR="004A1643" w:rsidRPr="00DF5C23">
        <w:rPr>
          <w:noProof/>
          <w:lang w:val="en-IE" w:eastAsia="fr-BE"/>
        </w:rPr>
        <w:t>条に従って</w:t>
      </w:r>
      <w:r w:rsidR="00F154EB" w:rsidRPr="00DF5C23">
        <w:rPr>
          <w:noProof/>
          <w:lang w:val="en-IE" w:eastAsia="fr-BE"/>
        </w:rPr>
        <w:t>採択された</w:t>
      </w:r>
      <w:r w:rsidR="004A1643" w:rsidRPr="00DF5C23">
        <w:rPr>
          <w:noProof/>
          <w:lang w:val="en-IE" w:eastAsia="fr-BE"/>
        </w:rPr>
        <w:t>委任</w:t>
      </w:r>
      <w:r w:rsidR="000D7D5A">
        <w:rPr>
          <w:noProof/>
          <w:lang w:val="en-IE" w:eastAsia="fr-BE"/>
        </w:rPr>
        <w:t>法が</w:t>
      </w:r>
      <w:r w:rsidR="001A6523">
        <w:rPr>
          <w:noProof/>
          <w:lang w:val="en-IE" w:eastAsia="fr-BE"/>
        </w:rPr>
        <w:t>性能要件、情報要件又は性能要件及び情報要件のいずれも</w:t>
      </w:r>
      <w:r w:rsidR="00646885" w:rsidRPr="00DF5C23">
        <w:rPr>
          <w:noProof/>
          <w:lang w:val="en-IE" w:eastAsia="fr-BE"/>
        </w:rPr>
        <w:t>不要と規定している附属書</w:t>
      </w:r>
      <w:r w:rsidR="00646885" w:rsidRPr="00DF5C23">
        <w:rPr>
          <w:noProof/>
          <w:lang w:val="en-IE" w:eastAsia="fr-BE"/>
        </w:rPr>
        <w:t>I</w:t>
      </w:r>
      <w:r w:rsidR="00646885" w:rsidRPr="00DF5C23">
        <w:rPr>
          <w:noProof/>
          <w:lang w:val="en-IE" w:eastAsia="fr-BE"/>
        </w:rPr>
        <w:t>の</w:t>
      </w:r>
      <w:r w:rsidR="00214C38" w:rsidRPr="00DF5C23">
        <w:rPr>
          <w:noProof/>
          <w:lang w:eastAsia="ja-JP"/>
        </w:rPr>
        <w:t>製品</w:t>
      </w:r>
      <w:r w:rsidR="00646885" w:rsidRPr="00DF5C23">
        <w:rPr>
          <w:noProof/>
          <w:lang w:val="en-IE" w:eastAsia="fr-BE"/>
        </w:rPr>
        <w:t>パラメータに関する</w:t>
      </w:r>
      <w:r w:rsidR="005400DA" w:rsidRPr="00DF5C23">
        <w:rPr>
          <w:noProof/>
          <w:lang w:val="en-IE" w:eastAsia="fr-BE"/>
        </w:rPr>
        <w:t>国内</w:t>
      </w:r>
      <w:r w:rsidR="00646885" w:rsidRPr="00DF5C23">
        <w:rPr>
          <w:noProof/>
          <w:lang w:val="en-IE" w:eastAsia="fr-BE"/>
        </w:rPr>
        <w:t>要件の</w:t>
      </w:r>
      <w:r w:rsidR="00C15A29" w:rsidRPr="00DF5C23">
        <w:rPr>
          <w:noProof/>
          <w:lang w:val="en-IE" w:eastAsia="fr-BE"/>
        </w:rPr>
        <w:t>不遵守を</w:t>
      </w:r>
      <w:r w:rsidR="00646885" w:rsidRPr="00DF5C23">
        <w:rPr>
          <w:noProof/>
          <w:lang w:val="en-IE" w:eastAsia="fr-BE"/>
        </w:rPr>
        <w:t>理由として、製品の上市又は使用開始を禁止、制限又は妨げてはならない。</w:t>
      </w:r>
    </w:p>
    <w:p w14:paraId="562565F8" w14:textId="77777777" w:rsidR="0038775E" w:rsidRDefault="00877B9C" w:rsidP="002041D4">
      <w:pPr>
        <w:pStyle w:val="ManualNumPar1"/>
        <w:wordWrap w:val="0"/>
        <w:rPr>
          <w:noProof/>
          <w:lang w:val="en-IE" w:eastAsia="fr-BE"/>
        </w:rPr>
      </w:pPr>
      <w:r w:rsidRPr="004F5E59">
        <w:rPr>
          <w:lang w:eastAsia="ja-JP"/>
        </w:rPr>
        <w:t>5.</w:t>
      </w:r>
      <w:r w:rsidRPr="004F5E59">
        <w:rPr>
          <w:lang w:eastAsia="ja-JP"/>
        </w:rPr>
        <w:tab/>
      </w:r>
      <w:r w:rsidR="00507D9B" w:rsidRPr="00DF5C23">
        <w:rPr>
          <w:noProof/>
          <w:lang w:val="en-IE" w:eastAsia="fr-BE"/>
        </w:rPr>
        <w:t>見本市、展示会及び類似のイベントにおいて、</w:t>
      </w:r>
      <w:r w:rsidR="0681B866" w:rsidRPr="00DF5C23">
        <w:rPr>
          <w:noProof/>
          <w:lang w:val="en-IE" w:eastAsia="fr-BE"/>
        </w:rPr>
        <w:t>加盟国は、</w:t>
      </w:r>
      <w:r w:rsidR="00850318" w:rsidRPr="00DF5C23">
        <w:rPr>
          <w:noProof/>
          <w:lang w:val="en-IE" w:eastAsia="fr-BE"/>
        </w:rPr>
        <w:t>第</w:t>
      </w:r>
      <w:r w:rsidR="00850318" w:rsidRPr="00DF5C23">
        <w:rPr>
          <w:noProof/>
          <w:lang w:val="en-IE" w:eastAsia="fr-BE"/>
        </w:rPr>
        <w:t>4</w:t>
      </w:r>
      <w:r w:rsidR="00850318" w:rsidRPr="00DF5C23">
        <w:rPr>
          <w:noProof/>
          <w:lang w:val="en-IE" w:eastAsia="fr-BE"/>
        </w:rPr>
        <w:t>条に従って採択された</w:t>
      </w:r>
      <w:r w:rsidR="007D4BFF" w:rsidRPr="00DF5C23">
        <w:rPr>
          <w:noProof/>
          <w:lang w:val="en-IE" w:eastAsia="fr-BE"/>
        </w:rPr>
        <w:t>委任行為に</w:t>
      </w:r>
      <w:r w:rsidR="00507D9B" w:rsidRPr="00DF5C23">
        <w:rPr>
          <w:noProof/>
          <w:lang w:val="en-IE" w:eastAsia="fr-BE"/>
        </w:rPr>
        <w:t>適合しない</w:t>
      </w:r>
      <w:r w:rsidR="0681B866" w:rsidRPr="00DF5C23">
        <w:rPr>
          <w:noProof/>
          <w:lang w:val="en-IE" w:eastAsia="fr-BE"/>
        </w:rPr>
        <w:t>製品の</w:t>
      </w:r>
      <w:r w:rsidR="00507D9B" w:rsidRPr="00DF5C23">
        <w:rPr>
          <w:noProof/>
          <w:lang w:val="en-IE" w:eastAsia="fr-BE"/>
        </w:rPr>
        <w:t>展示を</w:t>
      </w:r>
      <w:r w:rsidR="0681B866" w:rsidRPr="00DF5C23">
        <w:rPr>
          <w:noProof/>
          <w:lang w:val="en-IE" w:eastAsia="fr-BE"/>
        </w:rPr>
        <w:t>妨げない</w:t>
      </w:r>
      <w:r w:rsidR="007D4BFF" w:rsidRPr="00DF5C23">
        <w:rPr>
          <w:noProof/>
          <w:lang w:val="en-IE" w:eastAsia="fr-BE"/>
        </w:rPr>
        <w:t>。</w:t>
      </w:r>
      <w:r w:rsidR="00507D9B" w:rsidRPr="00DF5C23">
        <w:rPr>
          <w:noProof/>
          <w:lang w:val="en-IE" w:eastAsia="fr-BE"/>
        </w:rPr>
        <w:t>ただし、当該製品が適合しないこと及び</w:t>
      </w:r>
      <w:r w:rsidR="0681B866" w:rsidRPr="00DF5C23">
        <w:rPr>
          <w:noProof/>
          <w:lang w:val="en-IE" w:eastAsia="fr-BE"/>
        </w:rPr>
        <w:t>適合さ</w:t>
      </w:r>
      <w:r w:rsidR="00507D9B" w:rsidRPr="00DF5C23">
        <w:rPr>
          <w:noProof/>
          <w:lang w:val="en-IE" w:eastAsia="fr-BE"/>
        </w:rPr>
        <w:t>せるまでは販売しないことを、目に見える標識で明示することが条件となる。</w:t>
      </w:r>
    </w:p>
    <w:p w14:paraId="73C5B7A1" w14:textId="77777777" w:rsidR="0038775E" w:rsidRDefault="00877B9C" w:rsidP="002041D4">
      <w:pPr>
        <w:pStyle w:val="ManualHeading1"/>
        <w:wordWrap w:val="0"/>
        <w:jc w:val="center"/>
        <w:rPr>
          <w:noProof/>
          <w:lang w:eastAsia="ja-JP"/>
        </w:rPr>
      </w:pPr>
      <w:r w:rsidRPr="00DF5C23">
        <w:rPr>
          <w:noProof/>
          <w:lang w:eastAsia="ja-JP"/>
        </w:rPr>
        <w:t>第</w:t>
      </w:r>
      <w:r w:rsidRPr="00DF5C23">
        <w:rPr>
          <w:noProof/>
          <w:lang w:eastAsia="ja-JP"/>
        </w:rPr>
        <w:t>II</w:t>
      </w:r>
      <w:r w:rsidRPr="00DF5C23">
        <w:rPr>
          <w:noProof/>
          <w:lang w:eastAsia="ja-JP"/>
        </w:rPr>
        <w:t>章</w:t>
      </w:r>
      <w:r w:rsidRPr="00DF5C23">
        <w:rPr>
          <w:noProof/>
          <w:lang w:eastAsia="ja-JP"/>
        </w:rPr>
        <w:t xml:space="preserve"> </w:t>
      </w:r>
      <w:r w:rsidRPr="00DF5C23">
        <w:rPr>
          <w:noProof/>
          <w:lang w:eastAsia="ja-JP"/>
        </w:rPr>
        <w:t>エコデザイン要件</w:t>
      </w:r>
    </w:p>
    <w:p w14:paraId="032281D8" w14:textId="77777777" w:rsidR="0038775E" w:rsidRDefault="00877B9C" w:rsidP="002041D4">
      <w:pPr>
        <w:pStyle w:val="Titrearticle"/>
        <w:wordWrap w:val="0"/>
        <w:rPr>
          <w:noProof/>
          <w:lang w:val="en-IE" w:eastAsia="fr-BE"/>
        </w:rPr>
      </w:pPr>
      <w:r w:rsidRPr="00DF5C23">
        <w:rPr>
          <w:noProof/>
          <w:lang w:val="en-IE" w:eastAsia="fr-BE"/>
        </w:rPr>
        <w:t>第</w:t>
      </w:r>
      <w:r w:rsidRPr="00DF5C23">
        <w:rPr>
          <w:noProof/>
          <w:lang w:val="en-IE" w:eastAsia="fr-BE"/>
        </w:rPr>
        <w:t>4</w:t>
      </w:r>
      <w:r w:rsidRPr="00DF5C23">
        <w:rPr>
          <w:noProof/>
          <w:lang w:val="en-IE" w:eastAsia="fr-BE"/>
        </w:rPr>
        <w:t>条</w:t>
      </w:r>
      <w:r w:rsidRPr="00DF5C23">
        <w:rPr>
          <w:noProof/>
          <w:lang w:val="en-IE" w:eastAsia="fr-BE"/>
        </w:rPr>
        <w:t xml:space="preserve"> </w:t>
      </w:r>
      <w:r w:rsidRPr="00DF5C23">
        <w:rPr>
          <w:noProof/>
          <w:lang w:eastAsia="ja-JP"/>
        </w:rPr>
        <w:br/>
      </w:r>
      <w:r w:rsidRPr="00DF5C23">
        <w:rPr>
          <w:noProof/>
          <w:lang w:val="en-IE" w:eastAsia="fr-BE"/>
        </w:rPr>
        <w:t>委任された行為を採択する権限</w:t>
      </w:r>
    </w:p>
    <w:p w14:paraId="5DDBF3BD" w14:textId="77777777" w:rsidR="0038775E" w:rsidRDefault="00877B9C" w:rsidP="002041D4">
      <w:pPr>
        <w:wordWrap w:val="0"/>
        <w:rPr>
          <w:noProof/>
          <w:lang w:val="en-IE" w:eastAsia="fr-BE"/>
        </w:rPr>
      </w:pPr>
      <w:r w:rsidRPr="00DF5C23">
        <w:rPr>
          <w:noProof/>
          <w:lang w:val="en-IE" w:eastAsia="fr-BE"/>
        </w:rPr>
        <w:t>欧州委員会は、</w:t>
      </w:r>
      <w:r w:rsidR="00B12939" w:rsidRPr="00DF5C23">
        <w:rPr>
          <w:noProof/>
          <w:lang w:val="en-IE" w:eastAsia="fr-BE"/>
        </w:rPr>
        <w:t>第</w:t>
      </w:r>
      <w:r w:rsidR="00B12939" w:rsidRPr="00DF5C23">
        <w:rPr>
          <w:noProof/>
          <w:lang w:val="en-IE" w:eastAsia="fr-BE"/>
        </w:rPr>
        <w:t>66</w:t>
      </w:r>
      <w:r w:rsidRPr="00DF5C23">
        <w:rPr>
          <w:noProof/>
          <w:lang w:val="en-IE" w:eastAsia="fr-BE"/>
        </w:rPr>
        <w:t>条に基づき、製品の</w:t>
      </w:r>
      <w:r w:rsidR="00E3422A" w:rsidRPr="00DF5C23">
        <w:rPr>
          <w:noProof/>
          <w:lang w:val="en-IE" w:eastAsia="fr-BE"/>
        </w:rPr>
        <w:t>環境持続可能性を向上させるために、製品に対する、</w:t>
      </w:r>
      <w:r w:rsidRPr="00DF5C23">
        <w:rPr>
          <w:noProof/>
          <w:lang w:val="en-IE" w:eastAsia="fr-BE"/>
        </w:rPr>
        <w:t>または製品に関連するエコデザイン要件を定めることにより、本規則を補足する委任行為を採択する権限を有する。これらの要求事項は、付属書</w:t>
      </w:r>
      <w:r w:rsidRPr="00DF5C23">
        <w:rPr>
          <w:noProof/>
          <w:lang w:val="en-IE" w:eastAsia="fr-BE"/>
        </w:rPr>
        <w:t>VI</w:t>
      </w:r>
      <w:r w:rsidRPr="00DF5C23">
        <w:rPr>
          <w:noProof/>
          <w:lang w:val="en-IE" w:eastAsia="fr-BE"/>
        </w:rPr>
        <w:t>に列挙された要素を含むものとし、第</w:t>
      </w:r>
      <w:r w:rsidRPr="00DF5C23">
        <w:rPr>
          <w:noProof/>
          <w:lang w:val="en-IE" w:eastAsia="fr-BE"/>
        </w:rPr>
        <w:t>5</w:t>
      </w:r>
      <w:r w:rsidRPr="00DF5C23">
        <w:rPr>
          <w:noProof/>
          <w:lang w:val="en-IE" w:eastAsia="fr-BE"/>
        </w:rPr>
        <w:t>条、第</w:t>
      </w:r>
      <w:r w:rsidRPr="00DF5C23">
        <w:rPr>
          <w:noProof/>
          <w:lang w:val="en-IE" w:eastAsia="fr-BE"/>
        </w:rPr>
        <w:t>6</w:t>
      </w:r>
      <w:r w:rsidRPr="00DF5C23">
        <w:rPr>
          <w:noProof/>
          <w:lang w:val="en-IE" w:eastAsia="fr-BE"/>
        </w:rPr>
        <w:t>条および第</w:t>
      </w:r>
      <w:r w:rsidRPr="00DF5C23">
        <w:rPr>
          <w:noProof/>
          <w:lang w:val="en-IE" w:eastAsia="fr-BE"/>
        </w:rPr>
        <w:t>7</w:t>
      </w:r>
      <w:r w:rsidRPr="00DF5C23">
        <w:rPr>
          <w:noProof/>
          <w:lang w:val="en-IE" w:eastAsia="fr-BE"/>
        </w:rPr>
        <w:t>条ならびに第</w:t>
      </w:r>
      <w:r w:rsidRPr="00DF5C23">
        <w:rPr>
          <w:noProof/>
          <w:lang w:val="en-IE" w:eastAsia="fr-BE"/>
        </w:rPr>
        <w:t>3</w:t>
      </w:r>
      <w:r w:rsidRPr="00DF5C23">
        <w:rPr>
          <w:noProof/>
          <w:lang w:val="en-IE" w:eastAsia="fr-BE"/>
        </w:rPr>
        <w:t>章に従って制定されなければならない。</w:t>
      </w:r>
      <w:r w:rsidR="00F154EB" w:rsidRPr="00DF5C23">
        <w:rPr>
          <w:noProof/>
          <w:lang w:val="en-IE" w:eastAsia="fr-BE"/>
        </w:rPr>
        <w:t>エコデザイン要求事項を採択する権限には、附属書</w:t>
      </w:r>
      <w:r w:rsidR="00F154EB" w:rsidRPr="00DF5C23">
        <w:rPr>
          <w:noProof/>
          <w:lang w:val="en-IE" w:eastAsia="fr-BE"/>
        </w:rPr>
        <w:t>I</w:t>
      </w:r>
      <w:r w:rsidR="00F154EB" w:rsidRPr="00DF5C23">
        <w:rPr>
          <w:noProof/>
          <w:lang w:val="en-IE" w:eastAsia="fr-BE"/>
        </w:rPr>
        <w:t>で言及される特定の特定</w:t>
      </w:r>
      <w:r w:rsidR="00214C38" w:rsidRPr="00DF5C23">
        <w:rPr>
          <w:noProof/>
          <w:lang w:eastAsia="ja-JP"/>
        </w:rPr>
        <w:t>製品</w:t>
      </w:r>
      <w:r w:rsidR="00F154EB" w:rsidRPr="00DF5C23">
        <w:rPr>
          <w:noProof/>
          <w:lang w:val="en-IE" w:eastAsia="fr-BE"/>
        </w:rPr>
        <w:t>パラメータについて、</w:t>
      </w:r>
      <w:r w:rsidR="001A6523" w:rsidRPr="001A6523">
        <w:rPr>
          <w:noProof/>
          <w:lang w:val="en-IE" w:eastAsia="ja-JP"/>
        </w:rPr>
        <w:t>性能要求事項、情報要求事項、または性能要求事項と情報要求事項のいずれも</w:t>
      </w:r>
      <w:r w:rsidR="00F154EB" w:rsidRPr="00DF5C23">
        <w:rPr>
          <w:noProof/>
          <w:lang w:val="en-IE" w:eastAsia="fr-BE"/>
        </w:rPr>
        <w:t>必要ないことを定める権限も含まれる。</w:t>
      </w:r>
    </w:p>
    <w:p w14:paraId="5A22834F" w14:textId="52FAB63D" w:rsidR="0038775E" w:rsidRDefault="00877B9C" w:rsidP="002041D4">
      <w:pPr>
        <w:wordWrap w:val="0"/>
        <w:rPr>
          <w:noProof/>
          <w:lang w:val="en-IE" w:eastAsia="fr-BE"/>
        </w:rPr>
      </w:pPr>
      <w:r w:rsidRPr="00DF5C23">
        <w:rPr>
          <w:noProof/>
          <w:lang w:val="en-IE" w:eastAsia="fr-BE"/>
        </w:rPr>
        <w:t>第</w:t>
      </w:r>
      <w:r w:rsidRPr="00DF5C23">
        <w:rPr>
          <w:noProof/>
          <w:lang w:val="en-IE" w:eastAsia="fr-BE"/>
        </w:rPr>
        <w:t>1</w:t>
      </w:r>
      <w:r w:rsidRPr="00DF5C23">
        <w:rPr>
          <w:noProof/>
          <w:lang w:val="en-IE" w:eastAsia="fr-BE"/>
        </w:rPr>
        <w:t>号に</w:t>
      </w:r>
      <w:r w:rsidR="00793608" w:rsidRPr="00DF5C23">
        <w:rPr>
          <w:noProof/>
          <w:lang w:val="en-IE" w:eastAsia="fr-BE"/>
        </w:rPr>
        <w:t>言及する委任行為において</w:t>
      </w:r>
      <w:r w:rsidRPr="00DF5C23">
        <w:rPr>
          <w:noProof/>
          <w:lang w:val="en-IE" w:eastAsia="fr-BE"/>
        </w:rPr>
        <w:t>エコデザイン要件を定める場合、欧州委員会は、</w:t>
      </w:r>
      <w:r w:rsidR="00B12939" w:rsidRPr="00DF5C23">
        <w:rPr>
          <w:noProof/>
          <w:lang w:val="en-IE" w:eastAsia="fr-BE"/>
        </w:rPr>
        <w:t>第</w:t>
      </w:r>
      <w:r w:rsidR="00B12939" w:rsidRPr="00DF5C23">
        <w:rPr>
          <w:noProof/>
          <w:lang w:val="en-IE" w:eastAsia="fr-BE"/>
        </w:rPr>
        <w:t>36</w:t>
      </w:r>
      <w:r w:rsidRPr="00DF5C23">
        <w:rPr>
          <w:noProof/>
          <w:lang w:val="en-IE" w:eastAsia="fr-BE"/>
        </w:rPr>
        <w:t>条に従い、本規則の付属書</w:t>
      </w:r>
      <w:r w:rsidRPr="00DF5C23">
        <w:rPr>
          <w:noProof/>
          <w:lang w:val="en-IE" w:eastAsia="fr-BE"/>
        </w:rPr>
        <w:t>IV</w:t>
      </w:r>
      <w:r w:rsidRPr="00DF5C23">
        <w:rPr>
          <w:noProof/>
          <w:lang w:val="en-IE" w:eastAsia="fr-BE"/>
        </w:rPr>
        <w:t>および決定</w:t>
      </w:r>
      <w:r w:rsidRPr="00DF5C23">
        <w:rPr>
          <w:noProof/>
          <w:lang w:val="en-IE" w:eastAsia="fr-BE"/>
        </w:rPr>
        <w:t>No 768/2008/EC</w:t>
      </w:r>
      <w:r w:rsidRPr="00DF5C23">
        <w:rPr>
          <w:noProof/>
          <w:lang w:val="en-IE" w:eastAsia="fr-BE"/>
        </w:rPr>
        <w:t>の付属書</w:t>
      </w:r>
      <w:r w:rsidRPr="00DF5C23">
        <w:rPr>
          <w:noProof/>
          <w:lang w:val="en-IE" w:eastAsia="fr-BE"/>
        </w:rPr>
        <w:t>II</w:t>
      </w:r>
      <w:r w:rsidRPr="00DF5C23">
        <w:rPr>
          <w:noProof/>
          <w:lang w:val="en-IE" w:eastAsia="fr-BE"/>
        </w:rPr>
        <w:t>に定める</w:t>
      </w:r>
      <w:r w:rsidRPr="00DF5C23">
        <w:rPr>
          <w:noProof/>
          <w:lang w:val="en-IE" w:eastAsia="fr-BE"/>
        </w:rPr>
        <w:lastRenderedPageBreak/>
        <w:t>モジュールの中から、当該製品またはエコデザイン要件に鑑みて必要な適合性評価手続きを特定し、本規則を補足するものと</w:t>
      </w:r>
      <w:r w:rsidR="002041D4">
        <w:rPr>
          <w:noProof/>
          <w:lang w:val="en-IE" w:eastAsia="fr-BE"/>
        </w:rPr>
        <w:t>する</w:t>
      </w:r>
      <w:r w:rsidR="00FA6536" w:rsidRPr="00DF5C23">
        <w:rPr>
          <w:noProof/>
          <w:lang w:val="en-IE" w:eastAsia="fr-BE"/>
        </w:rPr>
        <w:t>。</w:t>
      </w:r>
    </w:p>
    <w:p w14:paraId="791462E2" w14:textId="77777777" w:rsidR="0038775E" w:rsidRDefault="00877B9C" w:rsidP="002041D4">
      <w:pPr>
        <w:wordWrap w:val="0"/>
        <w:rPr>
          <w:noProof/>
          <w:lang w:val="en-IE" w:eastAsia="fr-BE"/>
        </w:rPr>
      </w:pPr>
      <w:r w:rsidRPr="00DF5C23">
        <w:rPr>
          <w:noProof/>
          <w:lang w:val="en-IE" w:eastAsia="fr-BE"/>
        </w:rPr>
        <w:t>第</w:t>
      </w:r>
      <w:r w:rsidRPr="00DF5C23">
        <w:rPr>
          <w:noProof/>
          <w:lang w:val="en-IE" w:eastAsia="fr-BE"/>
        </w:rPr>
        <w:t>1</w:t>
      </w:r>
      <w:r w:rsidR="00DB3F29" w:rsidRPr="00DF5C23">
        <w:rPr>
          <w:noProof/>
          <w:lang w:val="en-IE" w:eastAsia="fr-BE"/>
        </w:rPr>
        <w:t>号に</w:t>
      </w:r>
      <w:r w:rsidR="00793608" w:rsidRPr="00DF5C23">
        <w:rPr>
          <w:noProof/>
          <w:lang w:val="en-IE" w:eastAsia="fr-BE"/>
        </w:rPr>
        <w:t>言及する</w:t>
      </w:r>
      <w:r w:rsidR="00B57782" w:rsidRPr="00DF5C23">
        <w:rPr>
          <w:noProof/>
          <w:lang w:val="en-IE" w:eastAsia="fr-BE"/>
        </w:rPr>
        <w:t>委任法は、また、以下の</w:t>
      </w:r>
      <w:r w:rsidR="009E584E" w:rsidRPr="00DF5C23">
        <w:rPr>
          <w:noProof/>
          <w:lang w:val="en-IE" w:eastAsia="fr-BE"/>
        </w:rPr>
        <w:t>方法により本規則を補足する</w:t>
      </w:r>
      <w:r w:rsidR="00B57782" w:rsidRPr="00DF5C23">
        <w:rPr>
          <w:noProof/>
          <w:lang w:val="en-IE" w:eastAsia="fr-BE"/>
        </w:rPr>
        <w:t>ことができる：</w:t>
      </w:r>
    </w:p>
    <w:p w14:paraId="1E227B9A" w14:textId="77777777" w:rsidR="0038775E" w:rsidRDefault="00877B9C" w:rsidP="002041D4">
      <w:pPr>
        <w:pStyle w:val="Point0"/>
        <w:wordWrap w:val="0"/>
        <w:rPr>
          <w:noProof/>
          <w:lang w:val="en-IE" w:eastAsia="fr-BE"/>
        </w:rPr>
      </w:pPr>
      <w:r w:rsidRPr="004F5E59">
        <w:rPr>
          <w:lang w:eastAsia="ja-JP"/>
        </w:rPr>
        <w:t>(a)</w:t>
      </w:r>
      <w:r w:rsidRPr="004F5E59">
        <w:rPr>
          <w:lang w:eastAsia="ja-JP"/>
        </w:rPr>
        <w:tab/>
      </w:r>
      <w:r w:rsidR="00DB3F29" w:rsidRPr="00DF5C23">
        <w:rPr>
          <w:noProof/>
          <w:lang w:val="en-IE" w:eastAsia="fr-BE"/>
        </w:rPr>
        <w:t>製造業者、その正規代理人または輸入業者に対し、</w:t>
      </w:r>
      <w:r w:rsidR="00B12939" w:rsidRPr="00DF5C23">
        <w:rPr>
          <w:noProof/>
          <w:lang w:val="en-IE" w:eastAsia="ja-JP"/>
        </w:rPr>
        <w:t>第</w:t>
      </w:r>
      <w:r w:rsidR="00B12939" w:rsidRPr="00DF5C23">
        <w:rPr>
          <w:noProof/>
          <w:lang w:val="en-IE" w:eastAsia="ja-JP"/>
        </w:rPr>
        <w:t>30</w:t>
      </w:r>
      <w:r w:rsidR="00DB3F29" w:rsidRPr="00DF5C23">
        <w:rPr>
          <w:noProof/>
          <w:lang w:val="en-IE" w:eastAsia="ja-JP"/>
        </w:rPr>
        <w:t>条</w:t>
      </w:r>
      <w:r w:rsidR="00DB3F29" w:rsidRPr="00DF5C23">
        <w:rPr>
          <w:noProof/>
          <w:lang w:val="en-IE" w:eastAsia="ja-JP"/>
        </w:rPr>
        <w:t>3</w:t>
      </w:r>
      <w:r w:rsidR="00DB3F29" w:rsidRPr="00DF5C23">
        <w:rPr>
          <w:noProof/>
          <w:lang w:val="en-IE" w:eastAsia="ja-JP"/>
        </w:rPr>
        <w:t>項に従い、</w:t>
      </w:r>
      <w:r w:rsidR="00DB3F29" w:rsidRPr="00DF5C23">
        <w:rPr>
          <w:noProof/>
          <w:lang w:eastAsia="fr-BE"/>
        </w:rPr>
        <w:t>関連製品に</w:t>
      </w:r>
      <w:r w:rsidR="00DB3F29" w:rsidRPr="00DF5C23">
        <w:rPr>
          <w:noProof/>
          <w:lang w:val="en-IE" w:eastAsia="fr-BE"/>
        </w:rPr>
        <w:t>関連する技術文書の一部を、欧州委員会または市場監視当局が要求なしにデジタルで利用できるようにすることを</w:t>
      </w:r>
      <w:r w:rsidR="00E3422A" w:rsidRPr="00DF5C23">
        <w:rPr>
          <w:noProof/>
          <w:lang w:val="en-IE" w:eastAsia="fr-BE"/>
        </w:rPr>
        <w:t>要求すること；</w:t>
      </w:r>
    </w:p>
    <w:p w14:paraId="2BEC9465" w14:textId="77777777" w:rsidR="0038775E" w:rsidRDefault="00877B9C" w:rsidP="002041D4">
      <w:pPr>
        <w:pStyle w:val="Point0"/>
        <w:wordWrap w:val="0"/>
        <w:rPr>
          <w:noProof/>
          <w:lang w:val="en-IE" w:eastAsia="fr-BE"/>
        </w:rPr>
      </w:pPr>
      <w:r w:rsidRPr="004F5E59">
        <w:rPr>
          <w:lang w:eastAsia="ja-JP"/>
        </w:rPr>
        <w:t>(b)</w:t>
      </w:r>
      <w:r w:rsidRPr="004F5E59">
        <w:rPr>
          <w:lang w:eastAsia="ja-JP"/>
        </w:rPr>
        <w:tab/>
      </w:r>
      <w:r w:rsidR="00944EFB" w:rsidRPr="00DF5C23">
        <w:rPr>
          <w:noProof/>
          <w:lang w:val="en-IE" w:eastAsia="fr-BE"/>
        </w:rPr>
        <w:t>製造業者、その正規代理人または輸入業者に対し、</w:t>
      </w:r>
      <w:r w:rsidR="00B12939" w:rsidRPr="00DF5C23">
        <w:rPr>
          <w:noProof/>
          <w:lang w:val="en-IE" w:eastAsia="fr-BE"/>
        </w:rPr>
        <w:t>第</w:t>
      </w:r>
      <w:r w:rsidR="00B12939" w:rsidRPr="00DF5C23">
        <w:rPr>
          <w:noProof/>
          <w:lang w:val="en-IE" w:eastAsia="fr-BE"/>
        </w:rPr>
        <w:t>31</w:t>
      </w:r>
      <w:r w:rsidR="00944EFB" w:rsidRPr="00DF5C23">
        <w:rPr>
          <w:noProof/>
          <w:lang w:val="en-IE" w:eastAsia="fr-BE"/>
        </w:rPr>
        <w:t>条第</w:t>
      </w:r>
      <w:r w:rsidR="00944EFB" w:rsidRPr="00DF5C23">
        <w:rPr>
          <w:noProof/>
          <w:lang w:val="en-IE" w:eastAsia="fr-BE"/>
        </w:rPr>
        <w:t>1</w:t>
      </w:r>
      <w:r w:rsidR="00944EFB" w:rsidRPr="00DF5C23">
        <w:rPr>
          <w:noProof/>
          <w:lang w:val="en-IE" w:eastAsia="fr-BE"/>
        </w:rPr>
        <w:t>項に従い、市場に出されまたは使用されるこれらの委任法の対象となる製品の数量に関する情報を欧州委員会に提供することを要求すること；</w:t>
      </w:r>
    </w:p>
    <w:p w14:paraId="2E05AB2D" w14:textId="77777777" w:rsidR="0038775E" w:rsidRDefault="00877B9C" w:rsidP="002041D4">
      <w:pPr>
        <w:pStyle w:val="Point0"/>
        <w:wordWrap w:val="0"/>
        <w:rPr>
          <w:noProof/>
          <w:lang w:val="en-IE" w:eastAsia="fr-BE"/>
        </w:rPr>
      </w:pPr>
      <w:r w:rsidRPr="004F5E59">
        <w:rPr>
          <w:lang w:eastAsia="ja-JP"/>
        </w:rPr>
        <w:t>(c)</w:t>
      </w:r>
      <w:r w:rsidRPr="004F5E59">
        <w:rPr>
          <w:lang w:eastAsia="ja-JP"/>
        </w:rPr>
        <w:tab/>
      </w:r>
      <w:r w:rsidR="00A149F6" w:rsidRPr="00DF5C23">
        <w:rPr>
          <w:noProof/>
          <w:lang w:val="en-IE" w:eastAsia="fr-BE"/>
        </w:rPr>
        <w:t>上市された製品に対し、</w:t>
      </w:r>
      <w:r w:rsidR="00B12939" w:rsidRPr="00DF5C23">
        <w:rPr>
          <w:noProof/>
          <w:lang w:val="en-IE" w:eastAsia="fr-BE"/>
        </w:rPr>
        <w:t>第</w:t>
      </w:r>
      <w:r w:rsidR="00B12939" w:rsidRPr="00DF5C23">
        <w:rPr>
          <w:noProof/>
          <w:lang w:val="en-IE" w:eastAsia="fr-BE"/>
        </w:rPr>
        <w:t>31</w:t>
      </w:r>
      <w:r w:rsidR="00A149F6" w:rsidRPr="00DF5C23">
        <w:rPr>
          <w:noProof/>
          <w:lang w:val="en-IE" w:eastAsia="fr-BE"/>
        </w:rPr>
        <w:t>条</w:t>
      </w:r>
      <w:r w:rsidR="00A149F6" w:rsidRPr="00DF5C23">
        <w:rPr>
          <w:noProof/>
          <w:lang w:val="en-IE" w:eastAsia="fr-BE"/>
        </w:rPr>
        <w:t>2</w:t>
      </w:r>
      <w:r w:rsidR="00A149F6" w:rsidRPr="00DF5C23">
        <w:rPr>
          <w:noProof/>
          <w:lang w:val="en-IE" w:eastAsia="fr-BE"/>
        </w:rPr>
        <w:t>項に従い、使用中に消費するエネルギー又は附属書</w:t>
      </w:r>
      <w:r w:rsidR="00A149F6" w:rsidRPr="00DF5C23">
        <w:rPr>
          <w:noProof/>
          <w:lang w:val="en-IE" w:eastAsia="fr-BE"/>
        </w:rPr>
        <w:t>I</w:t>
      </w:r>
      <w:r w:rsidR="00A149F6" w:rsidRPr="00DF5C23">
        <w:rPr>
          <w:noProof/>
          <w:lang w:val="en-IE" w:eastAsia="fr-BE"/>
        </w:rPr>
        <w:t>で言及される他の関連</w:t>
      </w:r>
      <w:r w:rsidR="00214C38" w:rsidRPr="00DF5C23">
        <w:rPr>
          <w:noProof/>
          <w:lang w:eastAsia="ja-JP"/>
        </w:rPr>
        <w:t>製品</w:t>
      </w:r>
      <w:r w:rsidR="00A149F6" w:rsidRPr="00DF5C23">
        <w:rPr>
          <w:noProof/>
          <w:lang w:val="en-IE" w:eastAsia="fr-BE"/>
        </w:rPr>
        <w:t>パラメータに関する性能を測定できることを要求する</w:t>
      </w:r>
      <w:r w:rsidR="00B9321C" w:rsidRPr="00DF5C23">
        <w:rPr>
          <w:noProof/>
          <w:lang w:val="en-IE" w:eastAsia="fr-BE"/>
        </w:rPr>
        <w:t>こと；</w:t>
      </w:r>
      <w:r w:rsidR="00B9321C" w:rsidRPr="00DF5C23">
        <w:rPr>
          <w:noProof/>
          <w:lang w:val="en-IE" w:eastAsia="fr-BE"/>
        </w:rPr>
        <w:t xml:space="preserve"> </w:t>
      </w:r>
    </w:p>
    <w:p w14:paraId="2A84B7F0" w14:textId="77777777" w:rsidR="0038775E" w:rsidRDefault="00877B9C" w:rsidP="002041D4">
      <w:pPr>
        <w:pStyle w:val="Point0"/>
        <w:wordWrap w:val="0"/>
        <w:rPr>
          <w:noProof/>
          <w:lang w:val="en-IE" w:eastAsia="fr-BE"/>
        </w:rPr>
      </w:pPr>
      <w:r w:rsidRPr="004F5E59">
        <w:rPr>
          <w:lang w:eastAsia="ja-JP"/>
        </w:rPr>
        <w:t>(d)</w:t>
      </w:r>
      <w:r w:rsidRPr="004F5E59">
        <w:rPr>
          <w:lang w:eastAsia="ja-JP"/>
        </w:rPr>
        <w:tab/>
      </w:r>
      <w:r w:rsidR="00FA6536" w:rsidRPr="00DF5C23">
        <w:rPr>
          <w:noProof/>
          <w:lang w:val="en-IE" w:eastAsia="fr-BE"/>
        </w:rPr>
        <w:t>製造業者、その認定代理人または輸入業者に対し、</w:t>
      </w:r>
      <w:r w:rsidR="00B12939" w:rsidRPr="00DF5C23">
        <w:rPr>
          <w:noProof/>
          <w:lang w:val="en-IE" w:eastAsia="fr-BE"/>
        </w:rPr>
        <w:t>第</w:t>
      </w:r>
      <w:r w:rsidR="00B12939" w:rsidRPr="00DF5C23">
        <w:rPr>
          <w:noProof/>
          <w:lang w:val="en-IE" w:eastAsia="fr-BE"/>
        </w:rPr>
        <w:t>31</w:t>
      </w:r>
      <w:r w:rsidR="00FA6536" w:rsidRPr="00DF5C23">
        <w:rPr>
          <w:noProof/>
          <w:lang w:val="en-IE" w:eastAsia="fr-BE"/>
        </w:rPr>
        <w:t>条</w:t>
      </w:r>
      <w:r w:rsidR="00FA6536" w:rsidRPr="00DF5C23">
        <w:rPr>
          <w:noProof/>
          <w:lang w:val="en-IE" w:eastAsia="fr-BE"/>
        </w:rPr>
        <w:t>3</w:t>
      </w:r>
      <w:r w:rsidR="00FA6536" w:rsidRPr="00DF5C23">
        <w:rPr>
          <w:noProof/>
          <w:lang w:val="en-IE" w:eastAsia="fr-BE"/>
        </w:rPr>
        <w:t>項に従って、</w:t>
      </w:r>
      <w:r w:rsidR="00FA6536" w:rsidRPr="00DF5C23">
        <w:rPr>
          <w:noProof/>
          <w:lang w:val="en-IE" w:eastAsia="fr-BE"/>
        </w:rPr>
        <w:t>(c)</w:t>
      </w:r>
      <w:r w:rsidR="00B02976" w:rsidRPr="00DF5C23">
        <w:rPr>
          <w:noProof/>
          <w:lang w:val="en-IE" w:eastAsia="fr-BE"/>
        </w:rPr>
        <w:t>にいう</w:t>
      </w:r>
      <w:r w:rsidR="00FA6536" w:rsidRPr="00DF5C23">
        <w:rPr>
          <w:noProof/>
          <w:lang w:val="en-IE" w:eastAsia="fr-BE"/>
        </w:rPr>
        <w:t>使用中データを</w:t>
      </w:r>
      <w:r w:rsidR="00B02976" w:rsidRPr="00DF5C23">
        <w:rPr>
          <w:noProof/>
          <w:lang w:val="en-IE" w:eastAsia="fr-BE"/>
        </w:rPr>
        <w:t>収集、匿名化、または</w:t>
      </w:r>
      <w:r w:rsidR="00FA6536" w:rsidRPr="00DF5C23">
        <w:rPr>
          <w:noProof/>
          <w:lang w:val="en-IE" w:eastAsia="fr-BE"/>
        </w:rPr>
        <w:t>欧州委員会に報告することを義務づけること；</w:t>
      </w:r>
    </w:p>
    <w:p w14:paraId="40913CD1" w14:textId="77777777" w:rsidR="0038775E" w:rsidRDefault="00877B9C" w:rsidP="002041D4">
      <w:pPr>
        <w:pStyle w:val="Point0"/>
        <w:wordWrap w:val="0"/>
        <w:rPr>
          <w:noProof/>
          <w:lang w:val="en-IE" w:eastAsia="fr-BE"/>
        </w:rPr>
      </w:pPr>
      <w:r w:rsidRPr="004F5E59">
        <w:rPr>
          <w:lang w:eastAsia="ja-JP"/>
        </w:rPr>
        <w:t>(e)</w:t>
      </w:r>
      <w:r w:rsidRPr="004F5E59">
        <w:rPr>
          <w:lang w:eastAsia="ja-JP"/>
        </w:rPr>
        <w:tab/>
      </w:r>
      <w:r w:rsidR="00B12939" w:rsidRPr="00DF5C23">
        <w:rPr>
          <w:noProof/>
          <w:lang w:eastAsia="fr-BE"/>
        </w:rPr>
        <w:t>第</w:t>
      </w:r>
      <w:r w:rsidR="00B12939" w:rsidRPr="00DF5C23">
        <w:rPr>
          <w:noProof/>
          <w:lang w:eastAsia="fr-BE"/>
        </w:rPr>
        <w:t>32</w:t>
      </w:r>
      <w:r w:rsidR="00B9321C" w:rsidRPr="00DF5C23">
        <w:rPr>
          <w:noProof/>
          <w:lang w:eastAsia="fr-BE"/>
        </w:rPr>
        <w:t>条</w:t>
      </w:r>
      <w:r w:rsidR="00B9321C" w:rsidRPr="00DF5C23">
        <w:rPr>
          <w:noProof/>
          <w:lang w:eastAsia="fr-BE"/>
        </w:rPr>
        <w:t>(2)</w:t>
      </w:r>
      <w:r w:rsidR="00B9321C" w:rsidRPr="00DF5C23">
        <w:rPr>
          <w:noProof/>
          <w:lang w:eastAsia="fr-BE"/>
        </w:rPr>
        <w:t>に従い</w:t>
      </w:r>
      <w:r w:rsidR="00FA6536" w:rsidRPr="00DF5C23">
        <w:rPr>
          <w:noProof/>
          <w:lang w:eastAsia="fr-BE"/>
        </w:rPr>
        <w:t>、</w:t>
      </w:r>
      <w:r w:rsidR="00B9321C" w:rsidRPr="00DF5C23">
        <w:rPr>
          <w:noProof/>
          <w:lang w:eastAsia="fr-BE"/>
        </w:rPr>
        <w:t>附属書</w:t>
      </w:r>
      <w:r w:rsidR="00B9321C" w:rsidRPr="00DF5C23">
        <w:rPr>
          <w:noProof/>
          <w:lang w:eastAsia="fr-BE"/>
        </w:rPr>
        <w:t>I</w:t>
      </w:r>
      <w:r w:rsidR="00B9321C" w:rsidRPr="00DF5C23">
        <w:rPr>
          <w:noProof/>
          <w:lang w:eastAsia="fr-BE"/>
        </w:rPr>
        <w:t>で言及される製品パラメータに関する製品の性能を計算するために、オンラインツールの使用を</w:t>
      </w:r>
      <w:r w:rsidR="00B9321C" w:rsidRPr="00DF5C23">
        <w:rPr>
          <w:noProof/>
          <w:lang w:val="en-IE" w:eastAsia="fr-BE"/>
        </w:rPr>
        <w:t>要求すること；</w:t>
      </w:r>
      <w:r w:rsidR="00B9321C" w:rsidRPr="00DF5C23">
        <w:rPr>
          <w:noProof/>
          <w:lang w:val="en-IE" w:eastAsia="fr-BE"/>
        </w:rPr>
        <w:t xml:space="preserve"> </w:t>
      </w:r>
    </w:p>
    <w:p w14:paraId="1ED6F478" w14:textId="77777777" w:rsidR="0038775E" w:rsidRDefault="00877B9C" w:rsidP="002041D4">
      <w:pPr>
        <w:pStyle w:val="Point0"/>
        <w:wordWrap w:val="0"/>
        <w:rPr>
          <w:noProof/>
          <w:lang w:val="en-IE" w:eastAsia="fr-BE"/>
        </w:rPr>
      </w:pPr>
      <w:r w:rsidRPr="004F5E59">
        <w:rPr>
          <w:lang w:eastAsia="ja-JP"/>
        </w:rPr>
        <w:t>(f)</w:t>
      </w:r>
      <w:r w:rsidRPr="004F5E59">
        <w:rPr>
          <w:lang w:eastAsia="ja-JP"/>
        </w:rPr>
        <w:tab/>
      </w:r>
      <w:r w:rsidR="00B12939" w:rsidRPr="00DF5C23">
        <w:rPr>
          <w:noProof/>
          <w:lang w:val="en-IE" w:eastAsia="fr-BE"/>
        </w:rPr>
        <w:t>第</w:t>
      </w:r>
      <w:r w:rsidR="00B12939" w:rsidRPr="00DF5C23">
        <w:rPr>
          <w:noProof/>
          <w:lang w:val="en-IE" w:eastAsia="fr-BE"/>
        </w:rPr>
        <w:t>40</w:t>
      </w:r>
      <w:r w:rsidR="00B9321C" w:rsidRPr="00DF5C23">
        <w:rPr>
          <w:noProof/>
          <w:lang w:val="en-IE" w:eastAsia="ja-JP"/>
        </w:rPr>
        <w:t>条に基づき</w:t>
      </w:r>
      <w:r w:rsidR="00B9321C" w:rsidRPr="00DF5C23">
        <w:rPr>
          <w:noProof/>
          <w:lang w:val="en-IE" w:eastAsia="fr-BE"/>
        </w:rPr>
        <w:t>、</w:t>
      </w:r>
      <w:r w:rsidR="00B12939" w:rsidRPr="00DF5C23">
        <w:rPr>
          <w:noProof/>
          <w:lang w:val="en-IE" w:eastAsia="fr-BE"/>
        </w:rPr>
        <w:t>第</w:t>
      </w:r>
      <w:r w:rsidR="00B12939" w:rsidRPr="00DF5C23">
        <w:rPr>
          <w:noProof/>
          <w:lang w:val="en-IE" w:eastAsia="fr-BE"/>
        </w:rPr>
        <w:t>37</w:t>
      </w:r>
      <w:r w:rsidR="00B12939" w:rsidRPr="00DF5C23">
        <w:rPr>
          <w:noProof/>
          <w:lang w:val="en-IE" w:eastAsia="fr-BE"/>
        </w:rPr>
        <w:t>条及び第</w:t>
      </w:r>
      <w:r w:rsidR="00B12939" w:rsidRPr="00DF5C23">
        <w:rPr>
          <w:noProof/>
          <w:lang w:val="en-IE" w:eastAsia="fr-BE"/>
        </w:rPr>
        <w:t>39</w:t>
      </w:r>
      <w:r w:rsidR="00B12939" w:rsidRPr="00DF5C23">
        <w:rPr>
          <w:noProof/>
          <w:lang w:val="en-IE" w:eastAsia="fr-BE"/>
        </w:rPr>
        <w:t>条の適用除外による</w:t>
      </w:r>
      <w:r w:rsidR="00B9321C" w:rsidRPr="00DF5C23">
        <w:rPr>
          <w:noProof/>
          <w:lang w:val="en-IE" w:eastAsia="fr-BE"/>
        </w:rPr>
        <w:t>エコデザイン</w:t>
      </w:r>
      <w:r w:rsidR="004C191B" w:rsidRPr="00DF5C23">
        <w:rPr>
          <w:noProof/>
          <w:lang w:val="en-IE" w:eastAsia="fr-BE"/>
        </w:rPr>
        <w:t>要求事項</w:t>
      </w:r>
      <w:r w:rsidR="00B9321C" w:rsidRPr="00DF5C23">
        <w:rPr>
          <w:noProof/>
          <w:lang w:val="en-IE" w:eastAsia="ja-JP"/>
        </w:rPr>
        <w:t>への適合を示す適合宣言又はマーキングに関する代替規則を</w:t>
      </w:r>
      <w:r w:rsidR="00912380" w:rsidRPr="00DF5C23">
        <w:rPr>
          <w:noProof/>
          <w:lang w:val="en-IE" w:eastAsia="fr-BE"/>
        </w:rPr>
        <w:t>規定</w:t>
      </w:r>
      <w:r w:rsidR="00B9321C" w:rsidRPr="00DF5C23">
        <w:rPr>
          <w:noProof/>
          <w:lang w:val="en-IE" w:eastAsia="fr-BE"/>
        </w:rPr>
        <w:t>すること；</w:t>
      </w:r>
    </w:p>
    <w:p w14:paraId="376D7191" w14:textId="77777777" w:rsidR="0038775E" w:rsidRDefault="00877B9C" w:rsidP="002041D4">
      <w:pPr>
        <w:pStyle w:val="Point0"/>
        <w:wordWrap w:val="0"/>
        <w:rPr>
          <w:noProof/>
          <w:lang w:val="en-IE" w:eastAsia="fr-BE"/>
        </w:rPr>
      </w:pPr>
      <w:r w:rsidRPr="004F5E59">
        <w:rPr>
          <w:lang w:eastAsia="ja-JP"/>
        </w:rPr>
        <w:t>(g)</w:t>
      </w:r>
      <w:r w:rsidRPr="004F5E59">
        <w:rPr>
          <w:lang w:eastAsia="ja-JP"/>
        </w:rPr>
        <w:tab/>
      </w:r>
      <w:r w:rsidR="00B12939" w:rsidRPr="00DF5C23">
        <w:rPr>
          <w:noProof/>
          <w:lang w:val="en-IE" w:eastAsia="fr-BE"/>
        </w:rPr>
        <w:t>第</w:t>
      </w:r>
      <w:r w:rsidR="00B12939" w:rsidRPr="00DF5C23">
        <w:rPr>
          <w:noProof/>
          <w:lang w:val="en-IE" w:eastAsia="fr-BE"/>
        </w:rPr>
        <w:t>57</w:t>
      </w:r>
      <w:r w:rsidR="00B12939" w:rsidRPr="00DF5C23">
        <w:rPr>
          <w:noProof/>
          <w:lang w:val="en-IE" w:eastAsia="fr-BE"/>
        </w:rPr>
        <w:t>条に</w:t>
      </w:r>
      <w:r w:rsidR="00F45C32" w:rsidRPr="00DF5C23">
        <w:rPr>
          <w:noProof/>
          <w:lang w:val="en-IE" w:eastAsia="ja-JP"/>
        </w:rPr>
        <w:t>基づき、</w:t>
      </w:r>
      <w:r w:rsidR="00F45C32" w:rsidRPr="00DF5C23">
        <w:rPr>
          <w:noProof/>
          <w:lang w:val="en-IE" w:eastAsia="fr-BE"/>
        </w:rPr>
        <w:t>加盟国のインセンティブを指示するための規則を規定すること</w:t>
      </w:r>
      <w:r w:rsidR="00F45C32" w:rsidRPr="00DF5C23" w:rsidDel="00702B3C">
        <w:rPr>
          <w:noProof/>
          <w:lang w:val="en-IE" w:eastAsia="fr-BE"/>
        </w:rPr>
        <w:t>；</w:t>
      </w:r>
      <w:r w:rsidR="00F45C32" w:rsidRPr="00DF5C23" w:rsidDel="00702B3C">
        <w:rPr>
          <w:noProof/>
          <w:lang w:val="en-IE" w:eastAsia="fr-BE"/>
        </w:rPr>
        <w:t xml:space="preserve">  </w:t>
      </w:r>
    </w:p>
    <w:p w14:paraId="7CAA9692" w14:textId="77777777" w:rsidR="0038775E" w:rsidRDefault="00877B9C" w:rsidP="002041D4">
      <w:pPr>
        <w:pStyle w:val="Point0"/>
        <w:wordWrap w:val="0"/>
        <w:rPr>
          <w:noProof/>
          <w:lang w:val="en-IE" w:eastAsia="fr-BE"/>
        </w:rPr>
      </w:pPr>
      <w:r w:rsidRPr="004F5E59">
        <w:rPr>
          <w:lang w:eastAsia="ja-JP"/>
        </w:rPr>
        <w:t>(h)</w:t>
      </w:r>
      <w:r w:rsidRPr="004F5E59">
        <w:rPr>
          <w:lang w:eastAsia="ja-JP"/>
        </w:rPr>
        <w:tab/>
      </w:r>
      <w:r w:rsidR="00B9321C" w:rsidRPr="00DF5C23">
        <w:rPr>
          <w:noProof/>
          <w:lang w:val="en-IE" w:eastAsia="fr-BE"/>
        </w:rPr>
        <w:t>加盟国による要件の実施、監視及び報告を含め、公的契約に適用される要件を確立する。これらの要件は、附属書</w:t>
      </w:r>
      <w:r w:rsidR="00B9321C" w:rsidRPr="00DF5C23">
        <w:rPr>
          <w:noProof/>
          <w:lang w:val="en-IE" w:eastAsia="fr-BE"/>
        </w:rPr>
        <w:t>I</w:t>
      </w:r>
      <w:r w:rsidR="00B9321C" w:rsidRPr="00DF5C23">
        <w:rPr>
          <w:noProof/>
          <w:lang w:val="en-IE" w:eastAsia="fr-BE"/>
        </w:rPr>
        <w:t>に言及され、</w:t>
      </w:r>
      <w:r w:rsidR="00B12939" w:rsidRPr="00DF5C23">
        <w:rPr>
          <w:noProof/>
          <w:lang w:val="en-IE" w:eastAsia="fr-BE"/>
        </w:rPr>
        <w:t>第</w:t>
      </w:r>
      <w:r w:rsidR="00B12939" w:rsidRPr="00DF5C23">
        <w:rPr>
          <w:noProof/>
          <w:lang w:val="en-IE" w:eastAsia="fr-BE"/>
        </w:rPr>
        <w:t>58</w:t>
      </w:r>
      <w:r w:rsidR="00B9321C" w:rsidRPr="00DF5C23">
        <w:rPr>
          <w:noProof/>
          <w:lang w:val="en-IE" w:eastAsia="fr-BE"/>
        </w:rPr>
        <w:t>条に従って設定される</w:t>
      </w:r>
      <w:r w:rsidR="006859F8" w:rsidRPr="00DF5C23">
        <w:rPr>
          <w:noProof/>
          <w:lang w:val="en-IE" w:eastAsia="fr-BE"/>
        </w:rPr>
        <w:t>製品</w:t>
      </w:r>
      <w:r w:rsidR="00B9321C" w:rsidRPr="00DF5C23">
        <w:rPr>
          <w:noProof/>
          <w:lang w:val="en-IE" w:eastAsia="fr-BE"/>
        </w:rPr>
        <w:t>パラメータに基づくものとする</w:t>
      </w:r>
      <w:r w:rsidR="00A149F6" w:rsidRPr="00DF5C23">
        <w:rPr>
          <w:noProof/>
          <w:lang w:val="en-IE" w:eastAsia="fr-BE"/>
        </w:rPr>
        <w:t>。</w:t>
      </w:r>
    </w:p>
    <w:p w14:paraId="375F6982" w14:textId="77777777" w:rsidR="0038775E" w:rsidRDefault="00B4043C" w:rsidP="002041D4">
      <w:pPr>
        <w:pStyle w:val="Titrearticle"/>
        <w:wordWrap w:val="0"/>
        <w:rPr>
          <w:noProof/>
          <w:lang w:val="en-IE" w:eastAsia="fr-BE"/>
        </w:rPr>
      </w:pPr>
      <w:r w:rsidRPr="00DF5C23">
        <w:rPr>
          <w:noProof/>
          <w:lang w:val="en-IE" w:eastAsia="fr-BE"/>
        </w:rPr>
        <w:t>第</w:t>
      </w:r>
      <w:r w:rsidRPr="00DF5C23">
        <w:rPr>
          <w:noProof/>
          <w:lang w:val="en-IE" w:eastAsia="fr-BE"/>
        </w:rPr>
        <w:t>5</w:t>
      </w:r>
      <w:r w:rsidR="00877B9C" w:rsidRPr="00DF5C23">
        <w:rPr>
          <w:noProof/>
          <w:lang w:val="en-IE" w:eastAsia="fr-BE"/>
        </w:rPr>
        <w:t>条</w:t>
      </w:r>
      <w:r w:rsidR="00877B9C" w:rsidRPr="00DF5C23">
        <w:rPr>
          <w:noProof/>
          <w:lang w:val="en-IE" w:eastAsia="fr-BE"/>
        </w:rPr>
        <w:t xml:space="preserve"> </w:t>
      </w:r>
      <w:r w:rsidR="00646885" w:rsidRPr="00DF5C23">
        <w:rPr>
          <w:noProof/>
          <w:lang w:eastAsia="ja-JP"/>
        </w:rPr>
        <w:br/>
      </w:r>
      <w:r w:rsidR="00746AD1" w:rsidRPr="00DF5C23">
        <w:rPr>
          <w:noProof/>
          <w:lang w:val="en-IE" w:eastAsia="fr-BE"/>
        </w:rPr>
        <w:t>エコデザイン</w:t>
      </w:r>
      <w:r w:rsidR="00877B9C" w:rsidRPr="00DF5C23">
        <w:rPr>
          <w:noProof/>
          <w:lang w:val="en-IE" w:eastAsia="fr-BE"/>
        </w:rPr>
        <w:t>要件</w:t>
      </w:r>
    </w:p>
    <w:p w14:paraId="625F6D7A" w14:textId="77777777" w:rsidR="0038775E" w:rsidRDefault="00877B9C" w:rsidP="002041D4">
      <w:pPr>
        <w:pStyle w:val="ManualNumPar1"/>
        <w:wordWrap w:val="0"/>
        <w:rPr>
          <w:noProof/>
          <w:lang w:val="en-IE" w:eastAsia="fr-BE"/>
        </w:rPr>
      </w:pPr>
      <w:r w:rsidRPr="004F5E59">
        <w:rPr>
          <w:lang w:eastAsia="ja-JP"/>
        </w:rPr>
        <w:t>1.</w:t>
      </w:r>
      <w:r w:rsidRPr="004F5E59">
        <w:rPr>
          <w:lang w:eastAsia="ja-JP"/>
        </w:rPr>
        <w:tab/>
      </w:r>
      <w:r w:rsidR="00132B6B" w:rsidRPr="00DF5C23">
        <w:rPr>
          <w:noProof/>
          <w:lang w:val="en-IE" w:eastAsia="fr-BE"/>
        </w:rPr>
        <w:t>欧州委員会は、</w:t>
      </w:r>
      <w:r w:rsidR="00AD116D" w:rsidRPr="00DF5C23">
        <w:rPr>
          <w:noProof/>
          <w:lang w:val="en-IE" w:eastAsia="fr-BE"/>
        </w:rPr>
        <w:t>関連する</w:t>
      </w:r>
      <w:r w:rsidR="00132B6B" w:rsidRPr="00DF5C23">
        <w:rPr>
          <w:noProof/>
          <w:lang w:val="en-IE" w:eastAsia="fr-BE"/>
        </w:rPr>
        <w:t>製品</w:t>
      </w:r>
      <w:r w:rsidR="00A47D17" w:rsidRPr="00DF5C23">
        <w:rPr>
          <w:noProof/>
          <w:lang w:val="en-IE" w:eastAsia="fr-BE"/>
        </w:rPr>
        <w:t>群に</w:t>
      </w:r>
      <w:r w:rsidR="00132B6B" w:rsidRPr="00DF5C23">
        <w:rPr>
          <w:noProof/>
          <w:lang w:val="en-IE" w:eastAsia="fr-BE"/>
        </w:rPr>
        <w:t>適切であり、ライフサイクルの全段階を十分に考慮した上で、以下の製品側面を改善するためのエコデザイン要求事項を定めるものとする：</w:t>
      </w:r>
    </w:p>
    <w:p w14:paraId="01F7C594" w14:textId="77777777" w:rsidR="0038775E" w:rsidRDefault="00877B9C" w:rsidP="002041D4">
      <w:pPr>
        <w:pStyle w:val="Point1"/>
        <w:wordWrap w:val="0"/>
        <w:rPr>
          <w:noProof/>
          <w:lang w:val="en-IE" w:eastAsia="fr-BE"/>
        </w:rPr>
      </w:pPr>
      <w:r w:rsidRPr="004F5E59">
        <w:rPr>
          <w:lang w:eastAsia="ja-JP"/>
        </w:rPr>
        <w:t>(a)</w:t>
      </w:r>
      <w:r w:rsidRPr="004F5E59">
        <w:rPr>
          <w:lang w:eastAsia="ja-JP"/>
        </w:rPr>
        <w:tab/>
      </w:r>
      <w:r w:rsidR="00132B6B" w:rsidRPr="00DF5C23">
        <w:rPr>
          <w:noProof/>
          <w:lang w:val="en-IE" w:eastAsia="fr-BE"/>
        </w:rPr>
        <w:t>耐久性に優れています；</w:t>
      </w:r>
      <w:r w:rsidR="00132B6B" w:rsidRPr="00DF5C23">
        <w:rPr>
          <w:noProof/>
          <w:lang w:val="en-IE" w:eastAsia="fr-BE"/>
        </w:rPr>
        <w:t xml:space="preserve"> </w:t>
      </w:r>
    </w:p>
    <w:p w14:paraId="19637398" w14:textId="5E0EBB4A" w:rsidR="0038775E" w:rsidRDefault="00877B9C" w:rsidP="002041D4">
      <w:pPr>
        <w:pStyle w:val="Point1"/>
        <w:wordWrap w:val="0"/>
        <w:rPr>
          <w:noProof/>
          <w:lang w:val="en-IE" w:eastAsia="fr-BE"/>
        </w:rPr>
      </w:pPr>
      <w:r w:rsidRPr="004F5E59">
        <w:rPr>
          <w:lang w:eastAsia="ja-JP"/>
        </w:rPr>
        <w:t>(b)</w:t>
      </w:r>
      <w:r w:rsidRPr="004F5E59">
        <w:rPr>
          <w:lang w:eastAsia="ja-JP"/>
        </w:rPr>
        <w:tab/>
      </w:r>
      <w:r w:rsidR="00132B6B" w:rsidRPr="00DF5C23">
        <w:rPr>
          <w:noProof/>
          <w:lang w:val="en-IE" w:eastAsia="fr-BE"/>
        </w:rPr>
        <w:t>の信頼性を高めることがで</w:t>
      </w:r>
      <w:r w:rsidR="002041D4">
        <w:rPr>
          <w:noProof/>
          <w:lang w:val="en-IE" w:eastAsia="fr-BE"/>
        </w:rPr>
        <w:t>く</w:t>
      </w:r>
      <w:r w:rsidR="00132B6B" w:rsidRPr="00DF5C23">
        <w:rPr>
          <w:noProof/>
          <w:lang w:val="en-IE" w:eastAsia="fr-BE"/>
        </w:rPr>
        <w:t>；</w:t>
      </w:r>
      <w:r w:rsidR="00132B6B" w:rsidRPr="00DF5C23">
        <w:rPr>
          <w:noProof/>
          <w:lang w:val="en-IE" w:eastAsia="fr-BE"/>
        </w:rPr>
        <w:t xml:space="preserve"> </w:t>
      </w:r>
    </w:p>
    <w:p w14:paraId="175643DF" w14:textId="77777777" w:rsidR="0038775E" w:rsidRDefault="00877B9C" w:rsidP="002041D4">
      <w:pPr>
        <w:pStyle w:val="Point1"/>
        <w:wordWrap w:val="0"/>
        <w:rPr>
          <w:noProof/>
          <w:lang w:val="en-IE" w:eastAsia="fr-BE"/>
        </w:rPr>
      </w:pPr>
      <w:r w:rsidRPr="004F5E59">
        <w:rPr>
          <w:lang w:eastAsia="ja-JP"/>
        </w:rPr>
        <w:t>(c)</w:t>
      </w:r>
      <w:r w:rsidRPr="004F5E59">
        <w:rPr>
          <w:lang w:eastAsia="ja-JP"/>
        </w:rPr>
        <w:tab/>
      </w:r>
      <w:r w:rsidR="00132B6B" w:rsidRPr="00DF5C23">
        <w:rPr>
          <w:noProof/>
          <w:lang w:val="en-IE" w:eastAsia="fr-BE"/>
        </w:rPr>
        <w:t>再利用可能である；</w:t>
      </w:r>
      <w:r w:rsidR="00132B6B" w:rsidRPr="00DF5C23">
        <w:rPr>
          <w:noProof/>
          <w:lang w:val="en-IE" w:eastAsia="fr-BE"/>
        </w:rPr>
        <w:t xml:space="preserve"> </w:t>
      </w:r>
    </w:p>
    <w:p w14:paraId="63768E96" w14:textId="44C44136" w:rsidR="0038775E" w:rsidRDefault="00877B9C" w:rsidP="002041D4">
      <w:pPr>
        <w:pStyle w:val="Point1"/>
        <w:wordWrap w:val="0"/>
        <w:rPr>
          <w:noProof/>
          <w:lang w:val="en-IE" w:eastAsia="fr-BE"/>
        </w:rPr>
      </w:pPr>
      <w:r w:rsidRPr="004F5E59">
        <w:rPr>
          <w:lang w:eastAsia="ja-JP"/>
        </w:rPr>
        <w:t>(d)</w:t>
      </w:r>
      <w:r w:rsidRPr="004F5E59">
        <w:rPr>
          <w:lang w:eastAsia="ja-JP"/>
        </w:rPr>
        <w:tab/>
      </w:r>
      <w:r w:rsidR="00132B6B" w:rsidRPr="00DF5C23">
        <w:rPr>
          <w:noProof/>
          <w:lang w:val="en-IE" w:eastAsia="fr-BE"/>
        </w:rPr>
        <w:t>アップグレードが可能</w:t>
      </w:r>
      <w:r w:rsidR="002041D4">
        <w:rPr>
          <w:noProof/>
          <w:lang w:val="en-IE" w:eastAsia="fr-BE"/>
        </w:rPr>
        <w:t>である</w:t>
      </w:r>
      <w:r w:rsidR="00132B6B" w:rsidRPr="00DF5C23">
        <w:rPr>
          <w:noProof/>
          <w:lang w:val="en-IE" w:eastAsia="fr-BE"/>
        </w:rPr>
        <w:t>；</w:t>
      </w:r>
    </w:p>
    <w:p w14:paraId="564902C2" w14:textId="6BFBEE0C" w:rsidR="0038775E" w:rsidRDefault="00877B9C" w:rsidP="002041D4">
      <w:pPr>
        <w:pStyle w:val="Point1"/>
        <w:wordWrap w:val="0"/>
        <w:rPr>
          <w:noProof/>
          <w:lang w:val="en-IE" w:eastAsia="fr-BE"/>
        </w:rPr>
      </w:pPr>
      <w:r w:rsidRPr="004F5E59">
        <w:rPr>
          <w:lang w:eastAsia="ja-JP"/>
        </w:rPr>
        <w:t>(e)</w:t>
      </w:r>
      <w:r w:rsidRPr="004F5E59">
        <w:rPr>
          <w:lang w:eastAsia="ja-JP"/>
        </w:rPr>
        <w:tab/>
      </w:r>
      <w:r w:rsidR="00132B6B" w:rsidRPr="00DF5C23">
        <w:rPr>
          <w:noProof/>
          <w:lang w:val="en-IE" w:eastAsia="fr-BE"/>
        </w:rPr>
        <w:t>の修復が可能</w:t>
      </w:r>
      <w:r w:rsidR="002041D4">
        <w:rPr>
          <w:noProof/>
          <w:lang w:val="en-IE" w:eastAsia="fr-BE"/>
        </w:rPr>
        <w:t>である</w:t>
      </w:r>
      <w:r w:rsidR="00132B6B" w:rsidRPr="00DF5C23">
        <w:rPr>
          <w:noProof/>
          <w:lang w:val="en-IE" w:eastAsia="fr-BE"/>
        </w:rPr>
        <w:t>；</w:t>
      </w:r>
    </w:p>
    <w:p w14:paraId="49FBA664" w14:textId="77777777" w:rsidR="0038775E" w:rsidRDefault="00877B9C" w:rsidP="002041D4">
      <w:pPr>
        <w:pStyle w:val="Point1"/>
        <w:wordWrap w:val="0"/>
        <w:rPr>
          <w:noProof/>
          <w:lang w:val="en-IE" w:eastAsia="ja-JP"/>
        </w:rPr>
      </w:pPr>
      <w:r w:rsidRPr="004F5E59">
        <w:rPr>
          <w:lang w:eastAsia="ja-JP"/>
        </w:rPr>
        <w:t>(f)</w:t>
      </w:r>
      <w:r w:rsidRPr="004F5E59">
        <w:rPr>
          <w:lang w:eastAsia="ja-JP"/>
        </w:rPr>
        <w:tab/>
      </w:r>
      <w:r w:rsidR="00132B6B" w:rsidRPr="00DF5C23">
        <w:rPr>
          <w:noProof/>
          <w:lang w:val="en-IE" w:eastAsia="ja-JP"/>
        </w:rPr>
        <w:t>保守・改修の</w:t>
      </w:r>
      <w:r w:rsidR="00132B6B" w:rsidRPr="00DF5C23">
        <w:rPr>
          <w:noProof/>
          <w:lang w:val="en-IE" w:eastAsia="fr-BE"/>
        </w:rPr>
        <w:t>可能性</w:t>
      </w:r>
    </w:p>
    <w:p w14:paraId="562B22F8" w14:textId="77777777" w:rsidR="0038775E" w:rsidRDefault="00877B9C" w:rsidP="002041D4">
      <w:pPr>
        <w:pStyle w:val="Point1"/>
        <w:wordWrap w:val="0"/>
        <w:rPr>
          <w:noProof/>
          <w:lang w:val="en-IE" w:eastAsia="fr-BE"/>
        </w:rPr>
      </w:pPr>
      <w:r w:rsidRPr="004F5E59">
        <w:rPr>
          <w:lang w:eastAsia="ja-JP"/>
        </w:rPr>
        <w:lastRenderedPageBreak/>
        <w:t>(g)</w:t>
      </w:r>
      <w:r w:rsidRPr="004F5E59">
        <w:rPr>
          <w:lang w:eastAsia="ja-JP"/>
        </w:rPr>
        <w:tab/>
      </w:r>
      <w:r w:rsidR="00132B6B" w:rsidRPr="00DF5C23">
        <w:rPr>
          <w:noProof/>
          <w:lang w:val="en-IE" w:eastAsia="fr-BE"/>
        </w:rPr>
        <w:t>懸念される物質が存在する</w:t>
      </w:r>
    </w:p>
    <w:p w14:paraId="4FE9595D" w14:textId="77777777" w:rsidR="0038775E" w:rsidRDefault="00877B9C" w:rsidP="002041D4">
      <w:pPr>
        <w:pStyle w:val="Point1"/>
        <w:wordWrap w:val="0"/>
        <w:rPr>
          <w:noProof/>
          <w:lang w:val="en-IE" w:eastAsia="fr-BE"/>
        </w:rPr>
      </w:pPr>
      <w:r w:rsidRPr="004F5E59">
        <w:rPr>
          <w:lang w:eastAsia="ja-JP"/>
        </w:rPr>
        <w:t>(h)</w:t>
      </w:r>
      <w:r w:rsidRPr="004F5E59">
        <w:rPr>
          <w:lang w:eastAsia="ja-JP"/>
        </w:rPr>
        <w:tab/>
      </w:r>
      <w:r w:rsidR="00132B6B" w:rsidRPr="00DF5C23">
        <w:rPr>
          <w:noProof/>
          <w:lang w:val="en-IE" w:eastAsia="fr-BE"/>
        </w:rPr>
        <w:t>エネルギー使用またはエネルギー効率；</w:t>
      </w:r>
      <w:r w:rsidR="00132B6B" w:rsidRPr="00DF5C23">
        <w:rPr>
          <w:noProof/>
          <w:lang w:val="en-IE" w:eastAsia="fr-BE"/>
        </w:rPr>
        <w:t xml:space="preserve"> </w:t>
      </w:r>
    </w:p>
    <w:p w14:paraId="46161363" w14:textId="77777777" w:rsidR="0038775E" w:rsidRDefault="00877B9C" w:rsidP="002041D4">
      <w:pPr>
        <w:pStyle w:val="Point1"/>
        <w:wordWrap w:val="0"/>
        <w:rPr>
          <w:noProof/>
          <w:lang w:val="en-IE" w:eastAsia="fr-BE"/>
        </w:rPr>
      </w:pPr>
      <w:r w:rsidRPr="004F5E59">
        <w:rPr>
          <w:lang w:eastAsia="ja-JP"/>
        </w:rPr>
        <w:t>(i)</w:t>
      </w:r>
      <w:r w:rsidRPr="004F5E59">
        <w:rPr>
          <w:lang w:eastAsia="ja-JP"/>
        </w:rPr>
        <w:tab/>
      </w:r>
      <w:r w:rsidR="00132B6B" w:rsidRPr="00DF5C23">
        <w:rPr>
          <w:noProof/>
          <w:lang w:val="en-IE" w:eastAsia="fr-BE"/>
        </w:rPr>
        <w:t>資源</w:t>
      </w:r>
      <w:r w:rsidR="00B11644" w:rsidRPr="00DF5C23">
        <w:rPr>
          <w:noProof/>
          <w:lang w:val="en-IE" w:eastAsia="fr-BE"/>
        </w:rPr>
        <w:t>利用または資源</w:t>
      </w:r>
      <w:r w:rsidR="00132B6B" w:rsidRPr="00DF5C23">
        <w:rPr>
          <w:noProof/>
          <w:lang w:val="en-IE" w:eastAsia="fr-BE"/>
        </w:rPr>
        <w:t>効率；</w:t>
      </w:r>
    </w:p>
    <w:p w14:paraId="57F28532" w14:textId="77777777" w:rsidR="0038775E" w:rsidRDefault="00877B9C" w:rsidP="002041D4">
      <w:pPr>
        <w:pStyle w:val="Point1"/>
        <w:wordWrap w:val="0"/>
        <w:rPr>
          <w:noProof/>
          <w:lang w:val="en-IE" w:eastAsia="ja-JP"/>
        </w:rPr>
      </w:pPr>
      <w:r w:rsidRPr="004F5E59">
        <w:rPr>
          <w:lang w:eastAsia="ja-JP"/>
        </w:rPr>
        <w:t>(j)</w:t>
      </w:r>
      <w:r w:rsidRPr="004F5E59">
        <w:rPr>
          <w:lang w:eastAsia="ja-JP"/>
        </w:rPr>
        <w:tab/>
      </w:r>
      <w:r w:rsidR="00132B6B" w:rsidRPr="00DF5C23">
        <w:rPr>
          <w:noProof/>
          <w:lang w:val="en-IE" w:eastAsia="fr-BE"/>
        </w:rPr>
        <w:t>リサイクル・コンテンツ</w:t>
      </w:r>
      <w:r w:rsidR="00132B6B" w:rsidRPr="00DF5C23">
        <w:rPr>
          <w:noProof/>
          <w:lang w:val="en-IE" w:eastAsia="fr-BE"/>
        </w:rPr>
        <w:t xml:space="preserve"> </w:t>
      </w:r>
    </w:p>
    <w:p w14:paraId="0DECACE7" w14:textId="77777777" w:rsidR="0038775E" w:rsidRDefault="00877B9C" w:rsidP="002041D4">
      <w:pPr>
        <w:pStyle w:val="Point1"/>
        <w:wordWrap w:val="0"/>
        <w:rPr>
          <w:noProof/>
          <w:lang w:val="en-IE" w:eastAsia="fr-BE"/>
        </w:rPr>
      </w:pPr>
      <w:r w:rsidRPr="004F5E59">
        <w:rPr>
          <w:lang w:eastAsia="ja-JP"/>
        </w:rPr>
        <w:t>(k)</w:t>
      </w:r>
      <w:r w:rsidRPr="004F5E59">
        <w:rPr>
          <w:lang w:eastAsia="ja-JP"/>
        </w:rPr>
        <w:tab/>
      </w:r>
      <w:r w:rsidR="00132B6B" w:rsidRPr="00DF5C23">
        <w:rPr>
          <w:noProof/>
          <w:lang w:val="en-IE" w:eastAsia="fr-BE"/>
        </w:rPr>
        <w:t>再製造やリサイクルの可能性</w:t>
      </w:r>
    </w:p>
    <w:p w14:paraId="4BB1D64F" w14:textId="77777777" w:rsidR="0038775E" w:rsidRDefault="00877B9C" w:rsidP="002041D4">
      <w:pPr>
        <w:pStyle w:val="Point1"/>
        <w:wordWrap w:val="0"/>
        <w:rPr>
          <w:noProof/>
          <w:lang w:val="en-IE" w:eastAsia="fr-BE"/>
        </w:rPr>
      </w:pPr>
      <w:r w:rsidRPr="004F5E59">
        <w:rPr>
          <w:lang w:eastAsia="ja-JP"/>
        </w:rPr>
        <w:t>(l)</w:t>
      </w:r>
      <w:r w:rsidRPr="004F5E59">
        <w:rPr>
          <w:lang w:eastAsia="ja-JP"/>
        </w:rPr>
        <w:tab/>
      </w:r>
      <w:r w:rsidR="00132B6B" w:rsidRPr="00DF5C23">
        <w:rPr>
          <w:noProof/>
          <w:lang w:val="en-IE" w:eastAsia="ja-JP"/>
        </w:rPr>
        <w:t>素材回収の可能性がある；</w:t>
      </w:r>
    </w:p>
    <w:p w14:paraId="00777DFA" w14:textId="77777777" w:rsidR="0038775E" w:rsidRDefault="00877B9C" w:rsidP="002041D4">
      <w:pPr>
        <w:pStyle w:val="Point1"/>
        <w:wordWrap w:val="0"/>
        <w:rPr>
          <w:noProof/>
          <w:lang w:val="en-IE" w:eastAsia="fr-BE"/>
        </w:rPr>
      </w:pPr>
      <w:r w:rsidRPr="004F5E59">
        <w:rPr>
          <w:lang w:eastAsia="ja-JP"/>
        </w:rPr>
        <w:t>(m)</w:t>
      </w:r>
      <w:r w:rsidRPr="004F5E59">
        <w:rPr>
          <w:lang w:eastAsia="ja-JP"/>
        </w:rPr>
        <w:tab/>
      </w:r>
      <w:r w:rsidR="00B11644" w:rsidRPr="00DF5C23">
        <w:rPr>
          <w:noProof/>
          <w:lang w:val="en-IE" w:eastAsia="fr-BE"/>
        </w:rPr>
        <w:t>カーボンや環境フットプリントを含む、環境影響；</w:t>
      </w:r>
      <w:r w:rsidR="00B11644" w:rsidRPr="00DF5C23">
        <w:rPr>
          <w:noProof/>
          <w:lang w:val="en-IE" w:eastAsia="fr-BE"/>
        </w:rPr>
        <w:t xml:space="preserve"> </w:t>
      </w:r>
    </w:p>
    <w:p w14:paraId="03289B2B" w14:textId="77777777" w:rsidR="0038775E" w:rsidRDefault="00877B9C" w:rsidP="002041D4">
      <w:pPr>
        <w:pStyle w:val="Point1"/>
        <w:wordWrap w:val="0"/>
        <w:rPr>
          <w:noProof/>
          <w:lang w:val="en-IE" w:eastAsia="fr-BE"/>
        </w:rPr>
      </w:pPr>
      <w:r w:rsidRPr="004F5E59">
        <w:rPr>
          <w:lang w:eastAsia="ja-JP"/>
        </w:rPr>
        <w:t>(n)</w:t>
      </w:r>
      <w:r w:rsidRPr="004F5E59">
        <w:rPr>
          <w:lang w:eastAsia="ja-JP"/>
        </w:rPr>
        <w:tab/>
      </w:r>
      <w:r w:rsidR="00B11644" w:rsidRPr="00DF5C23">
        <w:rPr>
          <w:noProof/>
          <w:lang w:val="en-IE" w:eastAsia="ja-JP"/>
        </w:rPr>
        <w:t>廃棄物の発生が予想されること</w:t>
      </w:r>
      <w:r w:rsidR="00132B6B" w:rsidRPr="00DF5C23">
        <w:rPr>
          <w:noProof/>
          <w:lang w:val="en-IE" w:eastAsia="fr-BE"/>
        </w:rPr>
        <w:t>。</w:t>
      </w:r>
    </w:p>
    <w:p w14:paraId="47D56EB4" w14:textId="77777777" w:rsidR="0038775E" w:rsidRDefault="00877B9C" w:rsidP="002041D4">
      <w:pPr>
        <w:pStyle w:val="ManualNumPar1"/>
        <w:wordWrap w:val="0"/>
        <w:rPr>
          <w:noProof/>
          <w:lang w:val="en-IE" w:eastAsia="fr-BE"/>
        </w:rPr>
      </w:pPr>
      <w:r w:rsidRPr="004F5E59">
        <w:rPr>
          <w:lang w:eastAsia="ja-JP"/>
        </w:rPr>
        <w:t>2.</w:t>
      </w:r>
      <w:r w:rsidRPr="004F5E59">
        <w:rPr>
          <w:lang w:eastAsia="ja-JP"/>
        </w:rPr>
        <w:tab/>
      </w:r>
      <w:r w:rsidR="00746AD1" w:rsidRPr="00DF5C23">
        <w:rPr>
          <w:noProof/>
          <w:lang w:val="en-IE" w:eastAsia="fr-BE"/>
        </w:rPr>
        <w:t>エコデザイン</w:t>
      </w:r>
      <w:r w:rsidR="0681B866" w:rsidRPr="00DF5C23">
        <w:rPr>
          <w:noProof/>
          <w:lang w:val="en-IE" w:eastAsia="fr-BE"/>
        </w:rPr>
        <w:t>要件は、</w:t>
      </w:r>
      <w:r w:rsidR="00994E7C" w:rsidRPr="00DF5C23">
        <w:rPr>
          <w:noProof/>
          <w:lang w:val="en-IE" w:eastAsia="fr-BE"/>
        </w:rPr>
        <w:t>特定の製品グループ</w:t>
      </w:r>
      <w:r w:rsidR="009F7CE7" w:rsidRPr="00DF5C23">
        <w:rPr>
          <w:noProof/>
          <w:lang w:val="en-IE" w:eastAsia="fr-BE"/>
        </w:rPr>
        <w:t>に対して</w:t>
      </w:r>
      <w:r w:rsidR="00AD116D" w:rsidRPr="00DF5C23">
        <w:rPr>
          <w:noProof/>
          <w:lang w:val="en-IE" w:eastAsia="fr-BE"/>
        </w:rPr>
        <w:t>設定されるものとする</w:t>
      </w:r>
      <w:r w:rsidR="009F7CE7" w:rsidRPr="00DF5C23">
        <w:rPr>
          <w:noProof/>
          <w:lang w:val="en-IE" w:eastAsia="fr-BE"/>
        </w:rPr>
        <w:t>。</w:t>
      </w:r>
      <w:r w:rsidR="009F7CE7" w:rsidRPr="00DF5C23">
        <w:rPr>
          <w:noProof/>
          <w:lang w:val="en-IE" w:eastAsia="fr-BE"/>
        </w:rPr>
        <w:t xml:space="preserve"> </w:t>
      </w:r>
    </w:p>
    <w:p w14:paraId="6204C990" w14:textId="77777777" w:rsidR="0038775E" w:rsidRDefault="00877B9C" w:rsidP="002041D4">
      <w:pPr>
        <w:pStyle w:val="Text1"/>
        <w:wordWrap w:val="0"/>
        <w:rPr>
          <w:noProof/>
          <w:lang w:val="en-IE" w:eastAsia="fr-BE"/>
        </w:rPr>
      </w:pPr>
      <w:r w:rsidRPr="00DF5C23">
        <w:rPr>
          <w:noProof/>
          <w:lang w:val="en-IE" w:eastAsia="fr-BE"/>
        </w:rPr>
        <w:t>ただし、</w:t>
      </w:r>
      <w:r w:rsidR="00B770BB" w:rsidRPr="00DF5C23">
        <w:rPr>
          <w:noProof/>
          <w:lang w:val="en-IE" w:eastAsia="fr-BE"/>
        </w:rPr>
        <w:t>2</w:t>
      </w:r>
      <w:r w:rsidR="00B770BB" w:rsidRPr="00DF5C23">
        <w:rPr>
          <w:noProof/>
          <w:lang w:val="en-IE" w:eastAsia="fr-BE"/>
        </w:rPr>
        <w:t>つ以上の</w:t>
      </w:r>
      <w:r w:rsidRPr="00DF5C23">
        <w:rPr>
          <w:noProof/>
          <w:lang w:val="en-IE" w:eastAsia="fr-BE"/>
        </w:rPr>
        <w:t>製品グループが技術的な類似性を有し、共通の要件に基づいて第</w:t>
      </w:r>
      <w:r w:rsidRPr="00DF5C23">
        <w:rPr>
          <w:noProof/>
          <w:lang w:val="en-IE" w:eastAsia="fr-BE"/>
        </w:rPr>
        <w:t>1</w:t>
      </w:r>
      <w:r w:rsidRPr="00DF5C23">
        <w:rPr>
          <w:noProof/>
          <w:lang w:val="en-IE" w:eastAsia="fr-BE"/>
        </w:rPr>
        <w:t>項の製品側面を改善することができる場合、</w:t>
      </w:r>
      <w:r w:rsidR="00B770BB" w:rsidRPr="00DF5C23">
        <w:rPr>
          <w:noProof/>
          <w:lang w:eastAsia="fr-BE"/>
        </w:rPr>
        <w:t>それらの</w:t>
      </w:r>
      <w:r w:rsidRPr="00DF5C23">
        <w:rPr>
          <w:noProof/>
          <w:lang w:val="en-IE" w:eastAsia="fr-BE"/>
        </w:rPr>
        <w:t>製品</w:t>
      </w:r>
      <w:r w:rsidRPr="00DF5C23">
        <w:rPr>
          <w:noProof/>
          <w:lang w:eastAsia="fr-BE"/>
        </w:rPr>
        <w:t>グループに対して水平的に</w:t>
      </w:r>
      <w:r w:rsidRPr="00DF5C23">
        <w:rPr>
          <w:noProof/>
          <w:lang w:val="en-IE" w:eastAsia="fr-BE"/>
        </w:rPr>
        <w:t>エコデザイン</w:t>
      </w:r>
      <w:r w:rsidRPr="00DF5C23">
        <w:rPr>
          <w:noProof/>
          <w:lang w:eastAsia="fr-BE"/>
        </w:rPr>
        <w:t>要件を設定することができる</w:t>
      </w:r>
      <w:r w:rsidR="00BA1E9E" w:rsidRPr="00DF5C23">
        <w:rPr>
          <w:noProof/>
          <w:lang w:val="en-IE" w:eastAsia="fr-BE"/>
        </w:rPr>
        <w:t>。</w:t>
      </w:r>
      <w:r w:rsidR="00BA1E9E" w:rsidRPr="00DF5C23">
        <w:rPr>
          <w:noProof/>
          <w:lang w:val="en-IE" w:eastAsia="fr-BE"/>
        </w:rPr>
        <w:t xml:space="preserve"> </w:t>
      </w:r>
    </w:p>
    <w:p w14:paraId="6CB5868E" w14:textId="77777777" w:rsidR="0038775E" w:rsidRDefault="00877B9C" w:rsidP="002041D4">
      <w:pPr>
        <w:pStyle w:val="Text1"/>
        <w:wordWrap w:val="0"/>
        <w:rPr>
          <w:noProof/>
          <w:lang w:val="en-IE" w:eastAsia="fr-BE"/>
        </w:rPr>
      </w:pPr>
      <w:r w:rsidRPr="00DF5C23">
        <w:rPr>
          <w:noProof/>
          <w:lang w:val="en-IE" w:eastAsia="fr-BE"/>
        </w:rPr>
        <w:t>第</w:t>
      </w:r>
      <w:r w:rsidRPr="00DF5C23">
        <w:rPr>
          <w:noProof/>
          <w:lang w:val="en-IE" w:eastAsia="fr-BE"/>
        </w:rPr>
        <w:t>2</w:t>
      </w:r>
      <w:r w:rsidRPr="00DF5C23">
        <w:rPr>
          <w:noProof/>
          <w:lang w:val="en-IE" w:eastAsia="fr-BE"/>
        </w:rPr>
        <w:t>号に従って</w:t>
      </w:r>
      <w:r w:rsidR="009C1C5C" w:rsidRPr="00DF5C23">
        <w:rPr>
          <w:noProof/>
          <w:lang w:val="en-IE" w:eastAsia="fr-BE"/>
        </w:rPr>
        <w:t>設定された水平的</w:t>
      </w:r>
      <w:r w:rsidRPr="00DF5C23">
        <w:rPr>
          <w:noProof/>
          <w:lang w:val="en-IE" w:eastAsia="fr-BE"/>
        </w:rPr>
        <w:t>エコデザイン要件は、</w:t>
      </w:r>
      <w:r w:rsidRPr="00DF5C23">
        <w:rPr>
          <w:noProof/>
          <w:lang w:val="en-IE" w:eastAsia="fr-BE"/>
        </w:rPr>
        <w:t>第</w:t>
      </w:r>
      <w:r w:rsidRPr="00DF5C23">
        <w:rPr>
          <w:noProof/>
          <w:lang w:val="en-IE" w:eastAsia="fr-BE"/>
        </w:rPr>
        <w:t>18</w:t>
      </w:r>
      <w:r w:rsidRPr="00DF5C23">
        <w:rPr>
          <w:noProof/>
          <w:lang w:val="en-IE" w:eastAsia="fr-BE"/>
        </w:rPr>
        <w:t>条第</w:t>
      </w:r>
      <w:r w:rsidRPr="00DF5C23">
        <w:rPr>
          <w:noProof/>
          <w:lang w:val="en-IE" w:eastAsia="fr-BE"/>
        </w:rPr>
        <w:t>3</w:t>
      </w:r>
      <w:r w:rsidRPr="00DF5C23">
        <w:rPr>
          <w:noProof/>
          <w:lang w:val="en-IE" w:eastAsia="fr-BE"/>
        </w:rPr>
        <w:t>項に従って有効な代替措置として設定された</w:t>
      </w:r>
      <w:r w:rsidR="009C1C5C" w:rsidRPr="00DF5C23">
        <w:rPr>
          <w:noProof/>
          <w:lang w:val="en-IE" w:eastAsia="fr-BE"/>
        </w:rPr>
        <w:t>自主規制措置の範囲に属する製品を対象とすることができるが、その自主規制措置が</w:t>
      </w:r>
      <w:r w:rsidRPr="00DF5C23">
        <w:rPr>
          <w:noProof/>
          <w:lang w:val="en-IE" w:eastAsia="fr-BE"/>
        </w:rPr>
        <w:t>当該水平的エコデザイン要件の対象となる製品の側面を扱っていないと</w:t>
      </w:r>
      <w:r w:rsidR="009C1C5C" w:rsidRPr="00DF5C23">
        <w:rPr>
          <w:noProof/>
          <w:lang w:val="en-IE" w:eastAsia="fr-BE"/>
        </w:rPr>
        <w:t>委員会が判断した場合は、この限りではない。</w:t>
      </w:r>
      <w:r w:rsidR="009C1C5C" w:rsidRPr="00DF5C23">
        <w:rPr>
          <w:noProof/>
          <w:lang w:val="en-IE" w:eastAsia="fr-BE"/>
        </w:rPr>
        <w:t xml:space="preserve">  </w:t>
      </w:r>
    </w:p>
    <w:p w14:paraId="0AF7EF59" w14:textId="77777777" w:rsidR="0038775E" w:rsidRDefault="00877B9C" w:rsidP="002041D4">
      <w:pPr>
        <w:pStyle w:val="ManualNumPar1"/>
        <w:wordWrap w:val="0"/>
        <w:rPr>
          <w:noProof/>
          <w:lang w:val="en-IE" w:eastAsia="fr-BE"/>
        </w:rPr>
      </w:pPr>
      <w:r w:rsidRPr="004F5E59">
        <w:rPr>
          <w:lang w:eastAsia="ja-JP"/>
        </w:rPr>
        <w:t>3.</w:t>
      </w:r>
      <w:r w:rsidRPr="004F5E59">
        <w:rPr>
          <w:lang w:eastAsia="ja-JP"/>
        </w:rPr>
        <w:tab/>
      </w:r>
      <w:r w:rsidR="00ED0B52" w:rsidRPr="00DF5C23">
        <w:rPr>
          <w:noProof/>
          <w:lang w:val="en-IE" w:eastAsia="fr-BE"/>
        </w:rPr>
        <w:t>エコデザイン要件は、</w:t>
      </w:r>
      <w:r w:rsidR="00CC69A4" w:rsidRPr="00DF5C23">
        <w:rPr>
          <w:noProof/>
          <w:lang w:val="en-IE" w:eastAsia="fr-BE"/>
        </w:rPr>
        <w:t>適宜、以下を</w:t>
      </w:r>
      <w:r w:rsidR="0681B866" w:rsidRPr="00DF5C23">
        <w:rPr>
          <w:noProof/>
          <w:lang w:val="en-IE" w:eastAsia="fr-BE"/>
        </w:rPr>
        <w:t>含むものとする：</w:t>
      </w:r>
    </w:p>
    <w:p w14:paraId="64A5E340" w14:textId="77777777" w:rsidR="0038775E" w:rsidRDefault="00877B9C" w:rsidP="002041D4">
      <w:pPr>
        <w:pStyle w:val="Point1"/>
        <w:wordWrap w:val="0"/>
        <w:rPr>
          <w:noProof/>
          <w:lang w:val="en-IE" w:eastAsia="fr-BE"/>
        </w:rPr>
      </w:pPr>
      <w:r w:rsidRPr="004F5E59">
        <w:rPr>
          <w:lang w:eastAsia="ja-JP"/>
        </w:rPr>
        <w:t>(a)</w:t>
      </w:r>
      <w:r w:rsidRPr="004F5E59">
        <w:rPr>
          <w:lang w:eastAsia="ja-JP"/>
        </w:rPr>
        <w:tab/>
      </w:r>
      <w:r w:rsidR="002A032D" w:rsidRPr="00DF5C23">
        <w:rPr>
          <w:noProof/>
          <w:lang w:val="en-IE" w:eastAsia="fr-BE"/>
        </w:rPr>
        <w:t>第</w:t>
      </w:r>
      <w:r w:rsidR="002A032D" w:rsidRPr="00DF5C23">
        <w:rPr>
          <w:noProof/>
          <w:lang w:val="en-IE" w:eastAsia="fr-BE"/>
        </w:rPr>
        <w:t>6</w:t>
      </w:r>
      <w:r w:rsidR="0014553D" w:rsidRPr="00DF5C23">
        <w:rPr>
          <w:noProof/>
          <w:lang w:val="en-IE" w:eastAsia="fr-BE"/>
        </w:rPr>
        <w:t>条に定める</w:t>
      </w:r>
      <w:r w:rsidR="00544DD7" w:rsidRPr="00DF5C23">
        <w:rPr>
          <w:noProof/>
          <w:lang w:val="en-IE" w:eastAsia="fr-BE"/>
        </w:rPr>
        <w:t>性能</w:t>
      </w:r>
      <w:r w:rsidR="0014553D" w:rsidRPr="00DF5C23">
        <w:rPr>
          <w:noProof/>
          <w:lang w:val="en-IE" w:eastAsia="fr-BE"/>
        </w:rPr>
        <w:t>要件を満たすこと；</w:t>
      </w:r>
      <w:r w:rsidR="0014553D" w:rsidRPr="00DF5C23">
        <w:rPr>
          <w:noProof/>
          <w:lang w:val="en-IE" w:eastAsia="fr-BE"/>
        </w:rPr>
        <w:t xml:space="preserve"> </w:t>
      </w:r>
    </w:p>
    <w:p w14:paraId="4B0BF7C0" w14:textId="77777777" w:rsidR="0038775E" w:rsidRDefault="00877B9C" w:rsidP="002041D4">
      <w:pPr>
        <w:pStyle w:val="Point1"/>
        <w:wordWrap w:val="0"/>
        <w:rPr>
          <w:noProof/>
          <w:lang w:val="en-IE" w:eastAsia="fr-BE"/>
        </w:rPr>
      </w:pPr>
      <w:r w:rsidRPr="004F5E59">
        <w:rPr>
          <w:lang w:eastAsia="ja-JP"/>
        </w:rPr>
        <w:t>(b)</w:t>
      </w:r>
      <w:r w:rsidRPr="004F5E59">
        <w:rPr>
          <w:lang w:eastAsia="ja-JP"/>
        </w:rPr>
        <w:tab/>
      </w:r>
      <w:r w:rsidR="00671046" w:rsidRPr="00DF5C23">
        <w:rPr>
          <w:noProof/>
          <w:lang w:val="en-IE" w:eastAsia="fr-BE"/>
        </w:rPr>
        <w:t>第</w:t>
      </w:r>
      <w:r w:rsidR="00671046" w:rsidRPr="00DF5C23">
        <w:rPr>
          <w:noProof/>
          <w:lang w:val="en-IE" w:eastAsia="fr-BE"/>
        </w:rPr>
        <w:t>7</w:t>
      </w:r>
      <w:r w:rsidR="00671046" w:rsidRPr="00DF5C23">
        <w:rPr>
          <w:noProof/>
          <w:lang w:val="en-IE" w:eastAsia="fr-BE"/>
        </w:rPr>
        <w:t>条に定める</w:t>
      </w:r>
      <w:r w:rsidR="00544DD7" w:rsidRPr="00DF5C23">
        <w:rPr>
          <w:noProof/>
          <w:lang w:val="en-IE" w:eastAsia="fr-BE"/>
        </w:rPr>
        <w:t>情報提供義務を負う</w:t>
      </w:r>
      <w:r w:rsidR="00863FAF" w:rsidRPr="00DF5C23">
        <w:rPr>
          <w:noProof/>
          <w:lang w:val="en-IE" w:eastAsia="fr-BE"/>
        </w:rPr>
        <w:t>。</w:t>
      </w:r>
      <w:r w:rsidR="00863FAF" w:rsidRPr="00DF5C23">
        <w:rPr>
          <w:noProof/>
          <w:lang w:val="en-IE" w:eastAsia="fr-BE"/>
        </w:rPr>
        <w:t xml:space="preserve"> </w:t>
      </w:r>
    </w:p>
    <w:p w14:paraId="252C5100" w14:textId="77777777" w:rsidR="0038775E" w:rsidRDefault="00877B9C" w:rsidP="002041D4">
      <w:pPr>
        <w:pStyle w:val="ManualNumPar1"/>
        <w:wordWrap w:val="0"/>
        <w:rPr>
          <w:noProof/>
          <w:lang w:val="en-IE" w:eastAsia="fr-BE"/>
        </w:rPr>
      </w:pPr>
      <w:r w:rsidRPr="004F5E59">
        <w:rPr>
          <w:lang w:eastAsia="ja-JP"/>
        </w:rPr>
        <w:t>4.</w:t>
      </w:r>
      <w:r w:rsidRPr="004F5E59">
        <w:rPr>
          <w:lang w:eastAsia="ja-JP"/>
        </w:rPr>
        <w:tab/>
      </w:r>
      <w:r w:rsidR="00810EB9" w:rsidRPr="00DF5C23">
        <w:rPr>
          <w:noProof/>
          <w:lang w:val="en-IE" w:eastAsia="fr-BE"/>
        </w:rPr>
        <w:t>エコデザイン</w:t>
      </w:r>
      <w:r w:rsidR="00ED5E0B" w:rsidRPr="00DF5C23">
        <w:rPr>
          <w:noProof/>
          <w:lang w:val="en-IE" w:eastAsia="fr-BE"/>
        </w:rPr>
        <w:t>要求事項を作成する場合、委員会は</w:t>
      </w:r>
      <w:r w:rsidR="00F568D7" w:rsidRPr="00DF5C23">
        <w:rPr>
          <w:noProof/>
          <w:lang w:val="en-IE" w:eastAsia="fr-BE"/>
        </w:rPr>
        <w:t>、以下のことを行う：</w:t>
      </w:r>
      <w:r w:rsidR="00F568D7" w:rsidRPr="00DF5C23">
        <w:rPr>
          <w:noProof/>
          <w:lang w:val="en-IE" w:eastAsia="fr-BE"/>
        </w:rPr>
        <w:t xml:space="preserve"> </w:t>
      </w:r>
    </w:p>
    <w:p w14:paraId="302C3515" w14:textId="77777777" w:rsidR="0038775E" w:rsidRDefault="00877B9C" w:rsidP="002041D4">
      <w:pPr>
        <w:pStyle w:val="Point1"/>
        <w:wordWrap w:val="0"/>
        <w:rPr>
          <w:noProof/>
          <w:lang w:val="en-IE" w:eastAsia="fr-BE"/>
        </w:rPr>
      </w:pPr>
      <w:r w:rsidRPr="004F5E59">
        <w:rPr>
          <w:lang w:eastAsia="ja-JP"/>
        </w:rPr>
        <w:t>(a)</w:t>
      </w:r>
      <w:r w:rsidRPr="004F5E59">
        <w:rPr>
          <w:lang w:eastAsia="ja-JP"/>
        </w:rPr>
        <w:tab/>
      </w:r>
      <w:r w:rsidR="00C650F8" w:rsidRPr="00DF5C23">
        <w:rPr>
          <w:noProof/>
          <w:lang w:val="en-IE" w:eastAsia="fr-BE"/>
        </w:rPr>
        <w:t>は、以下の要素を</w:t>
      </w:r>
      <w:r w:rsidR="00646885" w:rsidRPr="00DF5C23">
        <w:rPr>
          <w:noProof/>
          <w:lang w:val="en-IE" w:eastAsia="fr-BE"/>
        </w:rPr>
        <w:t>考慮する：</w:t>
      </w:r>
    </w:p>
    <w:p w14:paraId="2AFD366E" w14:textId="77777777" w:rsidR="0038775E" w:rsidRDefault="00877B9C" w:rsidP="002041D4">
      <w:pPr>
        <w:pStyle w:val="Point2"/>
        <w:wordWrap w:val="0"/>
        <w:rPr>
          <w:noProof/>
          <w:lang w:val="en-IE" w:eastAsia="fr-BE"/>
        </w:rPr>
      </w:pPr>
      <w:r w:rsidRPr="00DF5C23">
        <w:rPr>
          <w:noProof/>
          <w:lang w:val="en-IE" w:eastAsia="fr-BE"/>
        </w:rPr>
        <w:t>(i)</w:t>
      </w:r>
      <w:r w:rsidRPr="00DF5C23">
        <w:rPr>
          <w:noProof/>
          <w:lang w:val="en-IE" w:eastAsia="fr-BE"/>
        </w:rPr>
        <w:tab/>
      </w:r>
      <w:r w:rsidR="00646885" w:rsidRPr="00DF5C23">
        <w:rPr>
          <w:noProof/>
          <w:lang w:val="en-IE" w:eastAsia="fr-BE"/>
        </w:rPr>
        <w:t>EU</w:t>
      </w:r>
      <w:r w:rsidR="00646885" w:rsidRPr="00DF5C23">
        <w:rPr>
          <w:noProof/>
          <w:lang w:val="en-IE" w:eastAsia="fr-BE"/>
        </w:rPr>
        <w:t>の</w:t>
      </w:r>
      <w:r w:rsidR="00A45DBC" w:rsidRPr="00DF5C23">
        <w:rPr>
          <w:noProof/>
          <w:lang w:val="en-IE" w:eastAsia="fr-BE"/>
        </w:rPr>
        <w:t>気候、</w:t>
      </w:r>
      <w:r w:rsidR="00DC6988" w:rsidRPr="00DF5C23">
        <w:rPr>
          <w:noProof/>
          <w:lang w:val="en-IE" w:eastAsia="fr-BE"/>
        </w:rPr>
        <w:t>環境、エネルギー</w:t>
      </w:r>
      <w:r w:rsidR="00565261" w:rsidRPr="00DF5C23">
        <w:rPr>
          <w:noProof/>
          <w:lang w:val="en-IE" w:eastAsia="fr-BE"/>
        </w:rPr>
        <w:t>効率に関する</w:t>
      </w:r>
      <w:r w:rsidR="00646885" w:rsidRPr="00DF5C23">
        <w:rPr>
          <w:noProof/>
          <w:lang w:val="en-IE" w:eastAsia="fr-BE"/>
        </w:rPr>
        <w:t>優先事項</w:t>
      </w:r>
      <w:r w:rsidR="0006202B" w:rsidRPr="00DF5C23">
        <w:rPr>
          <w:noProof/>
          <w:lang w:val="en-IE" w:eastAsia="fr-BE"/>
        </w:rPr>
        <w:t>およびその他の</w:t>
      </w:r>
      <w:r w:rsidR="00565261" w:rsidRPr="00DF5C23">
        <w:rPr>
          <w:noProof/>
          <w:lang w:val="en-IE" w:eastAsia="fr-BE"/>
        </w:rPr>
        <w:t>関連する</w:t>
      </w:r>
      <w:r w:rsidR="0006202B" w:rsidRPr="00DF5C23">
        <w:rPr>
          <w:noProof/>
          <w:lang w:val="en-IE" w:eastAsia="fr-BE"/>
        </w:rPr>
        <w:t>EU</w:t>
      </w:r>
      <w:r w:rsidR="0006202B" w:rsidRPr="00DF5C23">
        <w:rPr>
          <w:noProof/>
          <w:lang w:val="en-IE" w:eastAsia="fr-BE"/>
        </w:rPr>
        <w:t>の優先事項</w:t>
      </w:r>
      <w:r w:rsidR="00646885" w:rsidRPr="00DF5C23">
        <w:rPr>
          <w:noProof/>
          <w:lang w:val="en-IE" w:eastAsia="fr-BE"/>
        </w:rPr>
        <w:t>；</w:t>
      </w:r>
    </w:p>
    <w:p w14:paraId="4F1DDE98" w14:textId="77777777" w:rsidR="0038775E" w:rsidRDefault="00877B9C" w:rsidP="002041D4">
      <w:pPr>
        <w:pStyle w:val="Point2"/>
        <w:wordWrap w:val="0"/>
        <w:rPr>
          <w:noProof/>
          <w:lang w:val="en-IE" w:eastAsia="fr-BE"/>
        </w:rPr>
      </w:pPr>
      <w:r w:rsidRPr="00DF5C23">
        <w:rPr>
          <w:noProof/>
          <w:lang w:val="en-IE" w:eastAsia="fr-BE"/>
        </w:rPr>
        <w:t>二</w:t>
      </w:r>
      <w:r w:rsidRPr="00DF5C23">
        <w:rPr>
          <w:noProof/>
          <w:lang w:val="en-IE" w:eastAsia="fr-BE"/>
        </w:rPr>
        <w:tab/>
      </w:r>
      <w:r w:rsidR="004415E9" w:rsidRPr="00DF5C23">
        <w:rPr>
          <w:noProof/>
          <w:lang w:val="en-IE" w:eastAsia="fr-BE"/>
        </w:rPr>
        <w:t>第</w:t>
      </w:r>
      <w:r w:rsidR="004415E9" w:rsidRPr="00DF5C23">
        <w:rPr>
          <w:noProof/>
          <w:lang w:val="en-IE" w:eastAsia="fr-BE"/>
        </w:rPr>
        <w:t>1</w:t>
      </w:r>
      <w:r w:rsidR="004415E9" w:rsidRPr="00DF5C23">
        <w:rPr>
          <w:noProof/>
          <w:lang w:val="en-IE" w:eastAsia="fr-BE"/>
        </w:rPr>
        <w:t>項に記載された</w:t>
      </w:r>
      <w:r w:rsidR="00E473B3" w:rsidRPr="00DF5C23">
        <w:rPr>
          <w:noProof/>
          <w:lang w:val="en-IE" w:eastAsia="fr-BE"/>
        </w:rPr>
        <w:t>関連する</w:t>
      </w:r>
      <w:r w:rsidR="00A45DBC" w:rsidRPr="00DF5C23">
        <w:rPr>
          <w:noProof/>
          <w:lang w:val="en-IE" w:eastAsia="fr-BE"/>
        </w:rPr>
        <w:t>製品の</w:t>
      </w:r>
      <w:r w:rsidR="00E473B3" w:rsidRPr="00DF5C23">
        <w:rPr>
          <w:noProof/>
          <w:lang w:val="en-IE" w:eastAsia="fr-BE"/>
        </w:rPr>
        <w:t>側面にどの程度対応しているかを含む、</w:t>
      </w:r>
      <w:r w:rsidR="00646885" w:rsidRPr="00DF5C23">
        <w:rPr>
          <w:noProof/>
          <w:lang w:val="en-IE" w:eastAsia="fr-BE"/>
        </w:rPr>
        <w:t>関連する</w:t>
      </w:r>
      <w:r w:rsidR="00646885" w:rsidRPr="00DF5C23">
        <w:rPr>
          <w:noProof/>
          <w:lang w:val="en-IE" w:eastAsia="fr-BE"/>
        </w:rPr>
        <w:t>EU</w:t>
      </w:r>
      <w:r w:rsidR="00646885" w:rsidRPr="00DF5C23">
        <w:rPr>
          <w:noProof/>
          <w:lang w:val="en-IE" w:eastAsia="fr-BE"/>
        </w:rPr>
        <w:t>の法律</w:t>
      </w:r>
      <w:r w:rsidR="00CB7443" w:rsidRPr="00DF5C23">
        <w:rPr>
          <w:noProof/>
          <w:lang w:val="en-IE" w:eastAsia="fr-BE"/>
        </w:rPr>
        <w:t>；</w:t>
      </w:r>
    </w:p>
    <w:p w14:paraId="47F155BE" w14:textId="77777777" w:rsidR="0038775E" w:rsidRDefault="00877B9C" w:rsidP="002041D4">
      <w:pPr>
        <w:pStyle w:val="Point2"/>
        <w:wordWrap w:val="0"/>
        <w:rPr>
          <w:noProof/>
          <w:lang w:val="en-IE" w:eastAsia="fr-BE"/>
        </w:rPr>
      </w:pPr>
      <w:r w:rsidRPr="00DF5C23">
        <w:rPr>
          <w:noProof/>
          <w:lang w:val="en-IE" w:eastAsia="fr-BE"/>
        </w:rPr>
        <w:t>三</w:t>
      </w:r>
      <w:r w:rsidRPr="00DF5C23">
        <w:rPr>
          <w:noProof/>
          <w:lang w:val="en-IE" w:eastAsia="fr-BE"/>
        </w:rPr>
        <w:tab/>
      </w:r>
      <w:r w:rsidR="00DE5BBF" w:rsidRPr="00DF5C23">
        <w:rPr>
          <w:noProof/>
          <w:lang w:val="en-IE" w:eastAsia="fr-BE"/>
        </w:rPr>
        <w:t>第</w:t>
      </w:r>
      <w:r w:rsidR="00DE5BBF" w:rsidRPr="00DF5C23">
        <w:rPr>
          <w:noProof/>
          <w:lang w:val="en-IE" w:eastAsia="fr-BE"/>
        </w:rPr>
        <w:t>18</w:t>
      </w:r>
      <w:r w:rsidR="00B500FD" w:rsidRPr="00DF5C23">
        <w:rPr>
          <w:noProof/>
          <w:lang w:val="en-IE" w:eastAsia="fr-BE"/>
        </w:rPr>
        <w:t>条に規定</w:t>
      </w:r>
      <w:r w:rsidR="00B649A1" w:rsidRPr="00DF5C23">
        <w:rPr>
          <w:noProof/>
          <w:lang w:val="en-IE" w:eastAsia="fr-BE"/>
        </w:rPr>
        <w:t>する</w:t>
      </w:r>
      <w:r w:rsidR="00646885" w:rsidRPr="00DF5C23">
        <w:rPr>
          <w:noProof/>
          <w:lang w:val="en-IE" w:eastAsia="fr-BE"/>
        </w:rPr>
        <w:t>自己規制措置</w:t>
      </w:r>
      <w:r w:rsidR="00DA5CBA" w:rsidRPr="00DF5C23">
        <w:rPr>
          <w:noProof/>
          <w:lang w:val="en-IE" w:eastAsia="fr-BE"/>
        </w:rPr>
        <w:t>；</w:t>
      </w:r>
    </w:p>
    <w:p w14:paraId="107342C7" w14:textId="77777777" w:rsidR="0038775E" w:rsidRDefault="00877B9C" w:rsidP="002041D4">
      <w:pPr>
        <w:pStyle w:val="Point2"/>
        <w:wordWrap w:val="0"/>
        <w:rPr>
          <w:noProof/>
          <w:lang w:val="fr-BE" w:eastAsia="fr-BE"/>
        </w:rPr>
      </w:pPr>
      <w:r w:rsidRPr="00DF5C23">
        <w:rPr>
          <w:noProof/>
          <w:lang w:val="fr-BE" w:eastAsia="fr-BE"/>
        </w:rPr>
        <w:t>四</w:t>
      </w:r>
      <w:r w:rsidRPr="00DF5C23">
        <w:rPr>
          <w:noProof/>
          <w:lang w:val="fr-BE" w:eastAsia="fr-BE"/>
        </w:rPr>
        <w:tab/>
      </w:r>
      <w:r w:rsidR="00646885" w:rsidRPr="00DF5C23">
        <w:rPr>
          <w:noProof/>
          <w:lang w:val="fr-BE" w:eastAsia="fr-BE"/>
        </w:rPr>
        <w:t>関連する</w:t>
      </w:r>
      <w:r w:rsidR="00DA5CBA" w:rsidRPr="00DF5C23">
        <w:rPr>
          <w:noProof/>
          <w:lang w:val="fr-BE" w:eastAsia="fr-BE"/>
        </w:rPr>
        <w:t>国内環境法令を遵守する</w:t>
      </w:r>
      <w:r w:rsidR="00565261" w:rsidRPr="00DF5C23">
        <w:rPr>
          <w:noProof/>
          <w:lang w:val="fr-BE" w:eastAsia="fr-BE"/>
        </w:rPr>
        <w:t>；</w:t>
      </w:r>
    </w:p>
    <w:p w14:paraId="30D57D39" w14:textId="77777777" w:rsidR="0038775E" w:rsidRDefault="00877B9C" w:rsidP="002041D4">
      <w:pPr>
        <w:pStyle w:val="Point2"/>
        <w:wordWrap w:val="0"/>
        <w:rPr>
          <w:noProof/>
          <w:lang w:val="en-IE" w:eastAsia="fr-BE"/>
        </w:rPr>
      </w:pPr>
      <w:r w:rsidRPr="00DF5C23">
        <w:rPr>
          <w:noProof/>
          <w:lang w:val="en-IE" w:eastAsia="fr-BE"/>
        </w:rPr>
        <w:t>(v)</w:t>
      </w:r>
      <w:r w:rsidR="00B649A1" w:rsidRPr="00DF5C23">
        <w:rPr>
          <w:noProof/>
          <w:lang w:val="en-IE" w:eastAsia="fr-BE"/>
        </w:rPr>
        <w:tab/>
      </w:r>
      <w:r w:rsidRPr="00DF5C23">
        <w:rPr>
          <w:noProof/>
          <w:lang w:val="en-IE" w:eastAsia="fr-BE"/>
        </w:rPr>
        <w:t>関連する</w:t>
      </w:r>
      <w:r w:rsidR="00996C83" w:rsidRPr="00DF5C23">
        <w:rPr>
          <w:noProof/>
          <w:lang w:val="en-IE" w:eastAsia="fr-BE"/>
        </w:rPr>
        <w:t>欧州および</w:t>
      </w:r>
      <w:r w:rsidRPr="00DF5C23">
        <w:rPr>
          <w:noProof/>
          <w:lang w:val="en-IE" w:eastAsia="fr-BE"/>
        </w:rPr>
        <w:t>国際規格</w:t>
      </w:r>
      <w:r w:rsidR="00C70A1E" w:rsidRPr="00DF5C23">
        <w:rPr>
          <w:noProof/>
          <w:lang w:val="en-IE" w:eastAsia="fr-BE"/>
        </w:rPr>
        <w:t>；</w:t>
      </w:r>
    </w:p>
    <w:p w14:paraId="0931BEA4" w14:textId="77777777" w:rsidR="0038775E" w:rsidRDefault="00877B9C" w:rsidP="002041D4">
      <w:pPr>
        <w:pStyle w:val="Point1"/>
        <w:wordWrap w:val="0"/>
        <w:rPr>
          <w:noProof/>
          <w:lang w:val="en-IE" w:eastAsia="fr-BE"/>
        </w:rPr>
      </w:pPr>
      <w:r w:rsidRPr="004F5E59">
        <w:rPr>
          <w:lang w:eastAsia="ja-JP"/>
        </w:rPr>
        <w:t>(b)</w:t>
      </w:r>
      <w:r w:rsidRPr="004F5E59">
        <w:rPr>
          <w:lang w:eastAsia="ja-JP"/>
        </w:rPr>
        <w:tab/>
      </w:r>
      <w:r w:rsidR="00F568D7" w:rsidRPr="00DF5C23">
        <w:rPr>
          <w:noProof/>
          <w:lang w:val="en-IE" w:eastAsia="fr-BE"/>
        </w:rPr>
        <w:t>入手可能な最善の証拠および分析に基づき、また、</w:t>
      </w:r>
      <w:r w:rsidR="003A5181" w:rsidRPr="00DF5C23">
        <w:rPr>
          <w:noProof/>
          <w:lang w:val="en-IE" w:eastAsia="fr-BE"/>
        </w:rPr>
        <w:t>必要に応じて、欧州の資金提供プログラムの下で行われた</w:t>
      </w:r>
      <w:r w:rsidR="00F568D7" w:rsidRPr="00DF5C23">
        <w:rPr>
          <w:noProof/>
          <w:lang w:val="en-IE" w:eastAsia="fr-BE"/>
        </w:rPr>
        <w:t>追加の研究</w:t>
      </w:r>
      <w:r w:rsidR="003A5181" w:rsidRPr="00DF5C23">
        <w:rPr>
          <w:noProof/>
          <w:lang w:val="en-IE" w:eastAsia="fr-BE"/>
        </w:rPr>
        <w:t>および研究結果に基づき、</w:t>
      </w:r>
      <w:r w:rsidR="00F568D7" w:rsidRPr="00DF5C23">
        <w:rPr>
          <w:noProof/>
          <w:lang w:val="en-IE" w:eastAsia="fr-BE"/>
        </w:rPr>
        <w:t>影響評価を実施する。その際、欧州委員会は、</w:t>
      </w:r>
      <w:r w:rsidR="004415E9" w:rsidRPr="00DF5C23">
        <w:rPr>
          <w:noProof/>
          <w:lang w:val="en-IE" w:eastAsia="fr-BE"/>
        </w:rPr>
        <w:t>第</w:t>
      </w:r>
      <w:r w:rsidR="004415E9" w:rsidRPr="00DF5C23">
        <w:rPr>
          <w:noProof/>
          <w:lang w:val="en-IE" w:eastAsia="fr-BE"/>
        </w:rPr>
        <w:t>1</w:t>
      </w:r>
      <w:r w:rsidR="004415E9" w:rsidRPr="00DF5C23">
        <w:rPr>
          <w:noProof/>
          <w:lang w:val="en-IE" w:eastAsia="fr-BE"/>
        </w:rPr>
        <w:t>項に列挙</w:t>
      </w:r>
      <w:r w:rsidR="00F568D7" w:rsidRPr="00DF5C23">
        <w:rPr>
          <w:noProof/>
          <w:lang w:val="en-IE" w:eastAsia="fr-BE"/>
        </w:rPr>
        <w:t>された製品の側面の分析の深さが、その重要性に比例するようにするものとする。</w:t>
      </w:r>
      <w:r w:rsidR="00793608" w:rsidRPr="00DF5C23">
        <w:rPr>
          <w:noProof/>
          <w:lang w:val="en-IE" w:eastAsia="fr-BE"/>
        </w:rPr>
        <w:t>第</w:t>
      </w:r>
      <w:r w:rsidR="00793608" w:rsidRPr="00DF5C23">
        <w:rPr>
          <w:noProof/>
          <w:lang w:val="en-IE" w:eastAsia="fr-BE"/>
        </w:rPr>
        <w:t>1</w:t>
      </w:r>
      <w:r w:rsidR="00793608" w:rsidRPr="00DF5C23">
        <w:rPr>
          <w:noProof/>
          <w:lang w:val="en-IE" w:eastAsia="fr-BE"/>
        </w:rPr>
        <w:t>項に列挙された製品の側面のうち、</w:t>
      </w:r>
      <w:r w:rsidR="00F568D7" w:rsidRPr="00DF5C23">
        <w:rPr>
          <w:noProof/>
          <w:lang w:val="en-IE" w:eastAsia="fr-BE"/>
        </w:rPr>
        <w:t>最も重要な側面に関するエコデザイン要件の策定は</w:t>
      </w:r>
      <w:r w:rsidR="00F568D7" w:rsidRPr="00DF5C23" w:rsidDel="00996C83">
        <w:rPr>
          <w:noProof/>
          <w:lang w:val="en-IE" w:eastAsia="fr-BE"/>
        </w:rPr>
        <w:t>、</w:t>
      </w:r>
      <w:r w:rsidR="00793608" w:rsidRPr="00DF5C23">
        <w:rPr>
          <w:noProof/>
          <w:lang w:val="en-IE" w:eastAsia="fr-BE"/>
        </w:rPr>
        <w:t>当該製品の</w:t>
      </w:r>
      <w:r w:rsidR="00F568D7" w:rsidRPr="00DF5C23">
        <w:rPr>
          <w:noProof/>
          <w:lang w:val="en-IE" w:eastAsia="fr-BE"/>
        </w:rPr>
        <w:t>他の側面を</w:t>
      </w:r>
      <w:r w:rsidR="008334C7" w:rsidRPr="00DF5C23">
        <w:rPr>
          <w:noProof/>
          <w:lang w:val="en-IE" w:eastAsia="fr-BE"/>
        </w:rPr>
        <w:t>改善するための</w:t>
      </w:r>
      <w:r w:rsidR="00793608" w:rsidRPr="00DF5C23">
        <w:rPr>
          <w:noProof/>
          <w:lang w:val="en-IE" w:eastAsia="fr-BE"/>
        </w:rPr>
        <w:t>エコデザイン</w:t>
      </w:r>
      <w:r w:rsidR="008334C7" w:rsidRPr="00DF5C23">
        <w:rPr>
          <w:noProof/>
          <w:lang w:val="en-IE" w:eastAsia="fr-BE"/>
        </w:rPr>
        <w:t>要件の策定の可能</w:t>
      </w:r>
      <w:r w:rsidR="00F568D7" w:rsidRPr="00DF5C23">
        <w:rPr>
          <w:noProof/>
          <w:lang w:val="en-IE" w:eastAsia="fr-BE"/>
        </w:rPr>
        <w:t>性に関する不確実性によって不当に遅延してはならない</w:t>
      </w:r>
      <w:r w:rsidR="00A03FCE" w:rsidRPr="00DF5C23">
        <w:rPr>
          <w:noProof/>
          <w:lang w:val="en-IE" w:eastAsia="fr-BE"/>
        </w:rPr>
        <w:t>；</w:t>
      </w:r>
    </w:p>
    <w:p w14:paraId="546B3F44" w14:textId="77777777" w:rsidR="0038775E" w:rsidRDefault="00877B9C" w:rsidP="002041D4">
      <w:pPr>
        <w:pStyle w:val="Point1"/>
        <w:wordWrap w:val="0"/>
        <w:rPr>
          <w:noProof/>
          <w:lang w:val="en-IE" w:eastAsia="fr-BE"/>
        </w:rPr>
      </w:pPr>
      <w:r w:rsidRPr="004F5E59">
        <w:rPr>
          <w:lang w:eastAsia="ja-JP"/>
        </w:rPr>
        <w:lastRenderedPageBreak/>
        <w:t>(c)</w:t>
      </w:r>
      <w:r w:rsidRPr="004F5E59">
        <w:rPr>
          <w:lang w:eastAsia="ja-JP"/>
        </w:rPr>
        <w:tab/>
      </w:r>
      <w:r w:rsidR="00996C83" w:rsidRPr="00DF5C23">
        <w:rPr>
          <w:noProof/>
          <w:lang w:val="en-IE" w:eastAsia="fr-BE"/>
        </w:rPr>
        <w:t>規則（</w:t>
      </w:r>
      <w:r w:rsidR="00996C83" w:rsidRPr="00DF5C23">
        <w:rPr>
          <w:noProof/>
          <w:lang w:val="en-IE" w:eastAsia="fr-BE"/>
        </w:rPr>
        <w:t>EC</w:t>
      </w:r>
      <w:r w:rsidR="00996C83" w:rsidRPr="00DF5C23">
        <w:rPr>
          <w:noProof/>
          <w:lang w:val="en-IE" w:eastAsia="fr-BE"/>
        </w:rPr>
        <w:t>）</w:t>
      </w:r>
      <w:r w:rsidR="00996C83" w:rsidRPr="00DF5C23">
        <w:rPr>
          <w:noProof/>
          <w:lang w:val="en-IE" w:eastAsia="fr-BE"/>
        </w:rPr>
        <w:t>No 66/2010</w:t>
      </w:r>
      <w:r w:rsidR="00996C83" w:rsidRPr="00DF5C23">
        <w:rPr>
          <w:noProof/>
          <w:lang w:val="en-IE" w:eastAsia="fr-BE"/>
        </w:rPr>
        <w:t>、指令</w:t>
      </w:r>
      <w:r w:rsidR="00996C83" w:rsidRPr="00DF5C23">
        <w:rPr>
          <w:noProof/>
          <w:lang w:val="en-IE" w:eastAsia="fr-BE"/>
        </w:rPr>
        <w:t>2010/75/EU</w:t>
      </w:r>
      <w:r w:rsidR="00996C83" w:rsidRPr="00DF5C23">
        <w:rPr>
          <w:noProof/>
          <w:lang w:val="en-IE" w:eastAsia="fr-BE"/>
        </w:rPr>
        <w:t>、規則（</w:t>
      </w:r>
      <w:r w:rsidR="00996C83" w:rsidRPr="00DF5C23">
        <w:rPr>
          <w:noProof/>
          <w:lang w:val="en-IE" w:eastAsia="fr-BE"/>
        </w:rPr>
        <w:t>EU</w:t>
      </w:r>
      <w:r w:rsidR="00996C83" w:rsidRPr="00DF5C23">
        <w:rPr>
          <w:noProof/>
          <w:lang w:val="en-IE" w:eastAsia="fr-BE"/>
        </w:rPr>
        <w:t>）</w:t>
      </w:r>
      <w:r w:rsidR="00996C83" w:rsidRPr="00DF5C23">
        <w:rPr>
          <w:noProof/>
          <w:lang w:val="en-IE" w:eastAsia="fr-BE"/>
        </w:rPr>
        <w:t>2020/852</w:t>
      </w:r>
      <w:r w:rsidR="00996C83" w:rsidRPr="00DF5C23">
        <w:rPr>
          <w:noProof/>
          <w:lang w:val="en-IE" w:eastAsia="fr-BE"/>
        </w:rPr>
        <w:t>に従って採用された技術的審査基準、グリーン公共調達基準など、</w:t>
      </w:r>
      <w:r w:rsidR="00996C83" w:rsidRPr="00DF5C23">
        <w:rPr>
          <w:noProof/>
          <w:lang w:val="en-IE" w:eastAsia="fr-BE"/>
        </w:rPr>
        <w:t>EU</w:t>
      </w:r>
      <w:r w:rsidR="00996C83" w:rsidRPr="00DF5C23">
        <w:rPr>
          <w:noProof/>
          <w:lang w:val="en-IE" w:eastAsia="fr-BE"/>
        </w:rPr>
        <w:t>の法律や文書の根拠として使用された、またはそこから派生した関連技術情報を</w:t>
      </w:r>
      <w:r w:rsidR="007F78D1" w:rsidRPr="00DF5C23">
        <w:rPr>
          <w:noProof/>
          <w:lang w:val="en-IE" w:eastAsia="fr-BE"/>
        </w:rPr>
        <w:t>考慮する</w:t>
      </w:r>
      <w:r w:rsidR="00C70A1E" w:rsidRPr="00DF5C23">
        <w:rPr>
          <w:noProof/>
          <w:lang w:val="en-IE" w:eastAsia="fr-BE"/>
        </w:rPr>
        <w:t>；</w:t>
      </w:r>
    </w:p>
    <w:p w14:paraId="3166FB8E" w14:textId="77777777" w:rsidR="0038775E" w:rsidRDefault="00877B9C" w:rsidP="002041D4">
      <w:pPr>
        <w:pStyle w:val="Point1"/>
        <w:wordWrap w:val="0"/>
        <w:rPr>
          <w:noProof/>
          <w:lang w:val="en-IE" w:eastAsia="fr-BE"/>
        </w:rPr>
      </w:pPr>
      <w:r w:rsidRPr="004F5E59">
        <w:rPr>
          <w:lang w:eastAsia="ja-JP"/>
        </w:rPr>
        <w:t>(d)</w:t>
      </w:r>
      <w:r w:rsidRPr="004F5E59">
        <w:rPr>
          <w:lang w:eastAsia="ja-JP"/>
        </w:rPr>
        <w:tab/>
      </w:r>
      <w:r w:rsidR="00DC08F4" w:rsidRPr="00DF5C23">
        <w:rPr>
          <w:noProof/>
          <w:lang w:val="en-IE" w:eastAsia="fr-BE"/>
        </w:rPr>
        <w:t>は、第</w:t>
      </w:r>
      <w:r w:rsidR="00DC08F4" w:rsidRPr="00DF5C23">
        <w:rPr>
          <w:noProof/>
          <w:lang w:val="en-IE" w:eastAsia="fr-BE"/>
        </w:rPr>
        <w:t>17</w:t>
      </w:r>
      <w:r w:rsidR="00DC08F4" w:rsidRPr="00DF5C23">
        <w:rPr>
          <w:noProof/>
          <w:lang w:val="en-IE" w:eastAsia="fr-BE"/>
        </w:rPr>
        <w:t>条で言及されたエコデザイン・フォーラムが表明した意見を考慮する。</w:t>
      </w:r>
    </w:p>
    <w:p w14:paraId="56CD46FC" w14:textId="77777777" w:rsidR="0038775E" w:rsidRDefault="00877B9C" w:rsidP="002041D4">
      <w:pPr>
        <w:pStyle w:val="ManualNumPar1"/>
        <w:wordWrap w:val="0"/>
        <w:rPr>
          <w:noProof/>
          <w:lang w:val="en-IE" w:eastAsia="fr-BE"/>
        </w:rPr>
      </w:pPr>
      <w:r w:rsidRPr="004F5E59">
        <w:rPr>
          <w:lang w:eastAsia="ja-JP"/>
        </w:rPr>
        <w:t>5.</w:t>
      </w:r>
      <w:r w:rsidRPr="004F5E59">
        <w:rPr>
          <w:lang w:eastAsia="ja-JP"/>
        </w:rPr>
        <w:tab/>
      </w:r>
      <w:r w:rsidR="00AB7ABF" w:rsidRPr="00DF5C23">
        <w:rPr>
          <w:noProof/>
          <w:lang w:val="en-IE" w:eastAsia="fr-BE"/>
        </w:rPr>
        <w:t>エコデザイン要件は、</w:t>
      </w:r>
      <w:r w:rsidR="00644780" w:rsidRPr="00DF5C23">
        <w:rPr>
          <w:noProof/>
          <w:lang w:val="en-IE" w:eastAsia="fr-BE"/>
        </w:rPr>
        <w:t>以下の基準を満たすものとする：</w:t>
      </w:r>
    </w:p>
    <w:p w14:paraId="1C290791" w14:textId="77777777" w:rsidR="0038775E" w:rsidRDefault="00877B9C" w:rsidP="002041D4">
      <w:pPr>
        <w:pStyle w:val="Point1"/>
        <w:wordWrap w:val="0"/>
        <w:rPr>
          <w:noProof/>
          <w:lang w:val="en-IE" w:eastAsia="fr-BE"/>
        </w:rPr>
      </w:pPr>
      <w:r w:rsidRPr="004F5E59">
        <w:rPr>
          <w:lang w:eastAsia="ja-JP"/>
        </w:rPr>
        <w:t>(a)</w:t>
      </w:r>
      <w:r w:rsidRPr="004F5E59">
        <w:rPr>
          <w:lang w:eastAsia="ja-JP"/>
        </w:rPr>
        <w:tab/>
      </w:r>
      <w:r w:rsidR="0681B866" w:rsidRPr="00DF5C23">
        <w:rPr>
          <w:noProof/>
          <w:lang w:val="en-IE" w:eastAsia="fr-BE"/>
        </w:rPr>
        <w:t>ユーザーの立場から、製品の機能に重大な悪影響を及ぼさないこと；</w:t>
      </w:r>
    </w:p>
    <w:p w14:paraId="6D140D3B" w14:textId="77777777" w:rsidR="0038775E" w:rsidRDefault="00877B9C" w:rsidP="002041D4">
      <w:pPr>
        <w:pStyle w:val="Point1"/>
        <w:wordWrap w:val="0"/>
        <w:rPr>
          <w:noProof/>
          <w:lang w:val="en-IE" w:eastAsia="fr-BE"/>
        </w:rPr>
      </w:pPr>
      <w:r w:rsidRPr="004F5E59">
        <w:rPr>
          <w:lang w:eastAsia="ja-JP"/>
        </w:rPr>
        <w:t>(b)</w:t>
      </w:r>
      <w:r w:rsidRPr="004F5E59">
        <w:rPr>
          <w:lang w:eastAsia="ja-JP"/>
        </w:rPr>
        <w:tab/>
      </w:r>
      <w:r w:rsidR="0681B866" w:rsidRPr="00DF5C23">
        <w:rPr>
          <w:noProof/>
          <w:lang w:val="en-IE" w:eastAsia="fr-BE"/>
        </w:rPr>
        <w:t>人の健康や安全に</w:t>
      </w:r>
      <w:r w:rsidR="00AB7ABF" w:rsidRPr="00DF5C23">
        <w:rPr>
          <w:noProof/>
          <w:lang w:val="en-IE" w:eastAsia="fr-BE"/>
        </w:rPr>
        <w:t>悪影響を及ぼすことがないようにする</w:t>
      </w:r>
      <w:r w:rsidR="007D4BFF" w:rsidRPr="00DF5C23">
        <w:rPr>
          <w:noProof/>
          <w:lang w:val="en-IE" w:eastAsia="fr-BE"/>
        </w:rPr>
        <w:t>；</w:t>
      </w:r>
    </w:p>
    <w:p w14:paraId="354C7C2E" w14:textId="77777777" w:rsidR="0038775E" w:rsidRDefault="00877B9C" w:rsidP="002041D4">
      <w:pPr>
        <w:pStyle w:val="Point1"/>
        <w:wordWrap w:val="0"/>
        <w:rPr>
          <w:noProof/>
          <w:lang w:val="en-IE" w:eastAsia="fr-BE"/>
        </w:rPr>
      </w:pPr>
      <w:r w:rsidRPr="004F5E59">
        <w:rPr>
          <w:lang w:eastAsia="ja-JP"/>
        </w:rPr>
        <w:t>(c)</w:t>
      </w:r>
      <w:r w:rsidRPr="004F5E59">
        <w:rPr>
          <w:lang w:eastAsia="ja-JP"/>
        </w:rPr>
        <w:tab/>
      </w:r>
      <w:r w:rsidR="0681B866" w:rsidRPr="00DF5C23">
        <w:rPr>
          <w:noProof/>
          <w:lang w:val="en-IE" w:eastAsia="fr-BE"/>
        </w:rPr>
        <w:t>中古品へのアクセス、耐久性、製品のライフサイクルコストなども</w:t>
      </w:r>
      <w:r w:rsidR="007D4BFF" w:rsidRPr="00DF5C23">
        <w:rPr>
          <w:noProof/>
          <w:lang w:val="en-IE" w:eastAsia="fr-BE"/>
        </w:rPr>
        <w:t>考慮し、</w:t>
      </w:r>
      <w:r w:rsidR="0681B866" w:rsidRPr="00DF5C23">
        <w:rPr>
          <w:noProof/>
          <w:lang w:val="en-IE" w:eastAsia="fr-BE"/>
        </w:rPr>
        <w:t>関連製品の購入しやすさという点で、消費者に大きな悪影響を与えないこと；</w:t>
      </w:r>
    </w:p>
    <w:p w14:paraId="5244D257" w14:textId="77777777" w:rsidR="0038775E" w:rsidRDefault="00877B9C" w:rsidP="002041D4">
      <w:pPr>
        <w:pStyle w:val="Point1"/>
        <w:wordWrap w:val="0"/>
        <w:rPr>
          <w:noProof/>
          <w:lang w:val="en-IE" w:eastAsia="fr-BE"/>
        </w:rPr>
      </w:pPr>
      <w:r w:rsidRPr="004F5E59">
        <w:rPr>
          <w:lang w:eastAsia="ja-JP"/>
        </w:rPr>
        <w:t>(d)</w:t>
      </w:r>
      <w:r w:rsidRPr="004F5E59">
        <w:rPr>
          <w:lang w:eastAsia="ja-JP"/>
        </w:rPr>
        <w:tab/>
      </w:r>
      <w:r w:rsidR="00E76990" w:rsidRPr="00DF5C23">
        <w:rPr>
          <w:noProof/>
          <w:lang w:val="en-IE" w:eastAsia="fr-BE"/>
        </w:rPr>
        <w:t>経済主体</w:t>
      </w:r>
      <w:r w:rsidR="0681B866" w:rsidRPr="00DF5C23">
        <w:rPr>
          <w:noProof/>
          <w:lang w:val="en-IE" w:eastAsia="fr-BE"/>
        </w:rPr>
        <w:t>（</w:t>
      </w:r>
      <w:r w:rsidR="00CD4F25" w:rsidRPr="00DF5C23">
        <w:rPr>
          <w:noProof/>
          <w:lang w:val="en-IE" w:eastAsia="fr-BE"/>
        </w:rPr>
        <w:t>少なくとも</w:t>
      </w:r>
      <w:r w:rsidR="0681B866" w:rsidRPr="00DF5C23">
        <w:rPr>
          <w:noProof/>
          <w:lang w:val="en-IE" w:eastAsia="fr-BE"/>
        </w:rPr>
        <w:t>中小企業）の</w:t>
      </w:r>
      <w:r w:rsidR="00E76990" w:rsidRPr="00DF5C23">
        <w:rPr>
          <w:noProof/>
          <w:lang w:val="en-IE" w:eastAsia="fr-BE"/>
        </w:rPr>
        <w:t>競争</w:t>
      </w:r>
      <w:r w:rsidR="0681B866" w:rsidRPr="00DF5C23">
        <w:rPr>
          <w:noProof/>
          <w:lang w:val="en-IE" w:eastAsia="fr-BE"/>
        </w:rPr>
        <w:t>力に不釣り合いな悪影響を与えてはならない；</w:t>
      </w:r>
    </w:p>
    <w:p w14:paraId="35464772" w14:textId="77777777" w:rsidR="0038775E" w:rsidRDefault="00877B9C" w:rsidP="002041D4">
      <w:pPr>
        <w:pStyle w:val="Point1"/>
        <w:wordWrap w:val="0"/>
        <w:rPr>
          <w:noProof/>
          <w:lang w:val="en-IE" w:eastAsia="fr-BE"/>
        </w:rPr>
      </w:pPr>
      <w:r w:rsidRPr="004F5E59">
        <w:rPr>
          <w:lang w:eastAsia="ja-JP"/>
        </w:rPr>
        <w:t>(e)</w:t>
      </w:r>
      <w:r w:rsidRPr="004F5E59">
        <w:rPr>
          <w:lang w:eastAsia="ja-JP"/>
        </w:rPr>
        <w:tab/>
      </w:r>
      <w:r w:rsidR="007D4BFF" w:rsidRPr="00DF5C23">
        <w:rPr>
          <w:noProof/>
          <w:lang w:eastAsia="fr-BE"/>
        </w:rPr>
        <w:t>製造業者やその他の経済主体に対して、独自の技術を押し付けては</w:t>
      </w:r>
      <w:r w:rsidR="007F78D1" w:rsidRPr="00DF5C23">
        <w:rPr>
          <w:noProof/>
          <w:lang w:val="en-IE" w:eastAsia="fr-BE"/>
        </w:rPr>
        <w:t>ならない；</w:t>
      </w:r>
      <w:r w:rsidR="007F78D1" w:rsidRPr="00DF5C23">
        <w:rPr>
          <w:noProof/>
          <w:lang w:val="en-IE" w:eastAsia="fr-BE"/>
        </w:rPr>
        <w:t xml:space="preserve"> </w:t>
      </w:r>
    </w:p>
    <w:p w14:paraId="642FB335" w14:textId="77777777" w:rsidR="0038775E" w:rsidRDefault="00877B9C" w:rsidP="002041D4">
      <w:pPr>
        <w:pStyle w:val="Point1"/>
        <w:wordWrap w:val="0"/>
        <w:rPr>
          <w:noProof/>
          <w:lang w:val="en-IE" w:eastAsia="fr-BE"/>
        </w:rPr>
      </w:pPr>
      <w:r w:rsidRPr="004F5E59">
        <w:rPr>
          <w:lang w:eastAsia="ja-JP"/>
        </w:rPr>
        <w:t>(f)</w:t>
      </w:r>
      <w:r w:rsidRPr="004F5E59">
        <w:rPr>
          <w:lang w:eastAsia="ja-JP"/>
        </w:rPr>
        <w:tab/>
      </w:r>
      <w:r w:rsidR="0681B866" w:rsidRPr="00DF5C23">
        <w:rPr>
          <w:noProof/>
          <w:lang w:val="en-IE" w:eastAsia="fr-BE"/>
        </w:rPr>
        <w:t>製造</w:t>
      </w:r>
      <w:r w:rsidR="007F78D1" w:rsidRPr="00DF5C23">
        <w:rPr>
          <w:noProof/>
          <w:lang w:eastAsia="fr-BE"/>
        </w:rPr>
        <w:t>業者やその他の経済主体に</w:t>
      </w:r>
      <w:r w:rsidR="0681B866" w:rsidRPr="00DF5C23">
        <w:rPr>
          <w:noProof/>
          <w:lang w:val="en-IE" w:eastAsia="fr-BE"/>
        </w:rPr>
        <w:t>不釣り合いな行政負担をかけない</w:t>
      </w:r>
      <w:r w:rsidR="007F78D1" w:rsidRPr="00DF5C23">
        <w:rPr>
          <w:noProof/>
          <w:lang w:val="en-IE" w:eastAsia="fr-BE"/>
        </w:rPr>
        <w:t>こと</w:t>
      </w:r>
      <w:r w:rsidR="0681B866" w:rsidRPr="00DF5C23">
        <w:rPr>
          <w:noProof/>
          <w:lang w:val="en-IE" w:eastAsia="fr-BE"/>
        </w:rPr>
        <w:t>。</w:t>
      </w:r>
    </w:p>
    <w:p w14:paraId="14FAED72" w14:textId="77777777" w:rsidR="0038775E" w:rsidRDefault="00877B9C" w:rsidP="002041D4">
      <w:pPr>
        <w:pStyle w:val="ManualNumPar1"/>
        <w:wordWrap w:val="0"/>
        <w:rPr>
          <w:noProof/>
          <w:lang w:eastAsia="ja-JP"/>
        </w:rPr>
      </w:pPr>
      <w:r w:rsidRPr="004F5E59">
        <w:rPr>
          <w:lang w:eastAsia="ja-JP"/>
        </w:rPr>
        <w:t>6.</w:t>
      </w:r>
      <w:r w:rsidRPr="004F5E59">
        <w:rPr>
          <w:lang w:eastAsia="ja-JP"/>
        </w:rPr>
        <w:tab/>
      </w:r>
      <w:r w:rsidR="007F78D1" w:rsidRPr="00DF5C23">
        <w:rPr>
          <w:noProof/>
          <w:lang w:val="en-IE" w:eastAsia="fr-BE"/>
        </w:rPr>
        <w:t>委員会は、</w:t>
      </w:r>
      <w:r w:rsidR="00CC6869" w:rsidRPr="00DF5C23">
        <w:rPr>
          <w:noProof/>
          <w:lang w:val="en-IE" w:eastAsia="fr-BE"/>
        </w:rPr>
        <w:t>適切な</w:t>
      </w:r>
      <w:r w:rsidR="007F78D1" w:rsidRPr="00DF5C23">
        <w:rPr>
          <w:noProof/>
          <w:lang w:val="en-IE" w:eastAsia="fr-BE"/>
        </w:rPr>
        <w:t>場合、</w:t>
      </w:r>
      <w:r w:rsidR="00364926" w:rsidRPr="00DF5C23">
        <w:rPr>
          <w:rFonts w:eastAsia="Times New Roman"/>
          <w:noProof/>
          <w:color w:val="000000" w:themeColor="text1"/>
          <w:lang w:val="en-IE" w:eastAsia="fr-BE"/>
        </w:rPr>
        <w:t>サプライチェーン関係者に以下を</w:t>
      </w:r>
      <w:r w:rsidR="00DC6988" w:rsidRPr="00DF5C23">
        <w:rPr>
          <w:noProof/>
          <w:lang w:val="en-IE" w:eastAsia="fr-BE"/>
        </w:rPr>
        <w:t>求めるものとする</w:t>
      </w:r>
      <w:r w:rsidR="00DC6988" w:rsidRPr="00DF5C23">
        <w:rPr>
          <w:noProof/>
          <w:lang w:eastAsia="ja-JP"/>
        </w:rPr>
        <w:t>：</w:t>
      </w:r>
    </w:p>
    <w:p w14:paraId="7973E52F" w14:textId="77777777" w:rsidR="0038775E" w:rsidRDefault="00877B9C" w:rsidP="002041D4">
      <w:pPr>
        <w:pStyle w:val="Point1"/>
        <w:wordWrap w:val="0"/>
        <w:rPr>
          <w:noProof/>
          <w:lang w:val="en-IE" w:eastAsia="fr-BE"/>
        </w:rPr>
      </w:pPr>
      <w:r w:rsidRPr="004F5E59">
        <w:rPr>
          <w:lang w:eastAsia="ja-JP"/>
        </w:rPr>
        <w:t>(a)</w:t>
      </w:r>
      <w:r w:rsidRPr="004F5E59">
        <w:rPr>
          <w:lang w:eastAsia="ja-JP"/>
        </w:rPr>
        <w:tab/>
      </w:r>
      <w:r w:rsidR="00DC6988" w:rsidRPr="00DF5C23">
        <w:rPr>
          <w:noProof/>
          <w:lang w:val="en-IE" w:eastAsia="fr-BE"/>
        </w:rPr>
        <w:t>エコデザイン要求事項の遵守を</w:t>
      </w:r>
      <w:r w:rsidR="007F78D1" w:rsidRPr="00DF5C23">
        <w:rPr>
          <w:noProof/>
          <w:lang w:val="en-IE" w:eastAsia="fr-BE"/>
        </w:rPr>
        <w:t>確認するために</w:t>
      </w:r>
      <w:r w:rsidR="00DC6988" w:rsidRPr="00DF5C23">
        <w:rPr>
          <w:noProof/>
          <w:lang w:val="en-IE" w:eastAsia="fr-BE"/>
        </w:rPr>
        <w:t>関連する、製造者、通知機関及び管轄の国家機関に対し、要求に応じて、その供給品又はサービスに関連する利用可能な情報を提供する；</w:t>
      </w:r>
    </w:p>
    <w:p w14:paraId="6E2C33CF" w14:textId="77777777" w:rsidR="0038775E" w:rsidRDefault="00877B9C" w:rsidP="002041D4">
      <w:pPr>
        <w:pStyle w:val="Point1"/>
        <w:wordWrap w:val="0"/>
        <w:rPr>
          <w:noProof/>
          <w:lang w:eastAsia="fr-BE"/>
        </w:rPr>
      </w:pPr>
      <w:r w:rsidRPr="004F5E59">
        <w:rPr>
          <w:lang w:eastAsia="ja-JP"/>
        </w:rPr>
        <w:t>(b)</w:t>
      </w:r>
      <w:r w:rsidRPr="004F5E59">
        <w:rPr>
          <w:lang w:eastAsia="ja-JP"/>
        </w:rPr>
        <w:tab/>
      </w:r>
      <w:r w:rsidR="007F78D1" w:rsidRPr="00DF5C23">
        <w:rPr>
          <w:noProof/>
          <w:lang w:eastAsia="fr-BE"/>
        </w:rPr>
        <w:t>(a)</w:t>
      </w:r>
      <w:r w:rsidR="007F78D1" w:rsidRPr="00DF5C23">
        <w:rPr>
          <w:noProof/>
          <w:lang w:eastAsia="fr-BE"/>
        </w:rPr>
        <w:t>の情報がない場合、製造者がエコデザイン要求事項への準拠を確認するために、その供給品またはサービスを評価することを認め、</w:t>
      </w:r>
      <w:r w:rsidR="00CC6869" w:rsidRPr="00DF5C23">
        <w:rPr>
          <w:noProof/>
          <w:lang w:eastAsia="fr-BE"/>
        </w:rPr>
        <w:t>これらの製造者に</w:t>
      </w:r>
      <w:r w:rsidR="007F78D1" w:rsidRPr="00DF5C23">
        <w:rPr>
          <w:noProof/>
          <w:lang w:eastAsia="fr-BE"/>
        </w:rPr>
        <w:t>関連文書または施設へのアクセスを与える；</w:t>
      </w:r>
    </w:p>
    <w:p w14:paraId="30CC703B" w14:textId="77777777" w:rsidR="0038775E" w:rsidRDefault="00877B9C" w:rsidP="002041D4">
      <w:pPr>
        <w:pStyle w:val="Point1"/>
        <w:wordWrap w:val="0"/>
        <w:rPr>
          <w:noProof/>
          <w:lang w:val="en-IE" w:eastAsia="fr-BE"/>
        </w:rPr>
      </w:pPr>
      <w:r w:rsidRPr="004F5E59">
        <w:rPr>
          <w:lang w:eastAsia="ja-JP"/>
        </w:rPr>
        <w:t>(c)</w:t>
      </w:r>
      <w:r w:rsidRPr="004F5E59">
        <w:rPr>
          <w:lang w:eastAsia="ja-JP"/>
        </w:rPr>
        <w:tab/>
      </w:r>
      <w:r w:rsidR="00DC6988" w:rsidRPr="00DF5C23">
        <w:rPr>
          <w:noProof/>
          <w:lang w:eastAsia="fr-BE"/>
        </w:rPr>
        <w:t>通知機関及び管轄国家機関が、その活動に関連</w:t>
      </w:r>
      <w:r w:rsidR="007F78D1" w:rsidRPr="00DF5C23">
        <w:rPr>
          <w:noProof/>
          <w:lang w:eastAsia="fr-BE"/>
        </w:rPr>
        <w:t>し、</w:t>
      </w:r>
      <w:r w:rsidR="00DC6988" w:rsidRPr="00DF5C23">
        <w:rPr>
          <w:noProof/>
          <w:lang w:val="en-IE" w:eastAsia="fr-BE"/>
        </w:rPr>
        <w:t>エコデザイン</w:t>
      </w:r>
      <w:r w:rsidR="00DC6988" w:rsidRPr="00DF5C23">
        <w:rPr>
          <w:noProof/>
          <w:lang w:eastAsia="fr-BE"/>
        </w:rPr>
        <w:t>要求事項の遵守を</w:t>
      </w:r>
      <w:r w:rsidR="00CC6869" w:rsidRPr="00DF5C23">
        <w:rPr>
          <w:noProof/>
          <w:lang w:eastAsia="fr-BE"/>
        </w:rPr>
        <w:t>検証する</w:t>
      </w:r>
      <w:r w:rsidR="00DC6988" w:rsidRPr="00DF5C23">
        <w:rPr>
          <w:noProof/>
          <w:lang w:eastAsia="fr-BE"/>
        </w:rPr>
        <w:t>ために関連する情報の正確性を検証することを可能にする</w:t>
      </w:r>
      <w:r w:rsidR="00DC6988" w:rsidRPr="00DF5C23">
        <w:rPr>
          <w:noProof/>
          <w:lang w:val="en-IE" w:eastAsia="fr-BE"/>
        </w:rPr>
        <w:t>。</w:t>
      </w:r>
    </w:p>
    <w:p w14:paraId="2DFA4DCB" w14:textId="77777777" w:rsidR="0038775E" w:rsidRDefault="00877B9C" w:rsidP="002041D4">
      <w:pPr>
        <w:pStyle w:val="ManualNumPar1"/>
        <w:wordWrap w:val="0"/>
        <w:rPr>
          <w:noProof/>
          <w:lang w:val="en-IE" w:eastAsia="fr-BE"/>
        </w:rPr>
      </w:pPr>
      <w:r w:rsidRPr="004F5E59">
        <w:rPr>
          <w:lang w:eastAsia="ja-JP"/>
        </w:rPr>
        <w:t>7.</w:t>
      </w:r>
      <w:r w:rsidRPr="004F5E59">
        <w:rPr>
          <w:lang w:eastAsia="ja-JP"/>
        </w:rPr>
        <w:tab/>
      </w:r>
      <w:r w:rsidR="00CC6869" w:rsidRPr="00DF5C23">
        <w:rPr>
          <w:noProof/>
          <w:lang w:val="en-IE" w:eastAsia="fr-BE"/>
        </w:rPr>
        <w:t>欧州委員会は、適切な場合、</w:t>
      </w:r>
      <w:r w:rsidR="00060C17" w:rsidRPr="00DF5C23">
        <w:rPr>
          <w:noProof/>
          <w:lang w:val="en-IE" w:eastAsia="fr-BE"/>
        </w:rPr>
        <w:t>製品に直接、または技術文書に基づいてなど、特定の</w:t>
      </w:r>
      <w:r w:rsidR="00092811" w:rsidRPr="00DF5C23">
        <w:rPr>
          <w:noProof/>
          <w:lang w:val="en-IE" w:eastAsia="fr-BE"/>
        </w:rPr>
        <w:t>エコデザイン</w:t>
      </w:r>
      <w:r w:rsidR="00060C17" w:rsidRPr="00DF5C23">
        <w:rPr>
          <w:noProof/>
          <w:lang w:val="en-IE" w:eastAsia="fr-BE"/>
        </w:rPr>
        <w:t>要件に関する適切な検証手段を特定するものとする。</w:t>
      </w:r>
    </w:p>
    <w:p w14:paraId="76872DB9" w14:textId="77777777" w:rsidR="0038775E" w:rsidRDefault="00877B9C" w:rsidP="002041D4">
      <w:pPr>
        <w:pStyle w:val="ManualNumPar1"/>
        <w:wordWrap w:val="0"/>
        <w:rPr>
          <w:noProof/>
          <w:lang w:val="en-IE" w:eastAsia="fr-BE"/>
        </w:rPr>
      </w:pPr>
      <w:r w:rsidRPr="004F5E59">
        <w:rPr>
          <w:lang w:eastAsia="ja-JP"/>
        </w:rPr>
        <w:t>8.</w:t>
      </w:r>
      <w:r w:rsidRPr="004F5E59">
        <w:rPr>
          <w:lang w:eastAsia="ja-JP"/>
        </w:rPr>
        <w:tab/>
      </w:r>
      <w:r w:rsidR="002E01E2" w:rsidRPr="00DF5C23">
        <w:rPr>
          <w:noProof/>
          <w:lang w:val="en-IE" w:eastAsia="fr-BE"/>
        </w:rPr>
        <w:t>欧州委員会は、</w:t>
      </w:r>
      <w:r w:rsidR="00CC6869" w:rsidRPr="00DF5C23">
        <w:rPr>
          <w:noProof/>
          <w:lang w:val="en-IE" w:eastAsia="fr-BE"/>
        </w:rPr>
        <w:t>本規則に基づくエコデザイン要求事項の設定に</w:t>
      </w:r>
      <w:r w:rsidR="002E01E2" w:rsidRPr="00DF5C23">
        <w:rPr>
          <w:noProof/>
          <w:lang w:val="en-IE" w:eastAsia="fr-BE"/>
        </w:rPr>
        <w:t>使用された関連する研究及び分析を公表するものとする</w:t>
      </w:r>
      <w:r w:rsidR="008E02C1" w:rsidRPr="00DF5C23">
        <w:rPr>
          <w:noProof/>
          <w:lang w:val="en-IE" w:eastAsia="fr-BE"/>
        </w:rPr>
        <w:t>。</w:t>
      </w:r>
    </w:p>
    <w:p w14:paraId="3AF20F43" w14:textId="77777777" w:rsidR="0038775E" w:rsidRDefault="00877B9C" w:rsidP="002041D4">
      <w:pPr>
        <w:pStyle w:val="Titrearticle"/>
        <w:wordWrap w:val="0"/>
        <w:rPr>
          <w:noProof/>
          <w:lang w:val="en-IE" w:eastAsia="fr-BE"/>
        </w:rPr>
      </w:pPr>
      <w:r w:rsidRPr="00DF5C23">
        <w:rPr>
          <w:noProof/>
          <w:lang w:val="en-IE" w:eastAsia="fr-BE"/>
        </w:rPr>
        <w:t>第</w:t>
      </w:r>
      <w:r w:rsidRPr="00DF5C23">
        <w:rPr>
          <w:noProof/>
          <w:lang w:val="en-IE" w:eastAsia="fr-BE"/>
        </w:rPr>
        <w:t>6</w:t>
      </w:r>
      <w:r w:rsidRPr="00DF5C23">
        <w:rPr>
          <w:noProof/>
          <w:lang w:val="en-IE" w:eastAsia="fr-BE"/>
        </w:rPr>
        <w:t>条</w:t>
      </w:r>
      <w:r w:rsidR="00544DD7" w:rsidRPr="00DF5C23">
        <w:rPr>
          <w:noProof/>
          <w:lang w:eastAsia="ja-JP"/>
        </w:rPr>
        <w:br/>
      </w:r>
      <w:r w:rsidRPr="00DF5C23">
        <w:rPr>
          <w:noProof/>
          <w:lang w:val="en-IE" w:eastAsia="fr-BE"/>
        </w:rPr>
        <w:t>性能要件</w:t>
      </w:r>
      <w:r w:rsidRPr="00DF5C23">
        <w:rPr>
          <w:noProof/>
          <w:lang w:val="en-IE" w:eastAsia="fr-BE"/>
        </w:rPr>
        <w:t xml:space="preserve"> </w:t>
      </w:r>
    </w:p>
    <w:p w14:paraId="73405D52" w14:textId="77777777" w:rsidR="0038775E" w:rsidRDefault="00877B9C" w:rsidP="002041D4">
      <w:pPr>
        <w:pStyle w:val="ManualNumPar1"/>
        <w:wordWrap w:val="0"/>
        <w:rPr>
          <w:noProof/>
          <w:lang w:val="en-IE" w:eastAsia="ja-JP"/>
        </w:rPr>
      </w:pPr>
      <w:r w:rsidRPr="004F5E59">
        <w:rPr>
          <w:lang w:eastAsia="ja-JP"/>
        </w:rPr>
        <w:t>1.</w:t>
      </w:r>
      <w:r w:rsidRPr="004F5E59">
        <w:rPr>
          <w:lang w:eastAsia="ja-JP"/>
        </w:rPr>
        <w:tab/>
      </w:r>
      <w:r w:rsidR="00FB75D4" w:rsidRPr="00DF5C23">
        <w:rPr>
          <w:noProof/>
          <w:lang w:val="en-IE" w:eastAsia="ja-JP"/>
        </w:rPr>
        <w:t>製品は、</w:t>
      </w:r>
      <w:r w:rsidR="0056057B" w:rsidRPr="00DF5C23">
        <w:rPr>
          <w:noProof/>
          <w:lang w:val="en-IE" w:eastAsia="ja-JP"/>
        </w:rPr>
        <w:t>第</w:t>
      </w:r>
      <w:r w:rsidR="0056057B" w:rsidRPr="00DF5C23">
        <w:rPr>
          <w:noProof/>
          <w:lang w:val="en-IE" w:eastAsia="ja-JP"/>
        </w:rPr>
        <w:t>4</w:t>
      </w:r>
      <w:r w:rsidR="00FB75D4" w:rsidRPr="00DF5C23">
        <w:rPr>
          <w:noProof/>
          <w:lang w:val="en-IE" w:eastAsia="ja-JP"/>
        </w:rPr>
        <w:t>条に従って採択された委任法に規定された、第</w:t>
      </w:r>
      <w:r w:rsidR="00FB75D4" w:rsidRPr="00DF5C23">
        <w:rPr>
          <w:noProof/>
          <w:lang w:val="en-IE" w:eastAsia="ja-JP"/>
        </w:rPr>
        <w:t>5</w:t>
      </w:r>
      <w:r w:rsidR="00FB75D4" w:rsidRPr="00DF5C23">
        <w:rPr>
          <w:noProof/>
          <w:lang w:val="en-IE" w:eastAsia="ja-JP"/>
        </w:rPr>
        <w:t>条</w:t>
      </w:r>
      <w:r w:rsidR="0056057B" w:rsidRPr="00DF5C23">
        <w:rPr>
          <w:noProof/>
          <w:lang w:val="en-IE" w:eastAsia="ja-JP"/>
        </w:rPr>
        <w:t>(1)</w:t>
      </w:r>
      <w:r w:rsidR="0056057B" w:rsidRPr="00DF5C23">
        <w:rPr>
          <w:noProof/>
          <w:lang w:val="en-IE" w:eastAsia="ja-JP"/>
        </w:rPr>
        <w:t>に</w:t>
      </w:r>
      <w:r w:rsidR="00FB75D4" w:rsidRPr="00DF5C23">
        <w:rPr>
          <w:noProof/>
          <w:lang w:val="en-IE" w:eastAsia="ja-JP"/>
        </w:rPr>
        <w:t>掲げる製品側面に</w:t>
      </w:r>
      <w:r w:rsidR="000B719A" w:rsidRPr="00DF5C23">
        <w:rPr>
          <w:noProof/>
          <w:lang w:val="en-IE" w:eastAsia="fr-BE"/>
        </w:rPr>
        <w:t>関連する</w:t>
      </w:r>
      <w:r w:rsidR="00FB75D4" w:rsidRPr="00DF5C23">
        <w:rPr>
          <w:noProof/>
          <w:lang w:val="en-IE" w:eastAsia="fr-BE"/>
        </w:rPr>
        <w:t>性能要件に</w:t>
      </w:r>
      <w:r w:rsidR="00FB75D4" w:rsidRPr="00DF5C23">
        <w:rPr>
          <w:noProof/>
          <w:lang w:val="en-IE" w:eastAsia="ja-JP"/>
        </w:rPr>
        <w:t>適合するものとする。</w:t>
      </w:r>
    </w:p>
    <w:p w14:paraId="074906C8" w14:textId="77777777" w:rsidR="0038775E" w:rsidRDefault="00877B9C" w:rsidP="002041D4">
      <w:pPr>
        <w:pStyle w:val="ManualNumPar1"/>
        <w:wordWrap w:val="0"/>
        <w:rPr>
          <w:noProof/>
          <w:lang w:val="en-IE" w:eastAsia="fr-BE"/>
        </w:rPr>
      </w:pPr>
      <w:r w:rsidRPr="004F5E59">
        <w:rPr>
          <w:lang w:eastAsia="ja-JP"/>
        </w:rPr>
        <w:lastRenderedPageBreak/>
        <w:t>2.</w:t>
      </w:r>
      <w:r w:rsidRPr="004F5E59">
        <w:rPr>
          <w:lang w:eastAsia="ja-JP"/>
        </w:rPr>
        <w:tab/>
      </w:r>
      <w:r w:rsidR="009E33DE" w:rsidRPr="00DF5C23">
        <w:rPr>
          <w:noProof/>
          <w:lang w:val="en-IE" w:eastAsia="fr-BE"/>
        </w:rPr>
        <w:t>第</w:t>
      </w:r>
      <w:r w:rsidR="009E33DE" w:rsidRPr="00DF5C23">
        <w:rPr>
          <w:noProof/>
          <w:lang w:val="en-IE" w:eastAsia="fr-BE"/>
        </w:rPr>
        <w:t>1</w:t>
      </w:r>
      <w:r w:rsidR="009E33DE" w:rsidRPr="00DF5C23">
        <w:rPr>
          <w:noProof/>
          <w:lang w:val="en-IE" w:eastAsia="fr-BE"/>
        </w:rPr>
        <w:t>項にいう</w:t>
      </w:r>
      <w:r w:rsidR="0681B866" w:rsidRPr="00DF5C23">
        <w:rPr>
          <w:noProof/>
          <w:lang w:val="en-IE" w:eastAsia="fr-BE"/>
        </w:rPr>
        <w:t>性能要件は</w:t>
      </w:r>
      <w:r w:rsidR="00CD30B4" w:rsidRPr="00DF5C23">
        <w:rPr>
          <w:rFonts w:eastAsia="Times New Roman"/>
          <w:noProof/>
          <w:lang w:val="en-IE" w:eastAsia="ja-JP"/>
        </w:rPr>
        <w:t>、</w:t>
      </w:r>
      <w:r w:rsidR="009E33DE" w:rsidRPr="00DF5C23">
        <w:rPr>
          <w:rFonts w:eastAsia="Times New Roman"/>
          <w:noProof/>
          <w:lang w:val="en-IE" w:eastAsia="ja-JP"/>
        </w:rPr>
        <w:t>附属書Ⅰにいう製品パラメータに基づくものと</w:t>
      </w:r>
      <w:r w:rsidR="009E33DE" w:rsidRPr="00DF5C23">
        <w:rPr>
          <w:noProof/>
          <w:lang w:val="en-IE" w:eastAsia="fr-BE"/>
        </w:rPr>
        <w:t>し、</w:t>
      </w:r>
      <w:r w:rsidR="008D46CA" w:rsidRPr="00DF5C23">
        <w:rPr>
          <w:noProof/>
          <w:lang w:val="en-IE" w:eastAsia="fr-BE"/>
        </w:rPr>
        <w:t>適宜、以下を</w:t>
      </w:r>
      <w:r w:rsidR="0681B866" w:rsidRPr="00DF5C23">
        <w:rPr>
          <w:noProof/>
          <w:lang w:val="en-IE" w:eastAsia="fr-BE"/>
        </w:rPr>
        <w:t>含むものとする：</w:t>
      </w:r>
    </w:p>
    <w:p w14:paraId="1795E107" w14:textId="77777777" w:rsidR="0038775E" w:rsidRDefault="00877B9C" w:rsidP="002041D4">
      <w:pPr>
        <w:pStyle w:val="Point1"/>
        <w:wordWrap w:val="0"/>
        <w:rPr>
          <w:noProof/>
          <w:lang w:val="en-IE" w:eastAsia="ja-JP"/>
        </w:rPr>
      </w:pPr>
      <w:r w:rsidRPr="004F5E59">
        <w:rPr>
          <w:lang w:eastAsia="ja-JP"/>
        </w:rPr>
        <w:t>(a)</w:t>
      </w:r>
      <w:r w:rsidRPr="004F5E59">
        <w:rPr>
          <w:lang w:eastAsia="ja-JP"/>
        </w:rPr>
        <w:tab/>
      </w:r>
      <w:r w:rsidR="0014553D" w:rsidRPr="00DF5C23">
        <w:rPr>
          <w:noProof/>
          <w:lang w:val="en-IE" w:eastAsia="ja-JP"/>
        </w:rPr>
        <w:t>付属書</w:t>
      </w:r>
      <w:r w:rsidR="0014553D" w:rsidRPr="00DF5C23">
        <w:rPr>
          <w:noProof/>
          <w:lang w:val="en-IE" w:eastAsia="ja-JP"/>
        </w:rPr>
        <w:t xml:space="preserve"> </w:t>
      </w:r>
      <w:r w:rsidR="001B4E06" w:rsidRPr="00DF5C23">
        <w:rPr>
          <w:noProof/>
          <w:lang w:val="en-IE" w:eastAsia="ja-JP"/>
        </w:rPr>
        <w:t xml:space="preserve">I </w:t>
      </w:r>
      <w:r w:rsidR="001B4E06" w:rsidRPr="00DF5C23">
        <w:rPr>
          <w:noProof/>
          <w:lang w:val="en-IE" w:eastAsia="ja-JP"/>
        </w:rPr>
        <w:t>に</w:t>
      </w:r>
      <w:r w:rsidR="008D46CA" w:rsidRPr="00DF5C23">
        <w:rPr>
          <w:noProof/>
          <w:lang w:val="en-IE" w:eastAsia="ja-JP"/>
        </w:rPr>
        <w:t>記載された</w:t>
      </w:r>
      <w:r w:rsidR="0014553D" w:rsidRPr="00DF5C23">
        <w:rPr>
          <w:noProof/>
          <w:lang w:val="en-IE" w:eastAsia="ja-JP"/>
        </w:rPr>
        <w:t>特定の</w:t>
      </w:r>
      <w:r w:rsidR="009E33DE" w:rsidRPr="00DF5C23">
        <w:rPr>
          <w:noProof/>
          <w:lang w:val="en-IE" w:eastAsia="ja-JP"/>
        </w:rPr>
        <w:t>製品</w:t>
      </w:r>
      <w:r w:rsidR="0014553D" w:rsidRPr="00DF5C23">
        <w:rPr>
          <w:noProof/>
          <w:lang w:val="en-IE" w:eastAsia="ja-JP"/>
        </w:rPr>
        <w:t>パラメータに関する最小値または最大値、あるいは</w:t>
      </w:r>
      <w:r w:rsidR="007D4BFF" w:rsidRPr="00DF5C23">
        <w:rPr>
          <w:noProof/>
          <w:lang w:val="en-IE" w:eastAsia="ja-JP"/>
        </w:rPr>
        <w:t>それらの</w:t>
      </w:r>
      <w:r w:rsidR="0014553D" w:rsidRPr="00DF5C23">
        <w:rPr>
          <w:noProof/>
          <w:lang w:val="en-IE" w:eastAsia="ja-JP"/>
        </w:rPr>
        <w:t>組合せ</w:t>
      </w:r>
      <w:r w:rsidR="007D4BFF" w:rsidRPr="00DF5C23">
        <w:rPr>
          <w:noProof/>
          <w:lang w:val="en-IE" w:eastAsia="ja-JP"/>
        </w:rPr>
        <w:t>；</w:t>
      </w:r>
      <w:r w:rsidR="007D4BFF" w:rsidRPr="00DF5C23">
        <w:rPr>
          <w:noProof/>
          <w:lang w:val="en-IE" w:eastAsia="ja-JP"/>
        </w:rPr>
        <w:t xml:space="preserve"> </w:t>
      </w:r>
    </w:p>
    <w:p w14:paraId="6BE69020" w14:textId="77777777" w:rsidR="0038775E" w:rsidRDefault="00877B9C" w:rsidP="002041D4">
      <w:pPr>
        <w:pStyle w:val="Point1"/>
        <w:wordWrap w:val="0"/>
        <w:rPr>
          <w:noProof/>
          <w:lang w:val="en-IE" w:eastAsia="ja-JP"/>
        </w:rPr>
      </w:pPr>
      <w:r w:rsidRPr="004F5E59">
        <w:rPr>
          <w:lang w:eastAsia="ja-JP"/>
        </w:rPr>
        <w:t>(b)</w:t>
      </w:r>
      <w:r w:rsidRPr="004F5E59">
        <w:rPr>
          <w:lang w:eastAsia="ja-JP"/>
        </w:rPr>
        <w:tab/>
      </w:r>
      <w:r w:rsidR="001B4E06" w:rsidRPr="00DF5C23">
        <w:rPr>
          <w:noProof/>
          <w:lang w:val="en-IE" w:eastAsia="ja-JP"/>
        </w:rPr>
        <w:t>附属書</w:t>
      </w:r>
      <w:r w:rsidR="001B4E06" w:rsidRPr="00DF5C23">
        <w:rPr>
          <w:noProof/>
          <w:lang w:val="en-IE" w:eastAsia="ja-JP"/>
        </w:rPr>
        <w:t>Ⅰ</w:t>
      </w:r>
      <w:r w:rsidR="001B4E06" w:rsidRPr="00DF5C23">
        <w:rPr>
          <w:noProof/>
          <w:lang w:val="en-IE" w:eastAsia="ja-JP"/>
        </w:rPr>
        <w:t>で</w:t>
      </w:r>
      <w:r w:rsidR="00244960" w:rsidRPr="00DF5C23">
        <w:rPr>
          <w:noProof/>
          <w:lang w:val="en-IE" w:eastAsia="fr-BE"/>
        </w:rPr>
        <w:t>言及される</w:t>
      </w:r>
      <w:r w:rsidR="00CD30B4" w:rsidRPr="00DF5C23">
        <w:rPr>
          <w:noProof/>
          <w:lang w:val="en-IE" w:eastAsia="ja-JP"/>
        </w:rPr>
        <w:t>1</w:t>
      </w:r>
      <w:r w:rsidR="00CD30B4" w:rsidRPr="00DF5C23">
        <w:rPr>
          <w:noProof/>
          <w:lang w:val="en-IE" w:eastAsia="ja-JP"/>
        </w:rPr>
        <w:t>つ以上の</w:t>
      </w:r>
      <w:r w:rsidR="009E33DE" w:rsidRPr="00DF5C23">
        <w:rPr>
          <w:noProof/>
          <w:lang w:val="en-IE" w:eastAsia="ja-JP"/>
        </w:rPr>
        <w:t>製品</w:t>
      </w:r>
      <w:r w:rsidR="0014553D" w:rsidRPr="00DF5C23">
        <w:rPr>
          <w:noProof/>
          <w:lang w:val="en-IE" w:eastAsia="ja-JP"/>
        </w:rPr>
        <w:t>パラメータに関する性能の</w:t>
      </w:r>
      <w:r w:rsidR="007D4BFF" w:rsidRPr="00DF5C23">
        <w:rPr>
          <w:noProof/>
          <w:lang w:val="en-IE" w:eastAsia="ja-JP"/>
        </w:rPr>
        <w:t>改善を目的と</w:t>
      </w:r>
      <w:r w:rsidR="0014553D" w:rsidRPr="00DF5C23">
        <w:rPr>
          <w:noProof/>
          <w:lang w:val="en-IE" w:eastAsia="ja-JP"/>
        </w:rPr>
        <w:t>した非定量的な要求事項</w:t>
      </w:r>
      <w:r w:rsidR="007D4BFF" w:rsidRPr="00DF5C23">
        <w:rPr>
          <w:noProof/>
          <w:lang w:val="en-IE" w:eastAsia="ja-JP"/>
        </w:rPr>
        <w:t>；</w:t>
      </w:r>
    </w:p>
    <w:p w14:paraId="0733F984" w14:textId="77777777" w:rsidR="0038775E" w:rsidRDefault="00877B9C" w:rsidP="002041D4">
      <w:pPr>
        <w:pStyle w:val="Point1"/>
        <w:wordWrap w:val="0"/>
        <w:rPr>
          <w:noProof/>
          <w:lang w:val="en-IE" w:eastAsia="ja-JP"/>
        </w:rPr>
      </w:pPr>
      <w:r w:rsidRPr="004F5E59">
        <w:rPr>
          <w:lang w:eastAsia="ja-JP"/>
        </w:rPr>
        <w:t>(c)</w:t>
      </w:r>
      <w:r w:rsidRPr="004F5E59">
        <w:rPr>
          <w:lang w:eastAsia="ja-JP"/>
        </w:rPr>
        <w:tab/>
      </w:r>
      <w:r w:rsidR="0014553D" w:rsidRPr="00DF5C23">
        <w:rPr>
          <w:noProof/>
          <w:lang w:val="en-IE" w:eastAsia="ja-JP"/>
        </w:rPr>
        <w:t>製品の機能的性能に関連する要求事項。</w:t>
      </w:r>
      <w:r w:rsidR="0014553D" w:rsidRPr="00DF5C23">
        <w:rPr>
          <w:noProof/>
          <w:lang w:val="en-IE" w:eastAsia="ja-JP"/>
        </w:rPr>
        <w:t xml:space="preserve"> </w:t>
      </w:r>
    </w:p>
    <w:p w14:paraId="6FF7E0FE" w14:textId="77777777" w:rsidR="0038775E" w:rsidRDefault="00877B9C" w:rsidP="002041D4">
      <w:pPr>
        <w:pStyle w:val="ManualNumPar1"/>
        <w:wordWrap w:val="0"/>
        <w:rPr>
          <w:noProof/>
          <w:lang w:val="en-IE" w:eastAsia="fr-BE"/>
        </w:rPr>
      </w:pPr>
      <w:r w:rsidRPr="004F5E59">
        <w:rPr>
          <w:lang w:eastAsia="ja-JP"/>
        </w:rPr>
        <w:t>3.</w:t>
      </w:r>
      <w:r w:rsidRPr="004F5E59">
        <w:rPr>
          <w:lang w:eastAsia="ja-JP"/>
        </w:rPr>
        <w:tab/>
      </w:r>
      <w:r w:rsidR="00C4493A" w:rsidRPr="00DF5C23">
        <w:rPr>
          <w:noProof/>
          <w:lang w:val="en-IE" w:eastAsia="fr-BE"/>
        </w:rPr>
        <w:t>付属書</w:t>
      </w:r>
      <w:r w:rsidR="00C4493A" w:rsidRPr="00DF5C23">
        <w:rPr>
          <w:noProof/>
          <w:lang w:val="en-IE" w:eastAsia="fr-BE"/>
        </w:rPr>
        <w:t xml:space="preserve"> I </w:t>
      </w:r>
      <w:r w:rsidR="00C4493A" w:rsidRPr="00DF5C23">
        <w:rPr>
          <w:noProof/>
          <w:lang w:val="en-IE" w:eastAsia="fr-BE"/>
        </w:rPr>
        <w:t>の</w:t>
      </w:r>
      <w:r w:rsidR="00C4493A" w:rsidRPr="00DF5C23">
        <w:rPr>
          <w:rFonts w:eastAsia="Times New Roman"/>
          <w:noProof/>
          <w:color w:val="000000" w:themeColor="text1"/>
          <w:lang w:val="en-IE" w:eastAsia="fr-BE"/>
        </w:rPr>
        <w:t>(</w:t>
      </w:r>
      <w:r w:rsidR="00014108" w:rsidRPr="00DF5C23">
        <w:rPr>
          <w:rFonts w:eastAsia="Times New Roman"/>
          <w:noProof/>
          <w:color w:val="000000" w:themeColor="text1"/>
          <w:lang w:val="en-IE" w:eastAsia="fr-BE"/>
        </w:rPr>
        <w:t>f</w:t>
      </w:r>
      <w:r w:rsidR="00C4493A" w:rsidRPr="00DF5C23">
        <w:rPr>
          <w:rFonts w:eastAsia="Times New Roman"/>
          <w:noProof/>
          <w:color w:val="000000" w:themeColor="text1"/>
          <w:lang w:val="en-IE" w:eastAsia="fr-BE"/>
        </w:rPr>
        <w:t>)に定める</w:t>
      </w:r>
      <w:r w:rsidR="00A13533" w:rsidRPr="00DF5C23">
        <w:rPr>
          <w:noProof/>
          <w:lang w:val="en-IE" w:eastAsia="fr-BE"/>
        </w:rPr>
        <w:t>製品パラメータに基づく</w:t>
      </w:r>
      <w:r w:rsidR="000E70B3" w:rsidRPr="00DF5C23">
        <w:rPr>
          <w:noProof/>
          <w:lang w:val="en-IE" w:eastAsia="fr-BE"/>
        </w:rPr>
        <w:t>性能</w:t>
      </w:r>
      <w:r w:rsidR="00DD5A3B" w:rsidRPr="00DF5C23">
        <w:rPr>
          <w:rFonts w:eastAsia="Times New Roman"/>
          <w:noProof/>
          <w:color w:val="000000" w:themeColor="text1"/>
          <w:lang w:val="en-IE" w:eastAsia="fr-BE"/>
        </w:rPr>
        <w:t>要件は、</w:t>
      </w:r>
      <w:r w:rsidR="00C4493A" w:rsidRPr="00DF5C23">
        <w:rPr>
          <w:noProof/>
          <w:lang w:val="en-IE" w:eastAsia="fr-BE"/>
        </w:rPr>
        <w:t>主に化学的安全性に関わる理由で、製品に含まれる物質の存在を制限してはならない。</w:t>
      </w:r>
      <w:r w:rsidR="00C4493A" w:rsidRPr="00DF5C23">
        <w:rPr>
          <w:noProof/>
          <w:lang w:val="en-IE" w:eastAsia="fr-BE"/>
        </w:rPr>
        <w:t xml:space="preserve"> </w:t>
      </w:r>
    </w:p>
    <w:p w14:paraId="137F5847" w14:textId="77777777" w:rsidR="0038775E" w:rsidRDefault="00877B9C" w:rsidP="002041D4">
      <w:pPr>
        <w:pStyle w:val="ManualNumPar1"/>
        <w:wordWrap w:val="0"/>
        <w:rPr>
          <w:noProof/>
          <w:lang w:val="en-IE" w:eastAsia="fr-BE"/>
        </w:rPr>
      </w:pPr>
      <w:r w:rsidRPr="004F5E59">
        <w:rPr>
          <w:lang w:eastAsia="ja-JP"/>
        </w:rPr>
        <w:t>4.</w:t>
      </w:r>
      <w:r w:rsidRPr="004F5E59">
        <w:rPr>
          <w:lang w:eastAsia="ja-JP"/>
        </w:rPr>
        <w:tab/>
      </w:r>
      <w:r w:rsidR="009E33DE" w:rsidRPr="00DF5C23">
        <w:rPr>
          <w:noProof/>
          <w:lang w:val="en-IE" w:eastAsia="fr-BE"/>
        </w:rPr>
        <w:t>性能要件を定める場合、欧州委員会は、附属書</w:t>
      </w:r>
      <w:r w:rsidR="009E33DE" w:rsidRPr="00DF5C23">
        <w:rPr>
          <w:noProof/>
          <w:lang w:val="en-IE" w:eastAsia="fr-BE"/>
        </w:rPr>
        <w:t>Ⅱ</w:t>
      </w:r>
      <w:r w:rsidR="009E33DE" w:rsidRPr="00DF5C23">
        <w:rPr>
          <w:noProof/>
          <w:lang w:val="en-IE" w:eastAsia="fr-BE"/>
        </w:rPr>
        <w:t>に定める手続に従うものとする。</w:t>
      </w:r>
    </w:p>
    <w:p w14:paraId="176A53C4" w14:textId="77777777" w:rsidR="0038775E" w:rsidRDefault="00877B9C" w:rsidP="002041D4">
      <w:pPr>
        <w:pStyle w:val="Titrearticle"/>
        <w:wordWrap w:val="0"/>
        <w:rPr>
          <w:noProof/>
          <w:lang w:val="en-IE" w:eastAsia="fr-BE"/>
        </w:rPr>
      </w:pPr>
      <w:r w:rsidRPr="00DF5C23">
        <w:rPr>
          <w:noProof/>
          <w:lang w:val="en-IE" w:eastAsia="fr-BE"/>
        </w:rPr>
        <w:t>第</w:t>
      </w:r>
      <w:r w:rsidRPr="00DF5C23">
        <w:rPr>
          <w:noProof/>
          <w:lang w:val="en-IE" w:eastAsia="fr-BE"/>
        </w:rPr>
        <w:t>7</w:t>
      </w:r>
      <w:r w:rsidRPr="00DF5C23">
        <w:rPr>
          <w:noProof/>
          <w:lang w:val="en-IE" w:eastAsia="fr-BE"/>
        </w:rPr>
        <w:t>条</w:t>
      </w:r>
      <w:r w:rsidR="004A1643" w:rsidRPr="00DF5C23">
        <w:rPr>
          <w:noProof/>
          <w:lang w:eastAsia="ja-JP"/>
        </w:rPr>
        <w:br/>
      </w:r>
      <w:r w:rsidRPr="00DF5C23">
        <w:rPr>
          <w:noProof/>
          <w:lang w:val="en-IE" w:eastAsia="fr-BE"/>
        </w:rPr>
        <w:t>必要な情報</w:t>
      </w:r>
    </w:p>
    <w:p w14:paraId="651C53FA" w14:textId="77777777" w:rsidR="0038775E" w:rsidRDefault="00877B9C" w:rsidP="002041D4">
      <w:pPr>
        <w:pStyle w:val="ManualNumPar1"/>
        <w:wordWrap w:val="0"/>
        <w:rPr>
          <w:noProof/>
          <w:lang w:val="en-IE" w:eastAsia="ja-JP"/>
        </w:rPr>
      </w:pPr>
      <w:r w:rsidRPr="004F5E59">
        <w:rPr>
          <w:lang w:eastAsia="ja-JP"/>
        </w:rPr>
        <w:t>1.</w:t>
      </w:r>
      <w:r w:rsidRPr="004F5E59">
        <w:rPr>
          <w:lang w:eastAsia="ja-JP"/>
        </w:rPr>
        <w:tab/>
      </w:r>
      <w:r w:rsidR="00CD30B4" w:rsidRPr="00DF5C23">
        <w:rPr>
          <w:noProof/>
          <w:lang w:val="en-IE" w:eastAsia="ja-JP"/>
        </w:rPr>
        <w:t>製品は、</w:t>
      </w:r>
      <w:r w:rsidR="004415E9" w:rsidRPr="00DF5C23">
        <w:rPr>
          <w:noProof/>
          <w:lang w:val="en-IE" w:eastAsia="ja-JP"/>
        </w:rPr>
        <w:t>第</w:t>
      </w:r>
      <w:r w:rsidR="004415E9" w:rsidRPr="00DF5C23">
        <w:rPr>
          <w:noProof/>
          <w:lang w:val="en-IE" w:eastAsia="ja-JP"/>
        </w:rPr>
        <w:t>4</w:t>
      </w:r>
      <w:r w:rsidR="00CD30B4" w:rsidRPr="00DF5C23">
        <w:rPr>
          <w:noProof/>
          <w:lang w:val="en-IE" w:eastAsia="ja-JP"/>
        </w:rPr>
        <w:t>条に従って</w:t>
      </w:r>
      <w:r w:rsidR="00E80AC8" w:rsidRPr="00DF5C23">
        <w:rPr>
          <w:noProof/>
          <w:lang w:val="en-IE" w:eastAsia="ja-JP"/>
        </w:rPr>
        <w:t>採択された</w:t>
      </w:r>
      <w:r w:rsidR="00CD30B4" w:rsidRPr="00DF5C23">
        <w:rPr>
          <w:noProof/>
          <w:lang w:val="en-IE" w:eastAsia="ja-JP"/>
        </w:rPr>
        <w:t>委任法に規定された、第</w:t>
      </w:r>
      <w:r w:rsidR="00CD30B4" w:rsidRPr="00DF5C23">
        <w:rPr>
          <w:noProof/>
          <w:lang w:val="en-IE" w:eastAsia="ja-JP"/>
        </w:rPr>
        <w:t>5</w:t>
      </w:r>
      <w:r w:rsidR="00CD30B4" w:rsidRPr="00DF5C23">
        <w:rPr>
          <w:noProof/>
          <w:lang w:val="en-IE" w:eastAsia="ja-JP"/>
        </w:rPr>
        <w:t>条</w:t>
      </w:r>
      <w:r w:rsidR="00CD30B4" w:rsidRPr="00DF5C23">
        <w:rPr>
          <w:noProof/>
          <w:lang w:val="en-IE" w:eastAsia="ja-JP"/>
        </w:rPr>
        <w:t>(</w:t>
      </w:r>
      <w:r w:rsidR="004415E9" w:rsidRPr="00DF5C23">
        <w:rPr>
          <w:noProof/>
          <w:lang w:val="en-IE" w:eastAsia="ja-JP"/>
        </w:rPr>
        <w:t>1)</w:t>
      </w:r>
      <w:r w:rsidR="004415E9" w:rsidRPr="00DF5C23">
        <w:rPr>
          <w:noProof/>
          <w:lang w:val="en-IE" w:eastAsia="ja-JP"/>
        </w:rPr>
        <w:t>に</w:t>
      </w:r>
      <w:r w:rsidR="00CD30B4" w:rsidRPr="00DF5C23">
        <w:rPr>
          <w:noProof/>
          <w:lang w:val="en-IE" w:eastAsia="ja-JP"/>
        </w:rPr>
        <w:t>列挙された製品側面に関連する</w:t>
      </w:r>
      <w:r w:rsidR="00CD30B4" w:rsidRPr="00DF5C23">
        <w:rPr>
          <w:noProof/>
          <w:lang w:val="en-IE" w:eastAsia="fr-BE"/>
        </w:rPr>
        <w:t>情報要件に</w:t>
      </w:r>
      <w:r w:rsidR="00CD30B4" w:rsidRPr="00DF5C23">
        <w:rPr>
          <w:noProof/>
          <w:lang w:val="en-IE" w:eastAsia="ja-JP"/>
        </w:rPr>
        <w:t>適合するものとする</w:t>
      </w:r>
      <w:r w:rsidR="00CD30B4" w:rsidRPr="00DF5C23" w:rsidDel="00B3328F">
        <w:rPr>
          <w:noProof/>
          <w:lang w:val="en-IE" w:eastAsia="fr-BE"/>
        </w:rPr>
        <w:t>。</w:t>
      </w:r>
      <w:r w:rsidR="00CD30B4" w:rsidRPr="00DF5C23" w:rsidDel="00B3328F">
        <w:rPr>
          <w:noProof/>
          <w:lang w:val="en-IE" w:eastAsia="fr-BE"/>
        </w:rPr>
        <w:t xml:space="preserve"> </w:t>
      </w:r>
    </w:p>
    <w:p w14:paraId="0ACE8C7E" w14:textId="77777777" w:rsidR="0038775E" w:rsidRDefault="00877B9C" w:rsidP="002041D4">
      <w:pPr>
        <w:pStyle w:val="ManualNumPar1"/>
        <w:wordWrap w:val="0"/>
        <w:rPr>
          <w:noProof/>
          <w:lang w:val="en-IE" w:eastAsia="ja-JP"/>
        </w:rPr>
      </w:pPr>
      <w:r w:rsidRPr="004F5E59">
        <w:rPr>
          <w:lang w:eastAsia="ja-JP"/>
        </w:rPr>
        <w:t>2.</w:t>
      </w:r>
      <w:r w:rsidRPr="004F5E59">
        <w:rPr>
          <w:lang w:eastAsia="ja-JP"/>
        </w:rPr>
        <w:tab/>
      </w:r>
      <w:r w:rsidR="00CC69A4" w:rsidRPr="00DF5C23">
        <w:rPr>
          <w:noProof/>
          <w:lang w:val="en-IE" w:eastAsia="ja-JP"/>
        </w:rPr>
        <w:t>第</w:t>
      </w:r>
      <w:r w:rsidR="00CC69A4" w:rsidRPr="00DF5C23">
        <w:rPr>
          <w:noProof/>
          <w:lang w:val="en-IE" w:eastAsia="ja-JP"/>
        </w:rPr>
        <w:t xml:space="preserve"> 1 </w:t>
      </w:r>
      <w:r w:rsidR="00CC69A4" w:rsidRPr="00DF5C23">
        <w:rPr>
          <w:noProof/>
          <w:lang w:val="en-IE" w:eastAsia="ja-JP"/>
        </w:rPr>
        <w:t>項の情報要件は、以下のとおりとする：</w:t>
      </w:r>
      <w:r w:rsidR="00CC69A4" w:rsidRPr="00DF5C23">
        <w:rPr>
          <w:noProof/>
          <w:lang w:val="en-IE" w:eastAsia="ja-JP"/>
        </w:rPr>
        <w:t xml:space="preserve"> </w:t>
      </w:r>
    </w:p>
    <w:p w14:paraId="30F07C1D" w14:textId="77777777" w:rsidR="0038775E" w:rsidRDefault="00877B9C" w:rsidP="002041D4">
      <w:pPr>
        <w:pStyle w:val="Point1"/>
        <w:wordWrap w:val="0"/>
        <w:rPr>
          <w:noProof/>
          <w:lang w:val="en-IE" w:eastAsia="ja-JP"/>
        </w:rPr>
      </w:pPr>
      <w:r w:rsidRPr="004F5E59">
        <w:rPr>
          <w:lang w:eastAsia="ja-JP"/>
        </w:rPr>
        <w:t>(a)</w:t>
      </w:r>
      <w:r w:rsidRPr="004F5E59">
        <w:rPr>
          <w:lang w:eastAsia="ja-JP"/>
        </w:rPr>
        <w:tab/>
      </w:r>
      <w:r w:rsidR="00CC69A4" w:rsidRPr="00DF5C23">
        <w:rPr>
          <w:noProof/>
          <w:lang w:val="en-IE" w:eastAsia="ja-JP"/>
        </w:rPr>
        <w:t>最低限</w:t>
      </w:r>
      <w:r w:rsidR="008334C7" w:rsidRPr="00DF5C23">
        <w:rPr>
          <w:noProof/>
          <w:lang w:val="en-IE" w:eastAsia="ja-JP"/>
        </w:rPr>
        <w:t>、</w:t>
      </w:r>
      <w:r w:rsidR="00CC69A4" w:rsidRPr="00DF5C23">
        <w:rPr>
          <w:noProof/>
          <w:lang w:val="en-IE" w:eastAsia="ja-JP"/>
        </w:rPr>
        <w:t>第</w:t>
      </w:r>
      <w:r w:rsidR="00CC69A4" w:rsidRPr="00DF5C23">
        <w:rPr>
          <w:noProof/>
          <w:lang w:val="en-IE" w:eastAsia="ja-JP"/>
        </w:rPr>
        <w:t>III</w:t>
      </w:r>
      <w:r w:rsidR="00CC69A4" w:rsidRPr="00DF5C23">
        <w:rPr>
          <w:noProof/>
          <w:lang w:val="en-IE" w:eastAsia="ja-JP"/>
        </w:rPr>
        <w:t>章で言及される製品パスポートに関する要求事項</w:t>
      </w:r>
      <w:r w:rsidR="00BD609A" w:rsidRPr="00DF5C23">
        <w:rPr>
          <w:noProof/>
          <w:lang w:val="en-IE" w:eastAsia="ja-JP"/>
        </w:rPr>
        <w:t>、及び第</w:t>
      </w:r>
      <w:r w:rsidR="00BD609A" w:rsidRPr="00DF5C23">
        <w:rPr>
          <w:noProof/>
          <w:lang w:val="en-IE" w:eastAsia="ja-JP"/>
        </w:rPr>
        <w:t>5</w:t>
      </w:r>
      <w:r w:rsidR="00BD609A" w:rsidRPr="00DF5C23">
        <w:rPr>
          <w:noProof/>
          <w:lang w:val="en-IE" w:eastAsia="ja-JP"/>
        </w:rPr>
        <w:t>項で言及される懸念物質に関する要求事項を</w:t>
      </w:r>
      <w:r w:rsidR="00CC69A4" w:rsidRPr="00DF5C23">
        <w:rPr>
          <w:noProof/>
          <w:lang w:val="en-IE" w:eastAsia="ja-JP"/>
        </w:rPr>
        <w:t>含むこと</w:t>
      </w:r>
      <w:r w:rsidR="00A11686" w:rsidRPr="00DF5C23">
        <w:rPr>
          <w:noProof/>
          <w:lang w:val="en-IE" w:eastAsia="ja-JP"/>
        </w:rPr>
        <w:t>。</w:t>
      </w:r>
    </w:p>
    <w:p w14:paraId="14D6432C" w14:textId="77777777" w:rsidR="0038775E" w:rsidRDefault="00877B9C" w:rsidP="002041D4">
      <w:pPr>
        <w:pStyle w:val="Point1"/>
        <w:wordWrap w:val="0"/>
        <w:rPr>
          <w:rFonts w:eastAsia="Times New Roman"/>
          <w:noProof/>
          <w:lang w:val="en-IE" w:eastAsia="ja-JP"/>
        </w:rPr>
      </w:pPr>
      <w:r w:rsidRPr="004F5E59">
        <w:rPr>
          <w:lang w:eastAsia="ja-JP"/>
        </w:rPr>
        <w:t>(b)</w:t>
      </w:r>
      <w:r w:rsidRPr="004F5E59">
        <w:rPr>
          <w:lang w:eastAsia="ja-JP"/>
        </w:rPr>
        <w:tab/>
      </w:r>
      <w:r w:rsidR="008D46CA" w:rsidRPr="00DF5C23">
        <w:rPr>
          <w:noProof/>
          <w:lang w:val="en-IE" w:eastAsia="fr-BE"/>
        </w:rPr>
        <w:t>を適宜、</w:t>
      </w:r>
      <w:r w:rsidR="006755A6" w:rsidRPr="00DF5C23">
        <w:rPr>
          <w:noProof/>
          <w:lang w:val="en-IE" w:eastAsia="fr-BE"/>
        </w:rPr>
        <w:t>製品に添付することを</w:t>
      </w:r>
      <w:r w:rsidR="00697A54" w:rsidRPr="00DF5C23">
        <w:rPr>
          <w:noProof/>
          <w:lang w:val="en-IE" w:eastAsia="fr-BE"/>
        </w:rPr>
        <w:t>要求する</w:t>
      </w:r>
      <w:r w:rsidR="00697A54" w:rsidRPr="00DF5C23">
        <w:rPr>
          <w:rFonts w:eastAsia="Times New Roman"/>
          <w:noProof/>
          <w:lang w:val="en-IE" w:eastAsia="ja-JP"/>
        </w:rPr>
        <w:t>：</w:t>
      </w:r>
    </w:p>
    <w:p w14:paraId="7ADBB244" w14:textId="77777777" w:rsidR="0038775E" w:rsidRDefault="00877B9C" w:rsidP="002041D4">
      <w:pPr>
        <w:pStyle w:val="Point2"/>
        <w:wordWrap w:val="0"/>
        <w:rPr>
          <w:noProof/>
          <w:lang w:val="en-IE" w:eastAsia="fr-BE"/>
        </w:rPr>
      </w:pPr>
      <w:r w:rsidRPr="00DF5C23">
        <w:rPr>
          <w:noProof/>
          <w:lang w:val="en-IE" w:eastAsia="fr-BE"/>
        </w:rPr>
        <w:t>(i)</w:t>
      </w:r>
      <w:r w:rsidRPr="00DF5C23">
        <w:rPr>
          <w:noProof/>
          <w:lang w:val="en-IE" w:eastAsia="fr-BE"/>
        </w:rPr>
        <w:tab/>
      </w:r>
      <w:r w:rsidR="00F63129" w:rsidRPr="00DF5C23">
        <w:rPr>
          <w:noProof/>
          <w:lang w:val="en-IE" w:eastAsia="fr-BE"/>
        </w:rPr>
        <w:t>付属書</w:t>
      </w:r>
      <w:r w:rsidR="00F63129" w:rsidRPr="00DF5C23">
        <w:rPr>
          <w:noProof/>
          <w:lang w:val="en-IE" w:eastAsia="fr-BE"/>
        </w:rPr>
        <w:t xml:space="preserve"> I </w:t>
      </w:r>
      <w:r w:rsidR="00244960" w:rsidRPr="00DF5C23">
        <w:rPr>
          <w:noProof/>
          <w:lang w:val="en-IE" w:eastAsia="fr-BE"/>
        </w:rPr>
        <w:t>で言及される</w:t>
      </w:r>
      <w:r w:rsidR="00A13533" w:rsidRPr="00DF5C23">
        <w:rPr>
          <w:noProof/>
          <w:lang w:val="en-IE" w:eastAsia="fr-BE"/>
        </w:rPr>
        <w:t>製品</w:t>
      </w:r>
      <w:r w:rsidR="00697A54" w:rsidRPr="00DF5C23">
        <w:rPr>
          <w:noProof/>
          <w:lang w:val="en-IE" w:eastAsia="fr-BE"/>
        </w:rPr>
        <w:t>パラメータに関連する製品の性能に関する情報；</w:t>
      </w:r>
      <w:r w:rsidR="00697A54" w:rsidRPr="00DF5C23">
        <w:rPr>
          <w:noProof/>
          <w:lang w:val="en-IE" w:eastAsia="fr-BE"/>
        </w:rPr>
        <w:t xml:space="preserve"> </w:t>
      </w:r>
    </w:p>
    <w:p w14:paraId="5952DF40" w14:textId="77777777" w:rsidR="0038775E" w:rsidRDefault="00877B9C" w:rsidP="002041D4">
      <w:pPr>
        <w:pStyle w:val="Point2"/>
        <w:wordWrap w:val="0"/>
        <w:rPr>
          <w:noProof/>
          <w:lang w:val="en-IE" w:eastAsia="fr-BE"/>
        </w:rPr>
      </w:pPr>
      <w:r w:rsidRPr="00DF5C23">
        <w:rPr>
          <w:noProof/>
          <w:lang w:val="en-IE" w:eastAsia="fr-BE"/>
        </w:rPr>
        <w:t>(</w:t>
      </w:r>
      <w:r w:rsidR="00044CC9" w:rsidRPr="00DF5C23">
        <w:rPr>
          <w:noProof/>
          <w:lang w:val="en-IE" w:eastAsia="fr-BE"/>
        </w:rPr>
        <w:t>ii</w:t>
      </w:r>
      <w:r w:rsidRPr="00DF5C23">
        <w:rPr>
          <w:noProof/>
          <w:lang w:val="en-IE" w:eastAsia="fr-BE"/>
        </w:rPr>
        <w:t>)</w:t>
      </w:r>
      <w:r w:rsidRPr="00DF5C23">
        <w:rPr>
          <w:noProof/>
          <w:lang w:val="en-IE" w:eastAsia="fr-BE"/>
        </w:rPr>
        <w:tab/>
      </w:r>
      <w:r w:rsidRPr="00DF5C23">
        <w:rPr>
          <w:noProof/>
          <w:lang w:val="en-IE" w:eastAsia="fr-BE"/>
        </w:rPr>
        <w:t>消費者</w:t>
      </w:r>
      <w:r w:rsidR="008B0A11" w:rsidRPr="00DF5C23">
        <w:rPr>
          <w:noProof/>
          <w:lang w:val="en-IE" w:eastAsia="fr-BE"/>
        </w:rPr>
        <w:t>及びその他のエンドユーザーに対して、</w:t>
      </w:r>
      <w:r w:rsidRPr="00DF5C23">
        <w:rPr>
          <w:noProof/>
          <w:lang w:val="en-IE" w:eastAsia="fr-BE"/>
        </w:rPr>
        <w:t>環境への影響を最小限に抑え、</w:t>
      </w:r>
      <w:r w:rsidR="007D4BFF" w:rsidRPr="00DF5C23">
        <w:rPr>
          <w:noProof/>
          <w:lang w:val="en-IE" w:eastAsia="fr-BE"/>
        </w:rPr>
        <w:t>最適な</w:t>
      </w:r>
      <w:r w:rsidR="00E545C2" w:rsidRPr="00DF5C23">
        <w:rPr>
          <w:noProof/>
          <w:lang w:val="en-IE" w:eastAsia="fr-BE"/>
        </w:rPr>
        <w:t>耐久性を確保する</w:t>
      </w:r>
      <w:r w:rsidRPr="00DF5C23">
        <w:rPr>
          <w:noProof/>
          <w:lang w:val="en-IE" w:eastAsia="fr-BE"/>
        </w:rPr>
        <w:t>ための製品の設置、使用、保守及び修理方法、並びに使用終了後の製品の返却</w:t>
      </w:r>
      <w:r w:rsidR="000C7942" w:rsidRPr="00DF5C23">
        <w:rPr>
          <w:noProof/>
          <w:lang w:val="en-IE" w:eastAsia="fr-BE"/>
        </w:rPr>
        <w:t>又は廃棄</w:t>
      </w:r>
      <w:r w:rsidRPr="00DF5C23">
        <w:rPr>
          <w:noProof/>
          <w:lang w:val="en-IE" w:eastAsia="fr-BE"/>
        </w:rPr>
        <w:t>方法に関する</w:t>
      </w:r>
      <w:r w:rsidRPr="00DF5C23">
        <w:rPr>
          <w:noProof/>
          <w:lang w:val="en-IE" w:eastAsia="fr-BE"/>
        </w:rPr>
        <w:tab/>
      </w:r>
      <w:r w:rsidRPr="00DF5C23">
        <w:rPr>
          <w:noProof/>
          <w:lang w:val="en-IE" w:eastAsia="fr-BE"/>
        </w:rPr>
        <w:t>情報；</w:t>
      </w:r>
      <w:r w:rsidRPr="00DF5C23">
        <w:rPr>
          <w:noProof/>
          <w:lang w:val="en-IE" w:eastAsia="fr-BE"/>
        </w:rPr>
        <w:t xml:space="preserve"> </w:t>
      </w:r>
    </w:p>
    <w:p w14:paraId="5B4B8087" w14:textId="77777777" w:rsidR="0038775E" w:rsidRDefault="00877B9C" w:rsidP="002041D4">
      <w:pPr>
        <w:pStyle w:val="Point2"/>
        <w:wordWrap w:val="0"/>
        <w:rPr>
          <w:noProof/>
          <w:lang w:val="en-IE" w:eastAsia="fr-BE"/>
        </w:rPr>
      </w:pPr>
      <w:r w:rsidRPr="00DF5C23">
        <w:rPr>
          <w:noProof/>
          <w:lang w:val="en-IE" w:eastAsia="fr-BE"/>
        </w:rPr>
        <w:t>(</w:t>
      </w:r>
      <w:r w:rsidR="00044CC9" w:rsidRPr="00DF5C23">
        <w:rPr>
          <w:noProof/>
          <w:lang w:val="en-IE" w:eastAsia="fr-BE"/>
        </w:rPr>
        <w:t>iii</w:t>
      </w:r>
      <w:r w:rsidRPr="00DF5C23">
        <w:rPr>
          <w:noProof/>
          <w:lang w:val="en-IE" w:eastAsia="fr-BE"/>
        </w:rPr>
        <w:t>)</w:t>
      </w:r>
      <w:r w:rsidRPr="00DF5C23">
        <w:rPr>
          <w:noProof/>
          <w:lang w:val="en-IE" w:eastAsia="fr-BE"/>
        </w:rPr>
        <w:tab/>
      </w:r>
      <w:r w:rsidRPr="00DF5C23">
        <w:rPr>
          <w:noProof/>
          <w:lang w:val="en-IE" w:eastAsia="fr-BE"/>
        </w:rPr>
        <w:t>処理施設向けの、分解、リサイクル、または使用済み製品での処分</w:t>
      </w:r>
      <w:r w:rsidR="007D4BFF" w:rsidRPr="00DF5C23">
        <w:rPr>
          <w:noProof/>
          <w:lang w:val="en-IE" w:eastAsia="fr-BE"/>
        </w:rPr>
        <w:t>に関する</w:t>
      </w:r>
      <w:r w:rsidRPr="00DF5C23">
        <w:rPr>
          <w:noProof/>
          <w:lang w:val="en-IE" w:eastAsia="fr-BE"/>
        </w:rPr>
        <w:tab/>
      </w:r>
      <w:r w:rsidRPr="00DF5C23">
        <w:rPr>
          <w:noProof/>
          <w:lang w:val="en-IE" w:eastAsia="fr-BE"/>
        </w:rPr>
        <w:t>情報</w:t>
      </w:r>
      <w:r w:rsidR="00E66252" w:rsidRPr="00DF5C23">
        <w:rPr>
          <w:noProof/>
          <w:lang w:val="en-IE" w:eastAsia="fr-BE"/>
        </w:rPr>
        <w:t>；</w:t>
      </w:r>
    </w:p>
    <w:p w14:paraId="7A8E928E" w14:textId="77777777" w:rsidR="0038775E" w:rsidRDefault="00877B9C" w:rsidP="002041D4">
      <w:pPr>
        <w:pStyle w:val="Point2"/>
        <w:wordWrap w:val="0"/>
        <w:rPr>
          <w:noProof/>
          <w:lang w:val="en-IE" w:eastAsia="fr-BE"/>
        </w:rPr>
      </w:pPr>
      <w:r w:rsidRPr="00DF5C23">
        <w:rPr>
          <w:noProof/>
          <w:lang w:val="en-IE" w:eastAsia="fr-BE"/>
        </w:rPr>
        <w:t>四</w:t>
      </w:r>
      <w:r w:rsidRPr="00DF5C23">
        <w:rPr>
          <w:noProof/>
          <w:lang w:val="en-IE" w:eastAsia="fr-BE"/>
        </w:rPr>
        <w:tab/>
      </w:r>
      <w:r w:rsidR="00A13533" w:rsidRPr="00DF5C23">
        <w:rPr>
          <w:noProof/>
          <w:lang w:val="en-IE" w:eastAsia="fr-BE"/>
        </w:rPr>
        <w:t>附属書</w:t>
      </w:r>
      <w:r w:rsidR="00A13533" w:rsidRPr="00DF5C23">
        <w:rPr>
          <w:noProof/>
          <w:lang w:val="en-IE" w:eastAsia="fr-BE"/>
        </w:rPr>
        <w:t xml:space="preserve"> I </w:t>
      </w:r>
      <w:r w:rsidR="00A13533" w:rsidRPr="00DF5C23">
        <w:rPr>
          <w:noProof/>
          <w:lang w:val="en-IE" w:eastAsia="fr-BE"/>
        </w:rPr>
        <w:t>で言及される製品パラメータに関連する性能を向上させるために、製造者以外の関係者が製品を取り扱う方法に影響を与える可能性があるその他の情報</w:t>
      </w:r>
      <w:r w:rsidR="00E66252" w:rsidRPr="00DF5C23">
        <w:rPr>
          <w:noProof/>
          <w:lang w:val="en-IE" w:eastAsia="fr-BE"/>
        </w:rPr>
        <w:t>。</w:t>
      </w:r>
    </w:p>
    <w:p w14:paraId="4A9957C8" w14:textId="77777777" w:rsidR="0038775E" w:rsidRDefault="00877B9C" w:rsidP="002041D4">
      <w:pPr>
        <w:pStyle w:val="Text1"/>
        <w:wordWrap w:val="0"/>
        <w:rPr>
          <w:noProof/>
          <w:lang w:val="en-IE" w:eastAsia="ja-JP"/>
        </w:rPr>
      </w:pPr>
      <w:r w:rsidRPr="00DF5C23">
        <w:rPr>
          <w:noProof/>
          <w:lang w:val="en-IE" w:eastAsia="ja-JP"/>
        </w:rPr>
        <w:t>委任法が、第</w:t>
      </w:r>
      <w:r w:rsidRPr="00DF5C23">
        <w:rPr>
          <w:noProof/>
          <w:lang w:val="en-IE" w:eastAsia="ja-JP"/>
        </w:rPr>
        <w:t>5</w:t>
      </w:r>
      <w:r w:rsidRPr="00DF5C23">
        <w:rPr>
          <w:noProof/>
          <w:lang w:val="en-IE" w:eastAsia="ja-JP"/>
        </w:rPr>
        <w:t>条第</w:t>
      </w:r>
      <w:r w:rsidRPr="00DF5C23">
        <w:rPr>
          <w:noProof/>
          <w:lang w:val="en-IE" w:eastAsia="ja-JP"/>
        </w:rPr>
        <w:t>2</w:t>
      </w:r>
      <w:r w:rsidR="007C5713" w:rsidRPr="00DF5C23">
        <w:rPr>
          <w:noProof/>
          <w:lang w:val="en-IE" w:eastAsia="ja-JP"/>
        </w:rPr>
        <w:t>項第</w:t>
      </w:r>
      <w:r w:rsidR="007C5713" w:rsidRPr="00DF5C23">
        <w:rPr>
          <w:noProof/>
          <w:lang w:val="en-IE" w:eastAsia="ja-JP"/>
        </w:rPr>
        <w:t>2</w:t>
      </w:r>
      <w:r w:rsidR="007C5713" w:rsidRPr="00DF5C23">
        <w:rPr>
          <w:noProof/>
          <w:lang w:val="en-IE" w:eastAsia="ja-JP"/>
        </w:rPr>
        <w:t>号に</w:t>
      </w:r>
      <w:r w:rsidRPr="00DF5C23">
        <w:rPr>
          <w:noProof/>
          <w:lang w:val="en-IE" w:eastAsia="ja-JP"/>
        </w:rPr>
        <w:t>いう</w:t>
      </w:r>
      <w:r w:rsidRPr="00DF5C23">
        <w:rPr>
          <w:noProof/>
          <w:lang w:val="en-IE" w:eastAsia="ja-JP"/>
        </w:rPr>
        <w:t>2</w:t>
      </w:r>
      <w:r w:rsidRPr="00DF5C23">
        <w:rPr>
          <w:noProof/>
          <w:lang w:val="en-IE" w:eastAsia="ja-JP"/>
        </w:rPr>
        <w:t>以上の製品群に対する水平的なエコデザイン要件を含む場合、本項第</w:t>
      </w:r>
      <w:r w:rsidRPr="00DF5C23">
        <w:rPr>
          <w:noProof/>
          <w:lang w:val="en-IE" w:eastAsia="ja-JP"/>
        </w:rPr>
        <w:t>(a)</w:t>
      </w:r>
      <w:r w:rsidRPr="00DF5C23">
        <w:rPr>
          <w:noProof/>
          <w:lang w:val="en-IE" w:eastAsia="ja-JP"/>
        </w:rPr>
        <w:t>号は、適用しない。</w:t>
      </w:r>
    </w:p>
    <w:p w14:paraId="77C979C8" w14:textId="77777777" w:rsidR="0038775E" w:rsidRDefault="00877B9C" w:rsidP="002041D4">
      <w:pPr>
        <w:pStyle w:val="ManualNumPar1"/>
        <w:wordWrap w:val="0"/>
        <w:rPr>
          <w:noProof/>
          <w:lang w:val="en-IE" w:eastAsia="fr-BE"/>
        </w:rPr>
      </w:pPr>
      <w:r w:rsidRPr="004F5E59">
        <w:rPr>
          <w:lang w:eastAsia="ja-JP"/>
        </w:rPr>
        <w:t>3.</w:t>
      </w:r>
      <w:r w:rsidRPr="004F5E59">
        <w:rPr>
          <w:lang w:eastAsia="ja-JP"/>
        </w:rPr>
        <w:tab/>
      </w:r>
      <w:r w:rsidR="00C4493A" w:rsidRPr="00DF5C23">
        <w:rPr>
          <w:noProof/>
          <w:lang w:val="en-IE" w:eastAsia="fr-BE"/>
        </w:rPr>
        <w:t>付属書</w:t>
      </w:r>
      <w:r w:rsidR="00C4493A" w:rsidRPr="00DF5C23">
        <w:rPr>
          <w:noProof/>
          <w:lang w:val="en-IE" w:eastAsia="fr-BE"/>
        </w:rPr>
        <w:t xml:space="preserve"> I </w:t>
      </w:r>
      <w:r w:rsidR="00C4493A" w:rsidRPr="00DF5C23">
        <w:rPr>
          <w:noProof/>
          <w:lang w:val="en-IE" w:eastAsia="fr-BE"/>
        </w:rPr>
        <w:t>の</w:t>
      </w:r>
      <w:r w:rsidR="00C4493A" w:rsidRPr="00DF5C23">
        <w:rPr>
          <w:noProof/>
          <w:lang w:val="en-IE" w:eastAsia="fr-BE"/>
        </w:rPr>
        <w:t>(</w:t>
      </w:r>
      <w:r w:rsidR="00014108" w:rsidRPr="00DF5C23">
        <w:rPr>
          <w:noProof/>
          <w:lang w:val="en-IE" w:eastAsia="fr-BE"/>
        </w:rPr>
        <w:t>f</w:t>
      </w:r>
      <w:r w:rsidR="00C4493A" w:rsidRPr="00DF5C23">
        <w:rPr>
          <w:noProof/>
          <w:lang w:val="en-IE" w:eastAsia="fr-BE"/>
        </w:rPr>
        <w:t>)</w:t>
      </w:r>
      <w:r w:rsidR="00C4493A" w:rsidRPr="00DF5C23">
        <w:rPr>
          <w:noProof/>
          <w:lang w:val="en-IE" w:eastAsia="fr-BE"/>
        </w:rPr>
        <w:t>に定める</w:t>
      </w:r>
      <w:r w:rsidR="00A13533" w:rsidRPr="00DF5C23">
        <w:rPr>
          <w:noProof/>
          <w:lang w:val="en-IE" w:eastAsia="fr-BE"/>
        </w:rPr>
        <w:t>製品パラメータに基づく</w:t>
      </w:r>
      <w:r w:rsidR="00C4493A" w:rsidRPr="00DF5C23">
        <w:rPr>
          <w:noProof/>
          <w:lang w:val="en-IE" w:eastAsia="fr-BE"/>
        </w:rPr>
        <w:t>情報</w:t>
      </w:r>
      <w:r w:rsidR="00DD5A3B" w:rsidRPr="00DF5C23">
        <w:rPr>
          <w:noProof/>
          <w:lang w:val="en-IE" w:eastAsia="fr-BE"/>
        </w:rPr>
        <w:t>要件は、</w:t>
      </w:r>
      <w:r w:rsidR="00C4493A" w:rsidRPr="00DF5C23">
        <w:rPr>
          <w:noProof/>
          <w:lang w:val="en-IE" w:eastAsia="fr-BE"/>
        </w:rPr>
        <w:t>主に健康または環境に対する危険性に関連する理由で、物質または混合物の表示に関する義務を規定するものではないものとする</w:t>
      </w:r>
      <w:r w:rsidR="007D4BFF" w:rsidRPr="00DF5C23">
        <w:rPr>
          <w:noProof/>
          <w:lang w:val="en-IE" w:eastAsia="fr-BE"/>
        </w:rPr>
        <w:t>。</w:t>
      </w:r>
      <w:r w:rsidR="007D4BFF" w:rsidRPr="00DF5C23">
        <w:rPr>
          <w:noProof/>
          <w:lang w:val="en-IE" w:eastAsia="fr-BE"/>
        </w:rPr>
        <w:t xml:space="preserve"> </w:t>
      </w:r>
    </w:p>
    <w:p w14:paraId="0751DD9A" w14:textId="77777777" w:rsidR="0038775E" w:rsidRDefault="00877B9C" w:rsidP="002041D4">
      <w:pPr>
        <w:pStyle w:val="ManualNumPar1"/>
        <w:wordWrap w:val="0"/>
        <w:rPr>
          <w:noProof/>
          <w:lang w:val="en-IE" w:eastAsia="fr-BE"/>
        </w:rPr>
      </w:pPr>
      <w:r w:rsidRPr="004F5E59">
        <w:rPr>
          <w:lang w:eastAsia="ja-JP"/>
        </w:rPr>
        <w:t>4.</w:t>
      </w:r>
      <w:r w:rsidRPr="004F5E59">
        <w:rPr>
          <w:lang w:eastAsia="ja-JP"/>
        </w:rPr>
        <w:tab/>
      </w:r>
      <w:r w:rsidR="00A13533" w:rsidRPr="00DF5C23">
        <w:rPr>
          <w:noProof/>
          <w:lang w:val="en-IE" w:eastAsia="fr-BE"/>
        </w:rPr>
        <w:t>第</w:t>
      </w:r>
      <w:r w:rsidR="00A13533" w:rsidRPr="00DF5C23">
        <w:rPr>
          <w:noProof/>
          <w:lang w:val="en-IE" w:eastAsia="fr-BE"/>
        </w:rPr>
        <w:t>2</w:t>
      </w:r>
      <w:r w:rsidR="00A13533" w:rsidRPr="00DF5C23">
        <w:rPr>
          <w:noProof/>
          <w:lang w:val="en-IE" w:eastAsia="fr-BE"/>
        </w:rPr>
        <w:t>項第</w:t>
      </w:r>
      <w:r w:rsidR="00A13533" w:rsidRPr="00DF5C23">
        <w:rPr>
          <w:noProof/>
          <w:lang w:val="en-IE" w:eastAsia="fr-BE"/>
        </w:rPr>
        <w:t>(</w:t>
      </w:r>
      <w:r w:rsidR="00CD4F25" w:rsidRPr="00DF5C23">
        <w:rPr>
          <w:noProof/>
          <w:lang w:val="en-IE" w:eastAsia="fr-BE"/>
        </w:rPr>
        <w:t>b</w:t>
      </w:r>
      <w:r w:rsidR="00A13533" w:rsidRPr="00DF5C23">
        <w:rPr>
          <w:noProof/>
          <w:lang w:val="en-IE" w:eastAsia="fr-BE"/>
        </w:rPr>
        <w:t>)</w:t>
      </w:r>
      <w:r w:rsidR="00A13533" w:rsidRPr="00DF5C23">
        <w:rPr>
          <w:noProof/>
          <w:lang w:val="en-IE" w:eastAsia="fr-BE"/>
        </w:rPr>
        <w:t>号</w:t>
      </w:r>
      <w:r w:rsidR="00F84D24" w:rsidRPr="00DF5C23">
        <w:rPr>
          <w:noProof/>
          <w:lang w:val="en-IE" w:eastAsia="fr-BE"/>
        </w:rPr>
        <w:t>、第</w:t>
      </w:r>
      <w:r w:rsidR="005F2683" w:rsidRPr="00DF5C23">
        <w:rPr>
          <w:noProof/>
          <w:lang w:val="en-IE" w:eastAsia="fr-BE"/>
        </w:rPr>
        <w:t>(i)</w:t>
      </w:r>
      <w:r w:rsidR="00A13533" w:rsidRPr="00DF5C23">
        <w:rPr>
          <w:noProof/>
          <w:lang w:val="en-IE" w:eastAsia="fr-BE"/>
        </w:rPr>
        <w:t>号に掲げる情報要件を定める場合、委員会は、</w:t>
      </w:r>
      <w:r w:rsidR="009D4520" w:rsidRPr="00DF5C23">
        <w:rPr>
          <w:noProof/>
          <w:lang w:val="en-IE" w:eastAsia="fr-BE"/>
        </w:rPr>
        <w:t>必要に応じて、</w:t>
      </w:r>
      <w:r w:rsidR="00A13533" w:rsidRPr="00DF5C23">
        <w:rPr>
          <w:noProof/>
          <w:lang w:val="en-IE" w:eastAsia="fr-BE"/>
        </w:rPr>
        <w:t>性能のクラスを決定するものとする。</w:t>
      </w:r>
    </w:p>
    <w:p w14:paraId="6AAF1ECE" w14:textId="77777777" w:rsidR="0038775E" w:rsidRDefault="00877B9C" w:rsidP="002041D4">
      <w:pPr>
        <w:pStyle w:val="Text1"/>
        <w:wordWrap w:val="0"/>
        <w:rPr>
          <w:noProof/>
          <w:lang w:val="en-IE" w:eastAsia="fr-BE"/>
        </w:rPr>
      </w:pPr>
      <w:r w:rsidRPr="00DF5C23">
        <w:rPr>
          <w:noProof/>
          <w:lang w:val="en-IE" w:eastAsia="fr-BE"/>
        </w:rPr>
        <w:lastRenderedPageBreak/>
        <w:t>それらの</w:t>
      </w:r>
      <w:r w:rsidR="005F2683" w:rsidRPr="00DF5C23">
        <w:rPr>
          <w:noProof/>
          <w:lang w:val="en-IE" w:eastAsia="fr-BE"/>
        </w:rPr>
        <w:t>成績</w:t>
      </w:r>
      <w:r w:rsidRPr="00DF5C23">
        <w:rPr>
          <w:noProof/>
          <w:lang w:val="en-IE" w:eastAsia="fr-BE"/>
        </w:rPr>
        <w:t>クラスは、</w:t>
      </w:r>
      <w:r w:rsidR="00697A54" w:rsidRPr="00DF5C23">
        <w:rPr>
          <w:noProof/>
          <w:lang w:val="en-IE" w:eastAsia="fr-BE"/>
        </w:rPr>
        <w:t>成績レベルの統計的に有意な改善に対応するものとする。</w:t>
      </w:r>
      <w:r w:rsidR="00697A54" w:rsidRPr="00DF5C23">
        <w:rPr>
          <w:noProof/>
          <w:lang w:val="en-IE" w:eastAsia="fr-BE"/>
        </w:rPr>
        <w:t xml:space="preserve"> </w:t>
      </w:r>
    </w:p>
    <w:p w14:paraId="5B3DB813" w14:textId="77777777" w:rsidR="0038775E" w:rsidRDefault="00877B9C" w:rsidP="002041D4">
      <w:pPr>
        <w:pStyle w:val="ManualNumPar1"/>
        <w:wordWrap w:val="0"/>
        <w:rPr>
          <w:noProof/>
          <w:lang w:val="en-IE" w:eastAsia="fr-BE"/>
        </w:rPr>
      </w:pPr>
      <w:r w:rsidRPr="004F5E59">
        <w:rPr>
          <w:lang w:eastAsia="ja-JP"/>
        </w:rPr>
        <w:t>5.</w:t>
      </w:r>
      <w:r w:rsidRPr="004F5E59">
        <w:rPr>
          <w:lang w:eastAsia="ja-JP"/>
        </w:rPr>
        <w:tab/>
      </w:r>
      <w:r w:rsidR="00A11686" w:rsidRPr="00DF5C23">
        <w:rPr>
          <w:noProof/>
          <w:lang w:val="en-IE" w:eastAsia="fr-BE"/>
        </w:rPr>
        <w:t>第</w:t>
      </w:r>
      <w:r w:rsidR="00A11686" w:rsidRPr="00DF5C23">
        <w:rPr>
          <w:noProof/>
          <w:lang w:val="en-IE" w:eastAsia="fr-BE"/>
        </w:rPr>
        <w:t>1</w:t>
      </w:r>
      <w:r w:rsidR="00A11686" w:rsidRPr="00DF5C23">
        <w:rPr>
          <w:noProof/>
          <w:lang w:val="en-IE" w:eastAsia="fr-BE"/>
        </w:rPr>
        <w:t>項の</w:t>
      </w:r>
      <w:r w:rsidR="00254E56" w:rsidRPr="00DF5C23">
        <w:rPr>
          <w:noProof/>
          <w:lang w:val="en-IE" w:eastAsia="fr-BE"/>
        </w:rPr>
        <w:t>情報</w:t>
      </w:r>
      <w:r w:rsidR="00C4493A" w:rsidRPr="00DF5C23">
        <w:rPr>
          <w:noProof/>
          <w:lang w:val="en-IE" w:eastAsia="fr-BE"/>
        </w:rPr>
        <w:t>要件は、製品の</w:t>
      </w:r>
      <w:r w:rsidR="00553EC3" w:rsidRPr="00DF5C23">
        <w:rPr>
          <w:noProof/>
          <w:lang w:val="en-IE" w:eastAsia="fr-BE"/>
        </w:rPr>
        <w:t>ライフサイクルを通じて</w:t>
      </w:r>
      <w:r w:rsidR="00C4493A" w:rsidRPr="00DF5C23">
        <w:rPr>
          <w:noProof/>
          <w:lang w:val="en-IE" w:eastAsia="fr-BE"/>
        </w:rPr>
        <w:t>全ての懸念物質の追跡を可能にする</w:t>
      </w:r>
      <w:r w:rsidR="008E2859" w:rsidRPr="00DF5C23">
        <w:rPr>
          <w:noProof/>
          <w:lang w:val="en-IE" w:eastAsia="fr-BE"/>
        </w:rPr>
        <w:t>ものとする</w:t>
      </w:r>
      <w:r w:rsidR="00EE4595" w:rsidRPr="00DF5C23">
        <w:rPr>
          <w:noProof/>
          <w:lang w:val="en-IE" w:eastAsia="fr-BE"/>
        </w:rPr>
        <w:t>。</w:t>
      </w:r>
      <w:r w:rsidR="00254E56" w:rsidRPr="00DF5C23">
        <w:rPr>
          <w:noProof/>
          <w:lang w:val="en-IE" w:eastAsia="fr-BE"/>
        </w:rPr>
        <w:t>ただし、</w:t>
      </w:r>
      <w:r w:rsidR="008334C7" w:rsidRPr="00DF5C23">
        <w:rPr>
          <w:noProof/>
          <w:lang w:val="en-IE" w:eastAsia="fr-BE"/>
        </w:rPr>
        <w:t>当該追跡が、</w:t>
      </w:r>
      <w:r w:rsidR="00254E56" w:rsidRPr="00DF5C23">
        <w:rPr>
          <w:noProof/>
          <w:lang w:val="en-IE" w:eastAsia="fr-BE"/>
        </w:rPr>
        <w:t>当該</w:t>
      </w:r>
      <w:r w:rsidR="00EE4595" w:rsidRPr="00DF5C23">
        <w:rPr>
          <w:noProof/>
          <w:lang w:val="en-IE" w:eastAsia="fr-BE"/>
        </w:rPr>
        <w:t>製品を</w:t>
      </w:r>
      <w:r w:rsidR="00254E56" w:rsidRPr="00DF5C23">
        <w:rPr>
          <w:noProof/>
          <w:lang w:val="en-IE" w:eastAsia="fr-BE"/>
        </w:rPr>
        <w:t>対象として</w:t>
      </w:r>
      <w:r w:rsidR="0056057B" w:rsidRPr="00DF5C23">
        <w:rPr>
          <w:noProof/>
          <w:lang w:val="en-IE" w:eastAsia="fr-BE"/>
        </w:rPr>
        <w:t>第</w:t>
      </w:r>
      <w:r w:rsidR="0056057B" w:rsidRPr="00DF5C23">
        <w:rPr>
          <w:noProof/>
          <w:lang w:val="en-IE" w:eastAsia="fr-BE"/>
        </w:rPr>
        <w:t>4</w:t>
      </w:r>
      <w:r w:rsidR="008E2859" w:rsidRPr="00DF5C23">
        <w:rPr>
          <w:noProof/>
          <w:lang w:val="en-IE" w:eastAsia="fr-BE"/>
        </w:rPr>
        <w:t>条に従って採択された</w:t>
      </w:r>
      <w:r w:rsidR="00254E56" w:rsidRPr="00DF5C23">
        <w:rPr>
          <w:noProof/>
          <w:lang w:val="en-IE" w:eastAsia="fr-BE"/>
        </w:rPr>
        <w:t>別の委任</w:t>
      </w:r>
      <w:r w:rsidR="008E2859" w:rsidRPr="00DF5C23">
        <w:rPr>
          <w:noProof/>
          <w:lang w:val="en-IE" w:eastAsia="fr-BE"/>
        </w:rPr>
        <w:t>法によって</w:t>
      </w:r>
      <w:r w:rsidR="00254E56" w:rsidRPr="00DF5C23">
        <w:rPr>
          <w:noProof/>
          <w:lang w:val="en-IE" w:eastAsia="fr-BE"/>
        </w:rPr>
        <w:t>既に</w:t>
      </w:r>
      <w:r w:rsidR="008E2859" w:rsidRPr="00DF5C23">
        <w:rPr>
          <w:noProof/>
          <w:lang w:val="en-IE" w:eastAsia="fr-BE"/>
        </w:rPr>
        <w:t>可能になっている場合はこの限りではなく</w:t>
      </w:r>
      <w:r w:rsidR="006D6587" w:rsidRPr="00DF5C23">
        <w:rPr>
          <w:noProof/>
          <w:lang w:val="en-IE" w:eastAsia="fr-BE"/>
        </w:rPr>
        <w:t>、少なくとも以下を</w:t>
      </w:r>
      <w:r w:rsidR="00C4493A" w:rsidRPr="00DF5C23">
        <w:rPr>
          <w:noProof/>
          <w:lang w:val="en-IE" w:eastAsia="fr-BE"/>
        </w:rPr>
        <w:t>含むものとする：</w:t>
      </w:r>
    </w:p>
    <w:p w14:paraId="69CB98AD" w14:textId="77777777" w:rsidR="0038775E" w:rsidRDefault="00877B9C" w:rsidP="002041D4">
      <w:pPr>
        <w:pStyle w:val="Point1"/>
        <w:wordWrap w:val="0"/>
        <w:rPr>
          <w:noProof/>
          <w:lang w:val="en-IE" w:eastAsia="fr-BE"/>
        </w:rPr>
      </w:pPr>
      <w:r w:rsidRPr="004F5E59">
        <w:rPr>
          <w:lang w:eastAsia="ja-JP"/>
        </w:rPr>
        <w:t>(a)</w:t>
      </w:r>
      <w:r w:rsidRPr="004F5E59">
        <w:rPr>
          <w:lang w:eastAsia="ja-JP"/>
        </w:rPr>
        <w:tab/>
      </w:r>
      <w:r w:rsidR="00C4493A" w:rsidRPr="00DF5C23">
        <w:rPr>
          <w:noProof/>
          <w:lang w:val="en-IE" w:eastAsia="fr-BE"/>
        </w:rPr>
        <w:t>製品に含まれる懸念物質の名称を記載する；</w:t>
      </w:r>
      <w:r w:rsidR="00C4493A" w:rsidRPr="00DF5C23">
        <w:rPr>
          <w:noProof/>
          <w:lang w:val="en-IE" w:eastAsia="fr-BE"/>
        </w:rPr>
        <w:t xml:space="preserve"> </w:t>
      </w:r>
    </w:p>
    <w:p w14:paraId="42AD14A4" w14:textId="77777777" w:rsidR="0038775E" w:rsidRDefault="00877B9C" w:rsidP="002041D4">
      <w:pPr>
        <w:pStyle w:val="Point1"/>
        <w:wordWrap w:val="0"/>
        <w:rPr>
          <w:noProof/>
          <w:lang w:val="en-IE" w:eastAsia="fr-BE"/>
        </w:rPr>
      </w:pPr>
      <w:r w:rsidRPr="004F5E59">
        <w:rPr>
          <w:lang w:eastAsia="ja-JP"/>
        </w:rPr>
        <w:t>(b)</w:t>
      </w:r>
      <w:r w:rsidRPr="004F5E59">
        <w:rPr>
          <w:lang w:eastAsia="ja-JP"/>
        </w:rPr>
        <w:tab/>
      </w:r>
      <w:r w:rsidR="00C4493A" w:rsidRPr="00DF5C23">
        <w:rPr>
          <w:noProof/>
          <w:lang w:val="en-IE" w:eastAsia="fr-BE"/>
        </w:rPr>
        <w:t>製品に含まれる</w:t>
      </w:r>
      <w:r w:rsidR="008A4680" w:rsidRPr="00DF5C23">
        <w:rPr>
          <w:noProof/>
          <w:lang w:val="en-IE" w:eastAsia="fr-BE"/>
        </w:rPr>
        <w:t>懸念物質の</w:t>
      </w:r>
      <w:r w:rsidR="00C4493A" w:rsidRPr="00DF5C23">
        <w:rPr>
          <w:noProof/>
          <w:lang w:val="en-IE" w:eastAsia="fr-BE"/>
        </w:rPr>
        <w:t>位置；</w:t>
      </w:r>
    </w:p>
    <w:p w14:paraId="04FDB1B9" w14:textId="77777777" w:rsidR="0038775E" w:rsidRDefault="00877B9C" w:rsidP="002041D4">
      <w:pPr>
        <w:pStyle w:val="Point1"/>
        <w:wordWrap w:val="0"/>
        <w:rPr>
          <w:noProof/>
          <w:lang w:val="en-IE" w:eastAsia="fr-BE"/>
        </w:rPr>
      </w:pPr>
      <w:r w:rsidRPr="004F5E59">
        <w:rPr>
          <w:lang w:eastAsia="ja-JP"/>
        </w:rPr>
        <w:t>(c)</w:t>
      </w:r>
      <w:r w:rsidRPr="004F5E59">
        <w:rPr>
          <w:lang w:eastAsia="ja-JP"/>
        </w:rPr>
        <w:tab/>
      </w:r>
      <w:r w:rsidR="00C4493A" w:rsidRPr="00DF5C23">
        <w:rPr>
          <w:noProof/>
          <w:lang w:val="en-IE" w:eastAsia="fr-BE"/>
        </w:rPr>
        <w:t>製品、その主要部品、またはスペアパーツのレベルでの、</w:t>
      </w:r>
      <w:r w:rsidR="008A4680" w:rsidRPr="00DF5C23">
        <w:rPr>
          <w:noProof/>
          <w:lang w:val="en-IE" w:eastAsia="fr-BE"/>
        </w:rPr>
        <w:t>懸念物質の</w:t>
      </w:r>
      <w:r w:rsidR="00C4493A" w:rsidRPr="00DF5C23">
        <w:rPr>
          <w:noProof/>
          <w:lang w:val="en-IE" w:eastAsia="fr-BE"/>
        </w:rPr>
        <w:t>濃度、最大濃度、または濃度範囲；</w:t>
      </w:r>
    </w:p>
    <w:p w14:paraId="1397A707" w14:textId="77777777" w:rsidR="0038775E" w:rsidRDefault="00877B9C" w:rsidP="002041D4">
      <w:pPr>
        <w:pStyle w:val="Point1"/>
        <w:wordWrap w:val="0"/>
        <w:rPr>
          <w:noProof/>
          <w:lang w:val="en-IE" w:eastAsia="fr-BE"/>
        </w:rPr>
      </w:pPr>
      <w:r w:rsidRPr="004F5E59">
        <w:rPr>
          <w:lang w:eastAsia="ja-JP"/>
        </w:rPr>
        <w:t>(d)</w:t>
      </w:r>
      <w:r w:rsidRPr="004F5E59">
        <w:rPr>
          <w:lang w:eastAsia="ja-JP"/>
        </w:rPr>
        <w:tab/>
      </w:r>
      <w:r w:rsidR="00C4493A" w:rsidRPr="00DF5C23">
        <w:rPr>
          <w:noProof/>
          <w:lang w:val="en-IE" w:eastAsia="fr-BE"/>
        </w:rPr>
        <w:t>本製品を安全に使用するための関連する説明書；</w:t>
      </w:r>
      <w:r w:rsidR="00C4493A" w:rsidRPr="00DF5C23">
        <w:rPr>
          <w:noProof/>
          <w:lang w:val="en-IE" w:eastAsia="fr-BE"/>
        </w:rPr>
        <w:t xml:space="preserve">  </w:t>
      </w:r>
    </w:p>
    <w:p w14:paraId="3BEF8073" w14:textId="3FFA91E7" w:rsidR="0038775E" w:rsidRDefault="00877B9C" w:rsidP="002041D4">
      <w:pPr>
        <w:pStyle w:val="Point1"/>
        <w:wordWrap w:val="0"/>
        <w:rPr>
          <w:noProof/>
          <w:lang w:val="en-IE" w:eastAsia="fr-BE"/>
        </w:rPr>
      </w:pPr>
      <w:r w:rsidRPr="004F5E59">
        <w:rPr>
          <w:lang w:eastAsia="ja-JP"/>
        </w:rPr>
        <w:t>(e)</w:t>
      </w:r>
      <w:r w:rsidRPr="004F5E59">
        <w:rPr>
          <w:lang w:eastAsia="ja-JP"/>
        </w:rPr>
        <w:tab/>
      </w:r>
      <w:r w:rsidR="00C4493A" w:rsidRPr="00DF5C23">
        <w:rPr>
          <w:noProof/>
          <w:lang w:val="en-IE" w:eastAsia="fr-BE"/>
        </w:rPr>
        <w:t>分解に関連する情報を提供</w:t>
      </w:r>
      <w:r w:rsidR="002041D4">
        <w:rPr>
          <w:noProof/>
          <w:lang w:val="en-IE" w:eastAsia="fr-BE"/>
        </w:rPr>
        <w:t>する</w:t>
      </w:r>
      <w:r w:rsidR="00C4493A" w:rsidRPr="00DF5C23">
        <w:rPr>
          <w:noProof/>
          <w:lang w:val="en-IE" w:eastAsia="fr-BE"/>
        </w:rPr>
        <w:t>。</w:t>
      </w:r>
    </w:p>
    <w:p w14:paraId="6E1F8B80" w14:textId="77777777" w:rsidR="0038775E" w:rsidRDefault="00877B9C" w:rsidP="002041D4">
      <w:pPr>
        <w:pStyle w:val="Text1"/>
        <w:wordWrap w:val="0"/>
        <w:rPr>
          <w:noProof/>
          <w:lang w:val="en-IE" w:eastAsia="fr-BE"/>
        </w:rPr>
      </w:pPr>
      <w:r w:rsidRPr="00DF5C23">
        <w:rPr>
          <w:noProof/>
          <w:lang w:eastAsia="ja-JP"/>
        </w:rPr>
        <w:t>欧州委員会は、第</w:t>
      </w:r>
      <w:r w:rsidRPr="00DF5C23">
        <w:rPr>
          <w:noProof/>
          <w:lang w:eastAsia="ja-JP"/>
        </w:rPr>
        <w:t>4</w:t>
      </w:r>
      <w:r w:rsidRPr="00DF5C23">
        <w:rPr>
          <w:noProof/>
          <w:lang w:eastAsia="ja-JP"/>
        </w:rPr>
        <w:t>条に従って採択された委任法において情報要件を定める場合、その定めるところによるものとする</w:t>
      </w:r>
      <w:r w:rsidR="00C4493A" w:rsidRPr="00DF5C23">
        <w:rPr>
          <w:noProof/>
          <w:lang w:val="en-IE" w:eastAsia="fr-BE"/>
        </w:rPr>
        <w:t>：</w:t>
      </w:r>
    </w:p>
    <w:p w14:paraId="4B379187" w14:textId="77777777" w:rsidR="0038775E" w:rsidRDefault="00877B9C" w:rsidP="002041D4">
      <w:pPr>
        <w:pStyle w:val="Point1"/>
        <w:wordWrap w:val="0"/>
        <w:rPr>
          <w:noProof/>
          <w:lang w:val="en-IE" w:eastAsia="fr-BE"/>
        </w:rPr>
      </w:pPr>
      <w:r w:rsidRPr="004F5E59">
        <w:rPr>
          <w:lang w:eastAsia="ja-JP"/>
        </w:rPr>
        <w:t>(a)</w:t>
      </w:r>
      <w:r w:rsidRPr="004F5E59">
        <w:rPr>
          <w:lang w:eastAsia="ja-JP"/>
        </w:rPr>
        <w:tab/>
      </w:r>
      <w:r w:rsidR="00C4493A" w:rsidRPr="00DF5C23">
        <w:rPr>
          <w:noProof/>
          <w:lang w:val="en-IE" w:eastAsia="fr-BE"/>
        </w:rPr>
        <w:t>対象製品群の目的のために</w:t>
      </w:r>
      <w:r w:rsidR="008A4680" w:rsidRPr="00DF5C23">
        <w:rPr>
          <w:noProof/>
          <w:lang w:val="en-IE" w:eastAsia="fr-BE"/>
        </w:rPr>
        <w:t>、</w:t>
      </w:r>
      <w:r w:rsidR="00C4493A" w:rsidRPr="00DF5C23">
        <w:rPr>
          <w:noProof/>
          <w:lang w:val="en-IE" w:eastAsia="fr-BE"/>
        </w:rPr>
        <w:t>どの物質が第</w:t>
      </w:r>
      <w:r w:rsidR="00C4493A" w:rsidRPr="00DF5C23">
        <w:rPr>
          <w:noProof/>
          <w:lang w:val="en-IE" w:eastAsia="fr-BE"/>
        </w:rPr>
        <w:t>2</w:t>
      </w:r>
      <w:r w:rsidR="00C4493A" w:rsidRPr="00DF5C23">
        <w:rPr>
          <w:noProof/>
          <w:lang w:val="en-IE" w:eastAsia="fr-BE"/>
        </w:rPr>
        <w:t>条</w:t>
      </w:r>
      <w:r w:rsidR="00C4493A" w:rsidRPr="00DF5C23">
        <w:rPr>
          <w:noProof/>
          <w:lang w:val="en-IE" w:eastAsia="fr-BE"/>
        </w:rPr>
        <w:t>(</w:t>
      </w:r>
      <w:r w:rsidR="007C5713" w:rsidRPr="00DF5C23">
        <w:rPr>
          <w:noProof/>
          <w:lang w:val="en-IE" w:eastAsia="fr-BE"/>
        </w:rPr>
        <w:t>28</w:t>
      </w:r>
      <w:r w:rsidR="00C4493A" w:rsidRPr="00DF5C23">
        <w:rPr>
          <w:noProof/>
          <w:lang w:val="en-IE" w:eastAsia="fr-BE"/>
        </w:rPr>
        <w:t>)</w:t>
      </w:r>
      <w:r w:rsidR="00553EC3" w:rsidRPr="00DF5C23">
        <w:rPr>
          <w:noProof/>
          <w:lang w:val="en-IE" w:eastAsia="fr-BE"/>
        </w:rPr>
        <w:t>項</w:t>
      </w:r>
      <w:r w:rsidR="00553EC3" w:rsidRPr="00DF5C23">
        <w:rPr>
          <w:noProof/>
          <w:lang w:val="en-IE" w:eastAsia="fr-BE"/>
        </w:rPr>
        <w:t>(</w:t>
      </w:r>
      <w:r w:rsidR="003D4984" w:rsidRPr="00DF5C23">
        <w:rPr>
          <w:noProof/>
          <w:lang w:val="en-IE" w:eastAsia="fr-BE"/>
        </w:rPr>
        <w:t>c</w:t>
      </w:r>
      <w:r w:rsidR="00553EC3" w:rsidRPr="00DF5C23">
        <w:rPr>
          <w:noProof/>
          <w:lang w:val="en-IE" w:eastAsia="fr-BE"/>
        </w:rPr>
        <w:t>)</w:t>
      </w:r>
      <w:r w:rsidR="008334C7" w:rsidRPr="00DF5C23">
        <w:rPr>
          <w:noProof/>
          <w:lang w:val="en-IE" w:eastAsia="fr-BE"/>
        </w:rPr>
        <w:t>の定義に該当するかを確定すること；</w:t>
      </w:r>
    </w:p>
    <w:p w14:paraId="2DD6D4C4" w14:textId="77777777" w:rsidR="0038775E" w:rsidRDefault="00877B9C" w:rsidP="002041D4">
      <w:pPr>
        <w:pStyle w:val="Point1"/>
        <w:wordWrap w:val="0"/>
        <w:rPr>
          <w:noProof/>
          <w:lang w:val="en-IE" w:eastAsia="fr-BE"/>
        </w:rPr>
      </w:pPr>
      <w:r w:rsidRPr="004F5E59">
        <w:rPr>
          <w:lang w:eastAsia="ja-JP"/>
        </w:rPr>
        <w:t>(b)</w:t>
      </w:r>
      <w:r w:rsidRPr="004F5E59">
        <w:rPr>
          <w:lang w:eastAsia="ja-JP"/>
        </w:rPr>
        <w:tab/>
      </w:r>
      <w:r w:rsidR="008A0B4E" w:rsidRPr="00DF5C23">
        <w:rPr>
          <w:noProof/>
          <w:lang w:val="en-IE" w:eastAsia="fr-BE"/>
        </w:rPr>
        <w:t>第</w:t>
      </w:r>
      <w:r w:rsidR="008A0B4E" w:rsidRPr="00DF5C23">
        <w:rPr>
          <w:noProof/>
          <w:lang w:val="en-IE" w:eastAsia="fr-BE"/>
        </w:rPr>
        <w:t>1</w:t>
      </w:r>
      <w:r w:rsidR="008A0B4E" w:rsidRPr="00DF5C23">
        <w:rPr>
          <w:noProof/>
          <w:lang w:val="en-IE" w:eastAsia="fr-BE"/>
        </w:rPr>
        <w:t>パラグラフで言及された情報</w:t>
      </w:r>
      <w:r w:rsidR="00C4493A" w:rsidRPr="00DF5C23">
        <w:rPr>
          <w:noProof/>
          <w:lang w:val="en-IE" w:eastAsia="fr-BE"/>
        </w:rPr>
        <w:t>要件の適用開始の期限を、</w:t>
      </w:r>
      <w:r w:rsidR="00AD3559" w:rsidRPr="00DF5C23">
        <w:rPr>
          <w:noProof/>
          <w:lang w:eastAsia="ja-JP"/>
        </w:rPr>
        <w:t>物質ごとに区別して設定する</w:t>
      </w:r>
      <w:r w:rsidR="00C4493A" w:rsidRPr="00DF5C23">
        <w:rPr>
          <w:noProof/>
          <w:lang w:val="en-IE" w:eastAsia="fr-BE"/>
        </w:rPr>
        <w:t>。</w:t>
      </w:r>
    </w:p>
    <w:p w14:paraId="25AD2C2F" w14:textId="77777777" w:rsidR="0038775E" w:rsidRDefault="00877B9C" w:rsidP="002041D4">
      <w:pPr>
        <w:pStyle w:val="Point1"/>
        <w:wordWrap w:val="0"/>
        <w:rPr>
          <w:noProof/>
          <w:lang w:val="en-IE" w:eastAsia="fr-BE"/>
        </w:rPr>
      </w:pPr>
      <w:r w:rsidRPr="004F5E59">
        <w:rPr>
          <w:lang w:eastAsia="ja-JP"/>
        </w:rPr>
        <w:t>(c)</w:t>
      </w:r>
      <w:r w:rsidRPr="004F5E59">
        <w:rPr>
          <w:lang w:eastAsia="ja-JP"/>
        </w:rPr>
        <w:tab/>
      </w:r>
      <w:r w:rsidR="00F23791" w:rsidRPr="00DF5C23">
        <w:rPr>
          <w:noProof/>
          <w:lang w:val="en-IE" w:eastAsia="fr-BE"/>
        </w:rPr>
        <w:t>第</w:t>
      </w:r>
      <w:r w:rsidR="00F23791" w:rsidRPr="00DF5C23">
        <w:rPr>
          <w:noProof/>
          <w:lang w:val="en-IE" w:eastAsia="fr-BE"/>
        </w:rPr>
        <w:t>1</w:t>
      </w:r>
      <w:r w:rsidR="00F23791" w:rsidRPr="00DF5C23">
        <w:rPr>
          <w:noProof/>
          <w:lang w:val="en-IE" w:eastAsia="fr-BE"/>
        </w:rPr>
        <w:t>項で言及された情報</w:t>
      </w:r>
      <w:r w:rsidR="00553EC3" w:rsidRPr="00DF5C23">
        <w:rPr>
          <w:noProof/>
          <w:lang w:val="en-IE" w:eastAsia="fr-BE"/>
        </w:rPr>
        <w:t>要件から、</w:t>
      </w:r>
      <w:r w:rsidR="00EE4595" w:rsidRPr="00DF5C23">
        <w:rPr>
          <w:noProof/>
          <w:lang w:val="en-IE" w:eastAsia="fr-BE"/>
        </w:rPr>
        <w:t>懸念物質または情報要素の</w:t>
      </w:r>
      <w:r w:rsidR="008A0B4E" w:rsidRPr="00DF5C23">
        <w:rPr>
          <w:noProof/>
          <w:lang w:val="en-IE" w:eastAsia="fr-BE"/>
        </w:rPr>
        <w:t>除外を規定する</w:t>
      </w:r>
      <w:r w:rsidR="009D4520" w:rsidRPr="00DF5C23">
        <w:rPr>
          <w:noProof/>
          <w:lang w:val="en-IE" w:eastAsia="fr-BE"/>
        </w:rPr>
        <w:t>。</w:t>
      </w:r>
      <w:r w:rsidR="009D4520" w:rsidRPr="00DF5C23">
        <w:rPr>
          <w:noProof/>
          <w:lang w:val="en-IE" w:eastAsia="fr-BE"/>
        </w:rPr>
        <w:t xml:space="preserve"> </w:t>
      </w:r>
    </w:p>
    <w:p w14:paraId="7F84DDC3" w14:textId="69BB382D" w:rsidR="0038775E" w:rsidRDefault="00877B9C" w:rsidP="002041D4">
      <w:pPr>
        <w:pStyle w:val="Text1"/>
        <w:wordWrap w:val="0"/>
        <w:rPr>
          <w:noProof/>
          <w:lang w:val="en-IE" w:eastAsia="fr-BE"/>
        </w:rPr>
      </w:pPr>
      <w:r w:rsidRPr="00DF5C23">
        <w:rPr>
          <w:noProof/>
          <w:lang w:val="en-IE" w:eastAsia="fr-BE"/>
        </w:rPr>
        <w:t>第</w:t>
      </w:r>
      <w:r w:rsidRPr="00DF5C23">
        <w:rPr>
          <w:noProof/>
          <w:lang w:val="en-IE" w:eastAsia="fr-BE"/>
        </w:rPr>
        <w:t>2</w:t>
      </w:r>
      <w:r w:rsidRPr="00DF5C23">
        <w:rPr>
          <w:noProof/>
          <w:lang w:val="en-IE" w:eastAsia="fr-BE"/>
        </w:rPr>
        <w:t>項</w:t>
      </w:r>
      <w:r w:rsidRPr="00DF5C23">
        <w:rPr>
          <w:noProof/>
          <w:lang w:val="en-IE" w:eastAsia="fr-BE"/>
        </w:rPr>
        <w:t>(c)</w:t>
      </w:r>
      <w:r w:rsidRPr="00DF5C23">
        <w:rPr>
          <w:noProof/>
          <w:lang w:val="en-IE" w:eastAsia="fr-BE"/>
        </w:rPr>
        <w:t>の免除は、</w:t>
      </w:r>
      <w:r w:rsidR="009D4520" w:rsidRPr="00DF5C23">
        <w:rPr>
          <w:noProof/>
          <w:lang w:val="en-IE" w:eastAsia="fr-BE"/>
        </w:rPr>
        <w:t>懸念物質の追跡の技術的実現可能性または関連性</w:t>
      </w:r>
      <w:r w:rsidRPr="00DF5C23">
        <w:rPr>
          <w:noProof/>
          <w:lang w:val="en-IE" w:eastAsia="fr-BE"/>
        </w:rPr>
        <w:t>、</w:t>
      </w:r>
      <w:r w:rsidR="009D4520" w:rsidRPr="00DF5C23">
        <w:rPr>
          <w:noProof/>
          <w:lang w:val="en-IE" w:eastAsia="fr-BE"/>
        </w:rPr>
        <w:t>企業秘密情報の保護の必要性</w:t>
      </w:r>
      <w:r w:rsidRPr="00DF5C23">
        <w:rPr>
          <w:noProof/>
          <w:lang w:val="en-IE" w:eastAsia="fr-BE"/>
        </w:rPr>
        <w:t>、およびその他の正当に正当化されるケースに基づいて提供される場合があ</w:t>
      </w:r>
      <w:r w:rsidR="002041D4">
        <w:rPr>
          <w:noProof/>
          <w:lang w:val="en-IE" w:eastAsia="fr-BE"/>
        </w:rPr>
        <w:t>る</w:t>
      </w:r>
      <w:r w:rsidR="009D4520" w:rsidRPr="00DF5C23">
        <w:rPr>
          <w:noProof/>
          <w:lang w:val="en-IE" w:eastAsia="fr-BE"/>
        </w:rPr>
        <w:t>。</w:t>
      </w:r>
      <w:r w:rsidR="009D4520" w:rsidRPr="00DF5C23">
        <w:rPr>
          <w:noProof/>
          <w:lang w:val="en-IE" w:eastAsia="fr-BE"/>
        </w:rPr>
        <w:t xml:space="preserve"> </w:t>
      </w:r>
      <w:r w:rsidRPr="00DF5C23" w:rsidDel="008A0B4E">
        <w:rPr>
          <w:rStyle w:val="a7"/>
          <w:rFonts w:eastAsia="Times New Roman"/>
          <w:noProof/>
          <w:lang w:val="en-IE" w:eastAsia="ja-JP"/>
        </w:rPr>
        <w:t xml:space="preserve"> </w:t>
      </w:r>
    </w:p>
    <w:p w14:paraId="273C881D" w14:textId="77777777" w:rsidR="0038775E" w:rsidRDefault="00877B9C" w:rsidP="002041D4">
      <w:pPr>
        <w:pStyle w:val="Text1"/>
        <w:wordWrap w:val="0"/>
        <w:rPr>
          <w:noProof/>
          <w:lang w:val="en-IE" w:eastAsia="fr-BE"/>
        </w:rPr>
      </w:pPr>
      <w:r w:rsidRPr="00DF5C23">
        <w:rPr>
          <w:noProof/>
          <w:lang w:val="en-IE" w:eastAsia="fr-BE"/>
        </w:rPr>
        <w:t>第</w:t>
      </w:r>
      <w:r w:rsidRPr="00DF5C23">
        <w:rPr>
          <w:noProof/>
          <w:lang w:val="en-IE" w:eastAsia="fr-BE"/>
        </w:rPr>
        <w:t xml:space="preserve"> 2 </w:t>
      </w:r>
      <w:r w:rsidRPr="00DF5C23">
        <w:rPr>
          <w:noProof/>
          <w:lang w:val="en-IE" w:eastAsia="fr-BE"/>
        </w:rPr>
        <w:t>条</w:t>
      </w:r>
      <w:r w:rsidRPr="00DF5C23">
        <w:rPr>
          <w:noProof/>
          <w:lang w:val="en-IE" w:eastAsia="fr-BE"/>
        </w:rPr>
        <w:t>(</w:t>
      </w:r>
      <w:r w:rsidR="007C5713" w:rsidRPr="00DF5C23">
        <w:rPr>
          <w:noProof/>
          <w:lang w:val="en-IE" w:eastAsia="fr-BE"/>
        </w:rPr>
        <w:t>28</w:t>
      </w:r>
      <w:r w:rsidRPr="00DF5C23">
        <w:rPr>
          <w:noProof/>
          <w:lang w:val="en-IE" w:eastAsia="fr-BE"/>
        </w:rPr>
        <w:t>)</w:t>
      </w:r>
      <w:r w:rsidR="005F2683" w:rsidRPr="00DF5C23">
        <w:rPr>
          <w:noProof/>
          <w:lang w:val="en-IE" w:eastAsia="fr-BE"/>
        </w:rPr>
        <w:t>項</w:t>
      </w:r>
      <w:r w:rsidR="005F2683" w:rsidRPr="00DF5C23">
        <w:rPr>
          <w:noProof/>
          <w:lang w:val="en-IE" w:eastAsia="fr-BE"/>
        </w:rPr>
        <w:t>(</w:t>
      </w:r>
      <w:r w:rsidR="009C2B90" w:rsidRPr="00DF5C23">
        <w:rPr>
          <w:noProof/>
          <w:lang w:val="en-IE" w:eastAsia="fr-BE"/>
        </w:rPr>
        <w:t>a)</w:t>
      </w:r>
      <w:r w:rsidR="008A0B4E" w:rsidRPr="00DF5C23">
        <w:rPr>
          <w:noProof/>
          <w:lang w:val="en-IE" w:eastAsia="fr-BE"/>
        </w:rPr>
        <w:t>の定義に該当する</w:t>
      </w:r>
      <w:r w:rsidR="006D6587" w:rsidRPr="00DF5C23">
        <w:rPr>
          <w:noProof/>
          <w:lang w:val="en-IE" w:eastAsia="fr-BE"/>
        </w:rPr>
        <w:t>懸念物質が、</w:t>
      </w:r>
      <w:r w:rsidRPr="00DF5C23">
        <w:rPr>
          <w:noProof/>
          <w:lang w:val="en-IE" w:eastAsia="fr-BE"/>
        </w:rPr>
        <w:t>関連製品、その主要部品またはスペアパーツに</w:t>
      </w:r>
      <w:r w:rsidRPr="00DF5C23">
        <w:rPr>
          <w:noProof/>
          <w:lang w:val="en-IE" w:eastAsia="fr-BE"/>
        </w:rPr>
        <w:t xml:space="preserve"> 0</w:t>
      </w:r>
      <w:r w:rsidR="008A0B4E" w:rsidRPr="00DF5C23">
        <w:rPr>
          <w:noProof/>
          <w:lang w:val="en-IE" w:eastAsia="fr-BE"/>
        </w:rPr>
        <w:t>.</w:t>
      </w:r>
      <w:r w:rsidRPr="00DF5C23">
        <w:rPr>
          <w:noProof/>
          <w:lang w:val="en-IE" w:eastAsia="fr-BE"/>
        </w:rPr>
        <w:t xml:space="preserve">1 </w:t>
      </w:r>
      <w:r w:rsidRPr="00DF5C23">
        <w:rPr>
          <w:noProof/>
          <w:lang w:val="en-IE" w:eastAsia="fr-BE"/>
        </w:rPr>
        <w:t>重量％を超える濃度で存在する場合、</w:t>
      </w:r>
      <w:r w:rsidR="00F23791" w:rsidRPr="00DF5C23">
        <w:rPr>
          <w:noProof/>
          <w:lang w:val="en-IE" w:eastAsia="fr-BE"/>
        </w:rPr>
        <w:t>第</w:t>
      </w:r>
      <w:r w:rsidR="00F23791" w:rsidRPr="00DF5C23">
        <w:rPr>
          <w:noProof/>
          <w:lang w:val="en-IE" w:eastAsia="fr-BE"/>
        </w:rPr>
        <w:t xml:space="preserve"> 1 </w:t>
      </w:r>
      <w:r w:rsidR="00F23791" w:rsidRPr="00DF5C23">
        <w:rPr>
          <w:noProof/>
          <w:lang w:val="en-IE" w:eastAsia="fr-BE"/>
        </w:rPr>
        <w:t>項で言及する情報要件の適用を</w:t>
      </w:r>
      <w:r w:rsidRPr="00DF5C23">
        <w:rPr>
          <w:noProof/>
          <w:lang w:val="en-IE" w:eastAsia="fr-BE"/>
        </w:rPr>
        <w:t>免除しないものとする。</w:t>
      </w:r>
      <w:r w:rsidRPr="00DF5C23">
        <w:rPr>
          <w:noProof/>
          <w:lang w:val="en-IE" w:eastAsia="fr-BE"/>
        </w:rPr>
        <w:t xml:space="preserve"> </w:t>
      </w:r>
    </w:p>
    <w:p w14:paraId="583E8731" w14:textId="77777777" w:rsidR="0038775E" w:rsidRDefault="00877B9C" w:rsidP="002041D4">
      <w:pPr>
        <w:pStyle w:val="ManualNumPar1"/>
        <w:wordWrap w:val="0"/>
        <w:rPr>
          <w:noProof/>
          <w:lang w:val="en-IE" w:eastAsia="fr-BE"/>
        </w:rPr>
      </w:pPr>
      <w:r w:rsidRPr="004F5E59">
        <w:rPr>
          <w:lang w:eastAsia="ja-JP"/>
        </w:rPr>
        <w:t>6.</w:t>
      </w:r>
      <w:r w:rsidRPr="004F5E59">
        <w:rPr>
          <w:lang w:eastAsia="ja-JP"/>
        </w:rPr>
        <w:tab/>
      </w:r>
      <w:r w:rsidR="0681B866" w:rsidRPr="00DF5C23">
        <w:rPr>
          <w:noProof/>
          <w:lang w:val="en-IE" w:eastAsia="fr-BE"/>
        </w:rPr>
        <w:t>情報要件は、</w:t>
      </w:r>
      <w:r w:rsidR="00AD3559" w:rsidRPr="00DF5C23">
        <w:rPr>
          <w:noProof/>
          <w:lang w:eastAsia="fr-BE"/>
        </w:rPr>
        <w:t>必要な情報を入手</w:t>
      </w:r>
      <w:r w:rsidR="00F23791" w:rsidRPr="00DF5C23">
        <w:rPr>
          <w:noProof/>
          <w:lang w:eastAsia="fr-BE"/>
        </w:rPr>
        <w:t>するための</w:t>
      </w:r>
      <w:r w:rsidR="00F23791" w:rsidRPr="00DF5C23">
        <w:rPr>
          <w:noProof/>
          <w:lang w:val="en-IE" w:eastAsia="fr-BE"/>
        </w:rPr>
        <w:t>方法を</w:t>
      </w:r>
      <w:r w:rsidR="0681B866" w:rsidRPr="00DF5C23">
        <w:rPr>
          <w:noProof/>
          <w:lang w:val="en-IE" w:eastAsia="fr-BE"/>
        </w:rPr>
        <w:t>示すものとする。</w:t>
      </w:r>
      <w:r w:rsidR="0681B866" w:rsidRPr="00DF5C23">
        <w:rPr>
          <w:noProof/>
          <w:lang w:val="en-IE" w:eastAsia="fr-BE"/>
        </w:rPr>
        <w:t xml:space="preserve"> </w:t>
      </w:r>
    </w:p>
    <w:p w14:paraId="71D547A7" w14:textId="77777777" w:rsidR="0038775E" w:rsidRDefault="00877B9C" w:rsidP="002041D4">
      <w:pPr>
        <w:pStyle w:val="Text1"/>
        <w:wordWrap w:val="0"/>
        <w:rPr>
          <w:noProof/>
          <w:lang w:val="en-IE" w:eastAsia="fr-BE"/>
        </w:rPr>
      </w:pPr>
      <w:r w:rsidRPr="00DF5C23">
        <w:rPr>
          <w:noProof/>
          <w:lang w:val="en-IE" w:eastAsia="fr-BE"/>
        </w:rPr>
        <w:t>必要な情報は、適宜、以下の方法の少なくとも</w:t>
      </w:r>
      <w:r w:rsidRPr="00DF5C23">
        <w:rPr>
          <w:noProof/>
          <w:lang w:val="en-IE" w:eastAsia="fr-BE"/>
        </w:rPr>
        <w:t>1</w:t>
      </w:r>
      <w:r w:rsidRPr="00DF5C23">
        <w:rPr>
          <w:noProof/>
          <w:lang w:val="en-IE" w:eastAsia="fr-BE"/>
        </w:rPr>
        <w:t>つで提供されなければならない</w:t>
      </w:r>
      <w:r w:rsidR="0681B866" w:rsidRPr="00DF5C23">
        <w:rPr>
          <w:noProof/>
          <w:lang w:val="en-IE" w:eastAsia="fr-BE"/>
        </w:rPr>
        <w:t>：</w:t>
      </w:r>
    </w:p>
    <w:p w14:paraId="1E2ABE3E" w14:textId="77777777" w:rsidR="0038775E" w:rsidRDefault="00877B9C" w:rsidP="002041D4">
      <w:pPr>
        <w:pStyle w:val="Point1"/>
        <w:wordWrap w:val="0"/>
        <w:rPr>
          <w:noProof/>
          <w:lang w:val="en-IE" w:eastAsia="fr-BE"/>
        </w:rPr>
      </w:pPr>
      <w:r w:rsidRPr="004F5E59">
        <w:rPr>
          <w:lang w:eastAsia="ja-JP"/>
        </w:rPr>
        <w:t>(a)</w:t>
      </w:r>
      <w:r w:rsidRPr="004F5E59">
        <w:rPr>
          <w:lang w:eastAsia="ja-JP"/>
        </w:rPr>
        <w:tab/>
      </w:r>
      <w:r w:rsidR="0681B866" w:rsidRPr="00DF5C23">
        <w:rPr>
          <w:noProof/>
          <w:lang w:val="en-IE" w:eastAsia="fr-BE"/>
        </w:rPr>
        <w:t>製品そのものに</w:t>
      </w:r>
    </w:p>
    <w:p w14:paraId="68D10BA4" w14:textId="77777777" w:rsidR="0038775E" w:rsidRDefault="00877B9C" w:rsidP="002041D4">
      <w:pPr>
        <w:pStyle w:val="Point1"/>
        <w:wordWrap w:val="0"/>
        <w:rPr>
          <w:noProof/>
          <w:lang w:val="en-IE" w:eastAsia="ja-JP"/>
        </w:rPr>
      </w:pPr>
      <w:r w:rsidRPr="004F5E59">
        <w:rPr>
          <w:lang w:eastAsia="ja-JP"/>
        </w:rPr>
        <w:t>(b)</w:t>
      </w:r>
      <w:r w:rsidRPr="004F5E59">
        <w:rPr>
          <w:lang w:eastAsia="ja-JP"/>
        </w:rPr>
        <w:tab/>
      </w:r>
      <w:r w:rsidR="0681B866" w:rsidRPr="00DF5C23">
        <w:rPr>
          <w:noProof/>
          <w:lang w:val="en-IE" w:eastAsia="ja-JP"/>
        </w:rPr>
        <w:t>は、製品のパッケージに記載されています；</w:t>
      </w:r>
    </w:p>
    <w:p w14:paraId="36B8787B" w14:textId="77777777" w:rsidR="0038775E" w:rsidRDefault="00877B9C" w:rsidP="002041D4">
      <w:pPr>
        <w:pStyle w:val="Point1"/>
        <w:wordWrap w:val="0"/>
        <w:rPr>
          <w:noProof/>
          <w:lang w:val="en-IE" w:eastAsia="ja-JP"/>
        </w:rPr>
      </w:pPr>
      <w:r w:rsidRPr="004F5E59">
        <w:rPr>
          <w:lang w:eastAsia="ja-JP"/>
        </w:rPr>
        <w:t>(c)</w:t>
      </w:r>
      <w:r w:rsidRPr="004F5E59">
        <w:rPr>
          <w:lang w:eastAsia="ja-JP"/>
        </w:rPr>
        <w:tab/>
      </w:r>
      <w:r w:rsidR="00697A54" w:rsidRPr="00DF5C23">
        <w:rPr>
          <w:noProof/>
          <w:lang w:val="en-IE" w:eastAsia="ja-JP"/>
        </w:rPr>
        <w:t>を、</w:t>
      </w:r>
      <w:r w:rsidR="00055DD0" w:rsidRPr="00DF5C23">
        <w:rPr>
          <w:noProof/>
          <w:lang w:val="en-IE" w:eastAsia="ja-JP"/>
        </w:rPr>
        <w:t>第</w:t>
      </w:r>
      <w:r w:rsidR="00055DD0" w:rsidRPr="00DF5C23">
        <w:rPr>
          <w:noProof/>
          <w:lang w:val="en-IE" w:eastAsia="ja-JP"/>
        </w:rPr>
        <w:t>8</w:t>
      </w:r>
      <w:r w:rsidR="00990872" w:rsidRPr="00DF5C23">
        <w:rPr>
          <w:noProof/>
          <w:lang w:val="en-IE" w:eastAsia="ja-JP"/>
        </w:rPr>
        <w:t>条に</w:t>
      </w:r>
      <w:r w:rsidR="00F23791" w:rsidRPr="00DF5C23">
        <w:rPr>
          <w:noProof/>
          <w:lang w:val="en-IE" w:eastAsia="ja-JP"/>
        </w:rPr>
        <w:t>定める</w:t>
      </w:r>
      <w:r w:rsidR="004A1643" w:rsidRPr="00DF5C23">
        <w:rPr>
          <w:noProof/>
          <w:lang w:val="en-IE" w:eastAsia="ja-JP"/>
        </w:rPr>
        <w:t>製品パスポートに記載する</w:t>
      </w:r>
      <w:r w:rsidR="00697A54" w:rsidRPr="00DF5C23">
        <w:rPr>
          <w:noProof/>
          <w:lang w:val="en-IE" w:eastAsia="ja-JP"/>
        </w:rPr>
        <w:t>；</w:t>
      </w:r>
    </w:p>
    <w:p w14:paraId="5DF2E1B8" w14:textId="77777777" w:rsidR="0038775E" w:rsidRDefault="00877B9C" w:rsidP="002041D4">
      <w:pPr>
        <w:pStyle w:val="Point1"/>
        <w:wordWrap w:val="0"/>
        <w:rPr>
          <w:noProof/>
          <w:lang w:val="en-IE" w:eastAsia="ja-JP"/>
        </w:rPr>
      </w:pPr>
      <w:r w:rsidRPr="004F5E59">
        <w:rPr>
          <w:lang w:eastAsia="ja-JP"/>
        </w:rPr>
        <w:t>(d)</w:t>
      </w:r>
      <w:r w:rsidRPr="004F5E59">
        <w:rPr>
          <w:lang w:eastAsia="ja-JP"/>
        </w:rPr>
        <w:tab/>
      </w:r>
      <w:r w:rsidR="007C5713" w:rsidRPr="00DF5C23">
        <w:rPr>
          <w:noProof/>
          <w:lang w:val="en-IE" w:eastAsia="ja-JP"/>
        </w:rPr>
        <w:t>第</w:t>
      </w:r>
      <w:r w:rsidR="007C5713" w:rsidRPr="00DF5C23">
        <w:rPr>
          <w:noProof/>
          <w:lang w:val="en-IE" w:eastAsia="ja-JP"/>
        </w:rPr>
        <w:t>14</w:t>
      </w:r>
      <w:r w:rsidR="00990872" w:rsidRPr="00DF5C23">
        <w:rPr>
          <w:noProof/>
          <w:lang w:val="en-IE" w:eastAsia="ja-JP"/>
        </w:rPr>
        <w:t>条の</w:t>
      </w:r>
      <w:r w:rsidR="00697A54" w:rsidRPr="00DF5C23">
        <w:rPr>
          <w:noProof/>
          <w:lang w:val="en-IE" w:eastAsia="ja-JP"/>
        </w:rPr>
        <w:t>ラベルに記載されています；</w:t>
      </w:r>
    </w:p>
    <w:p w14:paraId="49CA4448" w14:textId="701729EC" w:rsidR="0038775E" w:rsidRDefault="00877B9C" w:rsidP="002041D4">
      <w:pPr>
        <w:pStyle w:val="Point1"/>
        <w:wordWrap w:val="0"/>
        <w:rPr>
          <w:noProof/>
          <w:lang w:val="en-IE" w:eastAsia="ja-JP"/>
        </w:rPr>
      </w:pPr>
      <w:r w:rsidRPr="004F5E59">
        <w:rPr>
          <w:lang w:eastAsia="ja-JP"/>
        </w:rPr>
        <w:t>(e)</w:t>
      </w:r>
      <w:r w:rsidRPr="004F5E59">
        <w:rPr>
          <w:lang w:eastAsia="ja-JP"/>
        </w:rPr>
        <w:tab/>
      </w:r>
      <w:r w:rsidR="0681B866" w:rsidRPr="00DF5C23">
        <w:rPr>
          <w:noProof/>
          <w:lang w:val="en-IE" w:eastAsia="ja-JP"/>
        </w:rPr>
        <w:t>を、ユーザーマニュアルに記載</w:t>
      </w:r>
      <w:r w:rsidR="002041D4">
        <w:rPr>
          <w:noProof/>
          <w:lang w:val="en-IE" w:eastAsia="ja-JP"/>
        </w:rPr>
        <w:t>する</w:t>
      </w:r>
      <w:r w:rsidR="0681B866" w:rsidRPr="00DF5C23">
        <w:rPr>
          <w:noProof/>
          <w:lang w:val="en-IE" w:eastAsia="ja-JP"/>
        </w:rPr>
        <w:t>；</w:t>
      </w:r>
    </w:p>
    <w:p w14:paraId="6FAA6255" w14:textId="77777777" w:rsidR="0038775E" w:rsidRDefault="00877B9C" w:rsidP="002041D4">
      <w:pPr>
        <w:pStyle w:val="Point1"/>
        <w:wordWrap w:val="0"/>
        <w:rPr>
          <w:noProof/>
          <w:lang w:val="en-IE" w:eastAsia="ja-JP"/>
        </w:rPr>
      </w:pPr>
      <w:r w:rsidRPr="004F5E59">
        <w:rPr>
          <w:lang w:eastAsia="ja-JP"/>
        </w:rPr>
        <w:t>(f)</w:t>
      </w:r>
      <w:r w:rsidRPr="004F5E59">
        <w:rPr>
          <w:lang w:eastAsia="ja-JP"/>
        </w:rPr>
        <w:tab/>
      </w:r>
      <w:r w:rsidR="00697A54" w:rsidRPr="00DF5C23">
        <w:rPr>
          <w:noProof/>
          <w:lang w:val="en-IE" w:eastAsia="ja-JP"/>
        </w:rPr>
        <w:t>フリーアクセスの</w:t>
      </w:r>
      <w:r w:rsidR="00EC64DD" w:rsidRPr="00DF5C23">
        <w:rPr>
          <w:noProof/>
          <w:lang w:val="en-IE" w:eastAsia="ja-JP"/>
        </w:rPr>
        <w:t>ウェブサイトやアプリケーションで</w:t>
      </w:r>
    </w:p>
    <w:p w14:paraId="768B5175" w14:textId="77777777" w:rsidR="0038775E" w:rsidRDefault="00F50265" w:rsidP="002041D4">
      <w:pPr>
        <w:pStyle w:val="Text1"/>
        <w:wordWrap w:val="0"/>
        <w:rPr>
          <w:noProof/>
          <w:lang w:val="en-IE" w:eastAsia="fr-BE"/>
        </w:rPr>
      </w:pPr>
      <w:r w:rsidRPr="00DF5C23">
        <w:rPr>
          <w:noProof/>
          <w:lang w:val="en-IE" w:eastAsia="fr-BE"/>
        </w:rPr>
        <w:lastRenderedPageBreak/>
        <w:t>第</w:t>
      </w:r>
      <w:r w:rsidRPr="00DF5C23">
        <w:rPr>
          <w:noProof/>
          <w:lang w:val="en-IE" w:eastAsia="fr-BE"/>
        </w:rPr>
        <w:t>5</w:t>
      </w:r>
      <w:r w:rsidR="004A1643" w:rsidRPr="00DF5C23">
        <w:rPr>
          <w:noProof/>
          <w:lang w:val="en-IE" w:eastAsia="fr-BE"/>
        </w:rPr>
        <w:t>項に</w:t>
      </w:r>
      <w:r w:rsidR="00877B9C" w:rsidRPr="00DF5C23">
        <w:rPr>
          <w:noProof/>
          <w:lang w:val="en-IE" w:eastAsia="fr-BE"/>
        </w:rPr>
        <w:t>基づく物質のトレーサビリティを</w:t>
      </w:r>
      <w:r w:rsidR="008A0B4E" w:rsidRPr="00DF5C23">
        <w:rPr>
          <w:noProof/>
          <w:lang w:val="en-IE" w:eastAsia="fr-BE"/>
        </w:rPr>
        <w:t>確保する</w:t>
      </w:r>
      <w:r w:rsidR="00877B9C" w:rsidRPr="00DF5C23">
        <w:rPr>
          <w:noProof/>
          <w:lang w:val="en-IE" w:eastAsia="fr-BE"/>
        </w:rPr>
        <w:t>情報は、製品に付与されるか、製品に含まれるデータキャリアを通じてアクセス可能でなければならない。</w:t>
      </w:r>
      <w:r w:rsidR="00877B9C" w:rsidRPr="00DF5C23">
        <w:rPr>
          <w:noProof/>
          <w:lang w:val="en-IE" w:eastAsia="fr-BE"/>
        </w:rPr>
        <w:t xml:space="preserve"> </w:t>
      </w:r>
    </w:p>
    <w:p w14:paraId="59C0FC00" w14:textId="77777777" w:rsidR="0038775E" w:rsidRDefault="00877B9C" w:rsidP="002041D4">
      <w:pPr>
        <w:pStyle w:val="ManualNumPar1"/>
        <w:wordWrap w:val="0"/>
        <w:rPr>
          <w:noProof/>
          <w:lang w:val="en-IE" w:eastAsia="fr-BE"/>
        </w:rPr>
      </w:pPr>
      <w:r w:rsidRPr="004F5E59">
        <w:rPr>
          <w:lang w:eastAsia="ja-JP"/>
        </w:rPr>
        <w:t>7.</w:t>
      </w:r>
      <w:r w:rsidRPr="004F5E59">
        <w:rPr>
          <w:lang w:eastAsia="ja-JP"/>
        </w:rPr>
        <w:tab/>
      </w:r>
      <w:r w:rsidR="008C04B4" w:rsidRPr="00DF5C23">
        <w:rPr>
          <w:noProof/>
          <w:lang w:val="en-IE" w:eastAsia="fr-BE"/>
        </w:rPr>
        <w:t>情報要件に従って</w:t>
      </w:r>
      <w:r w:rsidR="00E80AC8" w:rsidRPr="00DF5C23">
        <w:rPr>
          <w:noProof/>
          <w:lang w:val="en-IE" w:eastAsia="fr-BE"/>
        </w:rPr>
        <w:t>提供される情報は、製品が市場で入手可能になり</w:t>
      </w:r>
      <w:r w:rsidR="005F2683" w:rsidRPr="00DF5C23">
        <w:rPr>
          <w:noProof/>
          <w:lang w:val="en-IE" w:eastAsia="fr-BE"/>
        </w:rPr>
        <w:t>、又は使用されることになる</w:t>
      </w:r>
      <w:r w:rsidR="00E80AC8" w:rsidRPr="00DF5C23">
        <w:rPr>
          <w:noProof/>
          <w:lang w:val="en-IE" w:eastAsia="fr-BE"/>
        </w:rPr>
        <w:t>加盟国が決定するように</w:t>
      </w:r>
      <w:r w:rsidR="000D0EF5" w:rsidRPr="00DF5C23">
        <w:rPr>
          <w:noProof/>
          <w:lang w:val="en-IE" w:eastAsia="fr-BE"/>
        </w:rPr>
        <w:t>、</w:t>
      </w:r>
      <w:r w:rsidR="00E80AC8" w:rsidRPr="00DF5C23">
        <w:rPr>
          <w:noProof/>
          <w:lang w:val="en-IE" w:eastAsia="fr-BE"/>
        </w:rPr>
        <w:t>消費者及びその他の最終使用者が容易に理解できる言語で提供されるものとする。</w:t>
      </w:r>
      <w:r w:rsidR="00E80AC8" w:rsidRPr="00DF5C23">
        <w:rPr>
          <w:noProof/>
          <w:lang w:val="en-IE" w:eastAsia="fr-BE"/>
        </w:rPr>
        <w:t xml:space="preserve">  </w:t>
      </w:r>
    </w:p>
    <w:p w14:paraId="5B9067A3" w14:textId="77777777" w:rsidR="0038775E" w:rsidRDefault="00877B9C" w:rsidP="002041D4">
      <w:pPr>
        <w:pStyle w:val="ManualHeading1"/>
        <w:wordWrap w:val="0"/>
        <w:jc w:val="center"/>
        <w:rPr>
          <w:noProof/>
          <w:lang w:val="fr-BE" w:eastAsia="ja-JP"/>
        </w:rPr>
      </w:pPr>
      <w:r w:rsidRPr="00DF5C23">
        <w:rPr>
          <w:noProof/>
          <w:lang w:val="fr-BE" w:eastAsia="ja-JP"/>
        </w:rPr>
        <w:t>第</w:t>
      </w:r>
      <w:r w:rsidRPr="00DF5C23">
        <w:rPr>
          <w:noProof/>
          <w:lang w:val="fr-BE" w:eastAsia="ja-JP"/>
        </w:rPr>
        <w:t>III</w:t>
      </w:r>
      <w:r w:rsidR="00BA4E97" w:rsidRPr="00DF5C23">
        <w:rPr>
          <w:noProof/>
          <w:lang w:val="fr-BE" w:eastAsia="ja-JP"/>
        </w:rPr>
        <w:t>章</w:t>
      </w:r>
      <w:r w:rsidR="00BA4E97" w:rsidRPr="00DF5C23">
        <w:rPr>
          <w:noProof/>
          <w:lang w:val="fr-BE" w:eastAsia="ja-JP"/>
        </w:rPr>
        <w:t xml:space="preserve"> </w:t>
      </w:r>
      <w:r w:rsidR="006160FC" w:rsidRPr="00DF5C23">
        <w:rPr>
          <w:noProof/>
          <w:lang w:val="fr-BE" w:eastAsia="ja-JP"/>
        </w:rPr>
        <w:t>デジタルプロダクトパスポート</w:t>
      </w:r>
    </w:p>
    <w:p w14:paraId="4DE4B7AC" w14:textId="77777777" w:rsidR="0038775E" w:rsidRDefault="00055DD0" w:rsidP="002041D4">
      <w:pPr>
        <w:pStyle w:val="Titrearticle"/>
        <w:wordWrap w:val="0"/>
        <w:rPr>
          <w:noProof/>
          <w:lang w:val="fr-BE" w:eastAsia="fr-BE"/>
        </w:rPr>
      </w:pPr>
      <w:r w:rsidRPr="00DF5C23">
        <w:rPr>
          <w:noProof/>
          <w:lang w:val="fr-BE" w:eastAsia="fr-BE"/>
        </w:rPr>
        <w:t>第</w:t>
      </w:r>
      <w:r w:rsidRPr="00DF5C23">
        <w:rPr>
          <w:noProof/>
          <w:lang w:val="fr-BE" w:eastAsia="fr-BE"/>
        </w:rPr>
        <w:t>8</w:t>
      </w:r>
      <w:r w:rsidR="00877B9C" w:rsidRPr="00DF5C23">
        <w:rPr>
          <w:noProof/>
          <w:lang w:val="fr-BE" w:eastAsia="fr-BE"/>
        </w:rPr>
        <w:t>条</w:t>
      </w:r>
      <w:r w:rsidR="00877B9C" w:rsidRPr="00DF5C23">
        <w:rPr>
          <w:noProof/>
          <w:lang w:val="fr-BE" w:eastAsia="ja-JP"/>
        </w:rPr>
        <w:br/>
      </w:r>
      <w:r w:rsidR="00877B9C" w:rsidRPr="00DF5C23">
        <w:rPr>
          <w:noProof/>
          <w:lang w:val="fr-BE" w:eastAsia="ja-JP"/>
        </w:rPr>
        <w:t>製品パスポート</w:t>
      </w:r>
    </w:p>
    <w:p w14:paraId="5A672B0F" w14:textId="77777777" w:rsidR="0038775E" w:rsidRDefault="00877B9C" w:rsidP="002041D4">
      <w:pPr>
        <w:pStyle w:val="ManualNumPar1"/>
        <w:wordWrap w:val="0"/>
        <w:rPr>
          <w:noProof/>
          <w:lang w:val="en-IE" w:eastAsia="ja-JP"/>
        </w:rPr>
      </w:pPr>
      <w:r w:rsidRPr="004F5E59">
        <w:rPr>
          <w:lang w:eastAsia="ja-JP"/>
        </w:rPr>
        <w:t>1.</w:t>
      </w:r>
      <w:r w:rsidRPr="004F5E59">
        <w:rPr>
          <w:lang w:eastAsia="ja-JP"/>
        </w:rPr>
        <w:tab/>
      </w:r>
      <w:r w:rsidR="009736A3" w:rsidRPr="00DF5C23">
        <w:rPr>
          <w:noProof/>
          <w:lang w:val="en-IE" w:eastAsia="ja-JP"/>
        </w:rPr>
        <w:t>第</w:t>
      </w:r>
      <w:r w:rsidR="009736A3" w:rsidRPr="00DF5C23">
        <w:rPr>
          <w:noProof/>
          <w:lang w:val="en-IE" w:eastAsia="ja-JP"/>
        </w:rPr>
        <w:t>7</w:t>
      </w:r>
      <w:r w:rsidR="009736A3" w:rsidRPr="00DF5C23">
        <w:rPr>
          <w:noProof/>
          <w:lang w:val="en-IE" w:eastAsia="ja-JP"/>
        </w:rPr>
        <w:t>条第</w:t>
      </w:r>
      <w:r w:rsidR="009736A3" w:rsidRPr="00DF5C23">
        <w:rPr>
          <w:noProof/>
          <w:lang w:val="en-IE" w:eastAsia="ja-JP"/>
        </w:rPr>
        <w:t>1</w:t>
      </w:r>
      <w:r w:rsidR="009736A3" w:rsidRPr="00DF5C23">
        <w:rPr>
          <w:noProof/>
          <w:lang w:val="en-IE" w:eastAsia="ja-JP"/>
        </w:rPr>
        <w:t>項にいう情報要件は、第</w:t>
      </w:r>
      <w:r w:rsidR="009736A3" w:rsidRPr="00DF5C23">
        <w:rPr>
          <w:noProof/>
          <w:lang w:val="en-IE" w:eastAsia="ja-JP"/>
        </w:rPr>
        <w:t>4</w:t>
      </w:r>
      <w:r w:rsidR="009736A3" w:rsidRPr="00DF5C23">
        <w:rPr>
          <w:noProof/>
          <w:lang w:val="en-IE" w:eastAsia="ja-JP"/>
        </w:rPr>
        <w:t>条並びに</w:t>
      </w:r>
      <w:r w:rsidR="00A03174" w:rsidRPr="00DF5C23">
        <w:rPr>
          <w:noProof/>
          <w:lang w:val="en-IE" w:eastAsia="ja-JP"/>
        </w:rPr>
        <w:t>第</w:t>
      </w:r>
      <w:r w:rsidR="00A03174" w:rsidRPr="00DF5C23">
        <w:rPr>
          <w:noProof/>
          <w:lang w:val="en-IE" w:eastAsia="ja-JP"/>
        </w:rPr>
        <w:t>9</w:t>
      </w:r>
      <w:r w:rsidR="00A03174" w:rsidRPr="00DF5C23">
        <w:rPr>
          <w:noProof/>
          <w:lang w:val="en-IE" w:eastAsia="ja-JP"/>
        </w:rPr>
        <w:t>条</w:t>
      </w:r>
      <w:r w:rsidR="006160FC" w:rsidRPr="00DF5C23">
        <w:rPr>
          <w:noProof/>
          <w:lang w:val="en-IE" w:eastAsia="ja-JP"/>
        </w:rPr>
        <w:t>及び</w:t>
      </w:r>
      <w:r w:rsidR="00A03174" w:rsidRPr="00DF5C23">
        <w:rPr>
          <w:noProof/>
          <w:lang w:val="en-IE" w:eastAsia="ja-JP"/>
        </w:rPr>
        <w:t>第</w:t>
      </w:r>
      <w:r w:rsidR="00A03174" w:rsidRPr="00DF5C23">
        <w:rPr>
          <w:noProof/>
          <w:lang w:val="en-IE" w:eastAsia="ja-JP"/>
        </w:rPr>
        <w:t>10</w:t>
      </w:r>
      <w:r w:rsidR="00A03174" w:rsidRPr="00DF5C23">
        <w:rPr>
          <w:noProof/>
          <w:lang w:val="en-IE" w:eastAsia="ja-JP"/>
        </w:rPr>
        <w:t>条に従って</w:t>
      </w:r>
      <w:r w:rsidR="009736A3" w:rsidRPr="00DF5C23">
        <w:rPr>
          <w:noProof/>
          <w:lang w:val="en-IE" w:eastAsia="ja-JP"/>
        </w:rPr>
        <w:t>採択された該当する委任法に従って</w:t>
      </w:r>
      <w:r w:rsidR="006160FC" w:rsidRPr="00DF5C23">
        <w:rPr>
          <w:noProof/>
          <w:lang w:val="en-IE" w:eastAsia="ja-JP"/>
        </w:rPr>
        <w:t>製品パスポートが入手できる場合にのみ、製品を市場に投入し又は使用開始することができることを規定するものとする。</w:t>
      </w:r>
      <w:r w:rsidR="006160FC" w:rsidRPr="00DF5C23">
        <w:rPr>
          <w:noProof/>
          <w:lang w:val="en-IE" w:eastAsia="ja-JP"/>
        </w:rPr>
        <w:t xml:space="preserve"> </w:t>
      </w:r>
    </w:p>
    <w:p w14:paraId="42EBB5AA" w14:textId="77777777" w:rsidR="0038775E" w:rsidRDefault="00877B9C" w:rsidP="002041D4">
      <w:pPr>
        <w:pStyle w:val="ManualNumPar1"/>
        <w:wordWrap w:val="0"/>
        <w:rPr>
          <w:noProof/>
          <w:lang w:val="en-IE" w:eastAsia="ja-JP"/>
        </w:rPr>
      </w:pPr>
      <w:r w:rsidRPr="004F5E59">
        <w:rPr>
          <w:lang w:eastAsia="ja-JP"/>
        </w:rPr>
        <w:t>2.</w:t>
      </w:r>
      <w:r w:rsidRPr="004F5E59">
        <w:rPr>
          <w:lang w:eastAsia="ja-JP"/>
        </w:rPr>
        <w:tab/>
      </w:r>
      <w:r w:rsidR="00552FE2" w:rsidRPr="00DF5C23">
        <w:rPr>
          <w:rFonts w:eastAsia="Times New Roman"/>
          <w:noProof/>
          <w:lang w:val="en-IE" w:eastAsia="ja-JP"/>
        </w:rPr>
        <w:t>第4</w:t>
      </w:r>
      <w:r w:rsidR="00F96070" w:rsidRPr="00DF5C23">
        <w:rPr>
          <w:rFonts w:eastAsia="Times New Roman"/>
          <w:noProof/>
          <w:lang w:val="en-IE" w:eastAsia="ja-JP"/>
        </w:rPr>
        <w:t>条に従って採択された委任法に定める</w:t>
      </w:r>
      <w:r w:rsidR="00F96070" w:rsidRPr="00DF5C23">
        <w:rPr>
          <w:noProof/>
          <w:lang w:val="en-IE" w:eastAsia="ja-JP"/>
        </w:rPr>
        <w:t>製品パスポートに関連する要求</w:t>
      </w:r>
      <w:r w:rsidR="006160FC" w:rsidRPr="00DF5C23">
        <w:rPr>
          <w:noProof/>
          <w:lang w:val="en-IE" w:eastAsia="ja-JP"/>
        </w:rPr>
        <w:t>事項は、対象となる製品群について適宜、</w:t>
      </w:r>
      <w:r w:rsidR="00F96070" w:rsidRPr="00DF5C23">
        <w:rPr>
          <w:noProof/>
          <w:lang w:val="en-IE" w:eastAsia="ja-JP"/>
        </w:rPr>
        <w:t>以下の事項を</w:t>
      </w:r>
      <w:r w:rsidR="00AD3559" w:rsidRPr="00DF5C23">
        <w:rPr>
          <w:noProof/>
          <w:lang w:val="en-IE" w:eastAsia="ja-JP"/>
        </w:rPr>
        <w:t>規定するものとする</w:t>
      </w:r>
      <w:r w:rsidR="006160FC" w:rsidRPr="00DF5C23">
        <w:rPr>
          <w:noProof/>
          <w:lang w:val="en-IE" w:eastAsia="ja-JP"/>
        </w:rPr>
        <w:t>：</w:t>
      </w:r>
    </w:p>
    <w:p w14:paraId="67A52514" w14:textId="77777777" w:rsidR="0038775E" w:rsidRDefault="00877B9C" w:rsidP="002041D4">
      <w:pPr>
        <w:pStyle w:val="Point1"/>
        <w:wordWrap w:val="0"/>
        <w:rPr>
          <w:noProof/>
          <w:lang w:val="en-IE" w:eastAsia="fr-BE"/>
        </w:rPr>
      </w:pPr>
      <w:r w:rsidRPr="004F5E59">
        <w:rPr>
          <w:lang w:eastAsia="ja-JP"/>
        </w:rPr>
        <w:t>(a)</w:t>
      </w:r>
      <w:r w:rsidRPr="004F5E59">
        <w:rPr>
          <w:lang w:eastAsia="ja-JP"/>
        </w:rPr>
        <w:tab/>
      </w:r>
      <w:r w:rsidR="006160FC" w:rsidRPr="00DF5C23">
        <w:rPr>
          <w:noProof/>
          <w:lang w:val="en-IE" w:eastAsia="fr-BE"/>
        </w:rPr>
        <w:t>付属書</w:t>
      </w:r>
      <w:r w:rsidR="004B060C" w:rsidRPr="00DF5C23">
        <w:rPr>
          <w:noProof/>
          <w:lang w:val="en-IE" w:eastAsia="fr-BE"/>
        </w:rPr>
        <w:t>III</w:t>
      </w:r>
      <w:r w:rsidR="004B060C" w:rsidRPr="00DF5C23">
        <w:rPr>
          <w:noProof/>
          <w:lang w:val="en-IE" w:eastAsia="fr-BE"/>
        </w:rPr>
        <w:t>に</w:t>
      </w:r>
      <w:r w:rsidR="006160FC" w:rsidRPr="00DF5C23">
        <w:rPr>
          <w:noProof/>
          <w:lang w:val="en-IE" w:eastAsia="fr-BE"/>
        </w:rPr>
        <w:t>基づき、製品パスポートに記載される情報；</w:t>
      </w:r>
    </w:p>
    <w:p w14:paraId="458C66CD" w14:textId="77777777" w:rsidR="0038775E" w:rsidRDefault="00877B9C" w:rsidP="002041D4">
      <w:pPr>
        <w:pStyle w:val="Point1"/>
        <w:wordWrap w:val="0"/>
        <w:rPr>
          <w:noProof/>
          <w:lang w:val="en-IE" w:eastAsia="fr-BE"/>
        </w:rPr>
      </w:pPr>
      <w:r w:rsidRPr="004F5E59">
        <w:rPr>
          <w:lang w:eastAsia="ja-JP"/>
        </w:rPr>
        <w:t>(b)</w:t>
      </w:r>
      <w:r w:rsidRPr="004F5E59">
        <w:rPr>
          <w:lang w:eastAsia="ja-JP"/>
        </w:rPr>
        <w:tab/>
      </w:r>
      <w:r w:rsidR="006160FC" w:rsidRPr="00DF5C23">
        <w:rPr>
          <w:noProof/>
          <w:lang w:val="en-IE" w:eastAsia="fr-BE"/>
        </w:rPr>
        <w:t>使用</w:t>
      </w:r>
      <w:r w:rsidR="00AD3559" w:rsidRPr="00DF5C23">
        <w:rPr>
          <w:noProof/>
          <w:lang w:val="en-IE" w:eastAsia="fr-BE"/>
        </w:rPr>
        <w:t>する</w:t>
      </w:r>
      <w:r w:rsidR="006160FC" w:rsidRPr="00DF5C23">
        <w:rPr>
          <w:noProof/>
          <w:lang w:val="en-IE" w:eastAsia="fr-BE"/>
        </w:rPr>
        <w:t>データキャリアの</w:t>
      </w:r>
      <w:r w:rsidR="00C5209B" w:rsidRPr="00DF5C23">
        <w:rPr>
          <w:noProof/>
          <w:lang w:val="en-IE" w:eastAsia="fr-BE"/>
        </w:rPr>
        <w:t>種類；</w:t>
      </w:r>
    </w:p>
    <w:p w14:paraId="3650ADF3" w14:textId="77777777" w:rsidR="0038775E" w:rsidRDefault="00877B9C" w:rsidP="002041D4">
      <w:pPr>
        <w:pStyle w:val="Point1"/>
        <w:wordWrap w:val="0"/>
        <w:rPr>
          <w:noProof/>
          <w:lang w:val="en-IE" w:eastAsia="fr-BE"/>
        </w:rPr>
      </w:pPr>
      <w:r w:rsidRPr="004F5E59">
        <w:rPr>
          <w:lang w:eastAsia="ja-JP"/>
        </w:rPr>
        <w:t>(c)</w:t>
      </w:r>
      <w:r w:rsidRPr="004F5E59">
        <w:rPr>
          <w:lang w:eastAsia="ja-JP"/>
        </w:rPr>
        <w:tab/>
      </w:r>
      <w:r w:rsidR="006160FC" w:rsidRPr="00DF5C23">
        <w:rPr>
          <w:noProof/>
          <w:lang w:val="en-IE" w:eastAsia="fr-BE"/>
        </w:rPr>
        <w:t>データキャリアを表示するレイアウトとその位置；</w:t>
      </w:r>
    </w:p>
    <w:p w14:paraId="502E1732" w14:textId="77777777" w:rsidR="0038775E" w:rsidRDefault="00877B9C" w:rsidP="002041D4">
      <w:pPr>
        <w:pStyle w:val="Point1"/>
        <w:wordWrap w:val="0"/>
        <w:rPr>
          <w:noProof/>
          <w:lang w:val="en-IE" w:eastAsia="fr-BE"/>
        </w:rPr>
      </w:pPr>
      <w:r w:rsidRPr="004F5E59">
        <w:rPr>
          <w:lang w:eastAsia="ja-JP"/>
        </w:rPr>
        <w:t>(d)</w:t>
      </w:r>
      <w:r w:rsidRPr="004F5E59">
        <w:rPr>
          <w:lang w:eastAsia="ja-JP"/>
        </w:rPr>
        <w:tab/>
      </w:r>
      <w:r w:rsidR="006160FC" w:rsidRPr="00DF5C23">
        <w:rPr>
          <w:noProof/>
          <w:lang w:eastAsia="ja-JP"/>
        </w:rPr>
        <w:t>製品パスポートを</w:t>
      </w:r>
      <w:r w:rsidR="00CC26FD" w:rsidRPr="00DF5C23">
        <w:rPr>
          <w:noProof/>
          <w:lang w:val="en-IE" w:eastAsia="ja-JP"/>
        </w:rPr>
        <w:t>モデル</w:t>
      </w:r>
      <w:r w:rsidR="00FF307C" w:rsidRPr="00DF5C23">
        <w:rPr>
          <w:noProof/>
          <w:lang w:eastAsia="ja-JP"/>
        </w:rPr>
        <w:t>レベル</w:t>
      </w:r>
      <w:r w:rsidR="00CC26FD" w:rsidRPr="00DF5C23">
        <w:rPr>
          <w:noProof/>
          <w:lang w:val="en-IE" w:eastAsia="ja-JP"/>
        </w:rPr>
        <w:t>、バッチレベル、アイテム</w:t>
      </w:r>
      <w:r w:rsidR="00FF307C" w:rsidRPr="00DF5C23">
        <w:rPr>
          <w:noProof/>
          <w:lang w:eastAsia="ja-JP"/>
        </w:rPr>
        <w:t>レベルのいずれに</w:t>
      </w:r>
      <w:r w:rsidR="006160FC" w:rsidRPr="00DF5C23">
        <w:rPr>
          <w:noProof/>
          <w:lang w:eastAsia="ja-JP"/>
        </w:rPr>
        <w:t>対応さ</w:t>
      </w:r>
      <w:r w:rsidR="00C5209B" w:rsidRPr="00DF5C23">
        <w:rPr>
          <w:noProof/>
          <w:lang w:eastAsia="ja-JP"/>
        </w:rPr>
        <w:t>せるか</w:t>
      </w:r>
      <w:r w:rsidR="006160FC" w:rsidRPr="00DF5C23">
        <w:rPr>
          <w:noProof/>
          <w:lang w:val="en-IE" w:eastAsia="fr-BE"/>
        </w:rPr>
        <w:t>；</w:t>
      </w:r>
    </w:p>
    <w:p w14:paraId="133CC3CA" w14:textId="77777777" w:rsidR="0038775E" w:rsidRDefault="00877B9C" w:rsidP="002041D4">
      <w:pPr>
        <w:pStyle w:val="Point1"/>
        <w:wordWrap w:val="0"/>
        <w:rPr>
          <w:noProof/>
          <w:lang w:val="en-IE" w:eastAsia="fr-BE"/>
        </w:rPr>
      </w:pPr>
      <w:r w:rsidRPr="004F5E59">
        <w:rPr>
          <w:lang w:eastAsia="ja-JP"/>
        </w:rPr>
        <w:t>(e)</w:t>
      </w:r>
      <w:r w:rsidRPr="004F5E59">
        <w:rPr>
          <w:lang w:eastAsia="ja-JP"/>
        </w:rPr>
        <w:tab/>
      </w:r>
      <w:r w:rsidR="006160FC" w:rsidRPr="00DF5C23">
        <w:rPr>
          <w:noProof/>
          <w:lang w:val="en-IE" w:eastAsia="fr-BE"/>
        </w:rPr>
        <w:t>通信販売の場合を含め、販売契約締結前に製品パスポートにアクセスできるようにするための方法；</w:t>
      </w:r>
    </w:p>
    <w:p w14:paraId="1D2FE212" w14:textId="77777777" w:rsidR="0038775E" w:rsidRDefault="00877B9C" w:rsidP="002041D4">
      <w:pPr>
        <w:pStyle w:val="Point1"/>
        <w:wordWrap w:val="0"/>
        <w:rPr>
          <w:noProof/>
          <w:lang w:val="en-IE" w:eastAsia="fr-BE"/>
        </w:rPr>
      </w:pPr>
      <w:r w:rsidRPr="004F5E59">
        <w:rPr>
          <w:lang w:eastAsia="ja-JP"/>
        </w:rPr>
        <w:t>(f)</w:t>
      </w:r>
      <w:r w:rsidRPr="004F5E59">
        <w:rPr>
          <w:lang w:eastAsia="ja-JP"/>
        </w:rPr>
        <w:tab/>
      </w:r>
      <w:r w:rsidR="006160FC" w:rsidRPr="00DF5C23">
        <w:rPr>
          <w:noProof/>
          <w:lang w:val="en-IE" w:eastAsia="fr-BE"/>
        </w:rPr>
        <w:t>顧客、エンドユーザー、製造業者、輸入販売業者、販売店、修理業者、再製造業者、リサイクル業者、管轄の国家機関、公益団体、欧州委員会、またはそれらの代理を務める組織など、プロダクトパスポートの情報にアクセスできる関係者とアクセスできる情報の内容；</w:t>
      </w:r>
      <w:r w:rsidR="006160FC" w:rsidRPr="00DF5C23">
        <w:rPr>
          <w:noProof/>
          <w:lang w:val="en-IE" w:eastAsia="fr-BE"/>
        </w:rPr>
        <w:t xml:space="preserve"> </w:t>
      </w:r>
    </w:p>
    <w:p w14:paraId="51007D2B" w14:textId="77777777" w:rsidR="0038775E" w:rsidRDefault="00877B9C" w:rsidP="002041D4">
      <w:pPr>
        <w:pStyle w:val="Point1"/>
        <w:wordWrap w:val="0"/>
        <w:rPr>
          <w:noProof/>
          <w:lang w:val="en-IE" w:eastAsia="fr-BE"/>
        </w:rPr>
      </w:pPr>
      <w:r w:rsidRPr="004F5E59">
        <w:rPr>
          <w:lang w:eastAsia="ja-JP"/>
        </w:rPr>
        <w:t>(g)</w:t>
      </w:r>
      <w:r w:rsidRPr="004F5E59">
        <w:rPr>
          <w:lang w:eastAsia="ja-JP"/>
        </w:rPr>
        <w:tab/>
      </w:r>
      <w:r w:rsidR="006160FC" w:rsidRPr="00DF5C23">
        <w:rPr>
          <w:noProof/>
          <w:lang w:val="en-IE" w:eastAsia="fr-BE"/>
        </w:rPr>
        <w:t>必要な場合には新しいプロダクトパスポートを作成することを含め、プロダクトパスポートの情報を導入</w:t>
      </w:r>
      <w:r w:rsidR="00ED08E7" w:rsidRPr="00DF5C23">
        <w:rPr>
          <w:noProof/>
          <w:lang w:val="en-IE" w:eastAsia="fr-BE"/>
        </w:rPr>
        <w:t>または更新</w:t>
      </w:r>
      <w:r w:rsidR="006160FC" w:rsidRPr="00DF5C23">
        <w:rPr>
          <w:noProof/>
          <w:lang w:val="en-IE" w:eastAsia="fr-BE"/>
        </w:rPr>
        <w:t>できる主体、および導入</w:t>
      </w:r>
      <w:r w:rsidR="00ED08E7" w:rsidRPr="00DF5C23">
        <w:rPr>
          <w:noProof/>
          <w:lang w:val="en-IE" w:eastAsia="fr-BE"/>
        </w:rPr>
        <w:t>または</w:t>
      </w:r>
      <w:r w:rsidR="006160FC" w:rsidRPr="00DF5C23">
        <w:rPr>
          <w:noProof/>
          <w:lang w:val="en-IE" w:eastAsia="fr-BE"/>
        </w:rPr>
        <w:t>更新できる情報の内容（製造業者、修理業者、</w:t>
      </w:r>
      <w:r w:rsidR="006160FC" w:rsidRPr="00DF5C23">
        <w:rPr>
          <w:noProof/>
          <w:lang w:eastAsia="ja-JP"/>
        </w:rPr>
        <w:t>メンテナンス専門家、</w:t>
      </w:r>
      <w:r w:rsidR="006160FC" w:rsidRPr="00DF5C23">
        <w:rPr>
          <w:noProof/>
          <w:lang w:val="en-IE" w:eastAsia="fr-BE"/>
        </w:rPr>
        <w:t>再製造業者、リサイクル業者、管轄の国家機関、欧州委員会、またはそれらの代理を務める組織など）；</w:t>
      </w:r>
    </w:p>
    <w:p w14:paraId="1ACEB00B" w14:textId="77777777" w:rsidR="0038775E" w:rsidRDefault="00877B9C" w:rsidP="002041D4">
      <w:pPr>
        <w:pStyle w:val="Point1"/>
        <w:wordWrap w:val="0"/>
        <w:rPr>
          <w:noProof/>
          <w:lang w:val="en-IE" w:eastAsia="fr-BE"/>
        </w:rPr>
      </w:pPr>
      <w:r w:rsidRPr="004F5E59">
        <w:rPr>
          <w:lang w:eastAsia="ja-JP"/>
        </w:rPr>
        <w:t>(h)</w:t>
      </w:r>
      <w:r w:rsidRPr="004F5E59">
        <w:rPr>
          <w:lang w:eastAsia="ja-JP"/>
        </w:rPr>
        <w:tab/>
      </w:r>
      <w:r w:rsidR="006160FC" w:rsidRPr="00DF5C23">
        <w:rPr>
          <w:noProof/>
          <w:lang w:val="en-IE" w:eastAsia="fr-BE"/>
        </w:rPr>
        <w:t>製品パスポートが利用可能な期間</w:t>
      </w:r>
      <w:r w:rsidR="005F2683" w:rsidRPr="00DF5C23">
        <w:rPr>
          <w:noProof/>
          <w:lang w:val="en-IE" w:eastAsia="fr-BE"/>
        </w:rPr>
        <w:t>。</w:t>
      </w:r>
    </w:p>
    <w:p w14:paraId="06444C2C" w14:textId="77777777" w:rsidR="0038775E" w:rsidRDefault="00877B9C" w:rsidP="002041D4">
      <w:pPr>
        <w:pStyle w:val="ManualNumPar1"/>
        <w:wordWrap w:val="0"/>
        <w:rPr>
          <w:noProof/>
          <w:lang w:val="en-IE" w:eastAsia="ja-JP"/>
        </w:rPr>
      </w:pPr>
      <w:r w:rsidRPr="004F5E59">
        <w:rPr>
          <w:lang w:eastAsia="ja-JP"/>
        </w:rPr>
        <w:t>3.</w:t>
      </w:r>
      <w:r w:rsidRPr="004F5E59">
        <w:rPr>
          <w:lang w:eastAsia="ja-JP"/>
        </w:rPr>
        <w:tab/>
      </w:r>
      <w:r w:rsidR="00751297" w:rsidRPr="00DF5C23">
        <w:rPr>
          <w:noProof/>
          <w:lang w:val="en-IE" w:eastAsia="ja-JP"/>
        </w:rPr>
        <w:t>第</w:t>
      </w:r>
      <w:r w:rsidR="00751297" w:rsidRPr="00DF5C23">
        <w:rPr>
          <w:noProof/>
          <w:lang w:val="en-IE" w:eastAsia="ja-JP"/>
        </w:rPr>
        <w:t xml:space="preserve"> 2 </w:t>
      </w:r>
      <w:r w:rsidR="00751297" w:rsidRPr="00DF5C23">
        <w:rPr>
          <w:noProof/>
          <w:lang w:val="en-IE" w:eastAsia="ja-JP"/>
        </w:rPr>
        <w:t>項の要件は、以下のとおりとする：</w:t>
      </w:r>
    </w:p>
    <w:p w14:paraId="052AF3FA" w14:textId="77777777" w:rsidR="0038775E" w:rsidRDefault="00877B9C" w:rsidP="002041D4">
      <w:pPr>
        <w:pStyle w:val="Point1"/>
        <w:wordWrap w:val="0"/>
        <w:rPr>
          <w:noProof/>
          <w:lang w:val="en-IE" w:eastAsia="fr-BE"/>
        </w:rPr>
      </w:pPr>
      <w:r w:rsidRPr="004F5E59">
        <w:rPr>
          <w:lang w:eastAsia="ja-JP"/>
        </w:rPr>
        <w:t>(a)</w:t>
      </w:r>
      <w:r w:rsidRPr="004F5E59">
        <w:rPr>
          <w:lang w:eastAsia="ja-JP"/>
        </w:rPr>
        <w:tab/>
      </w:r>
      <w:r w:rsidR="00751297" w:rsidRPr="00DF5C23">
        <w:rPr>
          <w:noProof/>
          <w:lang w:val="en-IE" w:eastAsia="fr-BE"/>
        </w:rPr>
        <w:t>バリューチェーン上の関係者、特に消費者、経済事業者、管轄の国家機関が、自分に関連する製品情報にアクセスできるようにすること；</w:t>
      </w:r>
    </w:p>
    <w:p w14:paraId="5BDE75F1" w14:textId="77777777" w:rsidR="0038775E" w:rsidRDefault="00877B9C" w:rsidP="002041D4">
      <w:pPr>
        <w:pStyle w:val="Point1"/>
        <w:wordWrap w:val="0"/>
        <w:rPr>
          <w:noProof/>
          <w:lang w:val="en-IE" w:eastAsia="fr-BE"/>
        </w:rPr>
      </w:pPr>
      <w:r w:rsidRPr="004F5E59">
        <w:rPr>
          <w:lang w:eastAsia="ja-JP"/>
        </w:rPr>
        <w:t>(b)</w:t>
      </w:r>
      <w:r w:rsidRPr="004F5E59">
        <w:rPr>
          <w:lang w:eastAsia="ja-JP"/>
        </w:rPr>
        <w:tab/>
      </w:r>
      <w:r w:rsidR="009875D9" w:rsidRPr="00DF5C23">
        <w:rPr>
          <w:noProof/>
          <w:lang w:val="en-IE" w:eastAsia="fr-BE"/>
        </w:rPr>
        <w:t>管轄の国家当局による製品適合性の検証を容易にすること。</w:t>
      </w:r>
      <w:r w:rsidR="009875D9" w:rsidRPr="00DF5C23">
        <w:rPr>
          <w:noProof/>
          <w:lang w:val="en-IE" w:eastAsia="fr-BE"/>
        </w:rPr>
        <w:t xml:space="preserve"> </w:t>
      </w:r>
    </w:p>
    <w:p w14:paraId="005F7A44" w14:textId="77777777" w:rsidR="0038775E" w:rsidRDefault="00877B9C" w:rsidP="002041D4">
      <w:pPr>
        <w:pStyle w:val="Point1"/>
        <w:wordWrap w:val="0"/>
        <w:rPr>
          <w:noProof/>
          <w:lang w:val="en-IE" w:eastAsia="fr-BE"/>
        </w:rPr>
      </w:pPr>
      <w:r w:rsidRPr="004F5E59">
        <w:rPr>
          <w:lang w:eastAsia="ja-JP"/>
        </w:rPr>
        <w:t>(c)</w:t>
      </w:r>
      <w:r w:rsidRPr="004F5E59">
        <w:rPr>
          <w:lang w:eastAsia="ja-JP"/>
        </w:rPr>
        <w:tab/>
      </w:r>
      <w:r w:rsidR="00751297" w:rsidRPr="00DF5C23">
        <w:rPr>
          <w:noProof/>
          <w:lang w:val="en-IE" w:eastAsia="fr-BE"/>
        </w:rPr>
        <w:t>バリューチェーンに沿った製品のトレーサビリティを向上させる</w:t>
      </w:r>
      <w:r w:rsidR="009875D9" w:rsidRPr="00DF5C23">
        <w:rPr>
          <w:noProof/>
          <w:lang w:val="en-IE" w:eastAsia="fr-BE"/>
        </w:rPr>
        <w:t>。</w:t>
      </w:r>
    </w:p>
    <w:p w14:paraId="69E242C4" w14:textId="77777777" w:rsidR="0038775E" w:rsidRDefault="00877B9C" w:rsidP="002041D4">
      <w:pPr>
        <w:pStyle w:val="ManualNumPar1"/>
        <w:wordWrap w:val="0"/>
        <w:rPr>
          <w:noProof/>
          <w:lang w:val="en-IE" w:eastAsia="ja-JP"/>
        </w:rPr>
      </w:pPr>
      <w:r w:rsidRPr="004F5E59">
        <w:rPr>
          <w:lang w:eastAsia="ja-JP"/>
        </w:rPr>
        <w:lastRenderedPageBreak/>
        <w:t>4.</w:t>
      </w:r>
      <w:r w:rsidRPr="004F5E59">
        <w:rPr>
          <w:lang w:eastAsia="ja-JP"/>
        </w:rPr>
        <w:tab/>
      </w:r>
      <w:r w:rsidR="00F96070" w:rsidRPr="00DF5C23">
        <w:rPr>
          <w:noProof/>
          <w:lang w:val="en-IE" w:eastAsia="ja-JP"/>
        </w:rPr>
        <w:t>製品パスポートに関連する要件を定める際、委員会は、以下の</w:t>
      </w:r>
      <w:r w:rsidR="006160FC" w:rsidRPr="00DF5C23">
        <w:rPr>
          <w:noProof/>
          <w:lang w:val="en-IE" w:eastAsia="ja-JP"/>
        </w:rPr>
        <w:t>場合に、製品</w:t>
      </w:r>
      <w:r w:rsidR="00751827" w:rsidRPr="00DF5C23">
        <w:rPr>
          <w:noProof/>
          <w:lang w:val="en-IE" w:eastAsia="ja-JP"/>
        </w:rPr>
        <w:t>グループを本条第</w:t>
      </w:r>
      <w:r w:rsidR="00751827" w:rsidRPr="00DF5C23">
        <w:rPr>
          <w:noProof/>
          <w:lang w:val="en-IE" w:eastAsia="ja-JP"/>
        </w:rPr>
        <w:t>1</w:t>
      </w:r>
      <w:r w:rsidR="00751827" w:rsidRPr="00DF5C23">
        <w:rPr>
          <w:noProof/>
          <w:lang w:val="en-IE" w:eastAsia="ja-JP"/>
        </w:rPr>
        <w:t>項に定める</w:t>
      </w:r>
      <w:r w:rsidR="006160FC" w:rsidRPr="00DF5C23">
        <w:rPr>
          <w:noProof/>
          <w:lang w:val="en-IE" w:eastAsia="ja-JP"/>
        </w:rPr>
        <w:t>要件から免除することができる</w:t>
      </w:r>
      <w:r w:rsidR="003D6858" w:rsidRPr="00DF5C23">
        <w:rPr>
          <w:noProof/>
          <w:lang w:val="en-IE" w:eastAsia="ja-JP"/>
        </w:rPr>
        <w:t>：</w:t>
      </w:r>
    </w:p>
    <w:p w14:paraId="28283EA9" w14:textId="77777777" w:rsidR="0038775E" w:rsidRDefault="00877B9C" w:rsidP="002041D4">
      <w:pPr>
        <w:pStyle w:val="Point1"/>
        <w:wordWrap w:val="0"/>
        <w:rPr>
          <w:noProof/>
          <w:lang w:val="en-IE" w:eastAsia="ja-JP"/>
        </w:rPr>
      </w:pPr>
      <w:r w:rsidRPr="004F5E59">
        <w:rPr>
          <w:lang w:eastAsia="ja-JP"/>
        </w:rPr>
        <w:t>(a)</w:t>
      </w:r>
      <w:r w:rsidRPr="004F5E59">
        <w:rPr>
          <w:lang w:eastAsia="ja-JP"/>
        </w:rPr>
        <w:tab/>
      </w:r>
      <w:r w:rsidR="00FF307C" w:rsidRPr="00DF5C23">
        <w:rPr>
          <w:noProof/>
          <w:lang w:val="en-IE" w:eastAsia="ja-JP"/>
        </w:rPr>
        <w:t>第</w:t>
      </w:r>
      <w:r w:rsidR="00FF307C" w:rsidRPr="00DF5C23">
        <w:rPr>
          <w:noProof/>
          <w:lang w:val="en-IE" w:eastAsia="ja-JP"/>
        </w:rPr>
        <w:t>10</w:t>
      </w:r>
      <w:r w:rsidR="00FF307C" w:rsidRPr="00DF5C23">
        <w:rPr>
          <w:noProof/>
          <w:lang w:val="en-IE" w:eastAsia="ja-JP"/>
        </w:rPr>
        <w:t>条に</w:t>
      </w:r>
      <w:r w:rsidR="006160FC" w:rsidRPr="00DF5C23">
        <w:rPr>
          <w:noProof/>
          <w:lang w:val="en-IE" w:eastAsia="ja-JP"/>
        </w:rPr>
        <w:t>含まれる必須要件に関連する技術仕様が利用できない</w:t>
      </w:r>
      <w:r w:rsidR="00751297" w:rsidRPr="00DF5C23">
        <w:rPr>
          <w:noProof/>
          <w:lang w:val="en-IE" w:eastAsia="ja-JP"/>
        </w:rPr>
        <w:t>場合</w:t>
      </w:r>
      <w:r w:rsidR="009A0360" w:rsidRPr="00DF5C23">
        <w:rPr>
          <w:noProof/>
          <w:lang w:val="en-IE" w:eastAsia="ja-JP"/>
        </w:rPr>
        <w:t>。</w:t>
      </w:r>
    </w:p>
    <w:p w14:paraId="2AF89903" w14:textId="77777777" w:rsidR="0038775E" w:rsidRDefault="00877B9C" w:rsidP="002041D4">
      <w:pPr>
        <w:pStyle w:val="Point1"/>
        <w:wordWrap w:val="0"/>
        <w:rPr>
          <w:noProof/>
          <w:lang w:val="en-IE" w:eastAsia="ja-JP"/>
        </w:rPr>
      </w:pPr>
      <w:r w:rsidRPr="004F5E59">
        <w:rPr>
          <w:lang w:eastAsia="ja-JP"/>
        </w:rPr>
        <w:t>(b)</w:t>
      </w:r>
      <w:r w:rsidRPr="004F5E59">
        <w:rPr>
          <w:lang w:eastAsia="ja-JP"/>
        </w:rPr>
        <w:tab/>
      </w:r>
      <w:r w:rsidR="00751297" w:rsidRPr="00DF5C23">
        <w:rPr>
          <w:noProof/>
          <w:lang w:val="en-IE" w:eastAsia="ja-JP"/>
        </w:rPr>
        <w:t>他の</w:t>
      </w:r>
      <w:r w:rsidR="00751297" w:rsidRPr="00DF5C23">
        <w:rPr>
          <w:noProof/>
          <w:lang w:val="en-IE" w:eastAsia="ja-JP"/>
        </w:rPr>
        <w:t>EU</w:t>
      </w:r>
      <w:r w:rsidR="00E8597A" w:rsidRPr="00DF5C23">
        <w:rPr>
          <w:noProof/>
          <w:lang w:val="en-IE" w:eastAsia="ja-JP"/>
        </w:rPr>
        <w:t>法には、</w:t>
      </w:r>
      <w:r w:rsidR="00751297" w:rsidRPr="00DF5C23">
        <w:rPr>
          <w:noProof/>
          <w:lang w:val="en-IE" w:eastAsia="fr-BE"/>
        </w:rPr>
        <w:t>製品群に関連する情報をデジタルで提供する</w:t>
      </w:r>
      <w:r w:rsidR="00E8597A" w:rsidRPr="00DF5C23">
        <w:rPr>
          <w:noProof/>
          <w:lang w:val="en-IE" w:eastAsia="ja-JP"/>
        </w:rPr>
        <w:t>システムであって</w:t>
      </w:r>
      <w:r w:rsidR="00C053FB" w:rsidRPr="00DF5C23">
        <w:rPr>
          <w:noProof/>
          <w:lang w:val="en-IE" w:eastAsia="fr-BE"/>
        </w:rPr>
        <w:t>、欧州委員会が</w:t>
      </w:r>
      <w:r w:rsidR="00E8597A" w:rsidRPr="00DF5C23">
        <w:rPr>
          <w:noProof/>
          <w:lang w:val="en-IE" w:eastAsia="fr-BE"/>
        </w:rPr>
        <w:t>第</w:t>
      </w:r>
      <w:r w:rsidR="00E8597A" w:rsidRPr="00DF5C23">
        <w:rPr>
          <w:noProof/>
          <w:lang w:val="en-IE" w:eastAsia="fr-BE"/>
        </w:rPr>
        <w:t>3</w:t>
      </w:r>
      <w:r w:rsidR="0056057B" w:rsidRPr="00DF5C23">
        <w:rPr>
          <w:noProof/>
          <w:lang w:val="en-IE" w:eastAsia="fr-BE"/>
        </w:rPr>
        <w:t>項</w:t>
      </w:r>
      <w:r w:rsidR="009875D9" w:rsidRPr="00DF5C23">
        <w:rPr>
          <w:noProof/>
          <w:lang w:val="en-IE" w:eastAsia="fr-BE"/>
        </w:rPr>
        <w:t>（</w:t>
      </w:r>
      <w:r w:rsidR="009875D9" w:rsidRPr="00DF5C23">
        <w:rPr>
          <w:noProof/>
          <w:lang w:val="en-IE" w:eastAsia="fr-BE"/>
        </w:rPr>
        <w:t>a</w:t>
      </w:r>
      <w:r w:rsidR="009875D9" w:rsidRPr="00DF5C23">
        <w:rPr>
          <w:noProof/>
          <w:lang w:val="en-IE" w:eastAsia="fr-BE"/>
        </w:rPr>
        <w:t>）及び（</w:t>
      </w:r>
      <w:r w:rsidR="009875D9" w:rsidRPr="00DF5C23">
        <w:rPr>
          <w:noProof/>
          <w:lang w:val="en-IE" w:eastAsia="fr-BE"/>
        </w:rPr>
        <w:t>b</w:t>
      </w:r>
      <w:r w:rsidR="009875D9" w:rsidRPr="00DF5C23">
        <w:rPr>
          <w:noProof/>
          <w:lang w:val="en-IE" w:eastAsia="fr-BE"/>
        </w:rPr>
        <w:t>）に</w:t>
      </w:r>
      <w:r w:rsidR="00E8597A" w:rsidRPr="00DF5C23">
        <w:rPr>
          <w:noProof/>
          <w:lang w:val="en-IE" w:eastAsia="fr-BE"/>
        </w:rPr>
        <w:t>いう目的を達成するとみなすものが</w:t>
      </w:r>
      <w:r w:rsidR="00E8597A" w:rsidRPr="00DF5C23">
        <w:rPr>
          <w:noProof/>
          <w:lang w:val="en-IE" w:eastAsia="ja-JP"/>
        </w:rPr>
        <w:t>含まれる</w:t>
      </w:r>
      <w:r w:rsidR="006160FC" w:rsidRPr="00DF5C23">
        <w:rPr>
          <w:noProof/>
          <w:lang w:val="en-IE" w:eastAsia="ja-JP"/>
        </w:rPr>
        <w:t>。</w:t>
      </w:r>
      <w:r w:rsidR="006160FC" w:rsidRPr="00DF5C23">
        <w:rPr>
          <w:noProof/>
          <w:lang w:val="en-IE" w:eastAsia="ja-JP"/>
        </w:rPr>
        <w:t xml:space="preserve"> </w:t>
      </w:r>
    </w:p>
    <w:p w14:paraId="1E12C3BC" w14:textId="77777777" w:rsidR="0038775E" w:rsidRDefault="00FF307C" w:rsidP="002041D4">
      <w:pPr>
        <w:pStyle w:val="Titrearticle"/>
        <w:wordWrap w:val="0"/>
        <w:rPr>
          <w:noProof/>
          <w:lang w:val="en-IE" w:eastAsia="ja-JP"/>
        </w:rPr>
      </w:pPr>
      <w:r w:rsidRPr="00DF5C23">
        <w:rPr>
          <w:noProof/>
          <w:lang w:val="en-IE" w:eastAsia="ja-JP"/>
        </w:rPr>
        <w:t>第</w:t>
      </w:r>
      <w:r w:rsidRPr="00DF5C23">
        <w:rPr>
          <w:noProof/>
          <w:lang w:val="en-IE" w:eastAsia="ja-JP"/>
        </w:rPr>
        <w:t>9</w:t>
      </w:r>
      <w:r w:rsidR="00877B9C" w:rsidRPr="00DF5C23">
        <w:rPr>
          <w:noProof/>
          <w:lang w:val="en-IE" w:eastAsia="ja-JP"/>
        </w:rPr>
        <w:t>条</w:t>
      </w:r>
      <w:r w:rsidR="00877B9C" w:rsidRPr="00DF5C23">
        <w:rPr>
          <w:noProof/>
          <w:lang w:val="en-IE" w:eastAsia="ja-JP"/>
        </w:rPr>
        <w:br/>
      </w:r>
      <w:r w:rsidR="00877B9C" w:rsidRPr="00DF5C23">
        <w:rPr>
          <w:noProof/>
          <w:lang w:val="en-IE" w:eastAsia="ja-JP"/>
        </w:rPr>
        <w:t>製品パスポートの</w:t>
      </w:r>
      <w:r w:rsidR="00B14F62" w:rsidRPr="00DF5C23">
        <w:rPr>
          <w:noProof/>
          <w:lang w:val="en-IE" w:eastAsia="ja-JP"/>
        </w:rPr>
        <w:t>一般</w:t>
      </w:r>
      <w:r w:rsidR="00877B9C" w:rsidRPr="00DF5C23">
        <w:rPr>
          <w:noProof/>
          <w:lang w:val="en-IE" w:eastAsia="ja-JP"/>
        </w:rPr>
        <w:t>要件</w:t>
      </w:r>
    </w:p>
    <w:p w14:paraId="50EBCD40" w14:textId="77777777" w:rsidR="0038775E" w:rsidRDefault="00877B9C" w:rsidP="002041D4">
      <w:pPr>
        <w:pStyle w:val="ManualNumPar1"/>
        <w:wordWrap w:val="0"/>
        <w:rPr>
          <w:noProof/>
          <w:lang w:val="en-IE" w:eastAsia="ja-JP"/>
        </w:rPr>
      </w:pPr>
      <w:r w:rsidRPr="004F5E59">
        <w:rPr>
          <w:lang w:eastAsia="ja-JP"/>
        </w:rPr>
        <w:t>1.</w:t>
      </w:r>
      <w:r w:rsidRPr="004F5E59">
        <w:rPr>
          <w:lang w:eastAsia="ja-JP"/>
        </w:rPr>
        <w:tab/>
      </w:r>
      <w:r w:rsidR="006160FC" w:rsidRPr="00DF5C23">
        <w:rPr>
          <w:noProof/>
          <w:lang w:val="en-IE" w:eastAsia="ja-JP"/>
        </w:rPr>
        <w:t>製品パスポートは、以下の条件を満たすものとする：</w:t>
      </w:r>
      <w:r w:rsidR="006160FC" w:rsidRPr="00DF5C23">
        <w:rPr>
          <w:noProof/>
          <w:lang w:val="en-IE" w:eastAsia="ja-JP"/>
        </w:rPr>
        <w:t xml:space="preserve"> </w:t>
      </w:r>
    </w:p>
    <w:p w14:paraId="012DF4CF" w14:textId="77777777" w:rsidR="0038775E" w:rsidRDefault="00877B9C" w:rsidP="002041D4">
      <w:pPr>
        <w:pStyle w:val="Point1"/>
        <w:wordWrap w:val="0"/>
        <w:rPr>
          <w:noProof/>
          <w:lang w:val="en-IE" w:eastAsia="ja-JP"/>
        </w:rPr>
      </w:pPr>
      <w:r w:rsidRPr="004F5E59">
        <w:rPr>
          <w:lang w:eastAsia="ja-JP"/>
        </w:rPr>
        <w:t>(a)</w:t>
      </w:r>
      <w:r w:rsidRPr="004F5E59">
        <w:rPr>
          <w:lang w:eastAsia="ja-JP"/>
        </w:rPr>
        <w:tab/>
      </w:r>
      <w:r w:rsidR="006160FC" w:rsidRPr="00DF5C23" w:rsidDel="00C0295E">
        <w:rPr>
          <w:noProof/>
          <w:lang w:val="en-IE" w:eastAsia="ja-JP"/>
        </w:rPr>
        <w:t>は、</w:t>
      </w:r>
      <w:r w:rsidR="006160FC" w:rsidRPr="00DF5C23">
        <w:rPr>
          <w:noProof/>
          <w:lang w:val="en-IE" w:eastAsia="ja-JP"/>
        </w:rPr>
        <w:t>データキャリアを介して、固有の製品識別子に接続されているものとする；</w:t>
      </w:r>
    </w:p>
    <w:p w14:paraId="5B155388" w14:textId="5741F9C4" w:rsidR="0038775E" w:rsidRDefault="00877B9C" w:rsidP="002041D4">
      <w:pPr>
        <w:pStyle w:val="Point1"/>
        <w:wordWrap w:val="0"/>
        <w:rPr>
          <w:noProof/>
          <w:lang w:val="en-IE" w:eastAsia="ja-JP"/>
        </w:rPr>
      </w:pPr>
      <w:r w:rsidRPr="004F5E59">
        <w:rPr>
          <w:lang w:eastAsia="ja-JP"/>
        </w:rPr>
        <w:t>(b)</w:t>
      </w:r>
      <w:r w:rsidRPr="004F5E59">
        <w:rPr>
          <w:lang w:eastAsia="ja-JP"/>
        </w:rPr>
        <w:tab/>
      </w:r>
      <w:r w:rsidR="006160FC" w:rsidRPr="00DF5C23">
        <w:rPr>
          <w:noProof/>
          <w:lang w:val="en-IE" w:eastAsia="ja-JP"/>
        </w:rPr>
        <w:t>データキャリアは、</w:t>
      </w:r>
      <w:r w:rsidR="00552FE2" w:rsidRPr="00DF5C23">
        <w:rPr>
          <w:noProof/>
          <w:lang w:val="en-IE" w:eastAsia="fr-BE"/>
        </w:rPr>
        <w:t>第</w:t>
      </w:r>
      <w:r w:rsidR="00552FE2" w:rsidRPr="00DF5C23">
        <w:rPr>
          <w:noProof/>
          <w:lang w:val="en-IE" w:eastAsia="fr-BE"/>
        </w:rPr>
        <w:t>4</w:t>
      </w:r>
      <w:r w:rsidR="00552FE2" w:rsidRPr="00DF5C23">
        <w:rPr>
          <w:noProof/>
          <w:lang w:val="en-IE" w:eastAsia="fr-BE"/>
        </w:rPr>
        <w:t>条に従って採択された</w:t>
      </w:r>
      <w:r w:rsidR="006160FC" w:rsidRPr="00DF5C23">
        <w:rPr>
          <w:noProof/>
          <w:lang w:val="en-IE" w:eastAsia="ja-JP"/>
        </w:rPr>
        <w:t>適用される委任法に規定されるとおり、製品</w:t>
      </w:r>
      <w:r w:rsidR="00FF307C" w:rsidRPr="00DF5C23">
        <w:rPr>
          <w:noProof/>
          <w:lang w:val="en-IE" w:eastAsia="ja-JP"/>
        </w:rPr>
        <w:t>、</w:t>
      </w:r>
      <w:r w:rsidR="006160FC" w:rsidRPr="00DF5C23">
        <w:rPr>
          <w:noProof/>
          <w:lang w:val="en-IE" w:eastAsia="ja-JP"/>
        </w:rPr>
        <w:t>その包装</w:t>
      </w:r>
      <w:r w:rsidR="00FF307C" w:rsidRPr="00DF5C23">
        <w:rPr>
          <w:noProof/>
          <w:lang w:val="en-IE" w:eastAsia="ja-JP"/>
        </w:rPr>
        <w:t>または製品に付随する文書に</w:t>
      </w:r>
      <w:r w:rsidR="006160FC" w:rsidRPr="00DF5C23">
        <w:rPr>
          <w:noProof/>
          <w:lang w:val="en-IE" w:eastAsia="ja-JP"/>
        </w:rPr>
        <w:t>物理的に存在するものと</w:t>
      </w:r>
      <w:r w:rsidR="002041D4">
        <w:rPr>
          <w:noProof/>
          <w:lang w:val="en-IE" w:eastAsia="ja-JP"/>
        </w:rPr>
        <w:t>する</w:t>
      </w:r>
      <w:r w:rsidR="006160FC" w:rsidRPr="00DF5C23">
        <w:rPr>
          <w:noProof/>
          <w:lang w:val="en-IE" w:eastAsia="ja-JP"/>
        </w:rPr>
        <w:t>；</w:t>
      </w:r>
      <w:r w:rsidR="006160FC" w:rsidRPr="00DF5C23">
        <w:rPr>
          <w:noProof/>
          <w:lang w:val="en-IE" w:eastAsia="ja-JP"/>
        </w:rPr>
        <w:t xml:space="preserve"> </w:t>
      </w:r>
    </w:p>
    <w:p w14:paraId="5C327A4C" w14:textId="77777777" w:rsidR="0038775E" w:rsidRDefault="00877B9C" w:rsidP="002041D4">
      <w:pPr>
        <w:pStyle w:val="Point1"/>
        <w:wordWrap w:val="0"/>
        <w:rPr>
          <w:noProof/>
          <w:lang w:val="en-IE" w:eastAsia="ja-JP"/>
        </w:rPr>
      </w:pPr>
      <w:r w:rsidRPr="004F5E59">
        <w:rPr>
          <w:lang w:eastAsia="ja-JP"/>
        </w:rPr>
        <w:t>(c)</w:t>
      </w:r>
      <w:r w:rsidRPr="004F5E59">
        <w:rPr>
          <w:lang w:eastAsia="ja-JP"/>
        </w:rPr>
        <w:tab/>
      </w:r>
      <w:r w:rsidR="006160FC" w:rsidRPr="00DF5C23">
        <w:rPr>
          <w:noProof/>
          <w:lang w:val="en-IE" w:eastAsia="ja-JP"/>
        </w:rPr>
        <w:t>データキャリア及び一意の製品識別子は、規格（</w:t>
      </w:r>
      <w:r w:rsidR="006160FC" w:rsidRPr="00DF5C23">
        <w:rPr>
          <w:noProof/>
          <w:lang w:val="en-IE" w:eastAsia="ja-JP"/>
        </w:rPr>
        <w:t>'ISO/IEC'</w:t>
      </w:r>
      <w:r w:rsidR="006160FC" w:rsidRPr="00DF5C23">
        <w:rPr>
          <w:noProof/>
          <w:lang w:val="en-IE" w:eastAsia="ja-JP"/>
        </w:rPr>
        <w:t>）</w:t>
      </w:r>
      <w:r w:rsidR="006160FC" w:rsidRPr="00DF5C23">
        <w:rPr>
          <w:noProof/>
          <w:lang w:val="en-IE" w:eastAsia="ja-JP"/>
        </w:rPr>
        <w:t>15459:2015</w:t>
      </w:r>
      <w:r w:rsidR="006160FC" w:rsidRPr="00DF5C23">
        <w:rPr>
          <w:noProof/>
          <w:lang w:val="en-IE" w:eastAsia="ja-JP"/>
        </w:rPr>
        <w:t>に</w:t>
      </w:r>
      <w:r w:rsidR="00607307" w:rsidRPr="00DF5C23">
        <w:rPr>
          <w:noProof/>
          <w:lang w:val="en-IE" w:eastAsia="ja-JP"/>
        </w:rPr>
        <w:t>準拠するものとする</w:t>
      </w:r>
      <w:r w:rsidR="00052686" w:rsidRPr="00DF5C23">
        <w:rPr>
          <w:noProof/>
          <w:lang w:val="en-IE" w:eastAsia="ja-JP"/>
        </w:rPr>
        <w:t>；</w:t>
      </w:r>
    </w:p>
    <w:p w14:paraId="178A9E83" w14:textId="77777777" w:rsidR="0038775E" w:rsidRDefault="00877B9C" w:rsidP="002041D4">
      <w:pPr>
        <w:pStyle w:val="Point1"/>
        <w:wordWrap w:val="0"/>
        <w:rPr>
          <w:noProof/>
          <w:lang w:val="en-IE" w:eastAsia="ja-JP"/>
        </w:rPr>
      </w:pPr>
      <w:r w:rsidRPr="004F5E59">
        <w:rPr>
          <w:lang w:eastAsia="ja-JP"/>
        </w:rPr>
        <w:t>(d)</w:t>
      </w:r>
      <w:r w:rsidRPr="004F5E59">
        <w:rPr>
          <w:lang w:eastAsia="ja-JP"/>
        </w:rPr>
        <w:tab/>
      </w:r>
      <w:r w:rsidR="006160FC" w:rsidRPr="00DF5C23">
        <w:rPr>
          <w:noProof/>
          <w:lang w:val="en-IE" w:eastAsia="ja-JP"/>
        </w:rPr>
        <w:t>製品パスポートに含まれるすべての情報は、</w:t>
      </w:r>
      <w:r w:rsidR="00052686" w:rsidRPr="00DF5C23">
        <w:rPr>
          <w:noProof/>
          <w:lang w:val="en-IE" w:eastAsia="ja-JP"/>
        </w:rPr>
        <w:t>第</w:t>
      </w:r>
      <w:r w:rsidR="00052686" w:rsidRPr="00DF5C23">
        <w:rPr>
          <w:noProof/>
          <w:lang w:val="en-IE" w:eastAsia="ja-JP"/>
        </w:rPr>
        <w:t>10</w:t>
      </w:r>
      <w:r w:rsidR="006160FC" w:rsidRPr="00DF5C23">
        <w:rPr>
          <w:noProof/>
          <w:lang w:val="en-IE" w:eastAsia="ja-JP"/>
        </w:rPr>
        <w:t>条に</w:t>
      </w:r>
      <w:r w:rsidR="0065140E" w:rsidRPr="00DF5C23">
        <w:rPr>
          <w:noProof/>
          <w:lang w:val="en-IE" w:eastAsia="ja-JP"/>
        </w:rPr>
        <w:t>定める</w:t>
      </w:r>
      <w:r w:rsidR="006160FC" w:rsidRPr="00DF5C23">
        <w:rPr>
          <w:noProof/>
          <w:lang w:val="en-IE" w:eastAsia="ja-JP"/>
        </w:rPr>
        <w:t>必須要件に従い、オープン</w:t>
      </w:r>
      <w:r w:rsidR="00EE0949" w:rsidRPr="00DF5C23">
        <w:rPr>
          <w:noProof/>
          <w:lang w:val="en-IE" w:eastAsia="ja-JP"/>
        </w:rPr>
        <w:t>スタンダードに基づき</w:t>
      </w:r>
      <w:r w:rsidR="00A95BE5" w:rsidRPr="00DF5C23">
        <w:rPr>
          <w:noProof/>
          <w:lang w:val="en-IE" w:eastAsia="ja-JP"/>
        </w:rPr>
        <w:t>、</w:t>
      </w:r>
      <w:r w:rsidR="006160FC" w:rsidRPr="00DF5C23">
        <w:rPr>
          <w:noProof/>
          <w:lang w:val="en-IE" w:eastAsia="ja-JP"/>
        </w:rPr>
        <w:t>相互運用可能なフォーマットで</w:t>
      </w:r>
      <w:r w:rsidR="0099759D" w:rsidRPr="00DF5C23">
        <w:rPr>
          <w:noProof/>
          <w:lang w:val="en-IE" w:eastAsia="ja-JP"/>
        </w:rPr>
        <w:t>開発さ</w:t>
      </w:r>
      <w:r w:rsidR="006160FC" w:rsidRPr="00DF5C23">
        <w:rPr>
          <w:noProof/>
          <w:lang w:val="en-IE" w:eastAsia="ja-JP"/>
        </w:rPr>
        <w:t>れ、機械可読、構造化、検索可能であるものとする；</w:t>
      </w:r>
      <w:r w:rsidR="006160FC" w:rsidRPr="00DF5C23">
        <w:rPr>
          <w:noProof/>
          <w:lang w:val="en-IE" w:eastAsia="ja-JP"/>
        </w:rPr>
        <w:t xml:space="preserve"> </w:t>
      </w:r>
    </w:p>
    <w:p w14:paraId="3BEFC675" w14:textId="77777777" w:rsidR="0038775E" w:rsidRDefault="00877B9C" w:rsidP="002041D4">
      <w:pPr>
        <w:pStyle w:val="Point1"/>
        <w:wordWrap w:val="0"/>
        <w:rPr>
          <w:noProof/>
          <w:lang w:val="en-IE" w:eastAsia="ja-JP"/>
        </w:rPr>
      </w:pPr>
      <w:r w:rsidRPr="004F5E59">
        <w:rPr>
          <w:lang w:eastAsia="ja-JP"/>
        </w:rPr>
        <w:t>(e)</w:t>
      </w:r>
      <w:r w:rsidRPr="004F5E59">
        <w:rPr>
          <w:lang w:eastAsia="ja-JP"/>
        </w:rPr>
        <w:tab/>
      </w:r>
      <w:r w:rsidR="006160FC" w:rsidRPr="00DF5C23">
        <w:rPr>
          <w:noProof/>
          <w:lang w:val="en-IE" w:eastAsia="ja-JP"/>
        </w:rPr>
        <w:t>製品パスポートに含まれる情報は、</w:t>
      </w:r>
      <w:r w:rsidR="00552FE2" w:rsidRPr="00DF5C23">
        <w:rPr>
          <w:noProof/>
          <w:lang w:val="en-IE" w:eastAsia="fr-BE"/>
        </w:rPr>
        <w:t>第</w:t>
      </w:r>
      <w:r w:rsidR="00552FE2" w:rsidRPr="00DF5C23">
        <w:rPr>
          <w:noProof/>
          <w:lang w:val="en-IE" w:eastAsia="fr-BE"/>
        </w:rPr>
        <w:t>4</w:t>
      </w:r>
      <w:r w:rsidR="00552FE2" w:rsidRPr="00DF5C23">
        <w:rPr>
          <w:noProof/>
          <w:lang w:val="en-IE" w:eastAsia="fr-BE"/>
        </w:rPr>
        <w:t>条に従って採択された</w:t>
      </w:r>
      <w:r w:rsidR="006160FC" w:rsidRPr="00DF5C23">
        <w:rPr>
          <w:noProof/>
          <w:lang w:val="en-IE" w:eastAsia="ja-JP"/>
        </w:rPr>
        <w:t>委任法に規定された製品モデル、バッチまたは品目を指すものとする；</w:t>
      </w:r>
    </w:p>
    <w:p w14:paraId="789D3930" w14:textId="409B9E35" w:rsidR="0038775E" w:rsidRDefault="00877B9C" w:rsidP="002041D4">
      <w:pPr>
        <w:pStyle w:val="Point1"/>
        <w:wordWrap w:val="0"/>
        <w:rPr>
          <w:noProof/>
          <w:lang w:val="en-IE" w:eastAsia="ja-JP"/>
        </w:rPr>
      </w:pPr>
      <w:r w:rsidRPr="004F5E59">
        <w:rPr>
          <w:lang w:eastAsia="ja-JP"/>
        </w:rPr>
        <w:t>(f)</w:t>
      </w:r>
      <w:r w:rsidRPr="004F5E59">
        <w:rPr>
          <w:lang w:eastAsia="ja-JP"/>
        </w:rPr>
        <w:tab/>
      </w:r>
      <w:r w:rsidR="0065140E" w:rsidRPr="00DF5C23">
        <w:rPr>
          <w:noProof/>
          <w:lang w:val="en-IE" w:eastAsia="ja-JP"/>
        </w:rPr>
        <w:t>製品</w:t>
      </w:r>
      <w:r w:rsidR="006160FC" w:rsidRPr="00DF5C23">
        <w:rPr>
          <w:noProof/>
          <w:lang w:val="en-IE" w:eastAsia="ja-JP"/>
        </w:rPr>
        <w:t>パスポートに含まれる情報へのアクセスは、</w:t>
      </w:r>
      <w:r w:rsidR="00C16D9F" w:rsidRPr="00DF5C23">
        <w:rPr>
          <w:noProof/>
          <w:lang w:val="en-IE" w:eastAsia="ja-JP"/>
        </w:rPr>
        <w:t>第</w:t>
      </w:r>
      <w:r w:rsidR="00C16D9F" w:rsidRPr="00DF5C23">
        <w:rPr>
          <w:noProof/>
          <w:lang w:val="en-IE" w:eastAsia="ja-JP"/>
        </w:rPr>
        <w:t>10</w:t>
      </w:r>
      <w:r w:rsidR="00C16D9F" w:rsidRPr="00DF5C23">
        <w:rPr>
          <w:noProof/>
          <w:lang w:val="en-IE" w:eastAsia="ja-JP"/>
        </w:rPr>
        <w:t>条に</w:t>
      </w:r>
      <w:r w:rsidR="0065140E" w:rsidRPr="00DF5C23">
        <w:rPr>
          <w:noProof/>
          <w:lang w:val="en-IE" w:eastAsia="ja-JP"/>
        </w:rPr>
        <w:t>定める</w:t>
      </w:r>
      <w:r w:rsidR="006160FC" w:rsidRPr="00DF5C23">
        <w:rPr>
          <w:noProof/>
          <w:lang w:val="en-IE" w:eastAsia="ja-JP"/>
        </w:rPr>
        <w:t>必須要件に従って規制されるものと</w:t>
      </w:r>
      <w:r w:rsidR="0065140E" w:rsidRPr="00DF5C23">
        <w:rPr>
          <w:noProof/>
          <w:lang w:val="en-IE" w:eastAsia="ja-JP"/>
        </w:rPr>
        <w:t>し、</w:t>
      </w:r>
      <w:r w:rsidR="006160FC" w:rsidRPr="00DF5C23">
        <w:rPr>
          <w:noProof/>
          <w:lang w:eastAsia="ja-JP"/>
        </w:rPr>
        <w:t>製品群レベルでの特定のアクセス</w:t>
      </w:r>
      <w:r w:rsidR="0065140E" w:rsidRPr="00DF5C23">
        <w:rPr>
          <w:noProof/>
          <w:lang w:eastAsia="ja-JP"/>
        </w:rPr>
        <w:t>権は、</w:t>
      </w:r>
      <w:r w:rsidR="00552FE2" w:rsidRPr="00DF5C23">
        <w:rPr>
          <w:noProof/>
          <w:lang w:val="en-IE" w:eastAsia="fr-BE"/>
        </w:rPr>
        <w:t>第</w:t>
      </w:r>
      <w:r w:rsidR="00552FE2" w:rsidRPr="00DF5C23">
        <w:rPr>
          <w:noProof/>
          <w:lang w:val="en-IE" w:eastAsia="fr-BE"/>
        </w:rPr>
        <w:t>4</w:t>
      </w:r>
      <w:r w:rsidR="00552FE2" w:rsidRPr="00DF5C23">
        <w:rPr>
          <w:noProof/>
          <w:lang w:val="en-IE" w:eastAsia="fr-BE"/>
        </w:rPr>
        <w:t>条に従って採択された</w:t>
      </w:r>
      <w:r w:rsidR="006160FC" w:rsidRPr="00DF5C23">
        <w:rPr>
          <w:noProof/>
          <w:lang w:val="en-IE" w:eastAsia="ja-JP"/>
        </w:rPr>
        <w:t>該当する委任法で</w:t>
      </w:r>
      <w:r w:rsidR="006160FC" w:rsidRPr="00DF5C23">
        <w:rPr>
          <w:noProof/>
          <w:lang w:eastAsia="ja-JP"/>
        </w:rPr>
        <w:t>特定される</w:t>
      </w:r>
      <w:r w:rsidR="0065140E" w:rsidRPr="00DF5C23">
        <w:rPr>
          <w:noProof/>
          <w:lang w:eastAsia="ja-JP"/>
        </w:rPr>
        <w:t>ものと</w:t>
      </w:r>
      <w:r w:rsidR="002041D4">
        <w:rPr>
          <w:noProof/>
          <w:lang w:eastAsia="ja-JP"/>
        </w:rPr>
        <w:t>する</w:t>
      </w:r>
      <w:r w:rsidR="006160FC" w:rsidRPr="00DF5C23">
        <w:rPr>
          <w:noProof/>
          <w:lang w:val="en-IE" w:eastAsia="ja-JP"/>
        </w:rPr>
        <w:t>。</w:t>
      </w:r>
    </w:p>
    <w:p w14:paraId="42A7D99A" w14:textId="77777777" w:rsidR="0038775E" w:rsidRDefault="00877B9C" w:rsidP="002041D4">
      <w:pPr>
        <w:pStyle w:val="Text1"/>
        <w:wordWrap w:val="0"/>
        <w:rPr>
          <w:noProof/>
          <w:lang w:eastAsia="ja-JP"/>
        </w:rPr>
      </w:pPr>
      <w:r w:rsidRPr="00DF5C23">
        <w:rPr>
          <w:noProof/>
          <w:lang w:val="en-IE" w:eastAsia="fr-BE"/>
        </w:rPr>
        <w:t>欧州委員会は、</w:t>
      </w:r>
      <w:r w:rsidR="007C5713" w:rsidRPr="00DF5C23">
        <w:rPr>
          <w:noProof/>
          <w:lang w:val="en-IE" w:eastAsia="fr-BE"/>
        </w:rPr>
        <w:t>第</w:t>
      </w:r>
      <w:r w:rsidR="007C5713" w:rsidRPr="00DF5C23">
        <w:rPr>
          <w:noProof/>
          <w:lang w:val="en-IE" w:eastAsia="fr-BE"/>
        </w:rPr>
        <w:t>66</w:t>
      </w:r>
      <w:r w:rsidRPr="00DF5C23">
        <w:rPr>
          <w:noProof/>
          <w:lang w:val="en-IE" w:eastAsia="fr-BE"/>
        </w:rPr>
        <w:t>条に従い、</w:t>
      </w:r>
      <w:r w:rsidR="0095134E" w:rsidRPr="00DF5C23">
        <w:rPr>
          <w:noProof/>
          <w:lang w:eastAsia="ja-JP"/>
        </w:rPr>
        <w:t>技術的及び科学的進歩に照らして、</w:t>
      </w:r>
      <w:r w:rsidR="00C053FB" w:rsidRPr="00DF5C23">
        <w:rPr>
          <w:noProof/>
          <w:lang w:val="en-IE" w:eastAsia="fr-BE"/>
        </w:rPr>
        <w:t>本条に</w:t>
      </w:r>
      <w:r w:rsidR="00C053FB" w:rsidRPr="00DF5C23">
        <w:rPr>
          <w:noProof/>
          <w:lang w:val="en-IE" w:eastAsia="ja-JP"/>
        </w:rPr>
        <w:t>定める条件を満たす目的で</w:t>
      </w:r>
      <w:r w:rsidR="0095134E" w:rsidRPr="00DF5C23">
        <w:rPr>
          <w:noProof/>
          <w:lang w:val="en-IE" w:eastAsia="ja-JP"/>
        </w:rPr>
        <w:t>データキャリア及び固有の</w:t>
      </w:r>
      <w:r w:rsidR="00BD2393" w:rsidRPr="00DF5C23">
        <w:rPr>
          <w:noProof/>
          <w:lang w:val="en-IE" w:eastAsia="ja-JP"/>
        </w:rPr>
        <w:t>識別子が準拠</w:t>
      </w:r>
      <w:r w:rsidR="008F2904" w:rsidRPr="00DF5C23">
        <w:rPr>
          <w:noProof/>
          <w:lang w:val="en-IE" w:eastAsia="ja-JP"/>
        </w:rPr>
        <w:t>すべき</w:t>
      </w:r>
      <w:r w:rsidR="008F2904" w:rsidRPr="00DF5C23">
        <w:rPr>
          <w:noProof/>
          <w:lang w:val="en-IE" w:eastAsia="fr-BE"/>
        </w:rPr>
        <w:t>他の</w:t>
      </w:r>
      <w:r w:rsidR="0065140E" w:rsidRPr="00DF5C23">
        <w:rPr>
          <w:noProof/>
          <w:lang w:val="en-IE" w:eastAsia="fr-BE"/>
        </w:rPr>
        <w:t>欧州規格又は国際規格を</w:t>
      </w:r>
      <w:r w:rsidRPr="00DF5C23">
        <w:rPr>
          <w:noProof/>
          <w:lang w:val="en-IE" w:eastAsia="fr-BE"/>
        </w:rPr>
        <w:t>、</w:t>
      </w:r>
      <w:r w:rsidR="00970C61">
        <w:rPr>
          <w:noProof/>
          <w:lang w:val="en-IE" w:eastAsia="fr-BE"/>
        </w:rPr>
        <w:t>同点で</w:t>
      </w:r>
      <w:r w:rsidR="008F2904" w:rsidRPr="00DF5C23">
        <w:rPr>
          <w:noProof/>
          <w:lang w:val="en-IE" w:eastAsia="fr-BE"/>
        </w:rPr>
        <w:t>言及される規格に置き換え又は</w:t>
      </w:r>
      <w:r w:rsidR="0065140E" w:rsidRPr="00DF5C23">
        <w:rPr>
          <w:noProof/>
          <w:lang w:val="en-IE" w:eastAsia="fr-BE"/>
        </w:rPr>
        <w:t>追加することにより</w:t>
      </w:r>
      <w:r w:rsidR="00C053FB" w:rsidRPr="00DF5C23">
        <w:rPr>
          <w:noProof/>
          <w:lang w:val="en-IE" w:eastAsia="fr-BE"/>
        </w:rPr>
        <w:t>本条第</w:t>
      </w:r>
      <w:r w:rsidR="00C053FB" w:rsidRPr="00DF5C23">
        <w:rPr>
          <w:noProof/>
          <w:lang w:val="en-IE" w:eastAsia="fr-BE"/>
        </w:rPr>
        <w:t>1</w:t>
      </w:r>
      <w:r w:rsidR="00C053FB" w:rsidRPr="00DF5C23">
        <w:rPr>
          <w:noProof/>
          <w:lang w:val="en-IE" w:eastAsia="fr-BE"/>
        </w:rPr>
        <w:t>項</w:t>
      </w:r>
      <w:r w:rsidR="0065140E" w:rsidRPr="00DF5C23">
        <w:rPr>
          <w:noProof/>
          <w:lang w:val="en-IE" w:eastAsia="fr-BE"/>
        </w:rPr>
        <w:t>（</w:t>
      </w:r>
      <w:r w:rsidR="0065140E" w:rsidRPr="00DF5C23">
        <w:rPr>
          <w:noProof/>
          <w:lang w:val="en-IE" w:eastAsia="fr-BE"/>
        </w:rPr>
        <w:t>c</w:t>
      </w:r>
      <w:r w:rsidR="00C053FB" w:rsidRPr="00DF5C23">
        <w:rPr>
          <w:noProof/>
          <w:lang w:val="en-IE" w:eastAsia="fr-BE"/>
        </w:rPr>
        <w:t>）の点を</w:t>
      </w:r>
      <w:r w:rsidRPr="00DF5C23">
        <w:rPr>
          <w:noProof/>
          <w:lang w:val="en-IE" w:eastAsia="fr-BE"/>
        </w:rPr>
        <w:t>修正する委任法を採択する権限を有する</w:t>
      </w:r>
      <w:r w:rsidR="0065140E" w:rsidRPr="00DF5C23">
        <w:rPr>
          <w:noProof/>
          <w:lang w:eastAsia="ja-JP"/>
        </w:rPr>
        <w:t>。</w:t>
      </w:r>
    </w:p>
    <w:p w14:paraId="3C53C9D4" w14:textId="77777777" w:rsidR="0038775E" w:rsidRDefault="00877B9C" w:rsidP="002041D4">
      <w:pPr>
        <w:pStyle w:val="ManualNumPar1"/>
        <w:wordWrap w:val="0"/>
        <w:rPr>
          <w:noProof/>
          <w:lang w:val="en-IE" w:eastAsia="fr-BE"/>
        </w:rPr>
      </w:pPr>
      <w:r w:rsidRPr="004F5E59">
        <w:rPr>
          <w:lang w:eastAsia="ja-JP"/>
        </w:rPr>
        <w:t>2.</w:t>
      </w:r>
      <w:r w:rsidRPr="004F5E59">
        <w:rPr>
          <w:lang w:eastAsia="ja-JP"/>
        </w:rPr>
        <w:tab/>
      </w:r>
      <w:r w:rsidR="007C515B" w:rsidRPr="00DF5C23">
        <w:rPr>
          <w:noProof/>
          <w:lang w:val="en-IE" w:eastAsia="fr-BE"/>
        </w:rPr>
        <w:t>他の</w:t>
      </w:r>
      <w:r w:rsidR="007C515B" w:rsidRPr="00DF5C23">
        <w:rPr>
          <w:noProof/>
          <w:lang w:val="en-IE" w:eastAsia="fr-BE"/>
        </w:rPr>
        <w:t>EU</w:t>
      </w:r>
      <w:r w:rsidR="007C515B" w:rsidRPr="00DF5C23">
        <w:rPr>
          <w:noProof/>
          <w:lang w:val="en-IE" w:eastAsia="fr-BE"/>
        </w:rPr>
        <w:t>の法令が製品パスポートに特定の情報を含めることを要求し又は許容する場合、当該情報は、第</w:t>
      </w:r>
      <w:r w:rsidR="007C515B" w:rsidRPr="00DF5C23">
        <w:rPr>
          <w:noProof/>
          <w:lang w:val="en-IE" w:eastAsia="fr-BE"/>
        </w:rPr>
        <w:t>4</w:t>
      </w:r>
      <w:r w:rsidR="007C515B" w:rsidRPr="00DF5C23">
        <w:rPr>
          <w:noProof/>
          <w:lang w:val="en-IE" w:eastAsia="fr-BE"/>
        </w:rPr>
        <w:t>条に従って採択された該当する委任法に従って、製品パスポートに含めるべき情報に追加することができる。</w:t>
      </w:r>
      <w:r w:rsidR="007C515B" w:rsidRPr="00DF5C23">
        <w:rPr>
          <w:noProof/>
          <w:lang w:val="en-IE" w:eastAsia="fr-BE"/>
        </w:rPr>
        <w:t xml:space="preserve"> </w:t>
      </w:r>
    </w:p>
    <w:p w14:paraId="75729E88" w14:textId="77777777" w:rsidR="0038775E" w:rsidRDefault="00877B9C" w:rsidP="002041D4">
      <w:pPr>
        <w:pStyle w:val="ManualNumPar1"/>
        <w:wordWrap w:val="0"/>
        <w:rPr>
          <w:noProof/>
          <w:lang w:val="en-IE" w:eastAsia="fr-BE"/>
        </w:rPr>
      </w:pPr>
      <w:r w:rsidRPr="004F5E59">
        <w:rPr>
          <w:lang w:eastAsia="ja-JP"/>
        </w:rPr>
        <w:t>3.</w:t>
      </w:r>
      <w:r w:rsidRPr="004F5E59">
        <w:rPr>
          <w:lang w:eastAsia="ja-JP"/>
        </w:rPr>
        <w:tab/>
      </w:r>
      <w:r w:rsidR="006160FC" w:rsidRPr="00DF5C23">
        <w:rPr>
          <w:noProof/>
          <w:lang w:val="en-IE" w:eastAsia="fr-BE"/>
        </w:rPr>
        <w:t>製品を市場に投入する経済事業者は、販売店が物理的に製品にアクセスできない</w:t>
      </w:r>
      <w:r w:rsidR="00AA57E7" w:rsidRPr="00DF5C23">
        <w:rPr>
          <w:noProof/>
          <w:lang w:val="en-IE" w:eastAsia="fr-BE"/>
        </w:rPr>
        <w:t>場所でも</w:t>
      </w:r>
      <w:r w:rsidR="006160FC" w:rsidRPr="00DF5C23">
        <w:rPr>
          <w:noProof/>
          <w:lang w:val="en-IE" w:eastAsia="fr-BE"/>
        </w:rPr>
        <w:t>アクセスできるように、データキャリアのデジタルコピーを販売店に提供するものとする。経済事業</w:t>
      </w:r>
      <w:r w:rsidR="00EF07D0" w:rsidRPr="00DF5C23">
        <w:rPr>
          <w:noProof/>
          <w:lang w:val="en-IE" w:eastAsia="fr-BE"/>
        </w:rPr>
        <w:t>者は、販売店の</w:t>
      </w:r>
      <w:r w:rsidR="006160FC" w:rsidRPr="00DF5C23">
        <w:rPr>
          <w:noProof/>
          <w:lang w:val="en-IE" w:eastAsia="fr-BE"/>
        </w:rPr>
        <w:t>要求から</w:t>
      </w:r>
      <w:r w:rsidR="00EF07D0" w:rsidRPr="00DF5C23">
        <w:rPr>
          <w:noProof/>
          <w:lang w:val="en-IE" w:eastAsia="fr-BE"/>
        </w:rPr>
        <w:t>5</w:t>
      </w:r>
      <w:r w:rsidR="006160FC" w:rsidRPr="00DF5C23">
        <w:rPr>
          <w:noProof/>
          <w:lang w:val="en-IE" w:eastAsia="fr-BE"/>
        </w:rPr>
        <w:t>営業日以内に</w:t>
      </w:r>
      <w:r w:rsidR="00AA57E7" w:rsidRPr="00DF5C23">
        <w:rPr>
          <w:noProof/>
          <w:lang w:val="en-IE" w:eastAsia="fr-BE"/>
        </w:rPr>
        <w:t>、当該デジタルコピーを</w:t>
      </w:r>
      <w:r w:rsidR="006160FC" w:rsidRPr="00DF5C23">
        <w:rPr>
          <w:noProof/>
          <w:lang w:val="en-IE" w:eastAsia="fr-BE"/>
        </w:rPr>
        <w:t>無償で</w:t>
      </w:r>
      <w:r w:rsidR="00AA57E7" w:rsidRPr="00DF5C23">
        <w:rPr>
          <w:noProof/>
          <w:lang w:val="en-IE" w:eastAsia="fr-BE"/>
        </w:rPr>
        <w:t>提供</w:t>
      </w:r>
      <w:r w:rsidR="006160FC" w:rsidRPr="00DF5C23">
        <w:rPr>
          <w:noProof/>
          <w:lang w:val="en-IE" w:eastAsia="fr-BE"/>
        </w:rPr>
        <w:t>しなければならない。</w:t>
      </w:r>
    </w:p>
    <w:p w14:paraId="4938C36A" w14:textId="77777777" w:rsidR="0038775E" w:rsidRDefault="00052686" w:rsidP="002041D4">
      <w:pPr>
        <w:pStyle w:val="Titrearticle"/>
        <w:wordWrap w:val="0"/>
        <w:rPr>
          <w:noProof/>
          <w:lang w:eastAsia="ja-JP"/>
        </w:rPr>
      </w:pPr>
      <w:r w:rsidRPr="00DF5C23">
        <w:rPr>
          <w:noProof/>
          <w:lang w:eastAsia="ja-JP"/>
        </w:rPr>
        <w:lastRenderedPageBreak/>
        <w:t>第</w:t>
      </w:r>
      <w:r w:rsidRPr="00DF5C23">
        <w:rPr>
          <w:noProof/>
          <w:lang w:eastAsia="ja-JP"/>
        </w:rPr>
        <w:t>10</w:t>
      </w:r>
      <w:r w:rsidR="00877B9C" w:rsidRPr="00DF5C23">
        <w:rPr>
          <w:noProof/>
          <w:lang w:eastAsia="ja-JP"/>
        </w:rPr>
        <w:t>条</w:t>
      </w:r>
      <w:r w:rsidR="00877B9C" w:rsidRPr="00DF5C23">
        <w:rPr>
          <w:noProof/>
          <w:lang w:eastAsia="ja-JP"/>
        </w:rPr>
        <w:br/>
      </w:r>
      <w:r w:rsidR="00877B9C" w:rsidRPr="00DF5C23">
        <w:rPr>
          <w:noProof/>
          <w:lang w:eastAsia="ja-JP"/>
        </w:rPr>
        <w:t>製品パスポートの</w:t>
      </w:r>
      <w:r w:rsidR="00877B9C" w:rsidRPr="00DF5C23">
        <w:rPr>
          <w:noProof/>
          <w:lang w:val="en-IE" w:eastAsia="ja-JP"/>
        </w:rPr>
        <w:t>技術設計・運用</w:t>
      </w:r>
      <w:r w:rsidR="00877B9C" w:rsidRPr="00DF5C23">
        <w:rPr>
          <w:noProof/>
          <w:lang w:val="en-IE" w:eastAsia="ja-JP"/>
        </w:rPr>
        <w:t xml:space="preserve"> </w:t>
      </w:r>
    </w:p>
    <w:p w14:paraId="21AD84AA" w14:textId="77777777" w:rsidR="0038775E" w:rsidRDefault="00877B9C" w:rsidP="002041D4">
      <w:pPr>
        <w:wordWrap w:val="0"/>
        <w:rPr>
          <w:noProof/>
          <w:lang w:val="en-IE" w:eastAsia="ja-JP"/>
        </w:rPr>
      </w:pPr>
      <w:r w:rsidRPr="00DF5C23">
        <w:rPr>
          <w:noProof/>
          <w:lang w:val="en-IE" w:eastAsia="ja-JP"/>
        </w:rPr>
        <w:t>製品</w:t>
      </w:r>
      <w:r w:rsidRPr="00DF5C23">
        <w:rPr>
          <w:noProof/>
          <w:lang w:val="en-IE" w:eastAsia="ja-JP"/>
        </w:rPr>
        <w:t>パスポートの技術的な設計および運用は、以下の必須要件に適合するものとする：</w:t>
      </w:r>
      <w:r w:rsidRPr="00DF5C23">
        <w:rPr>
          <w:noProof/>
          <w:lang w:val="en-IE" w:eastAsia="ja-JP"/>
        </w:rPr>
        <w:t xml:space="preserve"> </w:t>
      </w:r>
    </w:p>
    <w:p w14:paraId="18C7285B" w14:textId="77777777" w:rsidR="0038775E" w:rsidRDefault="00877B9C" w:rsidP="002041D4">
      <w:pPr>
        <w:pStyle w:val="Point0"/>
        <w:wordWrap w:val="0"/>
        <w:rPr>
          <w:rStyle w:val="normaltextrun"/>
          <w:noProof/>
          <w:lang w:val="en-IE" w:eastAsia="ja-JP"/>
        </w:rPr>
      </w:pPr>
      <w:r w:rsidRPr="00DF5C23">
        <w:rPr>
          <w:rStyle w:val="normaltextrun"/>
          <w:noProof/>
          <w:lang w:val="en-IE" w:eastAsia="ja-JP"/>
        </w:rPr>
        <w:t>(a)</w:t>
      </w:r>
      <w:r w:rsidRPr="00DF5C23">
        <w:rPr>
          <w:rStyle w:val="normaltextrun"/>
          <w:noProof/>
          <w:lang w:val="en-IE" w:eastAsia="ja-JP"/>
        </w:rPr>
        <w:tab/>
      </w:r>
      <w:r w:rsidR="006160FC" w:rsidRPr="00DF5C23">
        <w:rPr>
          <w:rStyle w:val="normaltextrun"/>
          <w:noProof/>
          <w:lang w:val="en-IE" w:eastAsia="ja-JP"/>
        </w:rPr>
        <w:t>プロダクトパスポートは、</w:t>
      </w:r>
      <w:r w:rsidR="006160FC" w:rsidRPr="00DF5C23">
        <w:rPr>
          <w:noProof/>
          <w:lang w:val="en-IE" w:eastAsia="ja-JP"/>
        </w:rPr>
        <w:t>エンドツーエンドの通信及びデータ転送の技術的、意味的及び組織的側面に関して、</w:t>
      </w:r>
      <w:r w:rsidR="00131DC8" w:rsidRPr="00DF5C23">
        <w:rPr>
          <w:rStyle w:val="normaltextrun"/>
          <w:noProof/>
          <w:lang w:val="en-IE" w:eastAsia="ja-JP"/>
        </w:rPr>
        <w:t>第</w:t>
      </w:r>
      <w:r w:rsidR="00131DC8" w:rsidRPr="00DF5C23">
        <w:rPr>
          <w:rStyle w:val="normaltextrun"/>
          <w:noProof/>
          <w:lang w:val="en-IE" w:eastAsia="ja-JP"/>
        </w:rPr>
        <w:t>4</w:t>
      </w:r>
      <w:r w:rsidR="006160FC" w:rsidRPr="00DF5C23">
        <w:rPr>
          <w:rStyle w:val="normaltextrun"/>
          <w:noProof/>
          <w:lang w:val="en-IE" w:eastAsia="ja-JP"/>
        </w:rPr>
        <w:t>条に従って</w:t>
      </w:r>
      <w:r w:rsidR="00131DC8" w:rsidRPr="00DF5C23">
        <w:rPr>
          <w:rStyle w:val="normaltextrun"/>
          <w:noProof/>
          <w:lang w:val="en-IE" w:eastAsia="ja-JP"/>
        </w:rPr>
        <w:t>採択された</w:t>
      </w:r>
      <w:r w:rsidR="006160FC" w:rsidRPr="00DF5C23">
        <w:rPr>
          <w:rStyle w:val="normaltextrun"/>
          <w:noProof/>
          <w:lang w:val="en-IE" w:eastAsia="ja-JP"/>
        </w:rPr>
        <w:t>委任法が要求する他のプロダクトパスポートと完全に相互運用可能でなければならない；</w:t>
      </w:r>
      <w:r w:rsidR="006160FC" w:rsidRPr="00DF5C23">
        <w:rPr>
          <w:rStyle w:val="normaltextrun"/>
          <w:noProof/>
          <w:lang w:val="en-IE" w:eastAsia="ja-JP"/>
        </w:rPr>
        <w:t xml:space="preserve"> </w:t>
      </w:r>
    </w:p>
    <w:p w14:paraId="2B63E02F" w14:textId="77777777" w:rsidR="0038775E" w:rsidRDefault="00877B9C" w:rsidP="002041D4">
      <w:pPr>
        <w:pStyle w:val="Point0"/>
        <w:wordWrap w:val="0"/>
        <w:rPr>
          <w:noProof/>
          <w:lang w:val="en-IE" w:eastAsia="ja-JP"/>
        </w:rPr>
      </w:pPr>
      <w:r w:rsidRPr="00DF5C23">
        <w:rPr>
          <w:rStyle w:val="normaltextrun"/>
          <w:noProof/>
          <w:lang w:val="en-IE" w:eastAsia="ja-JP"/>
        </w:rPr>
        <w:t>(b)</w:t>
      </w:r>
      <w:r w:rsidRPr="00DF5C23">
        <w:rPr>
          <w:rStyle w:val="normaltextrun"/>
          <w:noProof/>
          <w:lang w:val="en-IE" w:eastAsia="ja-JP"/>
        </w:rPr>
        <w:tab/>
      </w:r>
      <w:r w:rsidR="006160FC" w:rsidRPr="00DF5C23">
        <w:rPr>
          <w:rStyle w:val="normaltextrun"/>
          <w:noProof/>
          <w:lang w:val="en-IE" w:eastAsia="ja-JP"/>
        </w:rPr>
        <w:t>消費者、経済事業者及びその他の関係者は、</w:t>
      </w:r>
      <w:r w:rsidR="00131DC8" w:rsidRPr="00DF5C23">
        <w:rPr>
          <w:rStyle w:val="normaltextrun"/>
          <w:noProof/>
          <w:lang w:val="en-IE" w:eastAsia="ja-JP"/>
        </w:rPr>
        <w:t>第</w:t>
      </w:r>
      <w:r w:rsidR="00131DC8" w:rsidRPr="00DF5C23">
        <w:rPr>
          <w:rStyle w:val="normaltextrun"/>
          <w:noProof/>
          <w:lang w:val="en-IE" w:eastAsia="ja-JP"/>
        </w:rPr>
        <w:t>4</w:t>
      </w:r>
      <w:r w:rsidR="00131DC8" w:rsidRPr="00DF5C23">
        <w:rPr>
          <w:rStyle w:val="normaltextrun"/>
          <w:noProof/>
          <w:lang w:val="en-IE" w:eastAsia="ja-JP"/>
        </w:rPr>
        <w:t>条に従って採択された</w:t>
      </w:r>
      <w:r w:rsidR="00131DC8" w:rsidRPr="00DF5C23">
        <w:rPr>
          <w:noProof/>
          <w:lang w:eastAsia="ja-JP"/>
        </w:rPr>
        <w:t>該当する委任法に定められた</w:t>
      </w:r>
      <w:r w:rsidR="006160FC" w:rsidRPr="00DF5C23">
        <w:rPr>
          <w:noProof/>
          <w:lang w:eastAsia="ja-JP"/>
        </w:rPr>
        <w:t>それぞれのアクセス権に基づき、製品パスポートに</w:t>
      </w:r>
      <w:r w:rsidR="006160FC" w:rsidRPr="00DF5C23">
        <w:rPr>
          <w:rStyle w:val="normaltextrun"/>
          <w:noProof/>
          <w:lang w:val="en-IE" w:eastAsia="ja-JP"/>
        </w:rPr>
        <w:t>自由にアクセスできるものとする</w:t>
      </w:r>
      <w:r w:rsidR="006160FC" w:rsidRPr="00DF5C23">
        <w:rPr>
          <w:noProof/>
          <w:lang w:val="en-IE" w:eastAsia="ja-JP"/>
        </w:rPr>
        <w:t>；</w:t>
      </w:r>
      <w:r w:rsidR="006160FC" w:rsidRPr="00DF5C23">
        <w:rPr>
          <w:noProof/>
          <w:lang w:val="en-IE" w:eastAsia="ja-JP"/>
        </w:rPr>
        <w:t xml:space="preserve">     </w:t>
      </w:r>
    </w:p>
    <w:p w14:paraId="319C3C99" w14:textId="0514343C" w:rsidR="0038775E" w:rsidRDefault="00877B9C" w:rsidP="002041D4">
      <w:pPr>
        <w:pStyle w:val="Point0"/>
        <w:wordWrap w:val="0"/>
        <w:rPr>
          <w:noProof/>
          <w:lang w:val="en-IE" w:eastAsia="ja-JP"/>
        </w:rPr>
      </w:pPr>
      <w:r w:rsidRPr="00DF5C23">
        <w:rPr>
          <w:noProof/>
          <w:lang w:eastAsia="ja-JP"/>
        </w:rPr>
        <w:t>(c)</w:t>
      </w:r>
      <w:r w:rsidRPr="00DF5C23">
        <w:rPr>
          <w:noProof/>
          <w:lang w:eastAsia="ja-JP"/>
        </w:rPr>
        <w:tab/>
      </w:r>
      <w:r w:rsidR="006160FC" w:rsidRPr="00DF5C23">
        <w:rPr>
          <w:noProof/>
          <w:lang w:eastAsia="ja-JP"/>
        </w:rPr>
        <w:t>製品パスポートに含まれるデータは、その</w:t>
      </w:r>
      <w:r w:rsidR="00805CB7" w:rsidRPr="00DF5C23">
        <w:rPr>
          <w:noProof/>
          <w:lang w:eastAsia="ja-JP"/>
        </w:rPr>
        <w:t>作成に</w:t>
      </w:r>
      <w:r w:rsidR="006160FC" w:rsidRPr="00DF5C23">
        <w:rPr>
          <w:noProof/>
          <w:lang w:eastAsia="ja-JP"/>
        </w:rPr>
        <w:t>責任を負う経済事業者またはその代理として</w:t>
      </w:r>
      <w:r w:rsidR="004F613E" w:rsidRPr="00DF5C23">
        <w:rPr>
          <w:noProof/>
          <w:lang w:eastAsia="ja-JP"/>
        </w:rPr>
        <w:t>行動する権限を有する</w:t>
      </w:r>
      <w:r w:rsidR="006160FC" w:rsidRPr="00DF5C23">
        <w:rPr>
          <w:noProof/>
          <w:lang w:eastAsia="ja-JP"/>
        </w:rPr>
        <w:t>事業者によって保存されるものと</w:t>
      </w:r>
      <w:r w:rsidR="002041D4">
        <w:rPr>
          <w:noProof/>
          <w:lang w:eastAsia="ja-JP"/>
        </w:rPr>
        <w:t>する</w:t>
      </w:r>
      <w:r w:rsidR="006160FC" w:rsidRPr="00DF5C23">
        <w:rPr>
          <w:noProof/>
          <w:lang w:eastAsia="ja-JP"/>
        </w:rPr>
        <w:t>；</w:t>
      </w:r>
      <w:r w:rsidR="006160FC" w:rsidRPr="00DF5C23">
        <w:rPr>
          <w:noProof/>
          <w:lang w:eastAsia="ja-JP"/>
        </w:rPr>
        <w:t xml:space="preserve"> </w:t>
      </w:r>
    </w:p>
    <w:p w14:paraId="51CD8509" w14:textId="5D2C13DA" w:rsidR="0038775E" w:rsidRDefault="00877B9C" w:rsidP="002041D4">
      <w:pPr>
        <w:pStyle w:val="Point0"/>
        <w:wordWrap w:val="0"/>
        <w:rPr>
          <w:noProof/>
          <w:lang w:val="en-IE" w:eastAsia="ja-JP"/>
        </w:rPr>
      </w:pPr>
      <w:r w:rsidRPr="00DF5C23">
        <w:rPr>
          <w:noProof/>
          <w:lang w:eastAsia="ja-JP"/>
        </w:rPr>
        <w:t>(d)</w:t>
      </w:r>
      <w:r w:rsidRPr="00DF5C23">
        <w:rPr>
          <w:noProof/>
          <w:lang w:eastAsia="ja-JP"/>
        </w:rPr>
        <w:tab/>
      </w:r>
      <w:r w:rsidR="006160FC" w:rsidRPr="00DF5C23">
        <w:rPr>
          <w:noProof/>
          <w:lang w:eastAsia="ja-JP"/>
        </w:rPr>
        <w:t>製品パスポートに含まれるデータが、</w:t>
      </w:r>
      <w:r w:rsidR="00805CB7" w:rsidRPr="00DF5C23">
        <w:rPr>
          <w:noProof/>
          <w:lang w:eastAsia="ja-JP"/>
        </w:rPr>
        <w:t>その代理として行動することを認められた</w:t>
      </w:r>
      <w:r w:rsidR="006160FC" w:rsidRPr="00DF5C23">
        <w:rPr>
          <w:noProof/>
          <w:lang w:eastAsia="ja-JP"/>
        </w:rPr>
        <w:t>事業者によって保存または</w:t>
      </w:r>
      <w:r w:rsidR="004111B5" w:rsidRPr="00DF5C23">
        <w:rPr>
          <w:noProof/>
          <w:lang w:eastAsia="ja-JP"/>
        </w:rPr>
        <w:t>その他の</w:t>
      </w:r>
      <w:r w:rsidR="006160FC" w:rsidRPr="00DF5C23">
        <w:rPr>
          <w:noProof/>
          <w:lang w:eastAsia="ja-JP"/>
        </w:rPr>
        <w:t>方法で処理される場合、これらの事業者は、</w:t>
      </w:r>
      <w:r w:rsidR="0051153E" w:rsidRPr="00DF5C23">
        <w:rPr>
          <w:noProof/>
          <w:lang w:eastAsia="ja-JP"/>
        </w:rPr>
        <w:t>当該データの</w:t>
      </w:r>
      <w:r w:rsidR="006160FC" w:rsidRPr="00DF5C23">
        <w:rPr>
          <w:noProof/>
          <w:lang w:eastAsia="ja-JP"/>
        </w:rPr>
        <w:t>全部または一部を、当該保存または処理サービスの提供に必要な範囲を超えて、販売、再利用</w:t>
      </w:r>
      <w:r w:rsidR="004111B5" w:rsidRPr="00DF5C23">
        <w:rPr>
          <w:noProof/>
          <w:lang w:eastAsia="ja-JP"/>
        </w:rPr>
        <w:t>または処理する</w:t>
      </w:r>
      <w:r w:rsidR="006160FC" w:rsidRPr="00DF5C23">
        <w:rPr>
          <w:noProof/>
          <w:lang w:eastAsia="ja-JP"/>
        </w:rPr>
        <w:t>ことを認めないものと</w:t>
      </w:r>
      <w:r w:rsidR="002041D4">
        <w:rPr>
          <w:noProof/>
          <w:lang w:eastAsia="ja-JP"/>
        </w:rPr>
        <w:t>する</w:t>
      </w:r>
      <w:r w:rsidR="006160FC" w:rsidRPr="00DF5C23">
        <w:rPr>
          <w:noProof/>
          <w:lang w:eastAsia="ja-JP"/>
        </w:rPr>
        <w:t>；</w:t>
      </w:r>
      <w:r w:rsidR="006160FC" w:rsidRPr="00DF5C23">
        <w:rPr>
          <w:noProof/>
          <w:lang w:eastAsia="ja-JP"/>
        </w:rPr>
        <w:t xml:space="preserve"> </w:t>
      </w:r>
    </w:p>
    <w:p w14:paraId="547580BC" w14:textId="1B929FF6" w:rsidR="0038775E" w:rsidRDefault="00877B9C" w:rsidP="002041D4">
      <w:pPr>
        <w:pStyle w:val="Point0"/>
        <w:wordWrap w:val="0"/>
        <w:rPr>
          <w:noProof/>
          <w:lang w:val="en-IE" w:eastAsia="ja-JP"/>
        </w:rPr>
      </w:pPr>
      <w:r w:rsidRPr="00DF5C23">
        <w:rPr>
          <w:noProof/>
          <w:lang w:eastAsia="ja-JP"/>
        </w:rPr>
        <w:t>(e)</w:t>
      </w:r>
      <w:r w:rsidRPr="00DF5C23">
        <w:rPr>
          <w:noProof/>
          <w:lang w:eastAsia="ja-JP"/>
        </w:rPr>
        <w:tab/>
      </w:r>
      <w:r w:rsidR="006160FC" w:rsidRPr="00DF5C23">
        <w:rPr>
          <w:noProof/>
          <w:lang w:eastAsia="ja-JP"/>
        </w:rPr>
        <w:t>製品パスポートは、</w:t>
      </w:r>
      <w:r w:rsidR="0051153E" w:rsidRPr="00DF5C23">
        <w:rPr>
          <w:noProof/>
          <w:lang w:eastAsia="ja-JP"/>
        </w:rPr>
        <w:t>製品パスポートを</w:t>
      </w:r>
      <w:r w:rsidR="006160FC" w:rsidRPr="00DF5C23">
        <w:rPr>
          <w:noProof/>
          <w:lang w:eastAsia="ja-JP"/>
        </w:rPr>
        <w:t>作成した経済事業者の</w:t>
      </w:r>
      <w:r w:rsidR="0051153E" w:rsidRPr="00DF5C23">
        <w:rPr>
          <w:noProof/>
          <w:lang w:eastAsia="ja-JP"/>
        </w:rPr>
        <w:t>支払不能</w:t>
      </w:r>
      <w:r w:rsidR="006160FC" w:rsidRPr="00DF5C23">
        <w:rPr>
          <w:noProof/>
          <w:lang w:eastAsia="ja-JP"/>
        </w:rPr>
        <w:t>、清算または連合における活動の</w:t>
      </w:r>
      <w:r w:rsidR="0051153E" w:rsidRPr="00DF5C23">
        <w:rPr>
          <w:noProof/>
          <w:lang w:eastAsia="ja-JP"/>
        </w:rPr>
        <w:t>停止</w:t>
      </w:r>
      <w:r w:rsidR="006160FC" w:rsidRPr="00DF5C23">
        <w:rPr>
          <w:noProof/>
          <w:lang w:eastAsia="ja-JP"/>
        </w:rPr>
        <w:t>後を含め、</w:t>
      </w:r>
      <w:r w:rsidR="0051153E" w:rsidRPr="00DF5C23">
        <w:rPr>
          <w:noProof/>
          <w:lang w:eastAsia="ja-JP"/>
        </w:rPr>
        <w:t>第</w:t>
      </w:r>
      <w:r w:rsidR="0051153E" w:rsidRPr="00DF5C23">
        <w:rPr>
          <w:noProof/>
          <w:lang w:eastAsia="ja-JP"/>
        </w:rPr>
        <w:t>4</w:t>
      </w:r>
      <w:r w:rsidR="0051153E" w:rsidRPr="00DF5C23">
        <w:rPr>
          <w:noProof/>
          <w:lang w:eastAsia="ja-JP"/>
        </w:rPr>
        <w:t>条に従って採択された</w:t>
      </w:r>
      <w:r w:rsidR="006160FC" w:rsidRPr="00DF5C23">
        <w:rPr>
          <w:noProof/>
          <w:lang w:eastAsia="ja-JP"/>
        </w:rPr>
        <w:t>委任</w:t>
      </w:r>
      <w:r w:rsidR="0051153E" w:rsidRPr="00DF5C23">
        <w:rPr>
          <w:noProof/>
          <w:lang w:eastAsia="ja-JP"/>
        </w:rPr>
        <w:t>規定に</w:t>
      </w:r>
      <w:r w:rsidR="006160FC" w:rsidRPr="00DF5C23">
        <w:rPr>
          <w:noProof/>
          <w:lang w:eastAsia="ja-JP"/>
        </w:rPr>
        <w:t>定める期間、利用可能であり続けるものと</w:t>
      </w:r>
      <w:r w:rsidR="002041D4">
        <w:rPr>
          <w:noProof/>
          <w:lang w:val="en-IE" w:eastAsia="ja-JP"/>
        </w:rPr>
        <w:t>する</w:t>
      </w:r>
      <w:r w:rsidR="006160FC" w:rsidRPr="00DF5C23">
        <w:rPr>
          <w:noProof/>
          <w:lang w:val="en-IE" w:eastAsia="ja-JP"/>
        </w:rPr>
        <w:t>；</w:t>
      </w:r>
      <w:r w:rsidR="006160FC" w:rsidRPr="00DF5C23">
        <w:rPr>
          <w:noProof/>
          <w:lang w:val="en-IE" w:eastAsia="ja-JP"/>
        </w:rPr>
        <w:t xml:space="preserve">  </w:t>
      </w:r>
    </w:p>
    <w:p w14:paraId="3AD89DAA" w14:textId="5F244AB9" w:rsidR="0038775E" w:rsidRDefault="00877B9C" w:rsidP="002041D4">
      <w:pPr>
        <w:pStyle w:val="Point0"/>
        <w:wordWrap w:val="0"/>
        <w:rPr>
          <w:noProof/>
          <w:lang w:val="en-IE" w:eastAsia="ja-JP"/>
        </w:rPr>
      </w:pPr>
      <w:r w:rsidRPr="00DF5C23">
        <w:rPr>
          <w:noProof/>
          <w:lang w:eastAsia="ja-JP"/>
        </w:rPr>
        <w:t>(f)</w:t>
      </w:r>
      <w:r w:rsidRPr="00DF5C23">
        <w:rPr>
          <w:noProof/>
          <w:lang w:eastAsia="ja-JP"/>
        </w:rPr>
        <w:tab/>
      </w:r>
      <w:r w:rsidR="006160FC" w:rsidRPr="00DF5C23">
        <w:rPr>
          <w:noProof/>
          <w:lang w:eastAsia="ja-JP"/>
        </w:rPr>
        <w:t>製品パスポートに記載された情報にアクセスし、導入</w:t>
      </w:r>
      <w:r w:rsidR="004730AE" w:rsidRPr="00DF5C23">
        <w:rPr>
          <w:noProof/>
          <w:lang w:eastAsia="ja-JP"/>
        </w:rPr>
        <w:t>、</w:t>
      </w:r>
      <w:r w:rsidR="006160FC" w:rsidRPr="00DF5C23">
        <w:rPr>
          <w:noProof/>
          <w:lang w:eastAsia="ja-JP"/>
        </w:rPr>
        <w:t>変更</w:t>
      </w:r>
      <w:r w:rsidR="004730AE" w:rsidRPr="00DF5C23">
        <w:rPr>
          <w:noProof/>
          <w:lang w:eastAsia="ja-JP"/>
        </w:rPr>
        <w:t>または更新</w:t>
      </w:r>
      <w:r w:rsidR="006160FC" w:rsidRPr="00DF5C23">
        <w:rPr>
          <w:noProof/>
          <w:lang w:eastAsia="ja-JP"/>
        </w:rPr>
        <w:t>する権利は、</w:t>
      </w:r>
      <w:r w:rsidR="0051153E" w:rsidRPr="00DF5C23">
        <w:rPr>
          <w:noProof/>
          <w:lang w:eastAsia="ja-JP"/>
        </w:rPr>
        <w:t>第</w:t>
      </w:r>
      <w:r w:rsidR="0051153E" w:rsidRPr="00DF5C23">
        <w:rPr>
          <w:noProof/>
          <w:lang w:eastAsia="ja-JP"/>
        </w:rPr>
        <w:t>4</w:t>
      </w:r>
      <w:r w:rsidR="0051153E" w:rsidRPr="00DF5C23">
        <w:rPr>
          <w:noProof/>
          <w:lang w:eastAsia="ja-JP"/>
        </w:rPr>
        <w:t>条に従って採択された</w:t>
      </w:r>
      <w:r w:rsidR="006160FC" w:rsidRPr="00DF5C23">
        <w:rPr>
          <w:noProof/>
          <w:lang w:eastAsia="ja-JP"/>
        </w:rPr>
        <w:t>委任</w:t>
      </w:r>
      <w:r w:rsidR="0051153E" w:rsidRPr="00DF5C23">
        <w:rPr>
          <w:noProof/>
          <w:lang w:eastAsia="ja-JP"/>
        </w:rPr>
        <w:t>行為に</w:t>
      </w:r>
      <w:r w:rsidR="006160FC" w:rsidRPr="00DF5C23">
        <w:rPr>
          <w:noProof/>
          <w:lang w:eastAsia="ja-JP"/>
        </w:rPr>
        <w:t>規定されたアクセス権に基づき制限されるものと</w:t>
      </w:r>
      <w:r w:rsidR="002041D4">
        <w:rPr>
          <w:noProof/>
          <w:lang w:eastAsia="ja-JP"/>
        </w:rPr>
        <w:t>する</w:t>
      </w:r>
      <w:r w:rsidR="006160FC" w:rsidRPr="00DF5C23">
        <w:rPr>
          <w:noProof/>
          <w:lang w:eastAsia="ja-JP"/>
        </w:rPr>
        <w:t>；</w:t>
      </w:r>
    </w:p>
    <w:p w14:paraId="232555C8" w14:textId="77777777" w:rsidR="0038775E" w:rsidRDefault="00877B9C" w:rsidP="002041D4">
      <w:pPr>
        <w:pStyle w:val="Point0"/>
        <w:wordWrap w:val="0"/>
        <w:rPr>
          <w:noProof/>
          <w:lang w:val="en-IE" w:eastAsia="ja-JP"/>
        </w:rPr>
      </w:pPr>
      <w:r w:rsidRPr="00DF5C23">
        <w:rPr>
          <w:noProof/>
          <w:lang w:val="en-IE" w:eastAsia="ja-JP"/>
        </w:rPr>
        <w:t>(g)</w:t>
      </w:r>
      <w:r w:rsidRPr="00DF5C23">
        <w:rPr>
          <w:noProof/>
          <w:lang w:val="en-IE" w:eastAsia="ja-JP"/>
        </w:rPr>
        <w:tab/>
      </w:r>
      <w:r w:rsidR="006160FC" w:rsidRPr="00DF5C23">
        <w:rPr>
          <w:noProof/>
          <w:lang w:val="en-IE" w:eastAsia="ja-JP"/>
        </w:rPr>
        <w:t>データの認証、信頼性</w:t>
      </w:r>
      <w:r w:rsidR="0051153E" w:rsidRPr="00DF5C23">
        <w:rPr>
          <w:noProof/>
          <w:lang w:val="en-IE" w:eastAsia="ja-JP"/>
        </w:rPr>
        <w:t>、</w:t>
      </w:r>
      <w:r w:rsidR="006160FC" w:rsidRPr="00DF5C23">
        <w:rPr>
          <w:noProof/>
          <w:lang w:val="en-IE" w:eastAsia="ja-JP"/>
        </w:rPr>
        <w:t>完全性が</w:t>
      </w:r>
      <w:r w:rsidR="006160FC" w:rsidRPr="00DF5C23">
        <w:rPr>
          <w:noProof/>
          <w:lang w:eastAsia="ja-JP"/>
        </w:rPr>
        <w:t>確保されていること；</w:t>
      </w:r>
      <w:r w:rsidR="006160FC" w:rsidRPr="00DF5C23">
        <w:rPr>
          <w:noProof/>
          <w:lang w:eastAsia="ja-JP"/>
        </w:rPr>
        <w:t xml:space="preserve"> </w:t>
      </w:r>
    </w:p>
    <w:p w14:paraId="6A589705" w14:textId="77777777" w:rsidR="0038775E" w:rsidRDefault="00877B9C" w:rsidP="002041D4">
      <w:pPr>
        <w:pStyle w:val="Point0"/>
        <w:wordWrap w:val="0"/>
        <w:rPr>
          <w:noProof/>
          <w:lang w:val="en-IE" w:eastAsia="ja-JP"/>
        </w:rPr>
      </w:pPr>
      <w:r w:rsidRPr="00DF5C23">
        <w:rPr>
          <w:noProof/>
          <w:lang w:eastAsia="ja-JP"/>
        </w:rPr>
        <w:t>(h)</w:t>
      </w:r>
      <w:r w:rsidRPr="00DF5C23">
        <w:rPr>
          <w:noProof/>
          <w:lang w:eastAsia="ja-JP"/>
        </w:rPr>
        <w:tab/>
      </w:r>
      <w:r w:rsidR="006160FC" w:rsidRPr="00DF5C23">
        <w:rPr>
          <w:noProof/>
          <w:lang w:eastAsia="ja-JP"/>
        </w:rPr>
        <w:t>製品パスポートは、高度なセキュリティとプライバシーが</w:t>
      </w:r>
      <w:r w:rsidR="0051153E" w:rsidRPr="00DF5C23">
        <w:rPr>
          <w:noProof/>
          <w:lang w:eastAsia="ja-JP"/>
        </w:rPr>
        <w:t>確保さ</w:t>
      </w:r>
      <w:r w:rsidR="006160FC" w:rsidRPr="00DF5C23">
        <w:rPr>
          <w:noProof/>
          <w:lang w:eastAsia="ja-JP"/>
        </w:rPr>
        <w:t>れ、不正が行わ</w:t>
      </w:r>
      <w:r w:rsidR="0051153E" w:rsidRPr="00DF5C23">
        <w:rPr>
          <w:noProof/>
          <w:lang w:eastAsia="ja-JP"/>
        </w:rPr>
        <w:t>れないように</w:t>
      </w:r>
      <w:r w:rsidR="006160FC" w:rsidRPr="00DF5C23">
        <w:rPr>
          <w:noProof/>
          <w:lang w:eastAsia="ja-JP"/>
        </w:rPr>
        <w:t>設計・運用されるものとする。</w:t>
      </w:r>
    </w:p>
    <w:p w14:paraId="63A691F3" w14:textId="77777777" w:rsidR="0038775E" w:rsidRDefault="00052686" w:rsidP="002041D4">
      <w:pPr>
        <w:pStyle w:val="Titrearticle"/>
        <w:wordWrap w:val="0"/>
        <w:rPr>
          <w:noProof/>
        </w:rPr>
      </w:pPr>
      <w:r w:rsidRPr="00DF5C23">
        <w:rPr>
          <w:noProof/>
          <w:lang w:val="en-IE"/>
        </w:rPr>
        <w:t>第</w:t>
      </w:r>
      <w:r w:rsidRPr="00DF5C23">
        <w:rPr>
          <w:noProof/>
          <w:lang w:val="en-IE"/>
        </w:rPr>
        <w:t>11</w:t>
      </w:r>
      <w:r w:rsidR="00877B9C" w:rsidRPr="00DF5C23">
        <w:rPr>
          <w:noProof/>
          <w:lang w:val="en-IE"/>
        </w:rPr>
        <w:t>条</w:t>
      </w:r>
      <w:r w:rsidR="00877B9C" w:rsidRPr="00DF5C23">
        <w:rPr>
          <w:noProof/>
          <w:lang w:val="en-IE"/>
        </w:rPr>
        <w:br/>
      </w:r>
      <w:r w:rsidR="00877B9C" w:rsidRPr="00DF5C23">
        <w:rPr>
          <w:noProof/>
        </w:rPr>
        <w:t>事業者固有</w:t>
      </w:r>
      <w:r w:rsidR="0051153E" w:rsidRPr="00DF5C23">
        <w:rPr>
          <w:noProof/>
        </w:rPr>
        <w:t>識別子、</w:t>
      </w:r>
      <w:r w:rsidR="00877B9C" w:rsidRPr="00DF5C23">
        <w:rPr>
          <w:noProof/>
        </w:rPr>
        <w:t>施設固有識別子</w:t>
      </w:r>
    </w:p>
    <w:p w14:paraId="083A1024" w14:textId="77777777" w:rsidR="0038775E" w:rsidRDefault="00877B9C" w:rsidP="002041D4">
      <w:pPr>
        <w:pStyle w:val="ManualNumPar1"/>
        <w:wordWrap w:val="0"/>
        <w:rPr>
          <w:noProof/>
          <w:lang w:val="en-IE" w:eastAsia="ja-JP"/>
        </w:rPr>
      </w:pPr>
      <w:r w:rsidRPr="004F5E59">
        <w:rPr>
          <w:lang w:eastAsia="ja-JP"/>
        </w:rPr>
        <w:t>1.</w:t>
      </w:r>
      <w:r w:rsidRPr="004F5E59">
        <w:rPr>
          <w:lang w:eastAsia="ja-JP"/>
        </w:rPr>
        <w:tab/>
      </w:r>
      <w:r w:rsidR="00925F07" w:rsidRPr="00DF5C23">
        <w:rPr>
          <w:noProof/>
          <w:lang w:val="en-IE" w:eastAsia="ja-JP"/>
        </w:rPr>
        <w:t>附属書</w:t>
      </w:r>
      <w:r w:rsidR="00925F07" w:rsidRPr="00DF5C23">
        <w:rPr>
          <w:noProof/>
          <w:lang w:val="en-IE" w:eastAsia="ja-JP"/>
        </w:rPr>
        <w:t>Ⅲ</w:t>
      </w:r>
      <w:r w:rsidR="0056057B" w:rsidRPr="00DF5C23">
        <w:rPr>
          <w:noProof/>
          <w:lang w:val="en-IE" w:eastAsia="ja-JP"/>
        </w:rPr>
        <w:t>の</w:t>
      </w:r>
      <w:r w:rsidR="00925F07" w:rsidRPr="00DF5C23">
        <w:rPr>
          <w:noProof/>
          <w:lang w:val="en-IE" w:eastAsia="ja-JP"/>
        </w:rPr>
        <w:t>(g)</w:t>
      </w:r>
      <w:r w:rsidR="00925F07" w:rsidRPr="00DF5C23">
        <w:rPr>
          <w:noProof/>
          <w:lang w:val="en-IE" w:eastAsia="ja-JP"/>
        </w:rPr>
        <w:t>及び</w:t>
      </w:r>
      <w:r w:rsidR="00925F07" w:rsidRPr="00DF5C23">
        <w:rPr>
          <w:noProof/>
          <w:lang w:val="en-IE" w:eastAsia="ja-JP"/>
        </w:rPr>
        <w:t>(h)</w:t>
      </w:r>
      <w:r w:rsidR="00925F07" w:rsidRPr="00DF5C23">
        <w:rPr>
          <w:noProof/>
          <w:lang w:val="en-IE" w:eastAsia="ja-JP"/>
        </w:rPr>
        <w:t>に</w:t>
      </w:r>
      <w:r w:rsidR="00925F07" w:rsidRPr="00DF5C23">
        <w:rPr>
          <w:noProof/>
          <w:lang w:eastAsia="ja-JP"/>
        </w:rPr>
        <w:t>いう</w:t>
      </w:r>
      <w:r w:rsidR="0095134E" w:rsidRPr="00DF5C23">
        <w:rPr>
          <w:noProof/>
          <w:lang w:eastAsia="ja-JP"/>
        </w:rPr>
        <w:t>事業者固有識別子、</w:t>
      </w:r>
      <w:r w:rsidR="00925F07" w:rsidRPr="00DF5C23">
        <w:rPr>
          <w:noProof/>
          <w:lang w:val="en-IE" w:eastAsia="ja-JP"/>
        </w:rPr>
        <w:t>附属書</w:t>
      </w:r>
      <w:r w:rsidR="00925F07" w:rsidRPr="00DF5C23">
        <w:rPr>
          <w:noProof/>
          <w:lang w:val="en-IE" w:eastAsia="ja-JP"/>
        </w:rPr>
        <w:t>Ⅲ</w:t>
      </w:r>
      <w:r w:rsidR="00925F07" w:rsidRPr="00DF5C23">
        <w:rPr>
          <w:noProof/>
          <w:lang w:val="en-IE" w:eastAsia="ja-JP"/>
        </w:rPr>
        <w:t>の</w:t>
      </w:r>
      <w:r w:rsidR="00925F07" w:rsidRPr="00DF5C23">
        <w:rPr>
          <w:noProof/>
          <w:lang w:val="en-IE" w:eastAsia="ja-JP"/>
        </w:rPr>
        <w:t>(i)</w:t>
      </w:r>
      <w:r w:rsidR="00925F07" w:rsidRPr="00DF5C23">
        <w:rPr>
          <w:noProof/>
          <w:lang w:val="en-IE" w:eastAsia="ja-JP"/>
        </w:rPr>
        <w:t>に</w:t>
      </w:r>
      <w:r w:rsidR="00D5465E" w:rsidRPr="00DF5C23">
        <w:rPr>
          <w:noProof/>
          <w:lang w:eastAsia="ja-JP"/>
        </w:rPr>
        <w:t>いう</w:t>
      </w:r>
      <w:r w:rsidR="0095134E" w:rsidRPr="00DF5C23">
        <w:rPr>
          <w:noProof/>
          <w:lang w:eastAsia="ja-JP"/>
        </w:rPr>
        <w:t>施設固有識別子は、</w:t>
      </w:r>
      <w:r w:rsidR="0095134E" w:rsidRPr="00DF5C23">
        <w:rPr>
          <w:noProof/>
          <w:lang w:eastAsia="ja-JP"/>
        </w:rPr>
        <w:t>ISO/IEC</w:t>
      </w:r>
      <w:r w:rsidR="0095134E" w:rsidRPr="00DF5C23">
        <w:rPr>
          <w:noProof/>
          <w:lang w:eastAsia="ja-JP"/>
        </w:rPr>
        <w:t>規格</w:t>
      </w:r>
      <w:r w:rsidR="0095134E" w:rsidRPr="00DF5C23">
        <w:rPr>
          <w:noProof/>
          <w:lang w:val="en-IE" w:eastAsia="ja-JP"/>
        </w:rPr>
        <w:t>15459</w:t>
      </w:r>
      <w:r w:rsidR="0095134E" w:rsidRPr="00DF5C23">
        <w:rPr>
          <w:noProof/>
          <w:lang w:val="en-IE" w:eastAsia="ja-JP"/>
        </w:rPr>
        <w:t>：</w:t>
      </w:r>
      <w:r w:rsidR="0095134E" w:rsidRPr="00DF5C23">
        <w:rPr>
          <w:noProof/>
          <w:lang w:val="en-IE" w:eastAsia="ja-JP"/>
        </w:rPr>
        <w:t>2015</w:t>
      </w:r>
      <w:r w:rsidR="0095134E" w:rsidRPr="00DF5C23">
        <w:rPr>
          <w:noProof/>
          <w:lang w:val="en-IE" w:eastAsia="ja-JP"/>
        </w:rPr>
        <w:t>に</w:t>
      </w:r>
      <w:r w:rsidR="00607307" w:rsidRPr="00DF5C23">
        <w:rPr>
          <w:noProof/>
          <w:lang w:val="en-IE" w:eastAsia="ja-JP"/>
        </w:rPr>
        <w:t>準拠</w:t>
      </w:r>
      <w:r w:rsidR="0095134E" w:rsidRPr="00DF5C23">
        <w:rPr>
          <w:noProof/>
          <w:lang w:val="en-IE" w:eastAsia="ja-JP"/>
        </w:rPr>
        <w:t>しなければならない</w:t>
      </w:r>
      <w:r w:rsidR="00FE243C" w:rsidRPr="00DF5C23">
        <w:rPr>
          <w:noProof/>
          <w:lang w:val="en-IE" w:eastAsia="ja-JP"/>
        </w:rPr>
        <w:t>。</w:t>
      </w:r>
    </w:p>
    <w:p w14:paraId="3689E808" w14:textId="77777777" w:rsidR="0038775E" w:rsidRDefault="00877B9C" w:rsidP="002041D4">
      <w:pPr>
        <w:pStyle w:val="ManualNumPar1"/>
        <w:wordWrap w:val="0"/>
        <w:rPr>
          <w:noProof/>
          <w:lang w:val="en-IE" w:eastAsia="ja-JP"/>
        </w:rPr>
      </w:pPr>
      <w:r w:rsidRPr="004F5E59">
        <w:rPr>
          <w:lang w:eastAsia="ja-JP"/>
        </w:rPr>
        <w:t>2.</w:t>
      </w:r>
      <w:r w:rsidRPr="004F5E59">
        <w:rPr>
          <w:lang w:eastAsia="ja-JP"/>
        </w:rPr>
        <w:tab/>
      </w:r>
      <w:r w:rsidR="00925F07" w:rsidRPr="00DF5C23">
        <w:rPr>
          <w:noProof/>
          <w:lang w:val="en-IE" w:eastAsia="ja-JP"/>
        </w:rPr>
        <w:t>附属書</w:t>
      </w:r>
      <w:r w:rsidR="00925F07" w:rsidRPr="00DF5C23">
        <w:rPr>
          <w:noProof/>
          <w:lang w:val="en-IE" w:eastAsia="ja-JP"/>
        </w:rPr>
        <w:t>III</w:t>
      </w:r>
      <w:r w:rsidR="00925F07" w:rsidRPr="00DF5C23">
        <w:rPr>
          <w:noProof/>
          <w:lang w:val="en-IE" w:eastAsia="ja-JP"/>
        </w:rPr>
        <w:t>のポイント</w:t>
      </w:r>
      <w:r w:rsidR="00925F07" w:rsidRPr="00DF5C23">
        <w:rPr>
          <w:noProof/>
          <w:lang w:val="en-IE" w:eastAsia="ja-JP"/>
        </w:rPr>
        <w:t>(h)</w:t>
      </w:r>
      <w:r w:rsidR="00925F07" w:rsidRPr="00DF5C23">
        <w:rPr>
          <w:noProof/>
          <w:lang w:eastAsia="ja-JP"/>
        </w:rPr>
        <w:t>で言及されている固有の事業者識別子が</w:t>
      </w:r>
      <w:r w:rsidR="00925F07" w:rsidRPr="00DF5C23">
        <w:rPr>
          <w:noProof/>
          <w:lang w:val="en-IE" w:eastAsia="ja-JP"/>
        </w:rPr>
        <w:t>まだ利用できない</w:t>
      </w:r>
      <w:r w:rsidR="00925F07" w:rsidRPr="00DF5C23">
        <w:rPr>
          <w:noProof/>
          <w:lang w:eastAsia="ja-JP"/>
        </w:rPr>
        <w:t>場合、</w:t>
      </w:r>
      <w:r w:rsidR="00561884" w:rsidRPr="00DF5C23">
        <w:rPr>
          <w:noProof/>
          <w:lang w:val="en-IE" w:eastAsia="ja-JP"/>
        </w:rPr>
        <w:t>製品パスポートを作成する経済事業</w:t>
      </w:r>
      <w:r w:rsidR="007A0D9E" w:rsidRPr="00DF5C23">
        <w:rPr>
          <w:noProof/>
          <w:lang w:val="en-IE" w:eastAsia="ja-JP"/>
        </w:rPr>
        <w:t>者は、</w:t>
      </w:r>
      <w:r w:rsidR="00925F07" w:rsidRPr="00DF5C23">
        <w:rPr>
          <w:noProof/>
          <w:lang w:val="en-IE" w:eastAsia="ja-JP"/>
        </w:rPr>
        <w:t>関連する行為者に代わって</w:t>
      </w:r>
      <w:r w:rsidR="007A0D9E" w:rsidRPr="00DF5C23">
        <w:rPr>
          <w:noProof/>
          <w:lang w:eastAsia="ja-JP"/>
        </w:rPr>
        <w:t>固有の事業者識別子を</w:t>
      </w:r>
      <w:r w:rsidR="007A0D9E" w:rsidRPr="00DF5C23">
        <w:rPr>
          <w:noProof/>
          <w:lang w:val="en-IE" w:eastAsia="ja-JP"/>
        </w:rPr>
        <w:t>要求するものとする。</w:t>
      </w:r>
    </w:p>
    <w:p w14:paraId="63974229" w14:textId="77777777" w:rsidR="0038775E" w:rsidRDefault="00877B9C" w:rsidP="002041D4">
      <w:pPr>
        <w:pStyle w:val="Text1"/>
        <w:wordWrap w:val="0"/>
        <w:rPr>
          <w:noProof/>
          <w:lang w:val="en-IE" w:eastAsia="ja-JP"/>
        </w:rPr>
      </w:pPr>
      <w:r w:rsidRPr="00DF5C23">
        <w:rPr>
          <w:noProof/>
          <w:lang w:val="en-IE" w:eastAsia="ja-JP"/>
        </w:rPr>
        <w:t>第</w:t>
      </w:r>
      <w:r w:rsidRPr="00DF5C23">
        <w:rPr>
          <w:noProof/>
          <w:lang w:val="en-IE" w:eastAsia="ja-JP"/>
        </w:rPr>
        <w:t>1</w:t>
      </w:r>
      <w:r w:rsidRPr="00DF5C23">
        <w:rPr>
          <w:noProof/>
          <w:lang w:val="en-IE" w:eastAsia="ja-JP"/>
        </w:rPr>
        <w:t>号にいう要求を出す前に、</w:t>
      </w:r>
      <w:r w:rsidR="00561884" w:rsidRPr="00DF5C23">
        <w:rPr>
          <w:noProof/>
          <w:lang w:val="en-IE" w:eastAsia="ja-JP"/>
        </w:rPr>
        <w:t>製品パスポートを作成する経済事業</w:t>
      </w:r>
      <w:r w:rsidR="006160FC" w:rsidRPr="00DF5C23">
        <w:rPr>
          <w:noProof/>
          <w:lang w:val="en-IE" w:eastAsia="ja-JP"/>
        </w:rPr>
        <w:t>者は、関係</w:t>
      </w:r>
      <w:r w:rsidR="00AB7386" w:rsidRPr="00DF5C23">
        <w:rPr>
          <w:rFonts w:eastAsia="Times New Roman"/>
          <w:noProof/>
          <w:color w:val="000000" w:themeColor="text1"/>
          <w:lang w:val="en-IE" w:eastAsia="fr-BE"/>
        </w:rPr>
        <w:t>事業</w:t>
      </w:r>
      <w:r w:rsidRPr="00DF5C23">
        <w:rPr>
          <w:noProof/>
          <w:lang w:val="en-IE" w:eastAsia="ja-JP"/>
        </w:rPr>
        <w:t>者に</w:t>
      </w:r>
      <w:r w:rsidRPr="00DF5C23">
        <w:rPr>
          <w:noProof/>
          <w:lang w:val="en-IE" w:eastAsia="ja-JP"/>
        </w:rPr>
        <w:t>固有の事業者識別子が存在しないことの確認を</w:t>
      </w:r>
      <w:r w:rsidR="007A0D9E" w:rsidRPr="00DF5C23">
        <w:rPr>
          <w:noProof/>
          <w:lang w:val="en-IE" w:eastAsia="ja-JP"/>
        </w:rPr>
        <w:t>求め、関係</w:t>
      </w:r>
      <w:r w:rsidRPr="00DF5C23">
        <w:rPr>
          <w:noProof/>
          <w:lang w:val="en-IE" w:eastAsia="ja-JP"/>
        </w:rPr>
        <w:t>サプライチェーン</w:t>
      </w:r>
      <w:r w:rsidR="007A0D9E" w:rsidRPr="00DF5C23">
        <w:rPr>
          <w:noProof/>
          <w:lang w:val="en-IE" w:eastAsia="ja-JP"/>
        </w:rPr>
        <w:t>事業</w:t>
      </w:r>
      <w:r w:rsidRPr="00DF5C23">
        <w:rPr>
          <w:noProof/>
          <w:lang w:val="en-IE" w:eastAsia="ja-JP"/>
        </w:rPr>
        <w:t>者に、公表された固有の事業者識別子の全詳細を提供</w:t>
      </w:r>
      <w:r w:rsidR="006160FC" w:rsidRPr="00DF5C23">
        <w:rPr>
          <w:noProof/>
          <w:lang w:val="en-IE" w:eastAsia="ja-JP"/>
        </w:rPr>
        <w:t>しなければならない。</w:t>
      </w:r>
      <w:r w:rsidR="006160FC" w:rsidRPr="00DF5C23">
        <w:rPr>
          <w:noProof/>
          <w:lang w:val="en-IE" w:eastAsia="ja-JP"/>
        </w:rPr>
        <w:t xml:space="preserve"> </w:t>
      </w:r>
    </w:p>
    <w:p w14:paraId="3CD21522" w14:textId="77777777" w:rsidR="0038775E" w:rsidRDefault="00877B9C" w:rsidP="002041D4">
      <w:pPr>
        <w:pStyle w:val="ManualNumPar1"/>
        <w:wordWrap w:val="0"/>
        <w:rPr>
          <w:noProof/>
          <w:lang w:val="en-IE" w:eastAsia="ja-JP"/>
        </w:rPr>
      </w:pPr>
      <w:r w:rsidRPr="004F5E59">
        <w:rPr>
          <w:lang w:eastAsia="ja-JP"/>
        </w:rPr>
        <w:lastRenderedPageBreak/>
        <w:t>3.</w:t>
      </w:r>
      <w:r w:rsidRPr="004F5E59">
        <w:rPr>
          <w:lang w:eastAsia="ja-JP"/>
        </w:rPr>
        <w:tab/>
      </w:r>
      <w:r w:rsidR="00D5465E" w:rsidRPr="00DF5C23">
        <w:rPr>
          <w:noProof/>
          <w:lang w:val="en-IE" w:eastAsia="ja-JP"/>
        </w:rPr>
        <w:t>附属書</w:t>
      </w:r>
      <w:r w:rsidR="00D5465E" w:rsidRPr="00DF5C23">
        <w:rPr>
          <w:noProof/>
          <w:lang w:val="en-IE" w:eastAsia="ja-JP"/>
        </w:rPr>
        <w:t xml:space="preserve"> III </w:t>
      </w:r>
      <w:r w:rsidR="00D5465E" w:rsidRPr="00DF5C23">
        <w:rPr>
          <w:noProof/>
          <w:lang w:val="en-IE" w:eastAsia="ja-JP"/>
        </w:rPr>
        <w:t>の</w:t>
      </w:r>
      <w:r w:rsidR="00D5465E" w:rsidRPr="00DF5C23">
        <w:rPr>
          <w:noProof/>
          <w:lang w:val="en-IE" w:eastAsia="ja-JP"/>
        </w:rPr>
        <w:t>(i)</w:t>
      </w:r>
      <w:r w:rsidR="00D5465E" w:rsidRPr="00DF5C23">
        <w:rPr>
          <w:noProof/>
          <w:lang w:eastAsia="ja-JP"/>
        </w:rPr>
        <w:t>に言及する固有の施設識別子が</w:t>
      </w:r>
      <w:r w:rsidR="00D5465E" w:rsidRPr="00DF5C23">
        <w:rPr>
          <w:noProof/>
          <w:lang w:val="en-IE" w:eastAsia="ja-JP"/>
        </w:rPr>
        <w:t>まだ利用できない場合、</w:t>
      </w:r>
      <w:r w:rsidR="00561884" w:rsidRPr="00DF5C23">
        <w:rPr>
          <w:noProof/>
          <w:lang w:val="en-IE" w:eastAsia="ja-JP"/>
        </w:rPr>
        <w:t>製品パスポートを作成する経済事業</w:t>
      </w:r>
      <w:r w:rsidR="007A0D9E" w:rsidRPr="00DF5C23">
        <w:rPr>
          <w:noProof/>
          <w:lang w:val="en-IE" w:eastAsia="ja-JP"/>
        </w:rPr>
        <w:t>者は、関連する場所または建物に責任を負う行為者に代わって</w:t>
      </w:r>
      <w:r w:rsidR="007A0D9E" w:rsidRPr="00DF5C23">
        <w:rPr>
          <w:noProof/>
          <w:lang w:eastAsia="ja-JP"/>
        </w:rPr>
        <w:t>固有の施設識別子を</w:t>
      </w:r>
      <w:r w:rsidR="007A0D9E" w:rsidRPr="00DF5C23">
        <w:rPr>
          <w:noProof/>
          <w:lang w:val="en-IE" w:eastAsia="ja-JP"/>
        </w:rPr>
        <w:t>要求するものとする。</w:t>
      </w:r>
    </w:p>
    <w:p w14:paraId="628184F4" w14:textId="36A0B249" w:rsidR="0038775E" w:rsidRDefault="00877B9C" w:rsidP="002041D4">
      <w:pPr>
        <w:pStyle w:val="Text1"/>
        <w:wordWrap w:val="0"/>
        <w:rPr>
          <w:noProof/>
          <w:lang w:val="en-IE" w:eastAsia="ja-JP"/>
        </w:rPr>
      </w:pPr>
      <w:r w:rsidRPr="00DF5C23">
        <w:rPr>
          <w:noProof/>
          <w:lang w:val="en-IE" w:eastAsia="ja-JP"/>
        </w:rPr>
        <w:t>第</w:t>
      </w:r>
      <w:r w:rsidRPr="00DF5C23">
        <w:rPr>
          <w:noProof/>
          <w:lang w:val="en-IE" w:eastAsia="ja-JP"/>
        </w:rPr>
        <w:t>1</w:t>
      </w:r>
      <w:r w:rsidRPr="00DF5C23">
        <w:rPr>
          <w:noProof/>
          <w:lang w:val="en-IE" w:eastAsia="ja-JP"/>
        </w:rPr>
        <w:t>号にいう要求を出す前に、</w:t>
      </w:r>
      <w:r w:rsidR="00561884" w:rsidRPr="00DF5C23">
        <w:rPr>
          <w:noProof/>
          <w:lang w:val="en-IE" w:eastAsia="ja-JP"/>
        </w:rPr>
        <w:t>製品パスポートを作成する経済事業</w:t>
      </w:r>
      <w:r w:rsidR="007A0D9E" w:rsidRPr="00DF5C23">
        <w:rPr>
          <w:noProof/>
          <w:lang w:val="en-IE" w:eastAsia="ja-JP"/>
        </w:rPr>
        <w:t>者は、責任ある</w:t>
      </w:r>
      <w:r w:rsidR="007A0D9E" w:rsidRPr="00DF5C23">
        <w:rPr>
          <w:rFonts w:eastAsia="Times New Roman"/>
          <w:noProof/>
          <w:color w:val="000000" w:themeColor="text1"/>
          <w:lang w:val="en-IE" w:eastAsia="fr-BE"/>
        </w:rPr>
        <w:t>行為</w:t>
      </w:r>
      <w:r w:rsidRPr="00DF5C23">
        <w:rPr>
          <w:noProof/>
          <w:lang w:val="en-IE" w:eastAsia="ja-JP"/>
        </w:rPr>
        <w:t>者から、固有の施設識別子が存在しないことの確認を</w:t>
      </w:r>
      <w:r w:rsidR="007A0D9E" w:rsidRPr="00DF5C23">
        <w:rPr>
          <w:noProof/>
          <w:lang w:val="en-IE" w:eastAsia="ja-JP"/>
        </w:rPr>
        <w:t>求め、</w:t>
      </w:r>
      <w:r w:rsidR="007A0D9E" w:rsidRPr="00DF5C23">
        <w:rPr>
          <w:rFonts w:eastAsia="Times New Roman"/>
          <w:noProof/>
          <w:color w:val="000000" w:themeColor="text1"/>
          <w:lang w:val="en-IE" w:eastAsia="fr-BE"/>
        </w:rPr>
        <w:t>責任ある</w:t>
      </w:r>
      <w:r w:rsidR="007A0D9E" w:rsidRPr="00DF5C23">
        <w:rPr>
          <w:noProof/>
          <w:lang w:val="en-IE" w:eastAsia="ja-JP"/>
        </w:rPr>
        <w:t>行為者に、解除された</w:t>
      </w:r>
      <w:r w:rsidR="006160FC" w:rsidRPr="00DF5C23">
        <w:rPr>
          <w:noProof/>
          <w:lang w:val="en-IE" w:eastAsia="ja-JP"/>
        </w:rPr>
        <w:t>固有の施設識別子の全詳細を</w:t>
      </w:r>
      <w:r w:rsidRPr="00DF5C23">
        <w:rPr>
          <w:noProof/>
          <w:lang w:val="en-IE" w:eastAsia="ja-JP"/>
        </w:rPr>
        <w:t>提供するものと</w:t>
      </w:r>
      <w:r w:rsidR="002041D4">
        <w:rPr>
          <w:noProof/>
          <w:lang w:val="en-IE" w:eastAsia="ja-JP"/>
        </w:rPr>
        <w:t>する</w:t>
      </w:r>
      <w:r w:rsidR="006160FC" w:rsidRPr="00DF5C23">
        <w:rPr>
          <w:noProof/>
          <w:lang w:val="en-IE" w:eastAsia="ja-JP"/>
        </w:rPr>
        <w:t>。</w:t>
      </w:r>
      <w:r w:rsidR="006160FC" w:rsidRPr="00DF5C23">
        <w:rPr>
          <w:noProof/>
          <w:lang w:val="en-IE" w:eastAsia="ja-JP"/>
        </w:rPr>
        <w:t xml:space="preserve"> </w:t>
      </w:r>
    </w:p>
    <w:p w14:paraId="1DD6690C" w14:textId="77777777" w:rsidR="0038775E" w:rsidRDefault="00877B9C" w:rsidP="002041D4">
      <w:pPr>
        <w:pStyle w:val="ManualNumPar1"/>
        <w:wordWrap w:val="0"/>
        <w:rPr>
          <w:noProof/>
          <w:lang w:eastAsia="ja-JP"/>
        </w:rPr>
      </w:pPr>
      <w:r w:rsidRPr="004F5E59">
        <w:rPr>
          <w:lang w:eastAsia="ja-JP"/>
        </w:rPr>
        <w:t>4.</w:t>
      </w:r>
      <w:r w:rsidRPr="004F5E59">
        <w:rPr>
          <w:lang w:eastAsia="ja-JP"/>
        </w:rPr>
        <w:tab/>
      </w:r>
      <w:r w:rsidR="00851C9F" w:rsidRPr="00DF5C23">
        <w:rPr>
          <w:noProof/>
          <w:lang w:val="en-IE" w:eastAsia="fr-BE"/>
        </w:rPr>
        <w:t>欧州委員会は、</w:t>
      </w:r>
      <w:r w:rsidR="00851C9F" w:rsidRPr="00DF5C23">
        <w:rPr>
          <w:noProof/>
          <w:lang w:eastAsia="ja-JP"/>
        </w:rPr>
        <w:t>技術的及び科学的進歩に照らして</w:t>
      </w:r>
      <w:r w:rsidR="00851C9F" w:rsidRPr="00DF5C23">
        <w:rPr>
          <w:noProof/>
          <w:lang w:val="en-IE" w:eastAsia="fr-BE"/>
        </w:rPr>
        <w:t>本条第</w:t>
      </w:r>
      <w:r w:rsidR="00851C9F" w:rsidRPr="00DF5C23">
        <w:rPr>
          <w:noProof/>
          <w:lang w:val="en-IE" w:eastAsia="fr-BE"/>
        </w:rPr>
        <w:t>1</w:t>
      </w:r>
      <w:r w:rsidR="00851C9F" w:rsidRPr="00DF5C23">
        <w:rPr>
          <w:noProof/>
          <w:lang w:val="en-IE" w:eastAsia="fr-BE"/>
        </w:rPr>
        <w:t>項を修正するため、第</w:t>
      </w:r>
      <w:r w:rsidR="00851C9F" w:rsidRPr="00DF5C23">
        <w:rPr>
          <w:noProof/>
          <w:lang w:val="en-IE" w:eastAsia="fr-BE"/>
        </w:rPr>
        <w:t>66</w:t>
      </w:r>
      <w:r w:rsidR="00851C9F" w:rsidRPr="00DF5C23">
        <w:rPr>
          <w:noProof/>
          <w:lang w:val="en-IE" w:eastAsia="fr-BE"/>
        </w:rPr>
        <w:t>条に従って委任法を採択し、</w:t>
      </w:r>
      <w:r w:rsidR="00970C61">
        <w:rPr>
          <w:noProof/>
          <w:lang w:val="en-IE" w:eastAsia="fr-BE"/>
        </w:rPr>
        <w:t>同項に</w:t>
      </w:r>
      <w:r w:rsidR="00970C61" w:rsidRPr="00DF5C23">
        <w:rPr>
          <w:noProof/>
          <w:lang w:val="en-IE" w:eastAsia="fr-BE"/>
        </w:rPr>
        <w:t>いう規格を置き換え、又は</w:t>
      </w:r>
      <w:r w:rsidR="00851C9F" w:rsidRPr="00DF5C23">
        <w:rPr>
          <w:noProof/>
          <w:lang w:val="en-IE" w:eastAsia="ja-JP"/>
        </w:rPr>
        <w:t>附属書</w:t>
      </w:r>
      <w:r w:rsidR="00851C9F" w:rsidRPr="00DF5C23">
        <w:rPr>
          <w:noProof/>
          <w:lang w:val="en-IE" w:eastAsia="ja-JP"/>
        </w:rPr>
        <w:t>III</w:t>
      </w:r>
      <w:r w:rsidR="00851C9F" w:rsidRPr="00DF5C23">
        <w:rPr>
          <w:noProof/>
          <w:lang w:val="en-IE" w:eastAsia="ja-JP"/>
        </w:rPr>
        <w:t>の（</w:t>
      </w:r>
      <w:r w:rsidR="00851C9F" w:rsidRPr="00DF5C23">
        <w:rPr>
          <w:noProof/>
          <w:lang w:val="en-IE" w:eastAsia="ja-JP"/>
        </w:rPr>
        <w:t>g</w:t>
      </w:r>
      <w:r w:rsidR="00851C9F" w:rsidRPr="00DF5C23">
        <w:rPr>
          <w:noProof/>
          <w:lang w:val="en-IE" w:eastAsia="ja-JP"/>
        </w:rPr>
        <w:t>）及び（</w:t>
      </w:r>
      <w:r w:rsidR="00851C9F" w:rsidRPr="00DF5C23">
        <w:rPr>
          <w:noProof/>
          <w:lang w:val="en-IE" w:eastAsia="ja-JP"/>
        </w:rPr>
        <w:t>h</w:t>
      </w:r>
      <w:r w:rsidR="00851C9F" w:rsidRPr="00DF5C23">
        <w:rPr>
          <w:noProof/>
          <w:lang w:eastAsia="ja-JP"/>
        </w:rPr>
        <w:t>）にいう固有の事業者識別子及び</w:t>
      </w:r>
      <w:r w:rsidR="00851C9F" w:rsidRPr="00DF5C23">
        <w:rPr>
          <w:noProof/>
          <w:lang w:val="en-IE" w:eastAsia="ja-JP"/>
        </w:rPr>
        <w:t>附属書</w:t>
      </w:r>
      <w:r w:rsidR="00851C9F" w:rsidRPr="00DF5C23">
        <w:rPr>
          <w:noProof/>
          <w:lang w:val="en-IE" w:eastAsia="ja-JP"/>
        </w:rPr>
        <w:t>III</w:t>
      </w:r>
      <w:r w:rsidR="00851C9F" w:rsidRPr="00DF5C23">
        <w:rPr>
          <w:noProof/>
          <w:lang w:val="en-IE" w:eastAsia="ja-JP"/>
        </w:rPr>
        <w:t>の（</w:t>
      </w:r>
      <w:r w:rsidR="00851C9F" w:rsidRPr="00DF5C23">
        <w:rPr>
          <w:noProof/>
          <w:lang w:val="en-IE" w:eastAsia="ja-JP"/>
        </w:rPr>
        <w:t>i</w:t>
      </w:r>
      <w:r w:rsidR="00851C9F" w:rsidRPr="00DF5C23">
        <w:rPr>
          <w:noProof/>
          <w:lang w:val="en-IE" w:eastAsia="ja-JP"/>
        </w:rPr>
        <w:t>）に</w:t>
      </w:r>
      <w:r w:rsidR="00851C9F" w:rsidRPr="00DF5C23">
        <w:rPr>
          <w:noProof/>
          <w:lang w:eastAsia="ja-JP"/>
        </w:rPr>
        <w:t>いう固有の施設</w:t>
      </w:r>
      <w:r w:rsidR="00851C9F" w:rsidRPr="00DF5C23">
        <w:rPr>
          <w:noProof/>
          <w:lang w:val="en-IE" w:eastAsia="ja-JP"/>
        </w:rPr>
        <w:t>識別子が本条に定める条件を満たすために準拠し得る</w:t>
      </w:r>
      <w:r w:rsidR="00851C9F" w:rsidRPr="00DF5C23">
        <w:rPr>
          <w:noProof/>
          <w:lang w:val="en-IE" w:eastAsia="fr-BE"/>
        </w:rPr>
        <w:t>欧州又は国際規格を追加する権限を与えられている</w:t>
      </w:r>
      <w:r w:rsidR="00851C9F" w:rsidRPr="00DF5C23">
        <w:rPr>
          <w:noProof/>
          <w:lang w:eastAsia="ja-JP"/>
        </w:rPr>
        <w:t>。</w:t>
      </w:r>
    </w:p>
    <w:p w14:paraId="4588B41F" w14:textId="77777777" w:rsidR="0038775E" w:rsidRDefault="00D81E4D" w:rsidP="002041D4">
      <w:pPr>
        <w:pStyle w:val="Titrearticle"/>
        <w:wordWrap w:val="0"/>
        <w:rPr>
          <w:noProof/>
          <w:lang w:val="en-IE" w:eastAsia="ja-JP"/>
        </w:rPr>
      </w:pPr>
      <w:r w:rsidRPr="00DF5C23">
        <w:rPr>
          <w:noProof/>
          <w:lang w:val="en-IE" w:eastAsia="ja-JP"/>
        </w:rPr>
        <w:t>第</w:t>
      </w:r>
      <w:r w:rsidRPr="00DF5C23">
        <w:rPr>
          <w:noProof/>
          <w:lang w:val="en-IE" w:eastAsia="ja-JP"/>
        </w:rPr>
        <w:t>12</w:t>
      </w:r>
      <w:r w:rsidR="00877B9C" w:rsidRPr="00DF5C23">
        <w:rPr>
          <w:noProof/>
          <w:lang w:val="en-IE" w:eastAsia="ja-JP"/>
        </w:rPr>
        <w:t>条</w:t>
      </w:r>
      <w:r w:rsidR="00877B9C" w:rsidRPr="00DF5C23">
        <w:rPr>
          <w:noProof/>
          <w:lang w:val="en-IE" w:eastAsia="ja-JP"/>
        </w:rPr>
        <w:br/>
      </w:r>
      <w:r w:rsidR="00463675" w:rsidRPr="00DF5C23">
        <w:rPr>
          <w:noProof/>
          <w:lang w:val="en-IE" w:eastAsia="ja-JP"/>
        </w:rPr>
        <w:t>製品パスポート</w:t>
      </w:r>
      <w:r w:rsidR="00877B9C" w:rsidRPr="00DF5C23">
        <w:rPr>
          <w:noProof/>
          <w:lang w:val="en-IE" w:eastAsia="ja-JP"/>
        </w:rPr>
        <w:t>登録</w:t>
      </w:r>
    </w:p>
    <w:p w14:paraId="2872DD09" w14:textId="77777777" w:rsidR="0038775E" w:rsidRDefault="00877B9C" w:rsidP="002041D4">
      <w:pPr>
        <w:pStyle w:val="ManualNumPar1"/>
        <w:wordWrap w:val="0"/>
        <w:rPr>
          <w:noProof/>
          <w:lang w:val="en-IE" w:eastAsia="fr-BE"/>
        </w:rPr>
      </w:pPr>
      <w:r w:rsidRPr="004F5E59">
        <w:rPr>
          <w:lang w:eastAsia="ja-JP"/>
        </w:rPr>
        <w:t>1.</w:t>
      </w:r>
      <w:r w:rsidRPr="004F5E59">
        <w:rPr>
          <w:lang w:eastAsia="ja-JP"/>
        </w:rPr>
        <w:tab/>
      </w:r>
      <w:r w:rsidR="007A319D" w:rsidRPr="00DF5C23">
        <w:rPr>
          <w:noProof/>
          <w:lang w:val="en-IE" w:eastAsia="fr-BE"/>
        </w:rPr>
        <w:t>委員会は、</w:t>
      </w:r>
      <w:r w:rsidR="00D66868" w:rsidRPr="00DF5C23">
        <w:rPr>
          <w:noProof/>
          <w:lang w:val="en-IE" w:eastAsia="fr-BE"/>
        </w:rPr>
        <w:t>第</w:t>
      </w:r>
      <w:r w:rsidR="00D66868" w:rsidRPr="00DF5C23">
        <w:rPr>
          <w:noProof/>
          <w:lang w:val="en-IE" w:eastAsia="fr-BE"/>
        </w:rPr>
        <w:t>4</w:t>
      </w:r>
      <w:r w:rsidR="00D66868" w:rsidRPr="00DF5C23">
        <w:rPr>
          <w:noProof/>
          <w:lang w:val="en-IE" w:eastAsia="fr-BE"/>
        </w:rPr>
        <w:t>条に従って採択された委任法が要求する製品パスポートに含まれる情報を</w:t>
      </w:r>
      <w:r w:rsidR="007A319D" w:rsidRPr="00DF5C23">
        <w:rPr>
          <w:noProof/>
          <w:lang w:val="en-IE" w:eastAsia="fr-BE"/>
        </w:rPr>
        <w:t>格納する登録簿を設置し、維持</w:t>
      </w:r>
      <w:r w:rsidR="00463675" w:rsidRPr="00DF5C23">
        <w:rPr>
          <w:noProof/>
          <w:lang w:val="en-IE" w:eastAsia="fr-BE"/>
        </w:rPr>
        <w:t>しなければならない。</w:t>
      </w:r>
    </w:p>
    <w:p w14:paraId="59965897" w14:textId="77777777" w:rsidR="0038775E" w:rsidRDefault="00463675" w:rsidP="002041D4">
      <w:pPr>
        <w:pStyle w:val="Text1"/>
        <w:wordWrap w:val="0"/>
        <w:rPr>
          <w:noProof/>
          <w:lang w:val="en-IE" w:eastAsia="fr-BE"/>
        </w:rPr>
      </w:pPr>
      <w:r w:rsidRPr="00DF5C23">
        <w:rPr>
          <w:noProof/>
          <w:lang w:val="en-IE" w:eastAsia="fr-BE"/>
        </w:rPr>
        <w:t>第</w:t>
      </w:r>
      <w:r w:rsidRPr="00DF5C23">
        <w:rPr>
          <w:noProof/>
          <w:lang w:val="en-IE" w:eastAsia="fr-BE"/>
        </w:rPr>
        <w:t>1</w:t>
      </w:r>
      <w:r w:rsidRPr="00DF5C23">
        <w:rPr>
          <w:noProof/>
          <w:lang w:val="en-IE" w:eastAsia="fr-BE"/>
        </w:rPr>
        <w:t>号にいう</w:t>
      </w:r>
      <w:r w:rsidR="00877B9C" w:rsidRPr="00DF5C23">
        <w:rPr>
          <w:noProof/>
          <w:lang w:val="en-IE" w:eastAsia="fr-BE"/>
        </w:rPr>
        <w:t>登録簿は、少なくとも、第</w:t>
      </w:r>
      <w:r w:rsidR="00877B9C" w:rsidRPr="00DF5C23">
        <w:rPr>
          <w:noProof/>
          <w:lang w:val="en-IE" w:eastAsia="fr-BE"/>
        </w:rPr>
        <w:t>9</w:t>
      </w:r>
      <w:r w:rsidR="00877B9C" w:rsidRPr="00DF5C23">
        <w:rPr>
          <w:noProof/>
          <w:lang w:val="en-IE" w:eastAsia="fr-BE"/>
        </w:rPr>
        <w:t>条第</w:t>
      </w:r>
      <w:r w:rsidR="00877B9C" w:rsidRPr="00DF5C23">
        <w:rPr>
          <w:noProof/>
          <w:lang w:val="en-IE" w:eastAsia="fr-BE"/>
        </w:rPr>
        <w:t>1</w:t>
      </w:r>
      <w:r w:rsidR="00877B9C" w:rsidRPr="00DF5C23">
        <w:rPr>
          <w:noProof/>
          <w:lang w:val="en-IE" w:eastAsia="fr-BE"/>
        </w:rPr>
        <w:t>項にいう</w:t>
      </w:r>
      <w:r w:rsidR="007A319D" w:rsidRPr="00DF5C23">
        <w:rPr>
          <w:noProof/>
          <w:lang w:val="en-IE" w:eastAsia="fr-BE"/>
        </w:rPr>
        <w:t>データキャリア及び固有の</w:t>
      </w:r>
      <w:r w:rsidR="00877B9C" w:rsidRPr="00DF5C23">
        <w:rPr>
          <w:noProof/>
          <w:lang w:val="en-IE" w:eastAsia="fr-BE"/>
        </w:rPr>
        <w:t>製品</w:t>
      </w:r>
      <w:r w:rsidR="007A319D" w:rsidRPr="00DF5C23">
        <w:rPr>
          <w:noProof/>
          <w:lang w:val="en-IE" w:eastAsia="fr-BE"/>
        </w:rPr>
        <w:t>識別子の</w:t>
      </w:r>
      <w:r w:rsidR="00877B9C" w:rsidRPr="00DF5C23">
        <w:rPr>
          <w:noProof/>
          <w:lang w:val="en-IE" w:eastAsia="fr-BE"/>
        </w:rPr>
        <w:t>リストを含むものとする</w:t>
      </w:r>
      <w:r w:rsidR="007A319D" w:rsidRPr="00DF5C23">
        <w:rPr>
          <w:noProof/>
          <w:lang w:val="en-IE" w:eastAsia="fr-BE"/>
        </w:rPr>
        <w:t>。</w:t>
      </w:r>
      <w:r w:rsidR="007A319D" w:rsidRPr="00DF5C23">
        <w:rPr>
          <w:noProof/>
          <w:lang w:val="en-IE" w:eastAsia="fr-BE"/>
        </w:rPr>
        <w:t xml:space="preserve"> </w:t>
      </w:r>
    </w:p>
    <w:p w14:paraId="77D18D24" w14:textId="77777777" w:rsidR="0038775E" w:rsidRDefault="00877B9C" w:rsidP="002041D4">
      <w:pPr>
        <w:pStyle w:val="Text1"/>
        <w:wordWrap w:val="0"/>
        <w:rPr>
          <w:noProof/>
          <w:lang w:val="en-IE" w:eastAsia="fr-BE"/>
        </w:rPr>
      </w:pPr>
      <w:r w:rsidRPr="00DF5C23">
        <w:rPr>
          <w:noProof/>
          <w:lang w:val="en-IE" w:eastAsia="fr-BE"/>
        </w:rPr>
        <w:t>委員会は、</w:t>
      </w:r>
      <w:r w:rsidR="00463675" w:rsidRPr="00DF5C23">
        <w:rPr>
          <w:noProof/>
          <w:lang w:val="en-IE" w:eastAsia="fr-BE"/>
        </w:rPr>
        <w:t>第</w:t>
      </w:r>
      <w:r w:rsidR="00463675" w:rsidRPr="00DF5C23">
        <w:rPr>
          <w:noProof/>
          <w:lang w:val="en-IE" w:eastAsia="fr-BE"/>
        </w:rPr>
        <w:t>1</w:t>
      </w:r>
      <w:r w:rsidR="00463675" w:rsidRPr="00DF5C23">
        <w:rPr>
          <w:noProof/>
          <w:lang w:val="en-IE" w:eastAsia="fr-BE"/>
        </w:rPr>
        <w:t>号に掲げる</w:t>
      </w:r>
      <w:r w:rsidR="00D66868" w:rsidRPr="00DF5C23">
        <w:rPr>
          <w:noProof/>
          <w:lang w:val="en-IE" w:eastAsia="fr-BE"/>
        </w:rPr>
        <w:t>登録簿に保存された</w:t>
      </w:r>
      <w:r w:rsidR="000D00CD" w:rsidRPr="00DF5C23">
        <w:rPr>
          <w:noProof/>
          <w:lang w:val="en-IE" w:eastAsia="fr-BE"/>
        </w:rPr>
        <w:t>情報が、</w:t>
      </w:r>
      <w:r w:rsidRPr="00DF5C23">
        <w:rPr>
          <w:noProof/>
          <w:lang w:val="en-IE" w:eastAsia="fr-BE"/>
        </w:rPr>
        <w:t>安全かつ</w:t>
      </w:r>
      <w:r w:rsidR="00425CAE" w:rsidRPr="00DF5C23">
        <w:rPr>
          <w:noProof/>
          <w:lang w:val="en-IE" w:eastAsia="fr-BE"/>
        </w:rPr>
        <w:t>個人情報の保護に関する適用規則を含む</w:t>
      </w:r>
      <w:r w:rsidRPr="00DF5C23">
        <w:rPr>
          <w:noProof/>
          <w:lang w:val="en-IE" w:eastAsia="fr-BE"/>
        </w:rPr>
        <w:t>連合法に準拠して処理されることを確保するものとする。</w:t>
      </w:r>
    </w:p>
    <w:p w14:paraId="3D209AAF" w14:textId="77777777" w:rsidR="0038775E" w:rsidRDefault="00877B9C" w:rsidP="002041D4">
      <w:pPr>
        <w:pStyle w:val="ManualNumPar1"/>
        <w:wordWrap w:val="0"/>
        <w:rPr>
          <w:noProof/>
          <w:lang w:val="en-IE" w:eastAsia="ja-JP"/>
        </w:rPr>
      </w:pPr>
      <w:r w:rsidRPr="004F5E59">
        <w:rPr>
          <w:lang w:eastAsia="ja-JP"/>
        </w:rPr>
        <w:t>2.</w:t>
      </w:r>
      <w:r w:rsidRPr="004F5E59">
        <w:rPr>
          <w:lang w:eastAsia="ja-JP"/>
        </w:rPr>
        <w:tab/>
      </w:r>
      <w:r w:rsidR="00851C9F" w:rsidRPr="00DF5C23">
        <w:rPr>
          <w:noProof/>
          <w:lang w:val="en-IE" w:eastAsia="ja-JP"/>
        </w:rPr>
        <w:t>委員会は、</w:t>
      </w:r>
      <w:r w:rsidR="00791C74" w:rsidRPr="00DF5C23">
        <w:rPr>
          <w:rFonts w:eastAsia="Times New Roman"/>
          <w:noProof/>
          <w:lang w:val="en-IE" w:eastAsia="ja-JP"/>
        </w:rPr>
        <w:t>第4条に従って採択された委任法において</w:t>
      </w:r>
      <w:r w:rsidR="00851C9F" w:rsidRPr="00DF5C23">
        <w:rPr>
          <w:noProof/>
          <w:lang w:val="en-IE" w:eastAsia="ja-JP"/>
        </w:rPr>
        <w:t>、</w:t>
      </w:r>
      <w:r w:rsidR="00D66868" w:rsidRPr="00DF5C23">
        <w:rPr>
          <w:noProof/>
          <w:lang w:val="en-IE" w:eastAsia="ja-JP"/>
        </w:rPr>
        <w:t>製品パスポートに含まれることに加えて、</w:t>
      </w:r>
      <w:r w:rsidR="00851C9F" w:rsidRPr="00DF5C23">
        <w:rPr>
          <w:noProof/>
          <w:lang w:val="en-IE" w:eastAsia="ja-JP"/>
        </w:rPr>
        <w:t>少なくとも以下の基準を考慮して、</w:t>
      </w:r>
      <w:r w:rsidR="00791C74" w:rsidRPr="00DF5C23">
        <w:rPr>
          <w:noProof/>
          <w:lang w:val="en-IE" w:eastAsia="ja-JP"/>
        </w:rPr>
        <w:t>第</w:t>
      </w:r>
      <w:r w:rsidR="00791C74" w:rsidRPr="00DF5C23">
        <w:rPr>
          <w:noProof/>
          <w:lang w:val="en-IE" w:eastAsia="ja-JP"/>
        </w:rPr>
        <w:t>1</w:t>
      </w:r>
      <w:r w:rsidR="00791C74" w:rsidRPr="00DF5C23">
        <w:rPr>
          <w:noProof/>
          <w:lang w:val="en-IE" w:eastAsia="ja-JP"/>
        </w:rPr>
        <w:t>項の登録簿に</w:t>
      </w:r>
      <w:r w:rsidR="00D66868" w:rsidRPr="00DF5C23">
        <w:rPr>
          <w:noProof/>
          <w:lang w:val="en-IE" w:eastAsia="ja-JP"/>
        </w:rPr>
        <w:t>保存されなければならない</w:t>
      </w:r>
      <w:r w:rsidR="00791C74" w:rsidRPr="00DF5C23">
        <w:rPr>
          <w:noProof/>
          <w:lang w:val="en-IE" w:eastAsia="ja-JP"/>
        </w:rPr>
        <w:t>情報を規定するものとする：</w:t>
      </w:r>
    </w:p>
    <w:p w14:paraId="26DB081D" w14:textId="77777777" w:rsidR="0038775E" w:rsidRDefault="00877B9C" w:rsidP="002041D4">
      <w:pPr>
        <w:pStyle w:val="Point1"/>
        <w:wordWrap w:val="0"/>
        <w:rPr>
          <w:noProof/>
          <w:lang w:eastAsia="ja-JP"/>
        </w:rPr>
      </w:pPr>
      <w:r w:rsidRPr="004F5E59">
        <w:rPr>
          <w:lang w:eastAsia="ja-JP"/>
        </w:rPr>
        <w:t>(a)</w:t>
      </w:r>
      <w:r w:rsidRPr="004F5E59">
        <w:rPr>
          <w:lang w:eastAsia="ja-JP"/>
        </w:rPr>
        <w:tab/>
      </w:r>
      <w:r w:rsidR="002C3751" w:rsidRPr="00C0635C">
        <w:rPr>
          <w:noProof/>
          <w:lang w:eastAsia="ja-JP"/>
        </w:rPr>
        <w:t>プロダクトパスポートの真偽を確認できるようにする必要があること；</w:t>
      </w:r>
    </w:p>
    <w:p w14:paraId="3BD30086" w14:textId="77777777" w:rsidR="0038775E" w:rsidRDefault="00877B9C" w:rsidP="002041D4">
      <w:pPr>
        <w:pStyle w:val="Point1"/>
        <w:wordWrap w:val="0"/>
        <w:rPr>
          <w:noProof/>
          <w:lang w:eastAsia="ja-JP"/>
        </w:rPr>
      </w:pPr>
      <w:r w:rsidRPr="004F5E59">
        <w:rPr>
          <w:lang w:eastAsia="ja-JP"/>
        </w:rPr>
        <w:t>(b)</w:t>
      </w:r>
      <w:r w:rsidRPr="004F5E59">
        <w:rPr>
          <w:lang w:eastAsia="ja-JP"/>
        </w:rPr>
        <w:tab/>
      </w:r>
      <w:r w:rsidR="000A620A" w:rsidRPr="00DF5C23">
        <w:rPr>
          <w:noProof/>
          <w:lang w:eastAsia="ja-JP"/>
        </w:rPr>
        <w:t>第</w:t>
      </w:r>
      <w:r w:rsidR="000A620A" w:rsidRPr="00DF5C23">
        <w:rPr>
          <w:noProof/>
          <w:lang w:eastAsia="ja-JP"/>
        </w:rPr>
        <w:t>4</w:t>
      </w:r>
      <w:r w:rsidR="000A620A" w:rsidRPr="00DF5C23">
        <w:rPr>
          <w:noProof/>
          <w:lang w:eastAsia="ja-JP"/>
        </w:rPr>
        <w:t>条に従って採択された委任法の対象となる製品に関連する</w:t>
      </w:r>
      <w:r w:rsidR="00D66868" w:rsidRPr="00DF5C23">
        <w:rPr>
          <w:noProof/>
          <w:lang w:eastAsia="ja-JP"/>
        </w:rPr>
        <w:t>市場監視</w:t>
      </w:r>
      <w:r w:rsidR="000D00CD" w:rsidRPr="00DF5C23">
        <w:rPr>
          <w:noProof/>
          <w:lang w:eastAsia="ja-JP"/>
        </w:rPr>
        <w:t>検査</w:t>
      </w:r>
      <w:r w:rsidR="00D66868" w:rsidRPr="00DF5C23">
        <w:rPr>
          <w:noProof/>
          <w:lang w:eastAsia="ja-JP"/>
        </w:rPr>
        <w:t>及び税関管理の効率及び有効性を改善するための情報の関連性；</w:t>
      </w:r>
    </w:p>
    <w:p w14:paraId="28C7F32A" w14:textId="77777777" w:rsidR="0038775E" w:rsidRDefault="00877B9C" w:rsidP="002041D4">
      <w:pPr>
        <w:pStyle w:val="Point1"/>
        <w:wordWrap w:val="0"/>
        <w:rPr>
          <w:noProof/>
          <w:lang w:eastAsia="ja-JP"/>
        </w:rPr>
      </w:pPr>
      <w:r w:rsidRPr="004F5E59">
        <w:rPr>
          <w:lang w:eastAsia="ja-JP"/>
        </w:rPr>
        <w:t>(c)</w:t>
      </w:r>
      <w:r w:rsidRPr="004F5E59">
        <w:rPr>
          <w:lang w:eastAsia="ja-JP"/>
        </w:rPr>
        <w:tab/>
      </w:r>
      <w:r w:rsidR="000A620A" w:rsidRPr="00DF5C23">
        <w:rPr>
          <w:noProof/>
          <w:lang w:eastAsia="ja-JP"/>
        </w:rPr>
        <w:t>経済事業者に不釣り合いな行政負担を与えないようにする必要があること。</w:t>
      </w:r>
    </w:p>
    <w:p w14:paraId="19C86DF9" w14:textId="77777777" w:rsidR="0038775E" w:rsidRDefault="00877B9C" w:rsidP="002041D4">
      <w:pPr>
        <w:pStyle w:val="ManualNumPar1"/>
        <w:wordWrap w:val="0"/>
        <w:rPr>
          <w:noProof/>
          <w:lang w:val="en-IE" w:eastAsia="fr-BE"/>
        </w:rPr>
      </w:pPr>
      <w:r w:rsidRPr="004F5E59">
        <w:rPr>
          <w:lang w:eastAsia="ja-JP"/>
        </w:rPr>
        <w:t>3.</w:t>
      </w:r>
      <w:r w:rsidRPr="004F5E59">
        <w:rPr>
          <w:lang w:eastAsia="ja-JP"/>
        </w:rPr>
        <w:tab/>
      </w:r>
      <w:r w:rsidR="00C50CD9" w:rsidRPr="00DF5C23">
        <w:rPr>
          <w:noProof/>
          <w:lang w:val="en-IE" w:eastAsia="ja-JP"/>
        </w:rPr>
        <w:t>第</w:t>
      </w:r>
      <w:r w:rsidR="00C50CD9" w:rsidRPr="00DF5C23">
        <w:rPr>
          <w:noProof/>
          <w:lang w:val="en-IE" w:eastAsia="ja-JP"/>
        </w:rPr>
        <w:t>1</w:t>
      </w:r>
      <w:r w:rsidR="00C50CD9" w:rsidRPr="00DF5C23">
        <w:rPr>
          <w:noProof/>
          <w:lang w:val="en-IE" w:eastAsia="ja-JP"/>
        </w:rPr>
        <w:t>項に言及されたレジストリを設置及び管理する責任並びに当該活動から生じる可能性のある個人データの処理に関して、欧州委員会は、規則（</w:t>
      </w:r>
      <w:r w:rsidR="00C50CD9" w:rsidRPr="00DF5C23">
        <w:rPr>
          <w:noProof/>
          <w:lang w:val="en-IE" w:eastAsia="ja-JP"/>
        </w:rPr>
        <w:t>EU</w:t>
      </w:r>
      <w:r w:rsidR="00C50CD9" w:rsidRPr="00DF5C23">
        <w:rPr>
          <w:noProof/>
          <w:lang w:val="en-IE" w:eastAsia="ja-JP"/>
        </w:rPr>
        <w:t>）</w:t>
      </w:r>
      <w:r w:rsidR="00C50CD9" w:rsidRPr="00DF5C23">
        <w:rPr>
          <w:noProof/>
          <w:lang w:val="en-IE" w:eastAsia="ja-JP"/>
        </w:rPr>
        <w:t>2018</w:t>
      </w:r>
      <w:r w:rsidR="00C50CD9" w:rsidRPr="00DF5C23">
        <w:rPr>
          <w:noProof/>
          <w:lang w:val="en-IE" w:eastAsia="ja-JP"/>
        </w:rPr>
        <w:t>／</w:t>
      </w:r>
      <w:r w:rsidR="00C50CD9" w:rsidRPr="00DF5C23">
        <w:rPr>
          <w:noProof/>
          <w:lang w:val="en-IE" w:eastAsia="ja-JP"/>
        </w:rPr>
        <w:t>1725</w:t>
      </w:r>
      <w:r w:rsidR="00C50CD9" w:rsidRPr="00DF5C23">
        <w:rPr>
          <w:noProof/>
          <w:lang w:val="en-IE" w:eastAsia="ja-JP"/>
        </w:rPr>
        <w:t>の第</w:t>
      </w:r>
      <w:r w:rsidR="00C50CD9" w:rsidRPr="00DF5C23">
        <w:rPr>
          <w:noProof/>
          <w:lang w:val="en-IE" w:eastAsia="ja-JP"/>
        </w:rPr>
        <w:t>3</w:t>
      </w:r>
      <w:r w:rsidR="00C50CD9" w:rsidRPr="00DF5C23">
        <w:rPr>
          <w:noProof/>
          <w:lang w:val="en-IE" w:eastAsia="ja-JP"/>
        </w:rPr>
        <w:t>条、ポイント（</w:t>
      </w:r>
      <w:r w:rsidR="00C50CD9" w:rsidRPr="00DF5C23">
        <w:rPr>
          <w:noProof/>
          <w:lang w:val="en-IE" w:eastAsia="ja-JP"/>
        </w:rPr>
        <w:t>8</w:t>
      </w:r>
      <w:r w:rsidR="00C50CD9" w:rsidRPr="00DF5C23">
        <w:rPr>
          <w:noProof/>
          <w:lang w:val="en-IE" w:eastAsia="ja-JP"/>
        </w:rPr>
        <w:t>）に定義される管理者とみなされるものとする。</w:t>
      </w:r>
    </w:p>
    <w:p w14:paraId="392FA985" w14:textId="77777777" w:rsidR="0038775E" w:rsidRDefault="00877B9C" w:rsidP="002041D4">
      <w:pPr>
        <w:pStyle w:val="ManualNumPar1"/>
        <w:wordWrap w:val="0"/>
        <w:rPr>
          <w:noProof/>
          <w:lang w:val="en-IE" w:eastAsia="fr-BE"/>
        </w:rPr>
      </w:pPr>
      <w:r w:rsidRPr="004F5E59">
        <w:rPr>
          <w:lang w:eastAsia="ja-JP"/>
        </w:rPr>
        <w:t>4.</w:t>
      </w:r>
      <w:r w:rsidRPr="004F5E59">
        <w:rPr>
          <w:lang w:eastAsia="ja-JP"/>
        </w:rPr>
        <w:tab/>
      </w:r>
      <w:r w:rsidR="007A319D" w:rsidRPr="00DF5C23">
        <w:rPr>
          <w:noProof/>
          <w:lang w:val="en-IE" w:eastAsia="fr-BE"/>
        </w:rPr>
        <w:t>製品を市場に投入し</w:t>
      </w:r>
      <w:r w:rsidR="00851C9F" w:rsidRPr="00DF5C23">
        <w:rPr>
          <w:noProof/>
          <w:lang w:val="en-IE" w:eastAsia="fr-BE"/>
        </w:rPr>
        <w:t>又は使用に供する</w:t>
      </w:r>
      <w:r w:rsidR="007A319D" w:rsidRPr="00DF5C23">
        <w:rPr>
          <w:noProof/>
          <w:lang w:val="en-IE" w:eastAsia="fr-BE"/>
        </w:rPr>
        <w:t>経済事業者は、</w:t>
      </w:r>
      <w:r w:rsidR="00463675" w:rsidRPr="00DF5C23">
        <w:rPr>
          <w:noProof/>
          <w:lang w:val="en-IE" w:eastAsia="fr-BE"/>
        </w:rPr>
        <w:t>第</w:t>
      </w:r>
      <w:r w:rsidR="00463675" w:rsidRPr="00DF5C23">
        <w:rPr>
          <w:noProof/>
          <w:lang w:val="en-IE" w:eastAsia="fr-BE"/>
        </w:rPr>
        <w:t>1</w:t>
      </w:r>
      <w:r w:rsidR="00463675" w:rsidRPr="00DF5C23">
        <w:rPr>
          <w:noProof/>
          <w:lang w:val="en-IE" w:eastAsia="fr-BE"/>
        </w:rPr>
        <w:t>項の登録簿に、</w:t>
      </w:r>
      <w:r w:rsidR="000D00CD" w:rsidRPr="00DF5C23">
        <w:rPr>
          <w:noProof/>
          <w:lang w:val="en-IE" w:eastAsia="ja-JP"/>
        </w:rPr>
        <w:t>第</w:t>
      </w:r>
      <w:r w:rsidR="000D00CD" w:rsidRPr="00DF5C23">
        <w:rPr>
          <w:noProof/>
          <w:lang w:val="en-IE" w:eastAsia="ja-JP"/>
        </w:rPr>
        <w:t>2</w:t>
      </w:r>
      <w:r w:rsidR="000D00CD" w:rsidRPr="00DF5C23">
        <w:rPr>
          <w:noProof/>
          <w:lang w:val="en-IE" w:eastAsia="ja-JP"/>
        </w:rPr>
        <w:t>項の</w:t>
      </w:r>
      <w:r w:rsidR="000A620A" w:rsidRPr="00DF5C23">
        <w:rPr>
          <w:noProof/>
          <w:lang w:val="en-IE" w:eastAsia="fr-BE"/>
        </w:rPr>
        <w:t>情報を</w:t>
      </w:r>
      <w:r w:rsidR="007A319D" w:rsidRPr="00DF5C23">
        <w:rPr>
          <w:noProof/>
          <w:lang w:val="en-IE" w:eastAsia="fr-BE"/>
        </w:rPr>
        <w:t>アップロードしなければならない。</w:t>
      </w:r>
      <w:r w:rsidR="007A319D" w:rsidRPr="00DF5C23">
        <w:rPr>
          <w:noProof/>
          <w:lang w:val="en-IE" w:eastAsia="fr-BE"/>
        </w:rPr>
        <w:t xml:space="preserve"> </w:t>
      </w:r>
    </w:p>
    <w:p w14:paraId="748738C4" w14:textId="77777777" w:rsidR="0038775E" w:rsidRDefault="00877B9C" w:rsidP="002041D4">
      <w:pPr>
        <w:pStyle w:val="ManualNumPar1"/>
        <w:wordWrap w:val="0"/>
        <w:rPr>
          <w:noProof/>
          <w:lang w:val="en-IE" w:eastAsia="fr-BE"/>
        </w:rPr>
      </w:pPr>
      <w:r w:rsidRPr="004F5E59">
        <w:rPr>
          <w:lang w:eastAsia="ja-JP"/>
        </w:rPr>
        <w:t>5.</w:t>
      </w:r>
      <w:r w:rsidRPr="004F5E59">
        <w:rPr>
          <w:lang w:eastAsia="ja-JP"/>
        </w:rPr>
        <w:tab/>
      </w:r>
      <w:r w:rsidR="00E67D8F" w:rsidRPr="00DF5C23">
        <w:rPr>
          <w:noProof/>
          <w:lang w:val="en-IE" w:eastAsia="fr-BE"/>
        </w:rPr>
        <w:t>欧州委員会、</w:t>
      </w:r>
      <w:r w:rsidR="00AF5E27" w:rsidRPr="00DF5C23">
        <w:rPr>
          <w:noProof/>
          <w:lang w:val="en-IE" w:eastAsia="fr-BE"/>
        </w:rPr>
        <w:t>管轄の国家機関及び税関当局は、</w:t>
      </w:r>
      <w:r w:rsidR="000135CF" w:rsidRPr="00DF5C23">
        <w:rPr>
          <w:noProof/>
          <w:lang w:val="en-IE" w:eastAsia="fr-BE"/>
        </w:rPr>
        <w:t>連合の法令に基づく職務を遂行するために、</w:t>
      </w:r>
      <w:r w:rsidR="00AF5E27" w:rsidRPr="00DF5C23">
        <w:rPr>
          <w:noProof/>
          <w:lang w:val="en-IE" w:eastAsia="fr-BE"/>
        </w:rPr>
        <w:t>本条にいう登録簿にアクセスできるものとする。</w:t>
      </w:r>
      <w:r w:rsidR="00AF5E27" w:rsidRPr="00DF5C23">
        <w:rPr>
          <w:noProof/>
          <w:lang w:val="en-IE" w:eastAsia="fr-BE"/>
        </w:rPr>
        <w:t xml:space="preserve"> </w:t>
      </w:r>
    </w:p>
    <w:p w14:paraId="0299B529" w14:textId="77777777" w:rsidR="0038775E" w:rsidRDefault="00D81E4D" w:rsidP="002041D4">
      <w:pPr>
        <w:pStyle w:val="Titrearticle"/>
        <w:wordWrap w:val="0"/>
        <w:rPr>
          <w:noProof/>
          <w:lang w:val="en-IE" w:eastAsia="ja-JP"/>
        </w:rPr>
      </w:pPr>
      <w:r w:rsidRPr="00DF5C23">
        <w:rPr>
          <w:noProof/>
          <w:lang w:val="en-IE" w:eastAsia="ja-JP"/>
        </w:rPr>
        <w:lastRenderedPageBreak/>
        <w:t>第</w:t>
      </w:r>
      <w:r w:rsidRPr="00DF5C23">
        <w:rPr>
          <w:noProof/>
          <w:lang w:val="en-IE" w:eastAsia="ja-JP"/>
        </w:rPr>
        <w:t>13</w:t>
      </w:r>
      <w:r w:rsidR="00877B9C" w:rsidRPr="00DF5C23">
        <w:rPr>
          <w:noProof/>
          <w:lang w:val="en-IE" w:eastAsia="ja-JP"/>
        </w:rPr>
        <w:t>条</w:t>
      </w:r>
      <w:r w:rsidR="00877B9C" w:rsidRPr="00DF5C23">
        <w:rPr>
          <w:noProof/>
          <w:lang w:val="en-IE" w:eastAsia="ja-JP"/>
        </w:rPr>
        <w:t xml:space="preserve"> </w:t>
      </w:r>
      <w:r w:rsidR="00877B9C" w:rsidRPr="00DF5C23">
        <w:rPr>
          <w:noProof/>
          <w:lang w:val="en-IE" w:eastAsia="ja-JP"/>
        </w:rPr>
        <w:t>製品パスポートに</w:t>
      </w:r>
      <w:r w:rsidR="000D00CD" w:rsidRPr="00DF5C23">
        <w:rPr>
          <w:noProof/>
          <w:lang w:val="en-IE" w:eastAsia="ja-JP"/>
        </w:rPr>
        <w:t>関連する</w:t>
      </w:r>
      <w:r w:rsidR="00877B9C" w:rsidRPr="00DF5C23">
        <w:rPr>
          <w:noProof/>
          <w:lang w:val="en-IE" w:eastAsia="ja-JP"/>
        </w:rPr>
        <w:br/>
      </w:r>
      <w:r w:rsidR="00877B9C" w:rsidRPr="00DF5C23">
        <w:rPr>
          <w:noProof/>
          <w:lang w:val="en-IE" w:eastAsia="ja-JP"/>
        </w:rPr>
        <w:t>税関管理</w:t>
      </w:r>
    </w:p>
    <w:p w14:paraId="5DC7A668" w14:textId="77777777" w:rsidR="0038775E" w:rsidRDefault="00877B9C" w:rsidP="002041D4">
      <w:pPr>
        <w:pStyle w:val="ManualNumPar1"/>
        <w:wordWrap w:val="0"/>
        <w:rPr>
          <w:noProof/>
          <w:lang w:val="en-IE" w:eastAsia="fr-BE"/>
        </w:rPr>
      </w:pPr>
      <w:r w:rsidRPr="004F5E59">
        <w:rPr>
          <w:lang w:eastAsia="ja-JP"/>
        </w:rPr>
        <w:t>1.</w:t>
      </w:r>
      <w:r w:rsidRPr="004F5E59">
        <w:rPr>
          <w:lang w:eastAsia="ja-JP"/>
        </w:rPr>
        <w:tab/>
      </w:r>
      <w:r w:rsidR="004A163A" w:rsidRPr="00DF5C23">
        <w:rPr>
          <w:noProof/>
          <w:lang w:val="en-IE" w:eastAsia="fr-BE"/>
        </w:rPr>
        <w:t>欧州委員会は、</w:t>
      </w:r>
      <w:r w:rsidR="00AF5E27" w:rsidRPr="00DF5C23">
        <w:rPr>
          <w:noProof/>
          <w:lang w:val="en-IE" w:eastAsia="fr-BE"/>
        </w:rPr>
        <w:t>第</w:t>
      </w:r>
      <w:r w:rsidR="00AF5E27" w:rsidRPr="00DF5C23">
        <w:rPr>
          <w:noProof/>
          <w:lang w:val="en-IE" w:eastAsia="fr-BE"/>
        </w:rPr>
        <w:t>12</w:t>
      </w:r>
      <w:r w:rsidR="00AF5E27" w:rsidRPr="00DF5C23">
        <w:rPr>
          <w:noProof/>
          <w:lang w:val="en-IE" w:eastAsia="fr-BE"/>
        </w:rPr>
        <w:t>条</w:t>
      </w:r>
      <w:r w:rsidR="002965F0" w:rsidRPr="00DF5C23">
        <w:rPr>
          <w:noProof/>
          <w:lang w:val="en-IE" w:eastAsia="fr-BE"/>
        </w:rPr>
        <w:t>第</w:t>
      </w:r>
      <w:r w:rsidR="002965F0" w:rsidRPr="00DF5C23">
        <w:rPr>
          <w:noProof/>
          <w:lang w:val="en-IE" w:eastAsia="fr-BE"/>
        </w:rPr>
        <w:t>1</w:t>
      </w:r>
      <w:r w:rsidR="002965F0" w:rsidRPr="00DF5C23">
        <w:rPr>
          <w:noProof/>
          <w:lang w:val="en-IE" w:eastAsia="fr-BE"/>
        </w:rPr>
        <w:t>項の</w:t>
      </w:r>
      <w:r w:rsidR="00AF5E27" w:rsidRPr="00DF5C23">
        <w:rPr>
          <w:noProof/>
          <w:lang w:val="en-IE" w:eastAsia="fr-BE"/>
        </w:rPr>
        <w:t>登録簿を</w:t>
      </w:r>
      <w:r w:rsidR="00AF5E27" w:rsidRPr="00DF5C23">
        <w:rPr>
          <w:noProof/>
          <w:lang w:eastAsia="ja-JP"/>
        </w:rPr>
        <w:t>EU</w:t>
      </w:r>
      <w:r w:rsidR="00AF5E27" w:rsidRPr="00DF5C23">
        <w:rPr>
          <w:noProof/>
          <w:lang w:eastAsia="ja-JP"/>
        </w:rPr>
        <w:t>税関シングルウィンドウ証明書交換（</w:t>
      </w:r>
      <w:r w:rsidR="00AF5E27" w:rsidRPr="00DF5C23">
        <w:rPr>
          <w:noProof/>
          <w:lang w:eastAsia="ja-JP"/>
        </w:rPr>
        <w:t>EU CSW-CERTEX</w:t>
      </w:r>
      <w:r w:rsidR="00AF5E27" w:rsidRPr="00DF5C23">
        <w:rPr>
          <w:noProof/>
          <w:lang w:val="en-IE" w:eastAsia="fr-BE"/>
        </w:rPr>
        <w:t>）と</w:t>
      </w:r>
      <w:r w:rsidR="004A163A" w:rsidRPr="00DF5C23">
        <w:rPr>
          <w:noProof/>
          <w:lang w:val="en-IE" w:eastAsia="fr-BE"/>
        </w:rPr>
        <w:t>相互接続する</w:t>
      </w:r>
      <w:r w:rsidR="00AF5E27" w:rsidRPr="00DF5C23">
        <w:rPr>
          <w:noProof/>
          <w:lang w:val="en-IE" w:eastAsia="fr-BE"/>
        </w:rPr>
        <w:t>ことにより、</w:t>
      </w:r>
      <w:r w:rsidR="00607065" w:rsidRPr="00DF5C23">
        <w:rPr>
          <w:noProof/>
          <w:lang w:val="en-IE" w:eastAsia="fr-BE"/>
        </w:rPr>
        <w:t>規則（</w:t>
      </w:r>
      <w:r w:rsidR="00607065" w:rsidRPr="00DF5C23">
        <w:rPr>
          <w:noProof/>
          <w:lang w:val="en-IE" w:eastAsia="fr-BE"/>
        </w:rPr>
        <w:t>EU</w:t>
      </w:r>
      <w:r w:rsidR="00607065" w:rsidRPr="00DF5C23">
        <w:rPr>
          <w:noProof/>
          <w:lang w:val="en-IE" w:eastAsia="fr-BE"/>
        </w:rPr>
        <w:t>）</w:t>
      </w:r>
      <w:r w:rsidR="00607065" w:rsidRPr="00DF5C23">
        <w:rPr>
          <w:noProof/>
          <w:lang w:val="en-IE" w:eastAsia="fr-BE"/>
        </w:rPr>
        <w:t>..</w:t>
      </w:r>
      <w:r w:rsidR="00ED32EE" w:rsidRPr="00DF5C23">
        <w:rPr>
          <w:noProof/>
          <w:lang w:eastAsia="ja-JP"/>
        </w:rPr>
        <w:t>./</w:t>
      </w:r>
      <w:r w:rsidR="004A163A" w:rsidRPr="00DF5C23">
        <w:rPr>
          <w:noProof/>
          <w:lang w:val="en-IE" w:eastAsia="fr-BE"/>
        </w:rPr>
        <w:t>...</w:t>
      </w:r>
      <w:r w:rsidR="00607065" w:rsidRPr="00DF5C23">
        <w:rPr>
          <w:noProof/>
          <w:lang w:val="en-IE" w:eastAsia="fr-BE"/>
        </w:rPr>
        <w:t>によって設立された</w:t>
      </w:r>
      <w:r w:rsidR="004A163A" w:rsidRPr="00DF5C23">
        <w:rPr>
          <w:noProof/>
          <w:lang w:val="en-IE" w:eastAsia="fr-BE"/>
        </w:rPr>
        <w:t>EU</w:t>
      </w:r>
      <w:r w:rsidR="00607065" w:rsidRPr="00DF5C23">
        <w:rPr>
          <w:noProof/>
          <w:lang w:val="en-IE" w:eastAsia="fr-BE"/>
        </w:rPr>
        <w:t>税関シングルウィンドウ環境を</w:t>
      </w:r>
      <w:r w:rsidR="004A163A" w:rsidRPr="00DF5C23">
        <w:rPr>
          <w:noProof/>
          <w:lang w:val="en-IE" w:eastAsia="fr-BE"/>
        </w:rPr>
        <w:t>通じた</w:t>
      </w:r>
      <w:r w:rsidR="00AF5E27" w:rsidRPr="00DF5C23">
        <w:rPr>
          <w:noProof/>
          <w:lang w:val="en-IE" w:eastAsia="fr-BE"/>
        </w:rPr>
        <w:t>各国の税関システムとの情報の</w:t>
      </w:r>
      <w:r w:rsidR="004A163A" w:rsidRPr="00DF5C23">
        <w:rPr>
          <w:noProof/>
          <w:lang w:val="en-IE" w:eastAsia="fr-BE"/>
        </w:rPr>
        <w:t>自動</w:t>
      </w:r>
      <w:r w:rsidR="00AF5E27" w:rsidRPr="00DF5C23">
        <w:rPr>
          <w:noProof/>
          <w:lang w:val="en-IE" w:eastAsia="fr-BE"/>
        </w:rPr>
        <w:t>交換を可能に</w:t>
      </w:r>
      <w:r w:rsidR="004A163A" w:rsidRPr="00DF5C23">
        <w:rPr>
          <w:noProof/>
          <w:lang w:val="en-IE" w:eastAsia="fr-BE"/>
        </w:rPr>
        <w:t>しなければならない。</w:t>
      </w:r>
    </w:p>
    <w:p w14:paraId="4F47CCAF" w14:textId="77777777" w:rsidR="0038775E" w:rsidRDefault="00877B9C" w:rsidP="002041D4">
      <w:pPr>
        <w:pStyle w:val="Text1"/>
        <w:wordWrap w:val="0"/>
        <w:rPr>
          <w:noProof/>
          <w:lang w:eastAsia="ja-JP"/>
        </w:rPr>
      </w:pPr>
      <w:r w:rsidRPr="00DF5C23">
        <w:rPr>
          <w:noProof/>
          <w:lang w:eastAsia="ja-JP"/>
        </w:rPr>
        <w:t>欧州委員会は、</w:t>
      </w:r>
      <w:r w:rsidRPr="00DF5C23">
        <w:rPr>
          <w:noProof/>
          <w:lang w:val="en-IE" w:eastAsia="fr-BE"/>
        </w:rPr>
        <w:t>第</w:t>
      </w:r>
      <w:r w:rsidRPr="00DF5C23">
        <w:rPr>
          <w:noProof/>
          <w:lang w:val="en-IE" w:eastAsia="fr-BE"/>
        </w:rPr>
        <w:t>1</w:t>
      </w:r>
      <w:r w:rsidRPr="00DF5C23">
        <w:rPr>
          <w:noProof/>
          <w:lang w:val="en-IE" w:eastAsia="fr-BE"/>
        </w:rPr>
        <w:t>号にいう相互接続の実施態勢の詳細を規定する</w:t>
      </w:r>
      <w:r w:rsidRPr="00DF5C23">
        <w:rPr>
          <w:noProof/>
          <w:lang w:eastAsia="ja-JP"/>
        </w:rPr>
        <w:t>実施法を採択するものとする。</w:t>
      </w:r>
    </w:p>
    <w:p w14:paraId="10842B72" w14:textId="77777777" w:rsidR="0038775E" w:rsidRDefault="00877B9C" w:rsidP="002041D4">
      <w:pPr>
        <w:pStyle w:val="Text1"/>
        <w:wordWrap w:val="0"/>
        <w:rPr>
          <w:noProof/>
          <w:lang w:eastAsia="ja-JP"/>
        </w:rPr>
      </w:pPr>
      <w:r w:rsidRPr="00DF5C23">
        <w:rPr>
          <w:noProof/>
          <w:lang w:eastAsia="ja-JP"/>
        </w:rPr>
        <w:t>この</w:t>
      </w:r>
      <w:r w:rsidR="00F503DB" w:rsidRPr="00DF5C23">
        <w:rPr>
          <w:noProof/>
          <w:lang w:eastAsia="ja-JP"/>
        </w:rPr>
        <w:t>実施法は、第</w:t>
      </w:r>
      <w:r w:rsidR="00F503DB" w:rsidRPr="00DF5C23">
        <w:rPr>
          <w:noProof/>
          <w:lang w:eastAsia="ja-JP"/>
        </w:rPr>
        <w:t>67</w:t>
      </w:r>
      <w:r w:rsidR="00F503DB" w:rsidRPr="00DF5C23">
        <w:rPr>
          <w:noProof/>
          <w:lang w:eastAsia="ja-JP"/>
        </w:rPr>
        <w:t>条</w:t>
      </w:r>
      <w:r w:rsidR="00F503DB" w:rsidRPr="00DF5C23">
        <w:rPr>
          <w:noProof/>
          <w:lang w:eastAsia="ja-JP"/>
        </w:rPr>
        <w:t>(3)</w:t>
      </w:r>
      <w:r w:rsidR="00F503DB" w:rsidRPr="00DF5C23">
        <w:rPr>
          <w:noProof/>
          <w:lang w:eastAsia="ja-JP"/>
        </w:rPr>
        <w:t>にいう審査手続きに基づいて採択されるものとする。</w:t>
      </w:r>
    </w:p>
    <w:p w14:paraId="39836E09" w14:textId="77777777" w:rsidR="0038775E" w:rsidRDefault="00877B9C" w:rsidP="002041D4">
      <w:pPr>
        <w:pStyle w:val="Text1"/>
        <w:wordWrap w:val="0"/>
        <w:rPr>
          <w:noProof/>
          <w:lang w:val="en-IE" w:eastAsia="fr-BE"/>
        </w:rPr>
      </w:pPr>
      <w:r w:rsidRPr="00DF5C23">
        <w:rPr>
          <w:noProof/>
          <w:lang w:val="en-IE" w:eastAsia="fr-BE"/>
        </w:rPr>
        <w:t>第</w:t>
      </w:r>
      <w:r w:rsidRPr="00DF5C23">
        <w:rPr>
          <w:noProof/>
          <w:lang w:val="en-IE" w:eastAsia="fr-BE"/>
        </w:rPr>
        <w:t>1</w:t>
      </w:r>
      <w:r w:rsidRPr="00DF5C23">
        <w:rPr>
          <w:noProof/>
          <w:lang w:val="en-IE" w:eastAsia="fr-BE"/>
        </w:rPr>
        <w:t>号にいう</w:t>
      </w:r>
      <w:r w:rsidR="004A163A" w:rsidRPr="00DF5C23">
        <w:rPr>
          <w:noProof/>
          <w:lang w:val="en-IE" w:eastAsia="fr-BE"/>
        </w:rPr>
        <w:t>相互接続は、</w:t>
      </w:r>
      <w:r w:rsidR="00F503DB" w:rsidRPr="00DF5C23">
        <w:rPr>
          <w:noProof/>
          <w:lang w:val="en-IE" w:eastAsia="fr-BE"/>
        </w:rPr>
        <w:t>第</w:t>
      </w:r>
      <w:r w:rsidR="00F503DB" w:rsidRPr="00DF5C23">
        <w:rPr>
          <w:noProof/>
          <w:lang w:val="en-IE" w:eastAsia="fr-BE"/>
        </w:rPr>
        <w:t>2</w:t>
      </w:r>
      <w:r w:rsidR="00F503DB" w:rsidRPr="00DF5C23">
        <w:rPr>
          <w:noProof/>
          <w:lang w:val="en-IE" w:eastAsia="fr-BE"/>
        </w:rPr>
        <w:t>号にいう実施法の</w:t>
      </w:r>
      <w:r w:rsidR="004A163A" w:rsidRPr="00DF5C23">
        <w:rPr>
          <w:noProof/>
          <w:lang w:val="en-IE" w:eastAsia="fr-BE"/>
        </w:rPr>
        <w:t>採択日から</w:t>
      </w:r>
      <w:r w:rsidR="004A163A" w:rsidRPr="00DF5C23">
        <w:rPr>
          <w:noProof/>
          <w:lang w:val="en-IE" w:eastAsia="fr-BE"/>
        </w:rPr>
        <w:t>4</w:t>
      </w:r>
      <w:r w:rsidR="004A163A" w:rsidRPr="00DF5C23">
        <w:rPr>
          <w:noProof/>
          <w:lang w:val="en-IE" w:eastAsia="fr-BE"/>
        </w:rPr>
        <w:t>年以内に実施されるものとする。</w:t>
      </w:r>
      <w:r w:rsidR="004A163A" w:rsidRPr="00DF5C23">
        <w:rPr>
          <w:noProof/>
          <w:lang w:val="en-IE" w:eastAsia="fr-BE"/>
        </w:rPr>
        <w:t xml:space="preserve"> </w:t>
      </w:r>
    </w:p>
    <w:p w14:paraId="02211CE6" w14:textId="4F484AFE" w:rsidR="0038775E" w:rsidRDefault="004A163A" w:rsidP="002041D4">
      <w:pPr>
        <w:pStyle w:val="Text1"/>
        <w:wordWrap w:val="0"/>
        <w:rPr>
          <w:noProof/>
          <w:lang w:val="en-IE" w:eastAsia="fr-BE"/>
        </w:rPr>
      </w:pPr>
      <w:r w:rsidRPr="00DF5C23">
        <w:rPr>
          <w:noProof/>
          <w:lang w:val="en-IE" w:eastAsia="fr-BE"/>
        </w:rPr>
        <w:t>本条</w:t>
      </w:r>
      <w:r w:rsidR="00877B9C" w:rsidRPr="00DF5C23">
        <w:rPr>
          <w:noProof/>
          <w:lang w:val="en-IE" w:eastAsia="fr-BE"/>
        </w:rPr>
        <w:t>第</w:t>
      </w:r>
      <w:r w:rsidR="00877B9C" w:rsidRPr="00DF5C23">
        <w:rPr>
          <w:noProof/>
          <w:lang w:val="en-IE" w:eastAsia="fr-BE"/>
        </w:rPr>
        <w:t>3</w:t>
      </w:r>
      <w:r w:rsidR="00877B9C" w:rsidRPr="00DF5C23">
        <w:rPr>
          <w:noProof/>
          <w:lang w:val="en-IE" w:eastAsia="fr-BE"/>
        </w:rPr>
        <w:t>項から第</w:t>
      </w:r>
      <w:r w:rsidR="00877B9C" w:rsidRPr="00DF5C23">
        <w:rPr>
          <w:noProof/>
          <w:lang w:val="en-IE" w:eastAsia="fr-BE"/>
        </w:rPr>
        <w:t>6</w:t>
      </w:r>
      <w:r w:rsidRPr="00DF5C23">
        <w:rPr>
          <w:noProof/>
          <w:lang w:val="en-IE" w:eastAsia="fr-BE"/>
        </w:rPr>
        <w:t>項までの規定は、</w:t>
      </w:r>
      <w:r w:rsidR="00F503DB" w:rsidRPr="00DF5C23">
        <w:rPr>
          <w:noProof/>
          <w:lang w:val="en-IE" w:eastAsia="fr-BE"/>
        </w:rPr>
        <w:t>相互接続が行われた時点から</w:t>
      </w:r>
      <w:r w:rsidRPr="00DF5C23">
        <w:rPr>
          <w:noProof/>
          <w:lang w:val="en-IE" w:eastAsia="fr-BE"/>
        </w:rPr>
        <w:t>適用されるものと</w:t>
      </w:r>
      <w:r w:rsidR="002041D4">
        <w:rPr>
          <w:noProof/>
          <w:lang w:val="en-IE" w:eastAsia="fr-BE"/>
        </w:rPr>
        <w:t>する</w:t>
      </w:r>
      <w:r w:rsidRPr="00DF5C23">
        <w:rPr>
          <w:noProof/>
          <w:lang w:val="en-IE" w:eastAsia="fr-BE"/>
        </w:rPr>
        <w:t>。</w:t>
      </w:r>
      <w:r w:rsidRPr="00DF5C23">
        <w:rPr>
          <w:noProof/>
          <w:lang w:val="en-IE" w:eastAsia="fr-BE"/>
        </w:rPr>
        <w:t xml:space="preserve"> </w:t>
      </w:r>
    </w:p>
    <w:p w14:paraId="4B5E5DEC" w14:textId="77777777" w:rsidR="0038775E" w:rsidRDefault="00877B9C" w:rsidP="002041D4">
      <w:pPr>
        <w:pStyle w:val="ManualNumPar1"/>
        <w:wordWrap w:val="0"/>
        <w:rPr>
          <w:noProof/>
          <w:lang w:val="en-IE" w:eastAsia="fr-BE"/>
        </w:rPr>
      </w:pPr>
      <w:r w:rsidRPr="004F5E59">
        <w:rPr>
          <w:lang w:eastAsia="ja-JP"/>
        </w:rPr>
        <w:t>2.</w:t>
      </w:r>
      <w:r w:rsidRPr="004F5E59">
        <w:rPr>
          <w:lang w:eastAsia="ja-JP"/>
        </w:rPr>
        <w:tab/>
      </w:r>
      <w:r w:rsidR="000A620A" w:rsidRPr="00DF5C23">
        <w:rPr>
          <w:noProof/>
          <w:lang w:val="en-IE" w:eastAsia="fr-BE"/>
        </w:rPr>
        <w:t>規則（</w:t>
      </w:r>
      <w:r w:rsidR="000A620A" w:rsidRPr="00DF5C23">
        <w:rPr>
          <w:noProof/>
          <w:lang w:val="en-IE" w:eastAsia="fr-BE"/>
        </w:rPr>
        <w:t>EU</w:t>
      </w:r>
      <w:r w:rsidR="000A620A" w:rsidRPr="00DF5C23">
        <w:rPr>
          <w:noProof/>
          <w:lang w:val="en-IE" w:eastAsia="fr-BE"/>
        </w:rPr>
        <w:t>）</w:t>
      </w:r>
      <w:r w:rsidR="000A620A" w:rsidRPr="00DF5C23">
        <w:rPr>
          <w:noProof/>
          <w:lang w:val="en-IE" w:eastAsia="fr-BE"/>
        </w:rPr>
        <w:t>952/2013</w:t>
      </w:r>
      <w:r w:rsidR="000A620A" w:rsidRPr="00DF5C23">
        <w:rPr>
          <w:noProof/>
          <w:lang w:val="en-IE" w:eastAsia="fr-BE"/>
        </w:rPr>
        <w:t>の第</w:t>
      </w:r>
      <w:r w:rsidR="000A620A" w:rsidRPr="00DF5C23">
        <w:rPr>
          <w:noProof/>
          <w:lang w:val="en-IE" w:eastAsia="fr-BE"/>
        </w:rPr>
        <w:t>5</w:t>
      </w:r>
      <w:r w:rsidR="000A620A" w:rsidRPr="00DF5C23">
        <w:rPr>
          <w:noProof/>
          <w:lang w:val="en-IE" w:eastAsia="fr-BE"/>
        </w:rPr>
        <w:t>条</w:t>
      </w:r>
      <w:r w:rsidR="00607065" w:rsidRPr="00DF5C23">
        <w:rPr>
          <w:noProof/>
          <w:lang w:val="en-IE" w:eastAsia="fr-BE"/>
        </w:rPr>
        <w:t>（</w:t>
      </w:r>
      <w:r w:rsidR="00ED32EE" w:rsidRPr="00DF5C23">
        <w:rPr>
          <w:noProof/>
          <w:lang w:val="en-IE" w:eastAsia="fr-BE"/>
        </w:rPr>
        <w:t>15</w:t>
      </w:r>
      <w:r w:rsidR="00ED32EE" w:rsidRPr="00DF5C23">
        <w:rPr>
          <w:noProof/>
          <w:lang w:val="en-IE" w:eastAsia="fr-BE"/>
        </w:rPr>
        <w:t>）に</w:t>
      </w:r>
      <w:r w:rsidR="000A620A" w:rsidRPr="00DF5C23">
        <w:rPr>
          <w:noProof/>
          <w:lang w:val="en-IE" w:eastAsia="fr-BE"/>
        </w:rPr>
        <w:t>定義される申告者は、</w:t>
      </w:r>
      <w:r w:rsidR="004E63FB" w:rsidRPr="00DF5C23">
        <w:rPr>
          <w:noProof/>
          <w:lang w:val="en-IE" w:eastAsia="fr-BE"/>
        </w:rPr>
        <w:t>第</w:t>
      </w:r>
      <w:r w:rsidR="004E63FB" w:rsidRPr="00DF5C23">
        <w:rPr>
          <w:noProof/>
          <w:lang w:val="en-IE" w:eastAsia="fr-BE"/>
        </w:rPr>
        <w:t>4</w:t>
      </w:r>
      <w:r w:rsidR="004E63FB" w:rsidRPr="00DF5C23">
        <w:rPr>
          <w:noProof/>
          <w:lang w:val="en-IE" w:eastAsia="fr-BE"/>
        </w:rPr>
        <w:t>条に従って採択された委任法の対象となる製品の自由流通のための放出のための税関申告</w:t>
      </w:r>
      <w:r w:rsidR="00ED32EE" w:rsidRPr="00DF5C23">
        <w:rPr>
          <w:noProof/>
          <w:lang w:val="en-IE" w:eastAsia="fr-BE"/>
        </w:rPr>
        <w:t>書に</w:t>
      </w:r>
      <w:r w:rsidR="00607065" w:rsidRPr="00DF5C23">
        <w:rPr>
          <w:noProof/>
          <w:lang w:val="en-IE" w:eastAsia="fr-BE"/>
        </w:rPr>
        <w:t>、</w:t>
      </w:r>
      <w:r w:rsidR="004E63FB" w:rsidRPr="00DF5C23">
        <w:rPr>
          <w:noProof/>
          <w:lang w:val="en-IE" w:eastAsia="fr-BE"/>
        </w:rPr>
        <w:t>第</w:t>
      </w:r>
      <w:r w:rsidR="004E63FB" w:rsidRPr="00DF5C23">
        <w:rPr>
          <w:noProof/>
          <w:lang w:val="en-IE" w:eastAsia="fr-BE"/>
        </w:rPr>
        <w:t>9</w:t>
      </w:r>
      <w:r w:rsidR="004E63FB" w:rsidRPr="00DF5C23">
        <w:rPr>
          <w:noProof/>
          <w:lang w:val="en-IE" w:eastAsia="fr-BE"/>
        </w:rPr>
        <w:t>条（</w:t>
      </w:r>
      <w:r w:rsidR="004E63FB" w:rsidRPr="00DF5C23">
        <w:rPr>
          <w:noProof/>
          <w:lang w:val="en-IE" w:eastAsia="fr-BE"/>
        </w:rPr>
        <w:t>1</w:t>
      </w:r>
      <w:r w:rsidR="004E63FB" w:rsidRPr="00DF5C23">
        <w:rPr>
          <w:noProof/>
          <w:lang w:val="en-IE" w:eastAsia="fr-BE"/>
        </w:rPr>
        <w:t>）項（</w:t>
      </w:r>
      <w:r w:rsidR="004E63FB" w:rsidRPr="00DF5C23">
        <w:rPr>
          <w:noProof/>
          <w:lang w:val="en-IE" w:eastAsia="fr-BE"/>
        </w:rPr>
        <w:t>a</w:t>
      </w:r>
      <w:r w:rsidR="004E63FB" w:rsidRPr="00DF5C23">
        <w:rPr>
          <w:noProof/>
          <w:lang w:val="en-IE" w:eastAsia="fr-BE"/>
        </w:rPr>
        <w:t>）にいう固有の製品識別子を含めるものとする。</w:t>
      </w:r>
    </w:p>
    <w:p w14:paraId="7E4613AE" w14:textId="77777777" w:rsidR="0038775E" w:rsidRDefault="00877B9C" w:rsidP="002041D4">
      <w:pPr>
        <w:pStyle w:val="Text1"/>
        <w:wordWrap w:val="0"/>
        <w:rPr>
          <w:noProof/>
          <w:lang w:val="en-IE" w:eastAsia="fr-BE"/>
        </w:rPr>
      </w:pPr>
      <w:r w:rsidRPr="00DF5C23">
        <w:rPr>
          <w:noProof/>
          <w:lang w:val="en-IE" w:eastAsia="fr-BE"/>
        </w:rPr>
        <w:t>本項の規定は、第</w:t>
      </w:r>
      <w:r w:rsidRPr="00DF5C23">
        <w:rPr>
          <w:noProof/>
          <w:lang w:val="en-IE" w:eastAsia="fr-BE"/>
        </w:rPr>
        <w:t>12</w:t>
      </w:r>
      <w:r w:rsidRPr="00DF5C23">
        <w:rPr>
          <w:noProof/>
          <w:lang w:val="en-IE" w:eastAsia="fr-BE"/>
        </w:rPr>
        <w:t>条第</w:t>
      </w:r>
      <w:r w:rsidRPr="00DF5C23">
        <w:rPr>
          <w:noProof/>
          <w:lang w:val="en-IE" w:eastAsia="fr-BE"/>
        </w:rPr>
        <w:t>1</w:t>
      </w:r>
      <w:r w:rsidRPr="00DF5C23">
        <w:rPr>
          <w:noProof/>
          <w:lang w:val="en-IE" w:eastAsia="fr-BE"/>
        </w:rPr>
        <w:t>項のレジストリが整備された時点から適用する。</w:t>
      </w:r>
      <w:r w:rsidRPr="00DF5C23">
        <w:rPr>
          <w:noProof/>
          <w:lang w:val="en-IE" w:eastAsia="fr-BE"/>
        </w:rPr>
        <w:t xml:space="preserve"> </w:t>
      </w:r>
    </w:p>
    <w:p w14:paraId="616DEF19" w14:textId="77777777" w:rsidR="0038775E" w:rsidRDefault="00877B9C" w:rsidP="002041D4">
      <w:pPr>
        <w:pStyle w:val="ManualNumPar1"/>
        <w:wordWrap w:val="0"/>
        <w:rPr>
          <w:noProof/>
          <w:lang w:val="en-IE" w:eastAsia="fr-BE"/>
        </w:rPr>
      </w:pPr>
      <w:r w:rsidRPr="004F5E59">
        <w:rPr>
          <w:lang w:eastAsia="ja-JP"/>
        </w:rPr>
        <w:t>3.</w:t>
      </w:r>
      <w:r w:rsidRPr="004F5E59">
        <w:rPr>
          <w:lang w:eastAsia="ja-JP"/>
        </w:rPr>
        <w:tab/>
      </w:r>
      <w:r w:rsidR="00ED32EE" w:rsidRPr="00DF5C23">
        <w:rPr>
          <w:noProof/>
          <w:lang w:val="en-IE" w:eastAsia="fr-BE"/>
        </w:rPr>
        <w:t>税関当局は、自由流通のための放出を許可する前に、第</w:t>
      </w:r>
      <w:r w:rsidR="00ED32EE" w:rsidRPr="00DF5C23">
        <w:rPr>
          <w:noProof/>
          <w:lang w:val="en-IE" w:eastAsia="fr-BE"/>
        </w:rPr>
        <w:t>2</w:t>
      </w:r>
      <w:r w:rsidR="00ED32EE" w:rsidRPr="00DF5C23">
        <w:rPr>
          <w:noProof/>
          <w:lang w:val="en-IE" w:eastAsia="fr-BE"/>
        </w:rPr>
        <w:t>項に従って申告者が示した固有の製品識別子が、</w:t>
      </w:r>
      <w:r w:rsidR="000C1779" w:rsidRPr="00DF5C23">
        <w:rPr>
          <w:noProof/>
          <w:lang w:val="en-IE" w:eastAsia="fr-BE"/>
        </w:rPr>
        <w:t>第</w:t>
      </w:r>
      <w:r w:rsidR="000C1779" w:rsidRPr="00DF5C23">
        <w:rPr>
          <w:noProof/>
          <w:lang w:val="en-IE" w:eastAsia="fr-BE"/>
        </w:rPr>
        <w:t>12</w:t>
      </w:r>
      <w:r w:rsidR="000C1779" w:rsidRPr="00DF5C23">
        <w:rPr>
          <w:noProof/>
          <w:lang w:val="en-IE" w:eastAsia="fr-BE"/>
        </w:rPr>
        <w:t>条第</w:t>
      </w:r>
      <w:r w:rsidR="000C1779" w:rsidRPr="00DF5C23">
        <w:rPr>
          <w:noProof/>
          <w:lang w:val="en-IE" w:eastAsia="fr-BE"/>
        </w:rPr>
        <w:t>1</w:t>
      </w:r>
      <w:r w:rsidR="000C1779" w:rsidRPr="00DF5C23">
        <w:rPr>
          <w:noProof/>
          <w:lang w:val="en-IE" w:eastAsia="fr-BE"/>
        </w:rPr>
        <w:t>項にいう登録簿に含まれる</w:t>
      </w:r>
      <w:r w:rsidR="004E63FB" w:rsidRPr="00DF5C23">
        <w:rPr>
          <w:noProof/>
          <w:lang w:val="en-IE" w:eastAsia="fr-BE"/>
        </w:rPr>
        <w:t>固有の製品識別子に一致</w:t>
      </w:r>
      <w:r w:rsidR="000C1779" w:rsidRPr="00DF5C23">
        <w:rPr>
          <w:noProof/>
          <w:lang w:val="en-IE" w:eastAsia="fr-BE"/>
        </w:rPr>
        <w:t>するかどうかを</w:t>
      </w:r>
      <w:r w:rsidR="00ED32EE" w:rsidRPr="00DF5C23">
        <w:rPr>
          <w:noProof/>
          <w:lang w:val="en-IE" w:eastAsia="fr-BE"/>
        </w:rPr>
        <w:t>確認しなければならない。</w:t>
      </w:r>
      <w:r w:rsidR="004E63FB" w:rsidRPr="00DF5C23">
        <w:rPr>
          <w:noProof/>
          <w:lang w:val="en-IE" w:eastAsia="fr-BE"/>
        </w:rPr>
        <w:t xml:space="preserve">  </w:t>
      </w:r>
    </w:p>
    <w:p w14:paraId="517A79B5" w14:textId="77777777" w:rsidR="0038775E" w:rsidRDefault="00877B9C" w:rsidP="002041D4">
      <w:pPr>
        <w:pStyle w:val="ManualNumPar1"/>
        <w:wordWrap w:val="0"/>
        <w:rPr>
          <w:noProof/>
          <w:lang w:val="en-IE" w:eastAsia="fr-BE"/>
        </w:rPr>
      </w:pPr>
      <w:r w:rsidRPr="004F5E59">
        <w:rPr>
          <w:lang w:eastAsia="ja-JP"/>
        </w:rPr>
        <w:t>4.</w:t>
      </w:r>
      <w:r w:rsidRPr="004F5E59">
        <w:rPr>
          <w:lang w:eastAsia="ja-JP"/>
        </w:rPr>
        <w:tab/>
      </w:r>
      <w:r w:rsidR="004001AA" w:rsidRPr="00DF5C23">
        <w:rPr>
          <w:noProof/>
          <w:lang w:val="en-IE" w:eastAsia="fr-BE"/>
        </w:rPr>
        <w:t>製品パスポートに含まれる情報が</w:t>
      </w:r>
      <w:r w:rsidR="00463675" w:rsidRPr="00DF5C23">
        <w:rPr>
          <w:noProof/>
          <w:lang w:val="en-IE" w:eastAsia="fr-BE"/>
        </w:rPr>
        <w:t>第</w:t>
      </w:r>
      <w:r w:rsidR="00463675" w:rsidRPr="00DF5C23">
        <w:rPr>
          <w:noProof/>
          <w:lang w:val="en-IE" w:eastAsia="fr-BE"/>
        </w:rPr>
        <w:t>12</w:t>
      </w:r>
      <w:r w:rsidR="00463675" w:rsidRPr="00DF5C23">
        <w:rPr>
          <w:noProof/>
          <w:lang w:val="en-IE" w:eastAsia="fr-BE"/>
        </w:rPr>
        <w:t>条第</w:t>
      </w:r>
      <w:r w:rsidR="00463675" w:rsidRPr="00DF5C23">
        <w:rPr>
          <w:noProof/>
          <w:lang w:val="en-IE" w:eastAsia="fr-BE"/>
        </w:rPr>
        <w:t>1</w:t>
      </w:r>
      <w:r w:rsidR="00463675" w:rsidRPr="00DF5C23">
        <w:rPr>
          <w:noProof/>
          <w:lang w:val="en-IE" w:eastAsia="fr-BE"/>
        </w:rPr>
        <w:t>項にいう登録簿にも</w:t>
      </w:r>
      <w:r w:rsidR="004001AA" w:rsidRPr="00DF5C23">
        <w:rPr>
          <w:noProof/>
          <w:lang w:val="en-IE" w:eastAsia="fr-BE"/>
        </w:rPr>
        <w:t>保存されている場合、欧州委員会は、第</w:t>
      </w:r>
      <w:r w:rsidR="004001AA" w:rsidRPr="00DF5C23">
        <w:rPr>
          <w:noProof/>
          <w:lang w:val="en-IE" w:eastAsia="fr-BE"/>
        </w:rPr>
        <w:t>4</w:t>
      </w:r>
      <w:r w:rsidR="004001AA" w:rsidRPr="00DF5C23">
        <w:rPr>
          <w:noProof/>
          <w:lang w:val="en-IE" w:eastAsia="fr-BE"/>
        </w:rPr>
        <w:t>条に従って</w:t>
      </w:r>
      <w:r w:rsidR="00607065" w:rsidRPr="00DF5C23">
        <w:rPr>
          <w:noProof/>
          <w:lang w:val="en-IE" w:eastAsia="fr-BE"/>
        </w:rPr>
        <w:t>採択された</w:t>
      </w:r>
      <w:r w:rsidR="004001AA" w:rsidRPr="00DF5C23">
        <w:rPr>
          <w:noProof/>
          <w:lang w:val="en-IE" w:eastAsia="fr-BE"/>
        </w:rPr>
        <w:t>委任法において、税関当局が、</w:t>
      </w:r>
      <w:r w:rsidR="00607065" w:rsidRPr="00DF5C23">
        <w:rPr>
          <w:noProof/>
          <w:lang w:val="en-IE" w:eastAsia="fr-BE"/>
        </w:rPr>
        <w:t>本条</w:t>
      </w:r>
      <w:r w:rsidR="004001AA" w:rsidRPr="00DF5C23">
        <w:rPr>
          <w:noProof/>
          <w:lang w:val="en-IE" w:eastAsia="fr-BE"/>
        </w:rPr>
        <w:t>第</w:t>
      </w:r>
      <w:r w:rsidR="004001AA" w:rsidRPr="00DF5C23">
        <w:rPr>
          <w:noProof/>
          <w:lang w:val="en-IE" w:eastAsia="fr-BE"/>
        </w:rPr>
        <w:t>3</w:t>
      </w:r>
      <w:r w:rsidR="004001AA" w:rsidRPr="00DF5C23">
        <w:rPr>
          <w:noProof/>
          <w:lang w:val="en-IE" w:eastAsia="fr-BE"/>
        </w:rPr>
        <w:t>項にいう検証に加え、自由流通への放出を認める前に、登録簿に</w:t>
      </w:r>
      <w:r w:rsidR="00DA704C" w:rsidRPr="00DF5C23">
        <w:rPr>
          <w:noProof/>
          <w:lang w:val="en-IE" w:eastAsia="fr-BE"/>
        </w:rPr>
        <w:t>保存されている</w:t>
      </w:r>
      <w:r w:rsidR="004001AA" w:rsidRPr="00DF5C23">
        <w:rPr>
          <w:noProof/>
          <w:lang w:val="en-IE" w:eastAsia="fr-BE"/>
        </w:rPr>
        <w:t>情報と税関申告</w:t>
      </w:r>
      <w:r w:rsidR="00DA704C" w:rsidRPr="00DF5C23">
        <w:rPr>
          <w:noProof/>
          <w:lang w:val="en-IE" w:eastAsia="fr-BE"/>
        </w:rPr>
        <w:t>書の</w:t>
      </w:r>
      <w:r w:rsidR="004001AA" w:rsidRPr="00DF5C23">
        <w:rPr>
          <w:noProof/>
          <w:lang w:val="en-IE" w:eastAsia="fr-BE"/>
        </w:rPr>
        <w:t>間の</w:t>
      </w:r>
      <w:r w:rsidR="0051338E" w:rsidRPr="00DF5C23">
        <w:rPr>
          <w:noProof/>
          <w:lang w:val="en-IE" w:eastAsia="fr-BE"/>
        </w:rPr>
        <w:t>整合性を</w:t>
      </w:r>
      <w:r w:rsidR="004001AA" w:rsidRPr="00DF5C23">
        <w:rPr>
          <w:noProof/>
          <w:lang w:val="en-IE" w:eastAsia="fr-BE"/>
        </w:rPr>
        <w:t>検証することを定めることができる</w:t>
      </w:r>
      <w:r w:rsidR="00DA704C" w:rsidRPr="00DF5C23">
        <w:rPr>
          <w:noProof/>
          <w:lang w:val="en-IE" w:eastAsia="fr-BE"/>
        </w:rPr>
        <w:t>。</w:t>
      </w:r>
      <w:r w:rsidR="00607065" w:rsidRPr="00DF5C23">
        <w:rPr>
          <w:noProof/>
          <w:lang w:val="en-IE" w:eastAsia="fr-BE"/>
        </w:rPr>
        <w:t>この場合、</w:t>
      </w:r>
      <w:r w:rsidR="00607065" w:rsidRPr="00DF5C23">
        <w:rPr>
          <w:noProof/>
          <w:lang w:val="en-IE" w:eastAsia="ja-JP"/>
        </w:rPr>
        <w:t>委員会は、少なくとも次の基準を</w:t>
      </w:r>
      <w:r w:rsidR="0046349F" w:rsidRPr="00DF5C23">
        <w:rPr>
          <w:noProof/>
          <w:lang w:val="en-IE" w:eastAsia="ja-JP"/>
        </w:rPr>
        <w:t>考慮</w:t>
      </w:r>
      <w:r w:rsidR="00607065" w:rsidRPr="00DF5C23">
        <w:rPr>
          <w:noProof/>
          <w:lang w:val="en-IE" w:eastAsia="ja-JP"/>
        </w:rPr>
        <w:t>しなければならない：</w:t>
      </w:r>
    </w:p>
    <w:p w14:paraId="629BF69C" w14:textId="77777777" w:rsidR="0038775E" w:rsidRDefault="00877B9C" w:rsidP="002041D4">
      <w:pPr>
        <w:pStyle w:val="Point1"/>
        <w:wordWrap w:val="0"/>
        <w:rPr>
          <w:noProof/>
          <w:lang w:eastAsia="ja-JP"/>
        </w:rPr>
      </w:pPr>
      <w:r w:rsidRPr="004F5E59">
        <w:rPr>
          <w:lang w:eastAsia="ja-JP"/>
        </w:rPr>
        <w:t>(a)</w:t>
      </w:r>
      <w:r w:rsidRPr="004F5E59">
        <w:rPr>
          <w:lang w:eastAsia="ja-JP"/>
        </w:rPr>
        <w:tab/>
      </w:r>
      <w:r w:rsidR="001307F8" w:rsidRPr="00DF5C23">
        <w:rPr>
          <w:noProof/>
          <w:lang w:eastAsia="ja-JP"/>
        </w:rPr>
        <w:t>EU</w:t>
      </w:r>
      <w:r w:rsidR="001307F8" w:rsidRPr="00DF5C23">
        <w:rPr>
          <w:noProof/>
          <w:lang w:eastAsia="ja-JP"/>
        </w:rPr>
        <w:t>市場に投入される製品のエコデザイン要件への適合性を高める必要がある</w:t>
      </w:r>
      <w:r w:rsidR="004E63FB" w:rsidRPr="00DF5C23">
        <w:rPr>
          <w:noProof/>
          <w:lang w:eastAsia="ja-JP"/>
        </w:rPr>
        <w:t>こと；</w:t>
      </w:r>
    </w:p>
    <w:p w14:paraId="1450A10E" w14:textId="77777777" w:rsidR="0038775E" w:rsidRDefault="00877B9C" w:rsidP="002041D4">
      <w:pPr>
        <w:pStyle w:val="Point1"/>
        <w:wordWrap w:val="0"/>
        <w:rPr>
          <w:noProof/>
          <w:lang w:eastAsia="ja-JP"/>
        </w:rPr>
      </w:pPr>
      <w:r w:rsidRPr="004F5E59">
        <w:rPr>
          <w:lang w:eastAsia="ja-JP"/>
        </w:rPr>
        <w:t>(b)</w:t>
      </w:r>
      <w:r w:rsidRPr="004F5E59">
        <w:rPr>
          <w:lang w:eastAsia="ja-JP"/>
        </w:rPr>
        <w:tab/>
      </w:r>
      <w:r w:rsidR="001307F8" w:rsidRPr="00DF5C23">
        <w:rPr>
          <w:noProof/>
          <w:lang w:eastAsia="ja-JP"/>
        </w:rPr>
        <w:t>税関当局</w:t>
      </w:r>
      <w:r w:rsidR="004E63FB" w:rsidRPr="00DF5C23">
        <w:rPr>
          <w:noProof/>
          <w:lang w:eastAsia="ja-JP"/>
        </w:rPr>
        <w:t>に不釣り合いな負担がかからないようにする必要があること。</w:t>
      </w:r>
    </w:p>
    <w:p w14:paraId="743F5C84" w14:textId="5EF28EBE" w:rsidR="0038775E" w:rsidRDefault="00877B9C" w:rsidP="002041D4">
      <w:pPr>
        <w:pStyle w:val="Text1"/>
        <w:wordWrap w:val="0"/>
        <w:rPr>
          <w:noProof/>
          <w:lang w:val="en-IE" w:eastAsia="fr-BE"/>
        </w:rPr>
      </w:pPr>
      <w:r w:rsidRPr="00DF5C23">
        <w:rPr>
          <w:noProof/>
          <w:lang w:val="en-IE" w:eastAsia="fr-BE"/>
        </w:rPr>
        <w:t>税関当局は、本項に定める検証の結果、登録簿に保存されている情報と税関申告書との間に不一致があることを確認した場合、当該製品の自由流通のための解放を拒否するものと</w:t>
      </w:r>
      <w:r w:rsidR="002041D4">
        <w:rPr>
          <w:noProof/>
          <w:lang w:val="en-IE" w:eastAsia="fr-BE"/>
        </w:rPr>
        <w:t>する</w:t>
      </w:r>
      <w:r w:rsidRPr="00DF5C23">
        <w:rPr>
          <w:noProof/>
          <w:lang w:val="en-IE" w:eastAsia="fr-BE"/>
        </w:rPr>
        <w:t>。税関当局は、</w:t>
      </w:r>
      <w:r w:rsidR="000135CF" w:rsidRPr="00DF5C23">
        <w:rPr>
          <w:noProof/>
          <w:lang w:val="en-IE" w:eastAsia="fr-BE"/>
        </w:rPr>
        <w:t>関税法に従い、</w:t>
      </w:r>
      <w:r w:rsidRPr="00DF5C23">
        <w:rPr>
          <w:noProof/>
          <w:lang w:val="en-IE" w:eastAsia="fr-BE"/>
        </w:rPr>
        <w:t>適切と考えるその他の措置をとることができ、</w:t>
      </w:r>
      <w:r w:rsidR="000135CF" w:rsidRPr="00DF5C23">
        <w:rPr>
          <w:noProof/>
          <w:lang w:val="en-IE" w:eastAsia="fr-BE"/>
        </w:rPr>
        <w:t>また、</w:t>
      </w:r>
      <w:r w:rsidRPr="00DF5C23">
        <w:rPr>
          <w:noProof/>
          <w:lang w:val="en-IE" w:eastAsia="fr-BE"/>
        </w:rPr>
        <w:t>拒絶を第</w:t>
      </w:r>
      <w:r w:rsidRPr="00DF5C23">
        <w:rPr>
          <w:noProof/>
          <w:lang w:val="en-IE" w:eastAsia="fr-BE"/>
        </w:rPr>
        <w:t>12</w:t>
      </w:r>
      <w:r w:rsidRPr="00DF5C23">
        <w:rPr>
          <w:noProof/>
          <w:lang w:val="en-IE" w:eastAsia="fr-BE"/>
        </w:rPr>
        <w:t>条第</w:t>
      </w:r>
      <w:r w:rsidRPr="00DF5C23">
        <w:rPr>
          <w:noProof/>
          <w:lang w:val="en-IE" w:eastAsia="fr-BE"/>
        </w:rPr>
        <w:t>1</w:t>
      </w:r>
      <w:r w:rsidRPr="00DF5C23">
        <w:rPr>
          <w:noProof/>
          <w:lang w:val="en-IE" w:eastAsia="fr-BE"/>
        </w:rPr>
        <w:t>項にいう登録簿に登録し、拒絶について管轄の</w:t>
      </w:r>
      <w:r w:rsidR="000135CF" w:rsidRPr="00DF5C23">
        <w:rPr>
          <w:noProof/>
          <w:lang w:val="en-IE" w:eastAsia="fr-BE"/>
        </w:rPr>
        <w:t>国家</w:t>
      </w:r>
      <w:r w:rsidRPr="00DF5C23">
        <w:rPr>
          <w:noProof/>
          <w:lang w:val="en-IE" w:eastAsia="fr-BE"/>
        </w:rPr>
        <w:t>当局に通知することがで</w:t>
      </w:r>
      <w:r w:rsidR="002041D4">
        <w:rPr>
          <w:noProof/>
          <w:lang w:val="en-IE" w:eastAsia="fr-BE"/>
        </w:rPr>
        <w:t>く</w:t>
      </w:r>
      <w:r w:rsidRPr="00DF5C23">
        <w:rPr>
          <w:noProof/>
          <w:lang w:val="en-IE" w:eastAsia="fr-BE"/>
        </w:rPr>
        <w:t>。</w:t>
      </w:r>
    </w:p>
    <w:p w14:paraId="3DCD2A44" w14:textId="77777777" w:rsidR="0038775E" w:rsidRDefault="00877B9C" w:rsidP="002041D4">
      <w:pPr>
        <w:pStyle w:val="Text1"/>
        <w:wordWrap w:val="0"/>
        <w:rPr>
          <w:noProof/>
          <w:lang w:val="en-IE" w:eastAsia="fr-BE"/>
        </w:rPr>
      </w:pPr>
      <w:r w:rsidRPr="00DF5C23">
        <w:rPr>
          <w:noProof/>
          <w:lang w:val="en-IE" w:eastAsia="fr-BE"/>
        </w:rPr>
        <w:t>自由な流通のためのリリースは、連合法に適合していることの証明とはみなされない。</w:t>
      </w:r>
    </w:p>
    <w:p w14:paraId="02DB455A" w14:textId="77777777" w:rsidR="0038775E" w:rsidRDefault="00877B9C" w:rsidP="002041D4">
      <w:pPr>
        <w:pStyle w:val="ManualNumPar1"/>
        <w:wordWrap w:val="0"/>
        <w:rPr>
          <w:noProof/>
          <w:lang w:val="en-IE" w:eastAsia="fr-BE"/>
        </w:rPr>
      </w:pPr>
      <w:r w:rsidRPr="004F5E59">
        <w:rPr>
          <w:lang w:eastAsia="ja-JP"/>
        </w:rPr>
        <w:lastRenderedPageBreak/>
        <w:t>5.</w:t>
      </w:r>
      <w:r w:rsidRPr="004F5E59">
        <w:rPr>
          <w:lang w:eastAsia="ja-JP"/>
        </w:rPr>
        <w:tab/>
      </w:r>
      <w:r w:rsidR="00DA704C" w:rsidRPr="00DF5C23">
        <w:rPr>
          <w:noProof/>
          <w:lang w:val="en-IE" w:eastAsia="fr-BE"/>
        </w:rPr>
        <w:t>第</w:t>
      </w:r>
      <w:r w:rsidR="00DA704C" w:rsidRPr="00DF5C23">
        <w:rPr>
          <w:noProof/>
          <w:lang w:val="en-IE" w:eastAsia="fr-BE"/>
        </w:rPr>
        <w:t>3</w:t>
      </w:r>
      <w:r w:rsidR="00DA704C" w:rsidRPr="00DF5C23">
        <w:rPr>
          <w:noProof/>
          <w:lang w:val="en-IE" w:eastAsia="fr-BE"/>
        </w:rPr>
        <w:t>項及び第</w:t>
      </w:r>
      <w:r w:rsidR="00DA704C" w:rsidRPr="00DF5C23">
        <w:rPr>
          <w:noProof/>
          <w:lang w:val="en-IE" w:eastAsia="fr-BE"/>
        </w:rPr>
        <w:t>4</w:t>
      </w:r>
      <w:r w:rsidR="00DA704C" w:rsidRPr="00DF5C23">
        <w:rPr>
          <w:noProof/>
          <w:lang w:val="en-IE" w:eastAsia="fr-BE"/>
        </w:rPr>
        <w:t>項の検証は、税関のための</w:t>
      </w:r>
      <w:r w:rsidR="00DA704C" w:rsidRPr="00DF5C23">
        <w:rPr>
          <w:noProof/>
          <w:lang w:val="en-IE" w:eastAsia="fr-BE"/>
        </w:rPr>
        <w:t>EU</w:t>
      </w:r>
      <w:r w:rsidR="00DA704C" w:rsidRPr="00DF5C23">
        <w:rPr>
          <w:noProof/>
          <w:lang w:val="en-IE" w:eastAsia="fr-BE"/>
        </w:rPr>
        <w:t>シングルウィンドウ環境を通じて電子的かつ自動的に行われるものとする。</w:t>
      </w:r>
    </w:p>
    <w:p w14:paraId="31004E96" w14:textId="77777777" w:rsidR="0038775E" w:rsidRDefault="00877B9C" w:rsidP="002041D4">
      <w:pPr>
        <w:pStyle w:val="ManualNumPar1"/>
        <w:wordWrap w:val="0"/>
        <w:rPr>
          <w:noProof/>
          <w:lang w:val="en-IE" w:eastAsia="fr-BE"/>
        </w:rPr>
      </w:pPr>
      <w:r w:rsidRPr="004F5E59">
        <w:rPr>
          <w:lang w:eastAsia="ja-JP"/>
        </w:rPr>
        <w:t>6.</w:t>
      </w:r>
      <w:r w:rsidRPr="004F5E59">
        <w:rPr>
          <w:lang w:eastAsia="ja-JP"/>
        </w:rPr>
        <w:tab/>
      </w:r>
      <w:r w:rsidR="00DA704C" w:rsidRPr="00DF5C23">
        <w:rPr>
          <w:noProof/>
          <w:lang w:val="en-IE" w:eastAsia="fr-BE"/>
        </w:rPr>
        <w:t>税関当局は、</w:t>
      </w:r>
      <w:r w:rsidR="00262511" w:rsidRPr="00DF5C23">
        <w:rPr>
          <w:noProof/>
          <w:lang w:val="en-IE" w:eastAsia="fr-BE"/>
        </w:rPr>
        <w:t>規則（</w:t>
      </w:r>
      <w:r w:rsidR="00262511" w:rsidRPr="00DF5C23">
        <w:rPr>
          <w:noProof/>
          <w:lang w:val="en-IE" w:eastAsia="fr-BE"/>
        </w:rPr>
        <w:t>EU</w:t>
      </w:r>
      <w:r w:rsidR="00262511" w:rsidRPr="00DF5C23">
        <w:rPr>
          <w:noProof/>
          <w:lang w:val="en-IE" w:eastAsia="fr-BE"/>
        </w:rPr>
        <w:t>）</w:t>
      </w:r>
      <w:r w:rsidR="00262511" w:rsidRPr="00DF5C23">
        <w:rPr>
          <w:noProof/>
          <w:lang w:val="en-IE" w:eastAsia="fr-BE"/>
        </w:rPr>
        <w:t>No 952/2013</w:t>
      </w:r>
      <w:r w:rsidR="00262511" w:rsidRPr="00DF5C23">
        <w:rPr>
          <w:noProof/>
          <w:lang w:val="en-IE" w:eastAsia="fr-BE"/>
        </w:rPr>
        <w:t>の</w:t>
      </w:r>
      <w:r w:rsidR="00DA704C" w:rsidRPr="00DF5C23">
        <w:rPr>
          <w:noProof/>
          <w:lang w:val="en-IE" w:eastAsia="fr-BE"/>
        </w:rPr>
        <w:t>第</w:t>
      </w:r>
      <w:r w:rsidR="00DA704C" w:rsidRPr="00DF5C23">
        <w:rPr>
          <w:noProof/>
          <w:lang w:val="en-IE" w:eastAsia="fr-BE"/>
        </w:rPr>
        <w:t>46</w:t>
      </w:r>
      <w:r w:rsidR="00DA704C" w:rsidRPr="00DF5C23">
        <w:rPr>
          <w:noProof/>
          <w:lang w:val="en-IE" w:eastAsia="fr-BE"/>
        </w:rPr>
        <w:t>条及び第</w:t>
      </w:r>
      <w:r w:rsidR="00DA704C" w:rsidRPr="00DF5C23">
        <w:rPr>
          <w:noProof/>
          <w:lang w:val="en-IE" w:eastAsia="fr-BE"/>
        </w:rPr>
        <w:t>47</w:t>
      </w:r>
      <w:r w:rsidR="00DA704C" w:rsidRPr="00DF5C23">
        <w:rPr>
          <w:noProof/>
          <w:lang w:val="en-IE" w:eastAsia="fr-BE"/>
        </w:rPr>
        <w:t>条に基づくリスク管理を含む、</w:t>
      </w:r>
      <w:r w:rsidR="00DA704C" w:rsidRPr="00DF5C23">
        <w:rPr>
          <w:noProof/>
          <w:lang w:val="en-IE" w:eastAsia="fr-BE"/>
        </w:rPr>
        <w:t>EU</w:t>
      </w:r>
      <w:r w:rsidR="00DA704C" w:rsidRPr="00DF5C23">
        <w:rPr>
          <w:noProof/>
          <w:lang w:val="en-IE" w:eastAsia="fr-BE"/>
        </w:rPr>
        <w:t>の法令に基づく職務遂行のために、製品パスポート及び第</w:t>
      </w:r>
      <w:r w:rsidR="00DA704C" w:rsidRPr="00DF5C23">
        <w:rPr>
          <w:noProof/>
          <w:lang w:val="en-IE" w:eastAsia="fr-BE"/>
        </w:rPr>
        <w:t>12</w:t>
      </w:r>
      <w:r w:rsidR="00DA704C" w:rsidRPr="00DF5C23">
        <w:rPr>
          <w:noProof/>
          <w:lang w:val="en-IE" w:eastAsia="fr-BE"/>
        </w:rPr>
        <w:t>条</w:t>
      </w:r>
      <w:r w:rsidR="00463675" w:rsidRPr="00DF5C23">
        <w:rPr>
          <w:noProof/>
          <w:lang w:val="en-IE" w:eastAsia="fr-BE"/>
        </w:rPr>
        <w:t>（</w:t>
      </w:r>
      <w:r w:rsidR="00463675" w:rsidRPr="00DF5C23">
        <w:rPr>
          <w:noProof/>
          <w:lang w:val="en-IE" w:eastAsia="fr-BE"/>
        </w:rPr>
        <w:t>1</w:t>
      </w:r>
      <w:r w:rsidR="00463675" w:rsidRPr="00DF5C23">
        <w:rPr>
          <w:noProof/>
          <w:lang w:val="en-IE" w:eastAsia="fr-BE"/>
        </w:rPr>
        <w:t>）に</w:t>
      </w:r>
      <w:r w:rsidR="00DA704C" w:rsidRPr="00DF5C23">
        <w:rPr>
          <w:noProof/>
          <w:lang w:val="en-IE" w:eastAsia="fr-BE"/>
        </w:rPr>
        <w:t>記載の登録簿に含まれる情報を取得及び利用できる。</w:t>
      </w:r>
      <w:r w:rsidR="00DA704C" w:rsidRPr="00DF5C23">
        <w:rPr>
          <w:noProof/>
          <w:lang w:val="en-IE" w:eastAsia="fr-BE"/>
        </w:rPr>
        <w:t xml:space="preserve">   </w:t>
      </w:r>
    </w:p>
    <w:p w14:paraId="73D38F82" w14:textId="77777777" w:rsidR="0038775E" w:rsidRDefault="00877B9C" w:rsidP="002041D4">
      <w:pPr>
        <w:pStyle w:val="ManualHeading1"/>
        <w:wordWrap w:val="0"/>
        <w:jc w:val="center"/>
        <w:rPr>
          <w:noProof/>
          <w:lang w:val="fr-BE" w:eastAsia="ja-JP"/>
        </w:rPr>
      </w:pPr>
      <w:r w:rsidRPr="00DF5C23">
        <w:rPr>
          <w:noProof/>
          <w:lang w:val="fr-BE" w:eastAsia="ja-JP"/>
        </w:rPr>
        <w:t>第</w:t>
      </w:r>
      <w:r w:rsidRPr="00DF5C23">
        <w:rPr>
          <w:noProof/>
          <w:lang w:val="fr-BE" w:eastAsia="ja-JP"/>
        </w:rPr>
        <w:t>IV</w:t>
      </w:r>
      <w:r w:rsidRPr="00DF5C23">
        <w:rPr>
          <w:noProof/>
          <w:lang w:val="fr-BE" w:eastAsia="ja-JP"/>
        </w:rPr>
        <w:t>章</w:t>
      </w:r>
      <w:r w:rsidRPr="00DF5C23">
        <w:rPr>
          <w:noProof/>
          <w:lang w:val="fr-BE" w:eastAsia="ja-JP"/>
        </w:rPr>
        <w:t xml:space="preserve"> </w:t>
      </w:r>
      <w:r w:rsidRPr="00DF5C23">
        <w:rPr>
          <w:noProof/>
          <w:lang w:val="fr-BE" w:eastAsia="ja-JP"/>
        </w:rPr>
        <w:t>ラベル</w:t>
      </w:r>
    </w:p>
    <w:p w14:paraId="163555DB" w14:textId="77777777" w:rsidR="0038775E" w:rsidRDefault="00D81E4D" w:rsidP="002041D4">
      <w:pPr>
        <w:pStyle w:val="Titrearticle"/>
        <w:wordWrap w:val="0"/>
        <w:rPr>
          <w:noProof/>
          <w:lang w:val="fr-BE" w:eastAsia="ja-JP"/>
        </w:rPr>
      </w:pPr>
      <w:r w:rsidRPr="00DF5C23">
        <w:rPr>
          <w:noProof/>
          <w:lang w:val="fr-BE" w:eastAsia="ja-JP"/>
        </w:rPr>
        <w:t>第</w:t>
      </w:r>
      <w:r w:rsidRPr="00DF5C23">
        <w:rPr>
          <w:noProof/>
          <w:lang w:val="fr-BE" w:eastAsia="ja-JP"/>
        </w:rPr>
        <w:t>14</w:t>
      </w:r>
      <w:r w:rsidR="00877B9C" w:rsidRPr="00DF5C23">
        <w:rPr>
          <w:noProof/>
          <w:lang w:val="fr-BE" w:eastAsia="ja-JP"/>
        </w:rPr>
        <w:t>条</w:t>
      </w:r>
      <w:r w:rsidR="00877B9C" w:rsidRPr="00DF5C23">
        <w:rPr>
          <w:noProof/>
          <w:lang w:val="fr-BE" w:eastAsia="ja-JP"/>
        </w:rPr>
        <w:t xml:space="preserve"> </w:t>
      </w:r>
      <w:r w:rsidR="00877B9C" w:rsidRPr="00DF5C23">
        <w:rPr>
          <w:noProof/>
          <w:lang w:val="fr-BE" w:eastAsia="ja-JP"/>
        </w:rPr>
        <w:br/>
      </w:r>
      <w:r w:rsidR="00877B9C" w:rsidRPr="00DF5C23">
        <w:rPr>
          <w:noProof/>
          <w:lang w:val="fr-BE" w:eastAsia="ja-JP"/>
        </w:rPr>
        <w:t>ラベル</w:t>
      </w:r>
    </w:p>
    <w:p w14:paraId="172B6E21" w14:textId="77777777" w:rsidR="0038775E" w:rsidRDefault="00877B9C" w:rsidP="002041D4">
      <w:pPr>
        <w:pStyle w:val="ManualNumPar1"/>
        <w:wordWrap w:val="0"/>
        <w:rPr>
          <w:noProof/>
          <w:lang w:eastAsia="ja-JP"/>
        </w:rPr>
      </w:pPr>
      <w:r w:rsidRPr="004F5E59">
        <w:rPr>
          <w:lang w:eastAsia="ja-JP"/>
        </w:rPr>
        <w:t>1.</w:t>
      </w:r>
      <w:r w:rsidRPr="004F5E59">
        <w:rPr>
          <w:lang w:eastAsia="ja-JP"/>
        </w:rPr>
        <w:tab/>
      </w:r>
      <w:r w:rsidR="009438D1" w:rsidRPr="00DF5C23">
        <w:rPr>
          <w:noProof/>
          <w:lang w:eastAsia="ja-JP"/>
        </w:rPr>
        <w:t>第</w:t>
      </w:r>
      <w:r w:rsidR="009438D1" w:rsidRPr="00DF5C23">
        <w:rPr>
          <w:noProof/>
          <w:lang w:eastAsia="ja-JP"/>
        </w:rPr>
        <w:t>7</w:t>
      </w:r>
      <w:r w:rsidR="009438D1" w:rsidRPr="00DF5C23">
        <w:rPr>
          <w:noProof/>
          <w:lang w:eastAsia="ja-JP"/>
        </w:rPr>
        <w:t>条</w:t>
      </w:r>
      <w:r w:rsidR="009438D1" w:rsidRPr="00DF5C23">
        <w:rPr>
          <w:noProof/>
          <w:lang w:eastAsia="ja-JP"/>
        </w:rPr>
        <w:t>(1)</w:t>
      </w:r>
      <w:r w:rsidR="009438D1" w:rsidRPr="00DF5C23">
        <w:rPr>
          <w:noProof/>
          <w:lang w:eastAsia="ja-JP"/>
        </w:rPr>
        <w:t>の情報要件が、第</w:t>
      </w:r>
      <w:r w:rsidR="009438D1" w:rsidRPr="00DF5C23">
        <w:rPr>
          <w:noProof/>
          <w:lang w:eastAsia="ja-JP"/>
        </w:rPr>
        <w:t>7</w:t>
      </w:r>
      <w:r w:rsidR="009438D1" w:rsidRPr="00DF5C23">
        <w:rPr>
          <w:noProof/>
          <w:lang w:eastAsia="ja-JP"/>
        </w:rPr>
        <w:t>条</w:t>
      </w:r>
      <w:r w:rsidR="009438D1" w:rsidRPr="00DF5C23">
        <w:rPr>
          <w:noProof/>
          <w:lang w:eastAsia="ja-JP"/>
        </w:rPr>
        <w:t>(6)</w:t>
      </w:r>
      <w:r w:rsidR="009438D1" w:rsidRPr="00DF5C23">
        <w:rPr>
          <w:noProof/>
          <w:lang w:eastAsia="ja-JP"/>
        </w:rPr>
        <w:t>の</w:t>
      </w:r>
      <w:r w:rsidR="009438D1" w:rsidRPr="00DF5C23">
        <w:rPr>
          <w:noProof/>
          <w:lang w:eastAsia="ja-JP"/>
        </w:rPr>
        <w:t>(d)</w:t>
      </w:r>
      <w:r w:rsidR="009438D1" w:rsidRPr="00DF5C23">
        <w:rPr>
          <w:noProof/>
          <w:lang w:eastAsia="ja-JP"/>
        </w:rPr>
        <w:t>に従ってラベルに情報を記載することを規定する場合、第</w:t>
      </w:r>
      <w:r w:rsidR="009438D1" w:rsidRPr="00DF5C23">
        <w:rPr>
          <w:noProof/>
          <w:lang w:eastAsia="ja-JP"/>
        </w:rPr>
        <w:t>4</w:t>
      </w:r>
      <w:r w:rsidR="009438D1" w:rsidRPr="00DF5C23">
        <w:rPr>
          <w:noProof/>
          <w:lang w:eastAsia="ja-JP"/>
        </w:rPr>
        <w:t>条に従って採択された委任法は、これを規定する：</w:t>
      </w:r>
    </w:p>
    <w:p w14:paraId="782CAAF9" w14:textId="7A2C0D31" w:rsidR="0038775E" w:rsidRDefault="00877B9C" w:rsidP="002041D4">
      <w:pPr>
        <w:pStyle w:val="Point1"/>
        <w:wordWrap w:val="0"/>
        <w:rPr>
          <w:noProof/>
          <w:lang w:eastAsia="ja-JP"/>
        </w:rPr>
      </w:pPr>
      <w:r w:rsidRPr="004F5E59">
        <w:rPr>
          <w:lang w:eastAsia="ja-JP"/>
        </w:rPr>
        <w:t>(a)</w:t>
      </w:r>
      <w:r w:rsidRPr="004F5E59">
        <w:rPr>
          <w:lang w:eastAsia="ja-JP"/>
        </w:rPr>
        <w:tab/>
      </w:r>
      <w:r w:rsidR="00A625AD" w:rsidRPr="00DF5C23">
        <w:rPr>
          <w:noProof/>
          <w:lang w:eastAsia="ja-JP"/>
        </w:rPr>
        <w:t>は、ラベルの内容</w:t>
      </w:r>
      <w:r w:rsidR="002041D4">
        <w:rPr>
          <w:noProof/>
          <w:lang w:eastAsia="ja-JP"/>
        </w:rPr>
        <w:t>である</w:t>
      </w:r>
      <w:r w:rsidR="00A625AD" w:rsidRPr="00DF5C23">
        <w:rPr>
          <w:noProof/>
          <w:lang w:eastAsia="ja-JP"/>
        </w:rPr>
        <w:t>；</w:t>
      </w:r>
    </w:p>
    <w:p w14:paraId="64A7FB21" w14:textId="77777777" w:rsidR="0038775E" w:rsidRDefault="00877B9C" w:rsidP="002041D4">
      <w:pPr>
        <w:pStyle w:val="Point1"/>
        <w:wordWrap w:val="0"/>
        <w:rPr>
          <w:noProof/>
          <w:lang w:eastAsia="ja-JP"/>
        </w:rPr>
      </w:pPr>
      <w:r w:rsidRPr="004F5E59">
        <w:rPr>
          <w:lang w:eastAsia="ja-JP"/>
        </w:rPr>
        <w:t>(b)</w:t>
      </w:r>
      <w:r w:rsidRPr="004F5E59">
        <w:rPr>
          <w:lang w:eastAsia="ja-JP"/>
        </w:rPr>
        <w:tab/>
      </w:r>
      <w:r w:rsidR="00A625AD" w:rsidRPr="00DF5C23">
        <w:rPr>
          <w:noProof/>
          <w:lang w:eastAsia="ja-JP"/>
        </w:rPr>
        <w:t>視認性、可読性を考慮したラベルのレイアウト；</w:t>
      </w:r>
    </w:p>
    <w:p w14:paraId="1B5A17C1" w14:textId="77777777" w:rsidR="0038775E" w:rsidRDefault="00877B9C" w:rsidP="002041D4">
      <w:pPr>
        <w:pStyle w:val="Point1"/>
        <w:wordWrap w:val="0"/>
        <w:rPr>
          <w:noProof/>
          <w:lang w:eastAsia="ja-JP"/>
        </w:rPr>
      </w:pPr>
      <w:r w:rsidRPr="004F5E59">
        <w:rPr>
          <w:lang w:eastAsia="ja-JP"/>
        </w:rPr>
        <w:t>(c)</w:t>
      </w:r>
      <w:r w:rsidRPr="004F5E59">
        <w:rPr>
          <w:lang w:eastAsia="ja-JP"/>
        </w:rPr>
        <w:tab/>
      </w:r>
      <w:r w:rsidR="007C5713" w:rsidRPr="00DF5C23">
        <w:rPr>
          <w:noProof/>
          <w:lang w:eastAsia="ja-JP"/>
        </w:rPr>
        <w:t>第</w:t>
      </w:r>
      <w:r w:rsidR="007C5713" w:rsidRPr="00DF5C23">
        <w:rPr>
          <w:noProof/>
          <w:lang w:eastAsia="ja-JP"/>
        </w:rPr>
        <w:t>26</w:t>
      </w:r>
      <w:r w:rsidR="00A625AD" w:rsidRPr="00DF5C23">
        <w:rPr>
          <w:noProof/>
          <w:lang w:eastAsia="ja-JP"/>
        </w:rPr>
        <w:t>条に</w:t>
      </w:r>
      <w:r w:rsidR="00445446" w:rsidRPr="00DF5C23">
        <w:rPr>
          <w:noProof/>
          <w:lang w:eastAsia="ja-JP"/>
        </w:rPr>
        <w:t>定める</w:t>
      </w:r>
      <w:r w:rsidR="00A625AD" w:rsidRPr="00DF5C23">
        <w:rPr>
          <w:noProof/>
          <w:lang w:eastAsia="ja-JP"/>
        </w:rPr>
        <w:t>要件及び関連する経済事業者に対する影響を考慮し、遠隔販売の場合を含め、ラベルを顧客に表示する方法</w:t>
      </w:r>
      <w:r w:rsidR="007C5713" w:rsidRPr="00DF5C23">
        <w:rPr>
          <w:noProof/>
          <w:lang w:eastAsia="ja-JP"/>
        </w:rPr>
        <w:t>；</w:t>
      </w:r>
    </w:p>
    <w:p w14:paraId="6A4DF6C4" w14:textId="77777777" w:rsidR="0038775E" w:rsidRDefault="00877B9C" w:rsidP="002041D4">
      <w:pPr>
        <w:pStyle w:val="Point1"/>
        <w:wordWrap w:val="0"/>
        <w:rPr>
          <w:noProof/>
          <w:lang w:eastAsia="ja-JP"/>
        </w:rPr>
      </w:pPr>
      <w:r w:rsidRPr="004F5E59">
        <w:rPr>
          <w:lang w:eastAsia="ja-JP"/>
        </w:rPr>
        <w:t>(d)</w:t>
      </w:r>
      <w:r w:rsidRPr="004F5E59">
        <w:rPr>
          <w:lang w:eastAsia="ja-JP"/>
        </w:rPr>
        <w:tab/>
      </w:r>
      <w:r w:rsidR="00A625AD" w:rsidRPr="00DF5C23">
        <w:rPr>
          <w:noProof/>
          <w:lang w:eastAsia="ja-JP"/>
        </w:rPr>
        <w:t>必要に応じて、ラベルを生成するための電子的な手段。</w:t>
      </w:r>
    </w:p>
    <w:p w14:paraId="4C00AB1F" w14:textId="77777777" w:rsidR="0038775E" w:rsidRDefault="00877B9C" w:rsidP="002041D4">
      <w:pPr>
        <w:pStyle w:val="ManualNumPar1"/>
        <w:wordWrap w:val="0"/>
        <w:rPr>
          <w:noProof/>
          <w:lang w:eastAsia="ja-JP"/>
        </w:rPr>
      </w:pPr>
      <w:r w:rsidRPr="004F5E59">
        <w:rPr>
          <w:lang w:eastAsia="ja-JP"/>
        </w:rPr>
        <w:t>2.</w:t>
      </w:r>
      <w:r w:rsidRPr="004F5E59">
        <w:rPr>
          <w:lang w:eastAsia="ja-JP"/>
        </w:rPr>
        <w:tab/>
      </w:r>
      <w:r w:rsidR="002A4B4F" w:rsidRPr="00DF5C23">
        <w:rPr>
          <w:noProof/>
          <w:lang w:eastAsia="ja-JP"/>
        </w:rPr>
        <w:t>情報要件が</w:t>
      </w:r>
      <w:r w:rsidR="00C43032" w:rsidRPr="00DF5C23">
        <w:rPr>
          <w:noProof/>
          <w:lang w:eastAsia="ja-JP"/>
        </w:rPr>
        <w:t>、</w:t>
      </w:r>
      <w:r w:rsidR="00A625AD" w:rsidRPr="00DF5C23">
        <w:rPr>
          <w:noProof/>
          <w:lang w:eastAsia="ja-JP"/>
        </w:rPr>
        <w:t>第</w:t>
      </w:r>
      <w:r w:rsidR="00A625AD" w:rsidRPr="00DF5C23">
        <w:rPr>
          <w:noProof/>
          <w:lang w:eastAsia="ja-JP"/>
        </w:rPr>
        <w:t>7</w:t>
      </w:r>
      <w:r w:rsidR="00A625AD" w:rsidRPr="00DF5C23">
        <w:rPr>
          <w:noProof/>
          <w:lang w:eastAsia="ja-JP"/>
        </w:rPr>
        <w:t>条</w:t>
      </w:r>
      <w:r w:rsidR="00A625AD" w:rsidRPr="00DF5C23">
        <w:rPr>
          <w:noProof/>
          <w:lang w:eastAsia="ja-JP"/>
        </w:rPr>
        <w:t>(</w:t>
      </w:r>
      <w:r w:rsidR="00A67799" w:rsidRPr="00DF5C23">
        <w:rPr>
          <w:noProof/>
          <w:lang w:eastAsia="ja-JP"/>
        </w:rPr>
        <w:t>4</w:t>
      </w:r>
      <w:r w:rsidR="00A625AD" w:rsidRPr="00DF5C23">
        <w:rPr>
          <w:noProof/>
          <w:lang w:eastAsia="ja-JP"/>
        </w:rPr>
        <w:t>)</w:t>
      </w:r>
      <w:r w:rsidR="002A4B4F" w:rsidRPr="00DF5C23">
        <w:rPr>
          <w:noProof/>
          <w:lang w:eastAsia="ja-JP"/>
        </w:rPr>
        <w:t>に</w:t>
      </w:r>
      <w:r w:rsidR="00A625AD" w:rsidRPr="00DF5C23">
        <w:rPr>
          <w:noProof/>
          <w:lang w:eastAsia="ja-JP"/>
        </w:rPr>
        <w:t>いう製品の性能等級をラベルに記載することを</w:t>
      </w:r>
      <w:r w:rsidR="00C43032" w:rsidRPr="00DF5C23">
        <w:rPr>
          <w:noProof/>
          <w:lang w:eastAsia="ja-JP"/>
        </w:rPr>
        <w:t>伴う</w:t>
      </w:r>
      <w:r w:rsidR="00A625AD" w:rsidRPr="00DF5C23">
        <w:rPr>
          <w:noProof/>
          <w:lang w:eastAsia="ja-JP"/>
        </w:rPr>
        <w:t>場合、第</w:t>
      </w:r>
      <w:r w:rsidR="00A625AD" w:rsidRPr="00DF5C23">
        <w:rPr>
          <w:noProof/>
          <w:lang w:eastAsia="ja-JP"/>
        </w:rPr>
        <w:t>1</w:t>
      </w:r>
      <w:r w:rsidR="00A625AD" w:rsidRPr="00DF5C23">
        <w:rPr>
          <w:noProof/>
          <w:lang w:eastAsia="ja-JP"/>
        </w:rPr>
        <w:t>項</w:t>
      </w:r>
      <w:r w:rsidR="00A625AD" w:rsidRPr="00DF5C23">
        <w:rPr>
          <w:noProof/>
          <w:lang w:eastAsia="ja-JP"/>
        </w:rPr>
        <w:t>(</w:t>
      </w:r>
      <w:r w:rsidR="002A4B4F" w:rsidRPr="00DF5C23">
        <w:rPr>
          <w:noProof/>
          <w:lang w:eastAsia="ja-JP"/>
        </w:rPr>
        <w:t>b)</w:t>
      </w:r>
      <w:r w:rsidR="002A4B4F" w:rsidRPr="00DF5C23">
        <w:rPr>
          <w:noProof/>
          <w:lang w:eastAsia="ja-JP"/>
        </w:rPr>
        <w:t>に</w:t>
      </w:r>
      <w:r w:rsidR="00A625AD" w:rsidRPr="00DF5C23">
        <w:rPr>
          <w:noProof/>
          <w:lang w:eastAsia="ja-JP"/>
        </w:rPr>
        <w:t>いうラベルのレイアウトは、顧客が当該</w:t>
      </w:r>
      <w:r w:rsidR="00214C38" w:rsidRPr="00DF5C23">
        <w:rPr>
          <w:noProof/>
          <w:lang w:eastAsia="ja-JP"/>
        </w:rPr>
        <w:t>製品</w:t>
      </w:r>
      <w:r w:rsidR="00A625AD" w:rsidRPr="00DF5C23">
        <w:rPr>
          <w:noProof/>
          <w:lang w:eastAsia="ja-JP"/>
        </w:rPr>
        <w:t>パラメータに関連する製品性能を容易に比較し、</w:t>
      </w:r>
      <w:r w:rsidR="002A4B4F" w:rsidRPr="00DF5C23">
        <w:rPr>
          <w:noProof/>
          <w:lang w:eastAsia="ja-JP"/>
        </w:rPr>
        <w:t>より</w:t>
      </w:r>
      <w:r w:rsidR="00A625AD" w:rsidRPr="00DF5C23">
        <w:rPr>
          <w:noProof/>
          <w:lang w:eastAsia="ja-JP"/>
        </w:rPr>
        <w:t>性能の高い製品を選択できるようにしなければならない。</w:t>
      </w:r>
      <w:r w:rsidR="00A625AD" w:rsidRPr="00DF5C23">
        <w:rPr>
          <w:noProof/>
          <w:lang w:eastAsia="ja-JP"/>
        </w:rPr>
        <w:t xml:space="preserve"> </w:t>
      </w:r>
    </w:p>
    <w:p w14:paraId="50B1B002" w14:textId="77777777" w:rsidR="0038775E" w:rsidRDefault="00877B9C" w:rsidP="002041D4">
      <w:pPr>
        <w:pStyle w:val="ManualNumPar1"/>
        <w:wordWrap w:val="0"/>
        <w:rPr>
          <w:noProof/>
          <w:lang w:eastAsia="ja-JP"/>
        </w:rPr>
      </w:pPr>
      <w:r w:rsidRPr="004F5E59">
        <w:rPr>
          <w:lang w:eastAsia="ja-JP"/>
        </w:rPr>
        <w:t>3.</w:t>
      </w:r>
      <w:r w:rsidRPr="004F5E59">
        <w:rPr>
          <w:lang w:eastAsia="ja-JP"/>
        </w:rPr>
        <w:tab/>
      </w:r>
      <w:r w:rsidR="00C82DE6" w:rsidRPr="00DF5C23">
        <w:rPr>
          <w:noProof/>
          <w:lang w:eastAsia="ja-JP"/>
        </w:rPr>
        <w:t>エネルギー関連製品について、</w:t>
      </w:r>
      <w:r w:rsidR="00387FAF" w:rsidRPr="00DF5C23">
        <w:rPr>
          <w:noProof/>
          <w:lang w:eastAsia="ja-JP"/>
        </w:rPr>
        <w:t>第</w:t>
      </w:r>
      <w:r w:rsidR="00387FAF" w:rsidRPr="00DF5C23">
        <w:rPr>
          <w:noProof/>
          <w:lang w:eastAsia="ja-JP"/>
        </w:rPr>
        <w:t>7</w:t>
      </w:r>
      <w:r w:rsidR="00387FAF" w:rsidRPr="00DF5C23">
        <w:rPr>
          <w:noProof/>
          <w:lang w:eastAsia="ja-JP"/>
        </w:rPr>
        <w:t>条</w:t>
      </w:r>
      <w:r w:rsidR="00387FAF" w:rsidRPr="00DF5C23">
        <w:rPr>
          <w:noProof/>
          <w:lang w:eastAsia="ja-JP"/>
        </w:rPr>
        <w:t>(4)</w:t>
      </w:r>
      <w:r w:rsidR="00387FAF" w:rsidRPr="00DF5C23">
        <w:rPr>
          <w:noProof/>
          <w:lang w:eastAsia="ja-JP"/>
        </w:rPr>
        <w:t>に言及</w:t>
      </w:r>
      <w:r w:rsidR="00636D48" w:rsidRPr="00DF5C23">
        <w:rPr>
          <w:noProof/>
          <w:lang w:eastAsia="ja-JP"/>
        </w:rPr>
        <w:t>する</w:t>
      </w:r>
      <w:r w:rsidR="00C82DE6" w:rsidRPr="00DF5C23">
        <w:rPr>
          <w:noProof/>
          <w:lang w:eastAsia="ja-JP"/>
        </w:rPr>
        <w:t>性能クラスに関する</w:t>
      </w:r>
      <w:r w:rsidR="00636D48" w:rsidRPr="00DF5C23">
        <w:rPr>
          <w:noProof/>
          <w:lang w:eastAsia="ja-JP"/>
        </w:rPr>
        <w:t>情報を</w:t>
      </w:r>
      <w:r w:rsidR="00387FAF" w:rsidRPr="00DF5C23">
        <w:rPr>
          <w:noProof/>
          <w:lang w:eastAsia="ja-JP"/>
        </w:rPr>
        <w:t>含む</w:t>
      </w:r>
      <w:r w:rsidR="00636D48" w:rsidRPr="00DF5C23">
        <w:rPr>
          <w:noProof/>
          <w:lang w:eastAsia="ja-JP"/>
        </w:rPr>
        <w:t>関連</w:t>
      </w:r>
      <w:r w:rsidR="00B418B0" w:rsidRPr="00DF5C23">
        <w:rPr>
          <w:noProof/>
          <w:lang w:eastAsia="ja-JP"/>
        </w:rPr>
        <w:t>製品</w:t>
      </w:r>
      <w:r w:rsidR="00636D48" w:rsidRPr="00DF5C23">
        <w:rPr>
          <w:noProof/>
          <w:lang w:eastAsia="ja-JP"/>
        </w:rPr>
        <w:t>パラメータに関する</w:t>
      </w:r>
      <w:r w:rsidR="00177FE6" w:rsidRPr="00DF5C23">
        <w:rPr>
          <w:noProof/>
          <w:lang w:eastAsia="ja-JP"/>
        </w:rPr>
        <w:t>情報が、規則</w:t>
      </w:r>
      <w:r w:rsidR="008918C0" w:rsidRPr="00DF5C23">
        <w:rPr>
          <w:noProof/>
          <w:lang w:eastAsia="ja-JP"/>
        </w:rPr>
        <w:t>（</w:t>
      </w:r>
      <w:r w:rsidR="008918C0" w:rsidRPr="00DF5C23">
        <w:rPr>
          <w:noProof/>
          <w:lang w:eastAsia="ja-JP"/>
        </w:rPr>
        <w:t>EU</w:t>
      </w:r>
      <w:r w:rsidR="008918C0" w:rsidRPr="00DF5C23">
        <w:rPr>
          <w:noProof/>
          <w:lang w:eastAsia="ja-JP"/>
        </w:rPr>
        <w:t>）</w:t>
      </w:r>
      <w:r w:rsidR="00177FE6" w:rsidRPr="00DF5C23">
        <w:rPr>
          <w:noProof/>
          <w:lang w:eastAsia="ja-JP"/>
        </w:rPr>
        <w:t>2017/1369</w:t>
      </w:r>
      <w:r w:rsidR="00177FE6" w:rsidRPr="00DF5C23">
        <w:rPr>
          <w:noProof/>
          <w:lang w:eastAsia="ja-JP"/>
        </w:rPr>
        <w:t>に従って設定されたエネルギーラベルに</w:t>
      </w:r>
      <w:r w:rsidR="00F159C1" w:rsidRPr="00DF5C23">
        <w:rPr>
          <w:noProof/>
          <w:lang w:eastAsia="ja-JP"/>
        </w:rPr>
        <w:t>組み込ま</w:t>
      </w:r>
      <w:r w:rsidR="00C0317C" w:rsidRPr="00DF5C23">
        <w:rPr>
          <w:noProof/>
          <w:lang w:eastAsia="ja-JP"/>
        </w:rPr>
        <w:t>れない</w:t>
      </w:r>
      <w:r w:rsidR="00C82DE6" w:rsidRPr="00DF5C23">
        <w:rPr>
          <w:noProof/>
          <w:lang w:eastAsia="ja-JP"/>
        </w:rPr>
        <w:t>場合、</w:t>
      </w:r>
      <w:r w:rsidR="00177FE6" w:rsidRPr="00DF5C23">
        <w:rPr>
          <w:noProof/>
          <w:lang w:eastAsia="ja-JP"/>
        </w:rPr>
        <w:t>委員会は</w:t>
      </w:r>
      <w:r w:rsidR="00636D48" w:rsidRPr="00DF5C23">
        <w:rPr>
          <w:noProof/>
          <w:lang w:eastAsia="ja-JP"/>
        </w:rPr>
        <w:t>、この特定の</w:t>
      </w:r>
      <w:r w:rsidR="00387FAF" w:rsidRPr="00DF5C23">
        <w:rPr>
          <w:noProof/>
          <w:lang w:eastAsia="ja-JP"/>
        </w:rPr>
        <w:t>情報について</w:t>
      </w:r>
      <w:r w:rsidR="00177FE6" w:rsidRPr="00DF5C23">
        <w:rPr>
          <w:noProof/>
          <w:lang w:eastAsia="ja-JP"/>
        </w:rPr>
        <w:t>伝達する最善の方法を評価した後、適切であれば、</w:t>
      </w:r>
      <w:r w:rsidR="00387FAF" w:rsidRPr="00DF5C23">
        <w:rPr>
          <w:noProof/>
          <w:lang w:eastAsia="ja-JP"/>
        </w:rPr>
        <w:t>本規則に従って</w:t>
      </w:r>
      <w:r w:rsidR="00177FE6" w:rsidRPr="00DF5C23">
        <w:rPr>
          <w:noProof/>
          <w:lang w:eastAsia="ja-JP"/>
        </w:rPr>
        <w:t>ラベルを</w:t>
      </w:r>
      <w:r w:rsidR="00387FAF" w:rsidRPr="00DF5C23">
        <w:rPr>
          <w:noProof/>
          <w:lang w:eastAsia="ja-JP"/>
        </w:rPr>
        <w:t>設定することを</w:t>
      </w:r>
      <w:r w:rsidR="00177FE6" w:rsidRPr="00DF5C23">
        <w:rPr>
          <w:noProof/>
          <w:lang w:eastAsia="ja-JP"/>
        </w:rPr>
        <w:t>要求</w:t>
      </w:r>
      <w:r w:rsidR="00C0317C" w:rsidRPr="00DF5C23">
        <w:rPr>
          <w:noProof/>
          <w:lang w:eastAsia="ja-JP"/>
        </w:rPr>
        <w:t>できる</w:t>
      </w:r>
      <w:r w:rsidR="008918C0" w:rsidRPr="00DF5C23">
        <w:rPr>
          <w:noProof/>
          <w:lang w:eastAsia="ja-JP"/>
        </w:rPr>
        <w:t>。</w:t>
      </w:r>
    </w:p>
    <w:p w14:paraId="4BBA1E35" w14:textId="77777777" w:rsidR="0038775E" w:rsidRDefault="00877B9C" w:rsidP="002041D4">
      <w:pPr>
        <w:pStyle w:val="ManualNumPar1"/>
        <w:wordWrap w:val="0"/>
        <w:rPr>
          <w:noProof/>
          <w:lang w:eastAsia="ja-JP"/>
        </w:rPr>
      </w:pPr>
      <w:r w:rsidRPr="004F5E59">
        <w:rPr>
          <w:lang w:eastAsia="ja-JP"/>
        </w:rPr>
        <w:t>4.</w:t>
      </w:r>
      <w:r w:rsidRPr="004F5E59">
        <w:rPr>
          <w:lang w:eastAsia="ja-JP"/>
        </w:rPr>
        <w:tab/>
      </w:r>
      <w:r w:rsidR="00996A4F" w:rsidRPr="00DF5C23">
        <w:rPr>
          <w:noProof/>
          <w:lang w:eastAsia="ja-JP"/>
        </w:rPr>
        <w:t>第</w:t>
      </w:r>
      <w:r w:rsidR="00996A4F" w:rsidRPr="00DF5C23">
        <w:rPr>
          <w:noProof/>
          <w:lang w:eastAsia="ja-JP"/>
        </w:rPr>
        <w:t>1</w:t>
      </w:r>
      <w:r w:rsidR="00996A4F" w:rsidRPr="00DF5C23">
        <w:rPr>
          <w:noProof/>
          <w:lang w:eastAsia="ja-JP"/>
        </w:rPr>
        <w:t>項の情報要件を定める際、</w:t>
      </w:r>
      <w:r w:rsidR="002A4B4F" w:rsidRPr="00DF5C23">
        <w:rPr>
          <w:noProof/>
          <w:lang w:eastAsia="ja-JP"/>
        </w:rPr>
        <w:t>欧州委員会は、</w:t>
      </w:r>
      <w:r w:rsidR="00996A4F" w:rsidRPr="00DF5C23">
        <w:rPr>
          <w:noProof/>
          <w:lang w:eastAsia="ja-JP"/>
        </w:rPr>
        <w:t>必要に応じて、</w:t>
      </w:r>
      <w:r w:rsidR="00A625AD" w:rsidRPr="00DF5C23">
        <w:rPr>
          <w:noProof/>
          <w:lang w:eastAsia="ja-JP"/>
        </w:rPr>
        <w:t>顧客が製品に関する追加情報（</w:t>
      </w:r>
      <w:r w:rsidR="00A67799" w:rsidRPr="00DF5C23">
        <w:rPr>
          <w:noProof/>
          <w:lang w:eastAsia="ja-JP"/>
        </w:rPr>
        <w:t>第</w:t>
      </w:r>
      <w:r w:rsidR="00A67799" w:rsidRPr="00DF5C23">
        <w:rPr>
          <w:noProof/>
          <w:lang w:eastAsia="ja-JP"/>
        </w:rPr>
        <w:t>8</w:t>
      </w:r>
      <w:r w:rsidR="00A67799" w:rsidRPr="00DF5C23">
        <w:rPr>
          <w:noProof/>
          <w:lang w:eastAsia="ja-JP"/>
        </w:rPr>
        <w:t>条に</w:t>
      </w:r>
      <w:r w:rsidR="00A625AD" w:rsidRPr="00DF5C23">
        <w:rPr>
          <w:noProof/>
          <w:lang w:eastAsia="ja-JP"/>
        </w:rPr>
        <w:t>いう製品パスポートへのアクセスを可能にする</w:t>
      </w:r>
      <w:r w:rsidR="00996A4F" w:rsidRPr="00DF5C23">
        <w:rPr>
          <w:noProof/>
          <w:lang w:eastAsia="ja-JP"/>
        </w:rPr>
        <w:t>手段を</w:t>
      </w:r>
      <w:r w:rsidR="00A625AD" w:rsidRPr="00DF5C23">
        <w:rPr>
          <w:noProof/>
          <w:lang w:eastAsia="ja-JP"/>
        </w:rPr>
        <w:t>含む）にアクセスできるようにするデータキャリアまたはその他の手段をラベルに含めるよう求めるものとする。</w:t>
      </w:r>
      <w:r w:rsidR="00A625AD" w:rsidRPr="00DF5C23">
        <w:rPr>
          <w:noProof/>
          <w:lang w:eastAsia="ja-JP"/>
        </w:rPr>
        <w:t xml:space="preserve"> </w:t>
      </w:r>
    </w:p>
    <w:p w14:paraId="3E25BD28" w14:textId="77777777" w:rsidR="0038775E" w:rsidRDefault="00877B9C" w:rsidP="002041D4">
      <w:pPr>
        <w:pStyle w:val="ManualNumPar1"/>
        <w:wordWrap w:val="0"/>
        <w:rPr>
          <w:noProof/>
          <w:lang w:eastAsia="ja-JP"/>
        </w:rPr>
      </w:pPr>
      <w:r w:rsidRPr="004F5E59">
        <w:rPr>
          <w:lang w:eastAsia="ja-JP"/>
        </w:rPr>
        <w:t>5.</w:t>
      </w:r>
      <w:r w:rsidRPr="004F5E59">
        <w:rPr>
          <w:lang w:eastAsia="ja-JP"/>
        </w:rPr>
        <w:tab/>
      </w:r>
      <w:r w:rsidR="00A625AD" w:rsidRPr="00DF5C23">
        <w:rPr>
          <w:noProof/>
          <w:lang w:eastAsia="ja-JP"/>
        </w:rPr>
        <w:t>欧州委員会は、</w:t>
      </w:r>
      <w:r w:rsidR="00561884" w:rsidRPr="00DF5C23">
        <w:rPr>
          <w:noProof/>
          <w:lang w:eastAsia="ja-JP"/>
        </w:rPr>
        <w:t>第</w:t>
      </w:r>
      <w:r w:rsidR="00561884" w:rsidRPr="00DF5C23">
        <w:rPr>
          <w:noProof/>
          <w:lang w:eastAsia="ja-JP"/>
        </w:rPr>
        <w:t>7</w:t>
      </w:r>
      <w:r w:rsidR="00561884" w:rsidRPr="00DF5C23">
        <w:rPr>
          <w:noProof/>
          <w:lang w:eastAsia="ja-JP"/>
        </w:rPr>
        <w:t>条（</w:t>
      </w:r>
      <w:r w:rsidR="00561884" w:rsidRPr="00DF5C23">
        <w:rPr>
          <w:noProof/>
          <w:lang w:eastAsia="ja-JP"/>
        </w:rPr>
        <w:t>6</w:t>
      </w:r>
      <w:r w:rsidR="00561884" w:rsidRPr="00DF5C23">
        <w:rPr>
          <w:noProof/>
          <w:lang w:eastAsia="ja-JP"/>
        </w:rPr>
        <w:t>）項（</w:t>
      </w:r>
      <w:r w:rsidR="00561884" w:rsidRPr="00DF5C23">
        <w:rPr>
          <w:noProof/>
          <w:lang w:eastAsia="ja-JP"/>
        </w:rPr>
        <w:t>d</w:t>
      </w:r>
      <w:r w:rsidR="00561884" w:rsidRPr="00DF5C23">
        <w:rPr>
          <w:noProof/>
          <w:lang w:eastAsia="ja-JP"/>
        </w:rPr>
        <w:t>）に従って要求される</w:t>
      </w:r>
      <w:r w:rsidR="00A625AD" w:rsidRPr="00DF5C23">
        <w:rPr>
          <w:noProof/>
          <w:lang w:eastAsia="ja-JP"/>
        </w:rPr>
        <w:t>ラベルのレイアウトに関する</w:t>
      </w:r>
      <w:r w:rsidR="00996A4F" w:rsidRPr="00DF5C23">
        <w:rPr>
          <w:noProof/>
          <w:lang w:eastAsia="ja-JP"/>
        </w:rPr>
        <w:t>共通の要件を</w:t>
      </w:r>
      <w:r w:rsidR="00A625AD" w:rsidRPr="00DF5C23">
        <w:rPr>
          <w:noProof/>
          <w:lang w:eastAsia="ja-JP"/>
        </w:rPr>
        <w:t>定める実施法を採択することができる。</w:t>
      </w:r>
    </w:p>
    <w:p w14:paraId="48D68292" w14:textId="77777777" w:rsidR="0038775E" w:rsidRDefault="00877B9C" w:rsidP="002041D4">
      <w:pPr>
        <w:pStyle w:val="Text1"/>
        <w:wordWrap w:val="0"/>
        <w:rPr>
          <w:noProof/>
          <w:lang w:eastAsia="ja-JP"/>
        </w:rPr>
      </w:pPr>
      <w:r w:rsidRPr="00DF5C23">
        <w:rPr>
          <w:noProof/>
          <w:lang w:eastAsia="ja-JP"/>
        </w:rPr>
        <w:t>これらの実施法は、</w:t>
      </w:r>
      <w:r w:rsidR="0043262D" w:rsidRPr="00DF5C23">
        <w:rPr>
          <w:noProof/>
          <w:lang w:eastAsia="ja-JP"/>
        </w:rPr>
        <w:t>第</w:t>
      </w:r>
      <w:r w:rsidR="0043262D" w:rsidRPr="00DF5C23">
        <w:rPr>
          <w:noProof/>
          <w:lang w:eastAsia="ja-JP"/>
        </w:rPr>
        <w:t>67</w:t>
      </w:r>
      <w:r w:rsidR="0043262D" w:rsidRPr="00DF5C23">
        <w:rPr>
          <w:noProof/>
          <w:lang w:eastAsia="ja-JP"/>
        </w:rPr>
        <w:t>条</w:t>
      </w:r>
      <w:r w:rsidRPr="00DF5C23">
        <w:rPr>
          <w:noProof/>
          <w:lang w:eastAsia="ja-JP"/>
        </w:rPr>
        <w:t>(3)</w:t>
      </w:r>
      <w:r w:rsidRPr="00DF5C23">
        <w:rPr>
          <w:noProof/>
          <w:lang w:eastAsia="ja-JP"/>
        </w:rPr>
        <w:t>にいう審査手続きに基づいて採択されるものとする。</w:t>
      </w:r>
    </w:p>
    <w:p w14:paraId="685BE91D" w14:textId="77777777" w:rsidR="0038775E" w:rsidRDefault="00D81E4D" w:rsidP="002041D4">
      <w:pPr>
        <w:pStyle w:val="Titrearticle"/>
        <w:wordWrap w:val="0"/>
        <w:rPr>
          <w:noProof/>
          <w:lang w:eastAsia="ja-JP"/>
        </w:rPr>
      </w:pPr>
      <w:r w:rsidRPr="00DF5C23">
        <w:rPr>
          <w:noProof/>
          <w:lang w:eastAsia="ja-JP"/>
        </w:rPr>
        <w:t>第</w:t>
      </w:r>
      <w:r w:rsidRPr="00DF5C23">
        <w:rPr>
          <w:noProof/>
          <w:lang w:eastAsia="ja-JP"/>
        </w:rPr>
        <w:t>15</w:t>
      </w:r>
      <w:r w:rsidR="00877B9C" w:rsidRPr="00DF5C23">
        <w:rPr>
          <w:noProof/>
          <w:lang w:eastAsia="ja-JP"/>
        </w:rPr>
        <w:t>条</w:t>
      </w:r>
      <w:r w:rsidR="00877B9C" w:rsidRPr="00DF5C23">
        <w:rPr>
          <w:noProof/>
          <w:lang w:eastAsia="ja-JP"/>
        </w:rPr>
        <w:t xml:space="preserve"> </w:t>
      </w:r>
      <w:r w:rsidR="00877B9C" w:rsidRPr="00DF5C23">
        <w:rPr>
          <w:noProof/>
          <w:lang w:eastAsia="ja-JP"/>
        </w:rPr>
        <w:br/>
      </w:r>
      <w:r w:rsidR="00877B9C" w:rsidRPr="00DF5C23">
        <w:rPr>
          <w:noProof/>
          <w:lang w:eastAsia="ja-JP"/>
        </w:rPr>
        <w:t>ラベルを模倣する</w:t>
      </w:r>
    </w:p>
    <w:p w14:paraId="290AE1B7" w14:textId="77777777" w:rsidR="0038775E" w:rsidRDefault="00877B9C" w:rsidP="002041D4">
      <w:pPr>
        <w:wordWrap w:val="0"/>
        <w:rPr>
          <w:noProof/>
          <w:lang w:eastAsia="ja-JP"/>
        </w:rPr>
      </w:pPr>
      <w:r w:rsidRPr="00DF5C23">
        <w:rPr>
          <w:noProof/>
          <w:lang w:val="en-IE" w:eastAsia="ja-JP"/>
        </w:rPr>
        <w:t>第</w:t>
      </w:r>
      <w:r w:rsidRPr="00DF5C23">
        <w:rPr>
          <w:noProof/>
          <w:lang w:val="en-IE" w:eastAsia="ja-JP"/>
        </w:rPr>
        <w:t>4</w:t>
      </w:r>
      <w:r w:rsidRPr="00DF5C23">
        <w:rPr>
          <w:noProof/>
          <w:lang w:val="en-IE" w:eastAsia="ja-JP"/>
        </w:rPr>
        <w:t>条に従って採択さ</w:t>
      </w:r>
      <w:r w:rsidRPr="00DF5C23">
        <w:rPr>
          <w:noProof/>
          <w:lang w:val="en-IE" w:eastAsia="ja-JP"/>
        </w:rPr>
        <w:t>れた委任法が製品にラベルを付けることを要求していない場合、</w:t>
      </w:r>
      <w:r w:rsidR="0043262D" w:rsidRPr="00DF5C23">
        <w:rPr>
          <w:noProof/>
          <w:lang w:eastAsia="ja-JP"/>
        </w:rPr>
        <w:t>第</w:t>
      </w:r>
      <w:r w:rsidR="0043262D" w:rsidRPr="00DF5C23">
        <w:rPr>
          <w:noProof/>
          <w:lang w:eastAsia="ja-JP"/>
        </w:rPr>
        <w:t>14</w:t>
      </w:r>
      <w:r w:rsidR="0043262D" w:rsidRPr="00DF5C23">
        <w:rPr>
          <w:noProof/>
          <w:lang w:eastAsia="ja-JP"/>
        </w:rPr>
        <w:t>条に</w:t>
      </w:r>
      <w:r w:rsidR="00A625AD" w:rsidRPr="00DF5C23">
        <w:rPr>
          <w:noProof/>
          <w:lang w:eastAsia="ja-JP"/>
        </w:rPr>
        <w:t>規定するラベルに関して</w:t>
      </w:r>
      <w:r w:rsidR="00F725D0" w:rsidRPr="00DF5C23">
        <w:rPr>
          <w:noProof/>
          <w:lang w:eastAsia="ja-JP"/>
        </w:rPr>
        <w:t>顧客を誤解させ、又は混乱させる可能性のあ</w:t>
      </w:r>
      <w:r w:rsidR="00F725D0" w:rsidRPr="00DF5C23">
        <w:rPr>
          <w:noProof/>
          <w:lang w:eastAsia="ja-JP"/>
        </w:rPr>
        <w:lastRenderedPageBreak/>
        <w:t>るラベルを</w:t>
      </w:r>
      <w:r w:rsidR="007D3458" w:rsidRPr="00DF5C23">
        <w:rPr>
          <w:noProof/>
          <w:lang w:eastAsia="ja-JP"/>
        </w:rPr>
        <w:t>供給し</w:t>
      </w:r>
      <w:r w:rsidR="00F725D0" w:rsidRPr="00DF5C23">
        <w:rPr>
          <w:noProof/>
          <w:lang w:eastAsia="ja-JP"/>
        </w:rPr>
        <w:t>又は表示する場合には、</w:t>
      </w:r>
      <w:r w:rsidRPr="00DF5C23">
        <w:rPr>
          <w:noProof/>
          <w:lang w:eastAsia="ja-JP"/>
        </w:rPr>
        <w:t>それらの製品を</w:t>
      </w:r>
      <w:r w:rsidR="00F725D0" w:rsidRPr="00DF5C23">
        <w:rPr>
          <w:noProof/>
          <w:lang w:eastAsia="ja-JP"/>
        </w:rPr>
        <w:t>市場に出し又は使用開始することはできない</w:t>
      </w:r>
      <w:r w:rsidR="00A625AD" w:rsidRPr="00DF5C23">
        <w:rPr>
          <w:noProof/>
          <w:lang w:eastAsia="ja-JP"/>
        </w:rPr>
        <w:t>。</w:t>
      </w:r>
    </w:p>
    <w:p w14:paraId="2181FDB4" w14:textId="77777777" w:rsidR="0038775E" w:rsidRDefault="00A625AD" w:rsidP="002041D4">
      <w:pPr>
        <w:pStyle w:val="ManualHeading1"/>
        <w:wordWrap w:val="0"/>
        <w:jc w:val="center"/>
        <w:rPr>
          <w:noProof/>
          <w:lang w:eastAsia="ja-JP"/>
        </w:rPr>
      </w:pPr>
      <w:r w:rsidRPr="00DF5C23">
        <w:rPr>
          <w:noProof/>
          <w:lang w:eastAsia="ja-JP"/>
        </w:rPr>
        <w:t>第五</w:t>
      </w:r>
      <w:r w:rsidR="00BA4E97" w:rsidRPr="00DF5C23">
        <w:rPr>
          <w:noProof/>
          <w:lang w:eastAsia="ja-JP"/>
        </w:rPr>
        <w:t>章</w:t>
      </w:r>
      <w:r w:rsidR="00BA4E97" w:rsidRPr="00DF5C23">
        <w:rPr>
          <w:noProof/>
          <w:lang w:eastAsia="ja-JP"/>
        </w:rPr>
        <w:t xml:space="preserve"> </w:t>
      </w:r>
      <w:r w:rsidR="00877B9C" w:rsidRPr="00DF5C23">
        <w:rPr>
          <w:noProof/>
          <w:lang w:eastAsia="ja-JP"/>
        </w:rPr>
        <w:t>優先順位付け、計画、コンサルテーション</w:t>
      </w:r>
    </w:p>
    <w:p w14:paraId="12EE9C2A" w14:textId="77777777" w:rsidR="0038775E" w:rsidRDefault="00D81E4D" w:rsidP="002041D4">
      <w:pPr>
        <w:pStyle w:val="Titrearticle"/>
        <w:wordWrap w:val="0"/>
        <w:rPr>
          <w:noProof/>
          <w:lang w:val="en-IE" w:eastAsia="fr-BE"/>
        </w:rPr>
      </w:pPr>
      <w:r w:rsidRPr="00DF5C23">
        <w:rPr>
          <w:noProof/>
          <w:lang w:val="en-IE" w:eastAsia="fr-BE"/>
        </w:rPr>
        <w:t>第</w:t>
      </w:r>
      <w:r w:rsidRPr="00DF5C23">
        <w:rPr>
          <w:noProof/>
          <w:lang w:val="en-IE" w:eastAsia="fr-BE"/>
        </w:rPr>
        <w:t>16</w:t>
      </w:r>
      <w:r w:rsidR="00877B9C" w:rsidRPr="00DF5C23">
        <w:rPr>
          <w:noProof/>
          <w:lang w:val="en-IE" w:eastAsia="fr-BE"/>
        </w:rPr>
        <w:t>条</w:t>
      </w:r>
      <w:r w:rsidR="000C3D25" w:rsidRPr="00DF5C23">
        <w:rPr>
          <w:noProof/>
          <w:lang w:eastAsia="ja-JP"/>
        </w:rPr>
        <w:br/>
      </w:r>
      <w:r w:rsidR="00877B9C" w:rsidRPr="00DF5C23">
        <w:rPr>
          <w:noProof/>
          <w:lang w:val="en-IE" w:eastAsia="fr-BE"/>
        </w:rPr>
        <w:t>優先順位付けと計画</w:t>
      </w:r>
    </w:p>
    <w:p w14:paraId="66E9AC74" w14:textId="77777777" w:rsidR="0038775E" w:rsidRDefault="00877B9C" w:rsidP="002041D4">
      <w:pPr>
        <w:pStyle w:val="ManualNumPar1"/>
        <w:wordWrap w:val="0"/>
        <w:rPr>
          <w:noProof/>
          <w:lang w:val="en-IE" w:eastAsia="ja-JP"/>
        </w:rPr>
      </w:pPr>
      <w:r w:rsidRPr="004F5E59">
        <w:rPr>
          <w:lang w:eastAsia="ja-JP"/>
        </w:rPr>
        <w:t>1.</w:t>
      </w:r>
      <w:r w:rsidRPr="004F5E59">
        <w:rPr>
          <w:lang w:eastAsia="ja-JP"/>
        </w:rPr>
        <w:tab/>
      </w:r>
      <w:r w:rsidR="00E92BBE" w:rsidRPr="00DF5C23">
        <w:rPr>
          <w:noProof/>
          <w:lang w:val="en-IE" w:eastAsia="ja-JP"/>
        </w:rPr>
        <w:t>本規則に従ってエコデザイン要求の対象と</w:t>
      </w:r>
      <w:r w:rsidR="00F41E57" w:rsidRPr="00DF5C23">
        <w:rPr>
          <w:noProof/>
          <w:lang w:val="en-IE" w:eastAsia="ja-JP"/>
        </w:rPr>
        <w:t>なる製品に</w:t>
      </w:r>
      <w:r w:rsidR="0681B866" w:rsidRPr="00DF5C23">
        <w:rPr>
          <w:noProof/>
          <w:lang w:val="en-IE" w:eastAsia="ja-JP"/>
        </w:rPr>
        <w:t>優先順位をつける場合、欧州委員会は、欧州</w:t>
      </w:r>
      <w:r w:rsidR="000F3690" w:rsidRPr="00DF5C23">
        <w:rPr>
          <w:noProof/>
          <w:lang w:val="en-IE" w:eastAsia="ja-JP"/>
        </w:rPr>
        <w:t>連合の気候、環境、エネルギー効率に関する目標の達成に寄与する可能性を</w:t>
      </w:r>
      <w:r w:rsidR="0681B866" w:rsidRPr="00DF5C23">
        <w:rPr>
          <w:noProof/>
          <w:lang w:val="en-IE" w:eastAsia="ja-JP"/>
        </w:rPr>
        <w:t>考慮するとともに、以下の基準も考慮するものとする：</w:t>
      </w:r>
    </w:p>
    <w:p w14:paraId="2D89DCFF" w14:textId="77777777" w:rsidR="0038775E" w:rsidRDefault="00877B9C" w:rsidP="002041D4">
      <w:pPr>
        <w:pStyle w:val="Point1"/>
        <w:wordWrap w:val="0"/>
        <w:rPr>
          <w:noProof/>
          <w:lang w:val="en-IE" w:eastAsia="ja-JP"/>
        </w:rPr>
      </w:pPr>
      <w:r w:rsidRPr="004F5E59">
        <w:rPr>
          <w:lang w:eastAsia="ja-JP"/>
        </w:rPr>
        <w:t>(a)</w:t>
      </w:r>
      <w:r w:rsidRPr="004F5E59">
        <w:rPr>
          <w:lang w:eastAsia="ja-JP"/>
        </w:rPr>
        <w:tab/>
      </w:r>
      <w:r w:rsidR="00DD35BA" w:rsidRPr="00DF5C23">
        <w:rPr>
          <w:noProof/>
          <w:lang w:val="en-IE" w:eastAsia="ja-JP"/>
        </w:rPr>
        <w:t>特に考慮し、不釣り合いなコストを伴うことなく、</w:t>
      </w:r>
      <w:r w:rsidR="00D202E7" w:rsidRPr="00DF5C23">
        <w:rPr>
          <w:noProof/>
          <w:lang w:val="en-IE" w:eastAsia="ja-JP"/>
        </w:rPr>
        <w:t>第</w:t>
      </w:r>
      <w:r w:rsidR="00D202E7" w:rsidRPr="00DF5C23">
        <w:rPr>
          <w:noProof/>
          <w:lang w:val="en-IE" w:eastAsia="ja-JP"/>
        </w:rPr>
        <w:t>5</w:t>
      </w:r>
      <w:r w:rsidR="00D202E7" w:rsidRPr="00DF5C23">
        <w:rPr>
          <w:noProof/>
          <w:lang w:val="en-IE" w:eastAsia="ja-JP"/>
        </w:rPr>
        <w:t>条</w:t>
      </w:r>
      <w:r w:rsidR="000D0EF5" w:rsidRPr="00DF5C23">
        <w:rPr>
          <w:noProof/>
          <w:lang w:val="en-IE" w:eastAsia="ja-JP"/>
        </w:rPr>
        <w:t>第</w:t>
      </w:r>
      <w:r w:rsidR="000D0EF5" w:rsidRPr="00DF5C23">
        <w:rPr>
          <w:noProof/>
          <w:lang w:val="en-IE" w:eastAsia="ja-JP"/>
        </w:rPr>
        <w:t>1</w:t>
      </w:r>
      <w:r w:rsidR="000D0EF5" w:rsidRPr="00DF5C23">
        <w:rPr>
          <w:noProof/>
          <w:lang w:val="en-IE" w:eastAsia="ja-JP"/>
        </w:rPr>
        <w:t>項に記載</w:t>
      </w:r>
      <w:r w:rsidR="004A1643" w:rsidRPr="00DF5C23">
        <w:rPr>
          <w:noProof/>
          <w:lang w:val="en-IE" w:eastAsia="ja-JP"/>
        </w:rPr>
        <w:t>された製品側面を</w:t>
      </w:r>
      <w:r w:rsidR="00DD35BA" w:rsidRPr="00DF5C23">
        <w:rPr>
          <w:noProof/>
          <w:lang w:val="en-IE" w:eastAsia="ja-JP"/>
        </w:rPr>
        <w:t>改善する可能性がある</w:t>
      </w:r>
      <w:r w:rsidR="00D202E7" w:rsidRPr="00DF5C23">
        <w:rPr>
          <w:noProof/>
          <w:lang w:val="en-IE" w:eastAsia="ja-JP"/>
        </w:rPr>
        <w:t>こと：</w:t>
      </w:r>
    </w:p>
    <w:p w14:paraId="1CEFE9F9" w14:textId="77777777" w:rsidR="0038775E" w:rsidRDefault="00877B9C" w:rsidP="002041D4">
      <w:pPr>
        <w:pStyle w:val="Point2"/>
        <w:wordWrap w:val="0"/>
        <w:rPr>
          <w:noProof/>
          <w:lang w:val="en-IE" w:eastAsia="ja-JP"/>
        </w:rPr>
      </w:pPr>
      <w:r w:rsidRPr="004F5E59">
        <w:rPr>
          <w:lang w:eastAsia="ja-JP"/>
        </w:rPr>
        <w:t>(i)</w:t>
      </w:r>
      <w:r w:rsidRPr="004F5E59">
        <w:rPr>
          <w:lang w:eastAsia="ja-JP"/>
        </w:rPr>
        <w:tab/>
      </w:r>
      <w:r w:rsidR="0043262D" w:rsidRPr="00DF5C23">
        <w:rPr>
          <w:noProof/>
          <w:lang w:val="en-IE" w:eastAsia="ja-JP"/>
        </w:rPr>
        <w:t>第</w:t>
      </w:r>
      <w:r w:rsidR="0043262D" w:rsidRPr="00DF5C23">
        <w:rPr>
          <w:noProof/>
          <w:lang w:val="en-IE" w:eastAsia="ja-JP"/>
        </w:rPr>
        <w:t>18</w:t>
      </w:r>
      <w:r w:rsidR="0043262D" w:rsidRPr="00DF5C23">
        <w:rPr>
          <w:noProof/>
          <w:lang w:val="en-IE" w:eastAsia="ja-JP"/>
        </w:rPr>
        <w:t>条</w:t>
      </w:r>
      <w:r w:rsidR="00DD35BA" w:rsidRPr="00DF5C23">
        <w:rPr>
          <w:noProof/>
          <w:lang w:val="en-IE" w:eastAsia="ja-JP"/>
        </w:rPr>
        <w:t>に従って採用された連合</w:t>
      </w:r>
      <w:r w:rsidR="00E92BBE" w:rsidRPr="00DF5C23">
        <w:rPr>
          <w:noProof/>
          <w:lang w:val="en-IE" w:eastAsia="ja-JP"/>
        </w:rPr>
        <w:t>法の</w:t>
      </w:r>
      <w:r w:rsidR="00DD35BA" w:rsidRPr="00DF5C23">
        <w:rPr>
          <w:noProof/>
          <w:lang w:val="en-IE" w:eastAsia="ja-JP"/>
        </w:rPr>
        <w:t>不在もしくは不十分、または市場原理もしくは自主規制の措置が</w:t>
      </w:r>
      <w:r w:rsidR="00E92BBE" w:rsidRPr="00DF5C23">
        <w:rPr>
          <w:noProof/>
          <w:lang w:val="en-IE" w:eastAsia="ja-JP"/>
        </w:rPr>
        <w:t>目的に</w:t>
      </w:r>
      <w:r w:rsidR="00DD35BA" w:rsidRPr="00DF5C23">
        <w:rPr>
          <w:noProof/>
          <w:lang w:val="en-IE" w:eastAsia="ja-JP"/>
        </w:rPr>
        <w:t>適切に対処していない場合。</w:t>
      </w:r>
    </w:p>
    <w:p w14:paraId="3AEFA5F0" w14:textId="77777777" w:rsidR="0038775E" w:rsidRDefault="00877B9C" w:rsidP="002041D4">
      <w:pPr>
        <w:pStyle w:val="Point2"/>
        <w:wordWrap w:val="0"/>
        <w:rPr>
          <w:noProof/>
          <w:lang w:val="en-IE" w:eastAsia="ja-JP"/>
        </w:rPr>
      </w:pPr>
      <w:r w:rsidRPr="004F5E59">
        <w:rPr>
          <w:lang w:eastAsia="ja-JP"/>
        </w:rPr>
        <w:t>二</w:t>
      </w:r>
      <w:r w:rsidRPr="004F5E59">
        <w:rPr>
          <w:lang w:eastAsia="ja-JP"/>
        </w:rPr>
        <w:tab/>
      </w:r>
      <w:r w:rsidR="000D0EF5" w:rsidRPr="00DF5C23">
        <w:rPr>
          <w:noProof/>
          <w:lang w:val="en-IE" w:eastAsia="ja-JP"/>
        </w:rPr>
        <w:t>第</w:t>
      </w:r>
      <w:r w:rsidR="000D0EF5" w:rsidRPr="00DF5C23">
        <w:rPr>
          <w:noProof/>
          <w:lang w:val="en-IE" w:eastAsia="ja-JP"/>
        </w:rPr>
        <w:t>5</w:t>
      </w:r>
      <w:r w:rsidR="000D0EF5" w:rsidRPr="00DF5C23">
        <w:rPr>
          <w:noProof/>
          <w:lang w:val="en-IE" w:eastAsia="ja-JP"/>
        </w:rPr>
        <w:t>条第</w:t>
      </w:r>
      <w:r w:rsidR="000D0EF5" w:rsidRPr="00DF5C23">
        <w:rPr>
          <w:noProof/>
          <w:lang w:val="en-IE" w:eastAsia="ja-JP"/>
        </w:rPr>
        <w:t>1</w:t>
      </w:r>
      <w:r w:rsidR="000D0EF5" w:rsidRPr="00DF5C23">
        <w:rPr>
          <w:noProof/>
          <w:lang w:val="en-IE" w:eastAsia="ja-JP"/>
        </w:rPr>
        <w:t>項に列挙された</w:t>
      </w:r>
      <w:r w:rsidR="004415E9" w:rsidRPr="00DF5C23">
        <w:rPr>
          <w:noProof/>
          <w:lang w:val="en-IE" w:eastAsia="ja-JP"/>
        </w:rPr>
        <w:t>製品</w:t>
      </w:r>
      <w:r w:rsidR="000D0EF5" w:rsidRPr="00DF5C23">
        <w:rPr>
          <w:noProof/>
          <w:lang w:val="en-IE" w:eastAsia="ja-JP"/>
        </w:rPr>
        <w:t>側面に関して、</w:t>
      </w:r>
      <w:r w:rsidR="00DD35BA" w:rsidRPr="00DF5C23">
        <w:rPr>
          <w:noProof/>
          <w:lang w:val="en-IE" w:eastAsia="ja-JP"/>
        </w:rPr>
        <w:t>同等の機能を有する市場で入手可能な製品の性能に格差があること；</w:t>
      </w:r>
      <w:r w:rsidR="00DD35BA" w:rsidRPr="00DF5C23">
        <w:rPr>
          <w:noProof/>
          <w:lang w:val="en-IE" w:eastAsia="ja-JP"/>
        </w:rPr>
        <w:t xml:space="preserve"> </w:t>
      </w:r>
    </w:p>
    <w:p w14:paraId="16BDAFAC" w14:textId="77777777" w:rsidR="0038775E" w:rsidRDefault="00877B9C" w:rsidP="002041D4">
      <w:pPr>
        <w:pStyle w:val="Point1"/>
        <w:wordWrap w:val="0"/>
        <w:rPr>
          <w:noProof/>
          <w:lang w:val="en-IE" w:eastAsia="ja-JP"/>
        </w:rPr>
      </w:pPr>
      <w:r w:rsidRPr="004F5E59">
        <w:rPr>
          <w:lang w:eastAsia="ja-JP"/>
        </w:rPr>
        <w:t>(b)</w:t>
      </w:r>
      <w:r w:rsidRPr="004F5E59">
        <w:rPr>
          <w:lang w:eastAsia="ja-JP"/>
        </w:rPr>
        <w:tab/>
      </w:r>
      <w:r w:rsidR="0681B866" w:rsidRPr="00DF5C23">
        <w:rPr>
          <w:noProof/>
          <w:lang w:val="en-IE" w:eastAsia="ja-JP"/>
        </w:rPr>
        <w:t>組合内での製品の販売量および取引量；</w:t>
      </w:r>
      <w:r w:rsidR="0681B866" w:rsidRPr="00DF5C23">
        <w:rPr>
          <w:noProof/>
          <w:lang w:val="en-IE" w:eastAsia="ja-JP"/>
        </w:rPr>
        <w:t xml:space="preserve"> </w:t>
      </w:r>
    </w:p>
    <w:p w14:paraId="060917E7" w14:textId="77777777" w:rsidR="0038775E" w:rsidRDefault="00877B9C" w:rsidP="002041D4">
      <w:pPr>
        <w:pStyle w:val="Point1"/>
        <w:wordWrap w:val="0"/>
        <w:rPr>
          <w:noProof/>
          <w:lang w:val="en-IE" w:eastAsia="ja-JP"/>
        </w:rPr>
      </w:pPr>
      <w:r w:rsidRPr="004F5E59">
        <w:rPr>
          <w:lang w:eastAsia="ja-JP"/>
        </w:rPr>
        <w:t>(c)</w:t>
      </w:r>
      <w:r w:rsidRPr="004F5E59">
        <w:rPr>
          <w:lang w:eastAsia="ja-JP"/>
        </w:rPr>
        <w:tab/>
      </w:r>
      <w:r w:rsidR="0681B866" w:rsidRPr="00DF5C23">
        <w:rPr>
          <w:noProof/>
          <w:lang w:val="en-IE" w:eastAsia="ja-JP"/>
        </w:rPr>
        <w:t>バリューチェーン全体における環境負荷、エネルギー使用量、廃棄物発生量の分布</w:t>
      </w:r>
      <w:r w:rsidR="002A248A" w:rsidRPr="00DF5C23">
        <w:rPr>
          <w:noProof/>
          <w:lang w:val="en-IE" w:eastAsia="ja-JP"/>
        </w:rPr>
        <w:t>、特にそれらが連合内で行われているかどうか</w:t>
      </w:r>
      <w:r w:rsidR="0681B866" w:rsidRPr="00DF5C23">
        <w:rPr>
          <w:noProof/>
          <w:lang w:val="en-IE" w:eastAsia="ja-JP"/>
        </w:rPr>
        <w:t>；</w:t>
      </w:r>
    </w:p>
    <w:p w14:paraId="25E6B829" w14:textId="77777777" w:rsidR="0038775E" w:rsidRDefault="00877B9C" w:rsidP="002041D4">
      <w:pPr>
        <w:pStyle w:val="Point1"/>
        <w:wordWrap w:val="0"/>
        <w:rPr>
          <w:noProof/>
          <w:lang w:val="en-IE" w:eastAsia="ja-JP"/>
        </w:rPr>
      </w:pPr>
      <w:r w:rsidRPr="004F5E59">
        <w:rPr>
          <w:lang w:eastAsia="ja-JP"/>
        </w:rPr>
        <w:t>(d)</w:t>
      </w:r>
      <w:r w:rsidRPr="004F5E59">
        <w:rPr>
          <w:lang w:eastAsia="ja-JP"/>
        </w:rPr>
        <w:tab/>
      </w:r>
      <w:r w:rsidR="0681B866" w:rsidRPr="00DF5C23">
        <w:rPr>
          <w:noProof/>
          <w:lang w:val="en-IE" w:eastAsia="ja-JP"/>
        </w:rPr>
        <w:t>技術や市場の発展に照らして、</w:t>
      </w:r>
      <w:r w:rsidR="00214C38" w:rsidRPr="00DF5C23">
        <w:rPr>
          <w:noProof/>
          <w:lang w:val="en-IE" w:eastAsia="ja-JP"/>
        </w:rPr>
        <w:t>第</w:t>
      </w:r>
      <w:r w:rsidR="00214C38" w:rsidRPr="00DF5C23">
        <w:rPr>
          <w:noProof/>
          <w:lang w:val="en-IE" w:eastAsia="ja-JP"/>
        </w:rPr>
        <w:t>4</w:t>
      </w:r>
      <w:r w:rsidR="00214C38" w:rsidRPr="00DF5C23">
        <w:rPr>
          <w:noProof/>
          <w:lang w:val="en-IE" w:eastAsia="ja-JP"/>
        </w:rPr>
        <w:t>条に従って採択された</w:t>
      </w:r>
      <w:r w:rsidR="0681B866" w:rsidRPr="00DF5C23">
        <w:rPr>
          <w:noProof/>
          <w:lang w:val="en-IE" w:eastAsia="ja-JP"/>
        </w:rPr>
        <w:t>委任行為を定期的に見直し、適応させる必要性がある。</w:t>
      </w:r>
    </w:p>
    <w:p w14:paraId="1F33BC10" w14:textId="77777777" w:rsidR="0038775E" w:rsidRDefault="00877B9C" w:rsidP="002041D4">
      <w:pPr>
        <w:pStyle w:val="ManualNumPar1"/>
        <w:wordWrap w:val="0"/>
        <w:rPr>
          <w:noProof/>
          <w:lang w:val="en-IE" w:eastAsia="ja-JP"/>
        </w:rPr>
      </w:pPr>
      <w:r w:rsidRPr="004F5E59">
        <w:rPr>
          <w:lang w:eastAsia="ja-JP"/>
        </w:rPr>
        <w:t>2.</w:t>
      </w:r>
      <w:r w:rsidRPr="004F5E59">
        <w:rPr>
          <w:lang w:eastAsia="ja-JP"/>
        </w:rPr>
        <w:tab/>
      </w:r>
      <w:r w:rsidR="00E92BBE" w:rsidRPr="00DF5C23">
        <w:rPr>
          <w:noProof/>
          <w:lang w:val="en-IE" w:eastAsia="ja-JP"/>
        </w:rPr>
        <w:t>欧州委員会は、少なくとも</w:t>
      </w:r>
      <w:r w:rsidR="00E92BBE" w:rsidRPr="00DF5C23">
        <w:rPr>
          <w:noProof/>
          <w:lang w:val="en-IE" w:eastAsia="ja-JP"/>
        </w:rPr>
        <w:t>3</w:t>
      </w:r>
      <w:r w:rsidR="00E92BBE" w:rsidRPr="00DF5C23">
        <w:rPr>
          <w:noProof/>
          <w:lang w:val="en-IE" w:eastAsia="ja-JP"/>
        </w:rPr>
        <w:t>年間を対象とする作業計画を採択し、定期的に更新するものとし、本規則に従ってエコデザイン要件を定める予定の製品群のリストを記載する。当該リストには、欧州委員会が第</w:t>
      </w:r>
      <w:r w:rsidR="00E92BBE" w:rsidRPr="00DF5C23">
        <w:rPr>
          <w:noProof/>
          <w:lang w:val="en-IE" w:eastAsia="ja-JP"/>
        </w:rPr>
        <w:t>5</w:t>
      </w:r>
      <w:r w:rsidR="00E92BBE" w:rsidRPr="00DF5C23">
        <w:rPr>
          <w:noProof/>
          <w:lang w:val="en-IE" w:eastAsia="ja-JP"/>
        </w:rPr>
        <w:t>条</w:t>
      </w:r>
      <w:r w:rsidR="002F21DB" w:rsidRPr="00DF5C23">
        <w:rPr>
          <w:noProof/>
          <w:lang w:val="en-IE" w:eastAsia="ja-JP"/>
        </w:rPr>
        <w:t>第</w:t>
      </w:r>
      <w:r w:rsidR="002F21DB" w:rsidRPr="00DF5C23">
        <w:rPr>
          <w:noProof/>
          <w:lang w:val="en-IE" w:eastAsia="ja-JP"/>
        </w:rPr>
        <w:t>2</w:t>
      </w:r>
      <w:r w:rsidR="002F21DB" w:rsidRPr="00DF5C23">
        <w:rPr>
          <w:noProof/>
          <w:lang w:val="en-IE" w:eastAsia="ja-JP"/>
        </w:rPr>
        <w:t>項第</w:t>
      </w:r>
      <w:r w:rsidR="002F21DB" w:rsidRPr="00DF5C23">
        <w:rPr>
          <w:noProof/>
          <w:lang w:val="en-IE" w:eastAsia="ja-JP"/>
        </w:rPr>
        <w:t>2</w:t>
      </w:r>
      <w:r w:rsidR="002F21DB" w:rsidRPr="00DF5C23">
        <w:rPr>
          <w:noProof/>
          <w:lang w:val="en-IE" w:eastAsia="ja-JP"/>
        </w:rPr>
        <w:t>号に従って</w:t>
      </w:r>
      <w:r w:rsidR="00256E78" w:rsidRPr="00DF5C23">
        <w:rPr>
          <w:noProof/>
          <w:lang w:val="en-IE" w:eastAsia="ja-JP"/>
        </w:rPr>
        <w:t>策定された</w:t>
      </w:r>
      <w:r w:rsidR="002F21DB" w:rsidRPr="00DF5C23">
        <w:rPr>
          <w:noProof/>
          <w:lang w:val="en-IE" w:eastAsia="ja-JP"/>
        </w:rPr>
        <w:t>水平的なエコデザイン要件を</w:t>
      </w:r>
      <w:r w:rsidR="00E92BBE" w:rsidRPr="00DF5C23">
        <w:rPr>
          <w:noProof/>
          <w:lang w:val="en-IE" w:eastAsia="ja-JP"/>
        </w:rPr>
        <w:t>採用する意向のある、第</w:t>
      </w:r>
      <w:r w:rsidR="00E92BBE" w:rsidRPr="00DF5C23">
        <w:rPr>
          <w:noProof/>
          <w:lang w:val="en-IE" w:eastAsia="ja-JP"/>
        </w:rPr>
        <w:t>5</w:t>
      </w:r>
      <w:r w:rsidR="00E92BBE" w:rsidRPr="00DF5C23">
        <w:rPr>
          <w:noProof/>
          <w:lang w:val="en-IE" w:eastAsia="ja-JP"/>
        </w:rPr>
        <w:t>条</w:t>
      </w:r>
      <w:r w:rsidR="000D0EF5" w:rsidRPr="00DF5C23">
        <w:rPr>
          <w:noProof/>
          <w:lang w:val="en-IE" w:eastAsia="ja-JP"/>
        </w:rPr>
        <w:t>第</w:t>
      </w:r>
      <w:r w:rsidR="000D0EF5" w:rsidRPr="00DF5C23">
        <w:rPr>
          <w:noProof/>
          <w:lang w:val="en-IE" w:eastAsia="ja-JP"/>
        </w:rPr>
        <w:t>1</w:t>
      </w:r>
      <w:r w:rsidR="000D0EF5" w:rsidRPr="00DF5C23">
        <w:rPr>
          <w:noProof/>
          <w:lang w:val="en-IE" w:eastAsia="ja-JP"/>
        </w:rPr>
        <w:t>項に</w:t>
      </w:r>
      <w:r w:rsidR="00E92BBE" w:rsidRPr="00DF5C23">
        <w:rPr>
          <w:noProof/>
          <w:lang w:val="en-IE" w:eastAsia="ja-JP"/>
        </w:rPr>
        <w:t>言及する</w:t>
      </w:r>
      <w:r w:rsidR="00E92BBE" w:rsidRPr="00DF5C23" w:rsidDel="00E92BBE">
        <w:rPr>
          <w:noProof/>
          <w:lang w:val="en-IE" w:eastAsia="ja-JP"/>
        </w:rPr>
        <w:t>製品</w:t>
      </w:r>
      <w:r w:rsidR="00E92BBE" w:rsidRPr="00DF5C23">
        <w:rPr>
          <w:noProof/>
          <w:lang w:val="en-IE" w:eastAsia="ja-JP"/>
        </w:rPr>
        <w:t>側面を含むものとする。</w:t>
      </w:r>
    </w:p>
    <w:p w14:paraId="1EC26A03" w14:textId="77777777" w:rsidR="0038775E" w:rsidRDefault="00E92BBE" w:rsidP="002041D4">
      <w:pPr>
        <w:pStyle w:val="Text1"/>
        <w:wordWrap w:val="0"/>
        <w:rPr>
          <w:noProof/>
          <w:lang w:val="en-IE" w:eastAsia="ja-JP"/>
        </w:rPr>
      </w:pPr>
      <w:r w:rsidRPr="00DF5C23">
        <w:rPr>
          <w:noProof/>
          <w:lang w:val="en-IE" w:eastAsia="ja-JP"/>
        </w:rPr>
        <w:t>第</w:t>
      </w:r>
      <w:r w:rsidRPr="00DF5C23">
        <w:rPr>
          <w:noProof/>
          <w:lang w:val="en-IE" w:eastAsia="ja-JP"/>
        </w:rPr>
        <w:t>1</w:t>
      </w:r>
      <w:r w:rsidRPr="00DF5C23">
        <w:rPr>
          <w:noProof/>
          <w:lang w:val="en-IE" w:eastAsia="ja-JP"/>
        </w:rPr>
        <w:t>号に掲げる</w:t>
      </w:r>
      <w:r w:rsidR="00877B9C" w:rsidRPr="00DF5C23">
        <w:rPr>
          <w:noProof/>
          <w:lang w:val="en-IE" w:eastAsia="ja-JP"/>
        </w:rPr>
        <w:t>作業計画を</w:t>
      </w:r>
      <w:r w:rsidR="000D0EF5" w:rsidRPr="00DF5C23">
        <w:rPr>
          <w:noProof/>
          <w:lang w:val="en-IE" w:eastAsia="ja-JP"/>
        </w:rPr>
        <w:t>採択</w:t>
      </w:r>
      <w:r w:rsidR="00877B9C" w:rsidRPr="00DF5C23">
        <w:rPr>
          <w:noProof/>
          <w:lang w:val="en-IE" w:eastAsia="ja-JP"/>
        </w:rPr>
        <w:t>又は更新する場合、欧州委員会は、</w:t>
      </w:r>
      <w:r w:rsidRPr="00DF5C23">
        <w:rPr>
          <w:noProof/>
          <w:lang w:val="en-IE" w:eastAsia="ja-JP"/>
        </w:rPr>
        <w:t>本条</w:t>
      </w:r>
      <w:r w:rsidR="00877B9C" w:rsidRPr="00DF5C23">
        <w:rPr>
          <w:noProof/>
          <w:lang w:val="en-IE" w:eastAsia="ja-JP"/>
        </w:rPr>
        <w:t>第</w:t>
      </w:r>
      <w:r w:rsidR="00877B9C" w:rsidRPr="00DF5C23">
        <w:rPr>
          <w:noProof/>
          <w:lang w:val="en-IE" w:eastAsia="ja-JP"/>
        </w:rPr>
        <w:t>1</w:t>
      </w:r>
      <w:r w:rsidR="00877B9C" w:rsidRPr="00DF5C23">
        <w:rPr>
          <w:noProof/>
          <w:lang w:val="en-IE" w:eastAsia="ja-JP"/>
        </w:rPr>
        <w:t>項に定める基準を考慮し、</w:t>
      </w:r>
      <w:r w:rsidR="00D81E4D" w:rsidRPr="00DF5C23">
        <w:rPr>
          <w:noProof/>
          <w:lang w:val="en-IE" w:eastAsia="ja-JP"/>
        </w:rPr>
        <w:t>第</w:t>
      </w:r>
      <w:r w:rsidR="00D81E4D" w:rsidRPr="00DF5C23">
        <w:rPr>
          <w:noProof/>
          <w:lang w:val="en-IE" w:eastAsia="ja-JP"/>
        </w:rPr>
        <w:t>17</w:t>
      </w:r>
      <w:r w:rsidR="00D81E4D" w:rsidRPr="00DF5C23">
        <w:rPr>
          <w:noProof/>
          <w:lang w:val="en-IE" w:eastAsia="ja-JP"/>
        </w:rPr>
        <w:t>条に掲げる</w:t>
      </w:r>
      <w:r w:rsidR="003B23C5" w:rsidRPr="00DF5C23">
        <w:rPr>
          <w:noProof/>
          <w:lang w:val="en-IE" w:eastAsia="ja-JP"/>
        </w:rPr>
        <w:t>エコデザイン・</w:t>
      </w:r>
      <w:r w:rsidR="00877B9C" w:rsidRPr="00DF5C23">
        <w:rPr>
          <w:noProof/>
          <w:lang w:val="en-IE" w:eastAsia="ja-JP"/>
        </w:rPr>
        <w:t>フォーラムに諮問するものと</w:t>
      </w:r>
      <w:r w:rsidR="00D87AB9" w:rsidRPr="00DF5C23">
        <w:rPr>
          <w:noProof/>
          <w:lang w:val="en-IE" w:eastAsia="ja-JP"/>
        </w:rPr>
        <w:t>する</w:t>
      </w:r>
      <w:r w:rsidR="00877B9C" w:rsidRPr="00DF5C23">
        <w:rPr>
          <w:noProof/>
          <w:lang w:val="en-IE" w:eastAsia="ja-JP"/>
        </w:rPr>
        <w:t>。</w:t>
      </w:r>
    </w:p>
    <w:p w14:paraId="2369B169" w14:textId="77777777" w:rsidR="0038775E" w:rsidRDefault="00D81E4D" w:rsidP="002041D4">
      <w:pPr>
        <w:pStyle w:val="Titrearticle"/>
        <w:wordWrap w:val="0"/>
        <w:rPr>
          <w:noProof/>
          <w:lang w:val="en-IE" w:eastAsia="fr-BE"/>
        </w:rPr>
      </w:pPr>
      <w:r w:rsidRPr="00DF5C23">
        <w:rPr>
          <w:noProof/>
          <w:lang w:val="en-IE" w:eastAsia="fr-BE"/>
        </w:rPr>
        <w:t>第</w:t>
      </w:r>
      <w:r w:rsidRPr="00DF5C23">
        <w:rPr>
          <w:noProof/>
          <w:lang w:val="en-IE" w:eastAsia="fr-BE"/>
        </w:rPr>
        <w:t>17</w:t>
      </w:r>
      <w:r w:rsidR="00877B9C" w:rsidRPr="00DF5C23">
        <w:rPr>
          <w:noProof/>
          <w:lang w:val="en-IE" w:eastAsia="fr-BE"/>
        </w:rPr>
        <w:t>条</w:t>
      </w:r>
      <w:r w:rsidR="00877B9C" w:rsidRPr="00DF5C23">
        <w:rPr>
          <w:noProof/>
          <w:lang w:val="en-IE" w:eastAsia="fr-BE"/>
        </w:rPr>
        <w:t xml:space="preserve"> </w:t>
      </w:r>
      <w:r w:rsidR="004A1643" w:rsidRPr="00DF5C23">
        <w:rPr>
          <w:noProof/>
          <w:lang w:eastAsia="ja-JP"/>
        </w:rPr>
        <w:br/>
      </w:r>
      <w:r w:rsidR="001F0AB8" w:rsidRPr="00DF5C23">
        <w:rPr>
          <w:noProof/>
          <w:lang w:val="en-IE" w:eastAsia="fr-BE"/>
        </w:rPr>
        <w:t>エコデザイン</w:t>
      </w:r>
      <w:r w:rsidR="00877B9C" w:rsidRPr="00DF5C23">
        <w:rPr>
          <w:noProof/>
          <w:lang w:val="en-IE" w:eastAsia="fr-BE"/>
        </w:rPr>
        <w:t>フォーラム</w:t>
      </w:r>
    </w:p>
    <w:p w14:paraId="28C7C517" w14:textId="77777777" w:rsidR="0038775E" w:rsidRDefault="00877B9C" w:rsidP="002041D4">
      <w:pPr>
        <w:shd w:val="clear" w:color="auto" w:fill="FFFFFF" w:themeFill="background1"/>
        <w:wordWrap w:val="0"/>
        <w:spacing w:after="0"/>
        <w:rPr>
          <w:rFonts w:eastAsia="Times New Roman"/>
          <w:noProof/>
          <w:color w:val="000000" w:themeColor="text1"/>
          <w:lang w:val="en-IE" w:eastAsia="fr-BE"/>
        </w:rPr>
      </w:pPr>
      <w:r w:rsidRPr="00DF5C23">
        <w:rPr>
          <w:rFonts w:eastAsia="Times New Roman"/>
          <w:noProof/>
          <w:color w:val="000000" w:themeColor="text1"/>
          <w:lang w:eastAsia="fr-BE"/>
        </w:rPr>
        <w:t>欧州委員会は、その活動を行う際に、加盟国の代表と、</w:t>
      </w:r>
      <w:r w:rsidR="0046349F" w:rsidRPr="00DF5C23">
        <w:rPr>
          <w:noProof/>
          <w:lang w:eastAsia="fr-BE"/>
        </w:rPr>
        <w:t>中小</w:t>
      </w:r>
      <w:r w:rsidRPr="00DF5C23">
        <w:rPr>
          <w:rFonts w:eastAsia="Times New Roman"/>
          <w:noProof/>
          <w:color w:val="000000" w:themeColor="text1"/>
          <w:lang w:eastAsia="fr-BE"/>
        </w:rPr>
        <w:t>企業や工芸品を含む産業界</w:t>
      </w:r>
      <w:r w:rsidRPr="00DF5C23">
        <w:rPr>
          <w:rFonts w:eastAsia="Times New Roman"/>
          <w:noProof/>
          <w:color w:val="000000" w:themeColor="text1"/>
          <w:lang w:eastAsia="fr-BE"/>
        </w:rPr>
        <w:t>、労働組合、貿易業者、小売業者、輸入業者、環境保護団体、消費者団体など、問題となっている製品または製品グループに関わるすべての利害関係者がバランスよく参加するようにするものとする。これらの関係者は、特に</w:t>
      </w:r>
      <w:r w:rsidR="0046349F" w:rsidRPr="00DF5C23">
        <w:rPr>
          <w:rFonts w:eastAsia="Times New Roman"/>
          <w:noProof/>
          <w:color w:val="000000" w:themeColor="text1"/>
          <w:lang w:eastAsia="fr-BE"/>
        </w:rPr>
        <w:t>エコデザイン要求事項の作成</w:t>
      </w:r>
      <w:r w:rsidRPr="00DF5C23">
        <w:rPr>
          <w:rFonts w:eastAsia="Times New Roman"/>
          <w:noProof/>
          <w:color w:val="000000" w:themeColor="text1"/>
          <w:lang w:eastAsia="fr-BE"/>
        </w:rPr>
        <w:t>、確立された市場監視メカニズムの有効性の検討、自主規制措置の評価に貢献するものとする。</w:t>
      </w:r>
    </w:p>
    <w:p w14:paraId="12E0C2D3" w14:textId="77777777" w:rsidR="0038775E" w:rsidRDefault="00877B9C" w:rsidP="002041D4">
      <w:pPr>
        <w:shd w:val="clear" w:color="auto" w:fill="FFFFFF" w:themeFill="background1"/>
        <w:wordWrap w:val="0"/>
        <w:spacing w:after="0"/>
        <w:rPr>
          <w:rFonts w:eastAsia="Times New Roman"/>
          <w:noProof/>
          <w:color w:val="000000" w:themeColor="text1"/>
          <w:lang w:val="en-IE" w:eastAsia="fr-BE"/>
        </w:rPr>
      </w:pPr>
      <w:r w:rsidRPr="00DF5C23">
        <w:rPr>
          <w:rFonts w:eastAsia="Times New Roman"/>
          <w:noProof/>
          <w:color w:val="000000" w:themeColor="text1"/>
          <w:lang w:val="en-IE" w:eastAsia="fr-BE"/>
        </w:rPr>
        <w:lastRenderedPageBreak/>
        <w:t>そのために、欧州委員会は、これらの関係者が集まる</w:t>
      </w:r>
      <w:r w:rsidR="004A1643" w:rsidRPr="00DF5C23">
        <w:rPr>
          <w:rFonts w:eastAsia="Times New Roman"/>
          <w:noProof/>
          <w:color w:val="000000" w:themeColor="text1"/>
          <w:lang w:val="en-IE" w:eastAsia="fr-BE"/>
        </w:rPr>
        <w:t>専門家グループ（「</w:t>
      </w:r>
      <w:r w:rsidR="001F0AB8" w:rsidRPr="00DF5C23">
        <w:rPr>
          <w:rFonts w:eastAsia="Times New Roman"/>
          <w:noProof/>
          <w:color w:val="000000" w:themeColor="text1"/>
          <w:lang w:val="en-IE" w:eastAsia="fr-BE"/>
        </w:rPr>
        <w:t>エコデザイン・</w:t>
      </w:r>
      <w:r w:rsidR="004A1643" w:rsidRPr="00DF5C23">
        <w:rPr>
          <w:rFonts w:eastAsia="Times New Roman"/>
          <w:noProof/>
          <w:color w:val="000000" w:themeColor="text1"/>
          <w:lang w:val="en-IE" w:eastAsia="fr-BE"/>
        </w:rPr>
        <w:t>フォーラム」と呼ばれる）を</w:t>
      </w:r>
      <w:r w:rsidRPr="00DF5C23">
        <w:rPr>
          <w:rFonts w:eastAsia="Times New Roman"/>
          <w:noProof/>
          <w:color w:val="000000" w:themeColor="text1"/>
          <w:lang w:val="en-IE" w:eastAsia="fr-BE"/>
        </w:rPr>
        <w:t xml:space="preserve">設立するものとする。 </w:t>
      </w:r>
    </w:p>
    <w:p w14:paraId="539EC65C" w14:textId="77777777" w:rsidR="0038775E" w:rsidRDefault="001A4BE8" w:rsidP="002041D4">
      <w:pPr>
        <w:pStyle w:val="Titrearticle"/>
        <w:wordWrap w:val="0"/>
        <w:rPr>
          <w:noProof/>
          <w:lang w:val="en-IE" w:eastAsia="fr-BE"/>
        </w:rPr>
      </w:pPr>
      <w:r w:rsidRPr="00DF5C23">
        <w:rPr>
          <w:noProof/>
          <w:lang w:val="en-IE" w:eastAsia="fr-BE"/>
        </w:rPr>
        <w:t>第</w:t>
      </w:r>
      <w:r w:rsidRPr="00DF5C23">
        <w:rPr>
          <w:noProof/>
          <w:lang w:val="en-IE" w:eastAsia="fr-BE"/>
        </w:rPr>
        <w:t>18</w:t>
      </w:r>
      <w:r w:rsidR="00877B9C" w:rsidRPr="00DF5C23">
        <w:rPr>
          <w:noProof/>
          <w:lang w:val="en-IE" w:eastAsia="fr-BE"/>
        </w:rPr>
        <w:t>条</w:t>
      </w:r>
      <w:r w:rsidR="00877B9C" w:rsidRPr="00DF5C23">
        <w:rPr>
          <w:noProof/>
          <w:lang w:eastAsia="ja-JP"/>
        </w:rPr>
        <w:br/>
      </w:r>
      <w:r w:rsidR="00877B9C" w:rsidRPr="00DF5C23">
        <w:rPr>
          <w:noProof/>
          <w:lang w:val="en-IE" w:eastAsia="fr-BE"/>
        </w:rPr>
        <w:t>セルフレギュレーション測定法</w:t>
      </w:r>
    </w:p>
    <w:p w14:paraId="0D2C899F" w14:textId="77777777" w:rsidR="0038775E" w:rsidRDefault="00877B9C" w:rsidP="002041D4">
      <w:pPr>
        <w:pStyle w:val="ManualNumPar1"/>
        <w:wordWrap w:val="0"/>
        <w:rPr>
          <w:noProof/>
          <w:lang w:val="en-IE" w:eastAsia="fr-BE"/>
        </w:rPr>
      </w:pPr>
      <w:r w:rsidRPr="004F5E59">
        <w:rPr>
          <w:lang w:eastAsia="ja-JP"/>
        </w:rPr>
        <w:t>1.</w:t>
      </w:r>
      <w:r w:rsidRPr="004F5E59">
        <w:rPr>
          <w:lang w:eastAsia="ja-JP"/>
        </w:rPr>
        <w:tab/>
      </w:r>
      <w:r w:rsidR="00B14F62" w:rsidRPr="00DF5C23">
        <w:rPr>
          <w:noProof/>
          <w:lang w:val="en-IE" w:eastAsia="fr-BE"/>
        </w:rPr>
        <w:t>二以上の</w:t>
      </w:r>
      <w:r w:rsidR="004B2C8A" w:rsidRPr="00DF5C23">
        <w:rPr>
          <w:noProof/>
          <w:lang w:val="en-IE" w:eastAsia="fr-BE"/>
        </w:rPr>
        <w:t>経済事業者は、</w:t>
      </w:r>
      <w:r w:rsidR="00726668" w:rsidRPr="00DF5C23">
        <w:rPr>
          <w:noProof/>
          <w:lang w:val="en-IE" w:eastAsia="fr-BE"/>
        </w:rPr>
        <w:t>第</w:t>
      </w:r>
      <w:r w:rsidR="00726668" w:rsidRPr="00DF5C23">
        <w:rPr>
          <w:noProof/>
          <w:lang w:val="en-IE" w:eastAsia="fr-BE"/>
        </w:rPr>
        <w:t>4</w:t>
      </w:r>
      <w:r w:rsidR="00B14F62" w:rsidRPr="00DF5C23">
        <w:rPr>
          <w:noProof/>
          <w:lang w:val="en-IE" w:eastAsia="fr-BE"/>
        </w:rPr>
        <w:t>条に従って</w:t>
      </w:r>
      <w:r w:rsidR="00B6655C" w:rsidRPr="00DF5C23">
        <w:rPr>
          <w:noProof/>
          <w:lang w:val="en-IE" w:eastAsia="fr-BE"/>
        </w:rPr>
        <w:t>採択された</w:t>
      </w:r>
      <w:r w:rsidR="00B14F62" w:rsidRPr="00DF5C23">
        <w:rPr>
          <w:noProof/>
          <w:lang w:val="en-IE" w:eastAsia="fr-BE"/>
        </w:rPr>
        <w:t>委任</w:t>
      </w:r>
      <w:r w:rsidR="004F74D2" w:rsidRPr="00DF5C23">
        <w:rPr>
          <w:noProof/>
          <w:lang w:val="en-IE" w:eastAsia="fr-BE"/>
        </w:rPr>
        <w:t>法に</w:t>
      </w:r>
      <w:r w:rsidR="00B14F62" w:rsidRPr="00DF5C23">
        <w:rPr>
          <w:noProof/>
          <w:lang w:val="en-IE" w:eastAsia="fr-BE"/>
        </w:rPr>
        <w:t>代わるものとして、製品の</w:t>
      </w:r>
      <w:r w:rsidR="00092811" w:rsidRPr="00DF5C23">
        <w:rPr>
          <w:noProof/>
          <w:lang w:val="en-IE" w:eastAsia="fr-BE"/>
        </w:rPr>
        <w:t>エコデザイン</w:t>
      </w:r>
      <w:r w:rsidR="00B14F62" w:rsidRPr="00DF5C23">
        <w:rPr>
          <w:noProof/>
          <w:lang w:val="en-IE" w:eastAsia="fr-BE"/>
        </w:rPr>
        <w:t>要件を定める自主規制措置を欧州</w:t>
      </w:r>
      <w:r w:rsidR="004F74D2" w:rsidRPr="00DF5C23">
        <w:rPr>
          <w:noProof/>
          <w:lang w:val="en-IE" w:eastAsia="fr-BE"/>
        </w:rPr>
        <w:t>委員会に提出する</w:t>
      </w:r>
      <w:r w:rsidR="00B14F62" w:rsidRPr="00DF5C23">
        <w:rPr>
          <w:noProof/>
          <w:lang w:val="en-IE" w:eastAsia="fr-BE"/>
        </w:rPr>
        <w:t>ことができる。</w:t>
      </w:r>
      <w:r w:rsidR="004F74D2" w:rsidRPr="00DF5C23">
        <w:rPr>
          <w:noProof/>
          <w:lang w:val="en-IE" w:eastAsia="fr-BE"/>
        </w:rPr>
        <w:t>これらの事業者は、第</w:t>
      </w:r>
      <w:r w:rsidR="004F74D2" w:rsidRPr="00DF5C23">
        <w:rPr>
          <w:noProof/>
          <w:lang w:val="en-IE" w:eastAsia="fr-BE"/>
        </w:rPr>
        <w:t>3</w:t>
      </w:r>
      <w:r w:rsidR="004F74D2" w:rsidRPr="00DF5C23">
        <w:rPr>
          <w:noProof/>
          <w:lang w:val="en-IE" w:eastAsia="fr-BE"/>
        </w:rPr>
        <w:t>項の</w:t>
      </w:r>
      <w:r w:rsidR="004F74D2" w:rsidRPr="00DF5C23">
        <w:rPr>
          <w:noProof/>
          <w:lang w:val="en-IE" w:eastAsia="fr-BE"/>
        </w:rPr>
        <w:t>(a)</w:t>
      </w:r>
      <w:r w:rsidR="004F74D2" w:rsidRPr="00DF5C23">
        <w:rPr>
          <w:noProof/>
          <w:lang w:val="en-IE" w:eastAsia="fr-BE"/>
        </w:rPr>
        <w:t>から</w:t>
      </w:r>
      <w:r w:rsidR="004F74D2" w:rsidRPr="00DF5C23">
        <w:rPr>
          <w:noProof/>
          <w:lang w:val="en-IE" w:eastAsia="fr-BE"/>
        </w:rPr>
        <w:t>(e)</w:t>
      </w:r>
      <w:r w:rsidR="004F74D2" w:rsidRPr="00DF5C23">
        <w:rPr>
          <w:noProof/>
          <w:lang w:val="en-IE" w:eastAsia="fr-BE"/>
        </w:rPr>
        <w:t>に言及する基準が満たされていることを示す証拠を提出しなければならない。</w:t>
      </w:r>
      <w:r w:rsidR="00C56382" w:rsidRPr="00DF5C23">
        <w:rPr>
          <w:noProof/>
          <w:lang w:val="en-IE" w:eastAsia="fr-BE"/>
        </w:rPr>
        <w:t>第</w:t>
      </w:r>
      <w:r w:rsidR="00C56382" w:rsidRPr="00DF5C23">
        <w:rPr>
          <w:noProof/>
          <w:lang w:val="en-IE" w:eastAsia="fr-BE"/>
        </w:rPr>
        <w:t>3</w:t>
      </w:r>
      <w:r w:rsidR="00C56382" w:rsidRPr="00DF5C23">
        <w:rPr>
          <w:noProof/>
          <w:lang w:val="en-IE" w:eastAsia="fr-BE"/>
        </w:rPr>
        <w:t>項の</w:t>
      </w:r>
      <w:r w:rsidR="00C56382" w:rsidRPr="00DF5C23">
        <w:rPr>
          <w:noProof/>
          <w:lang w:val="en-IE" w:eastAsia="fr-BE"/>
        </w:rPr>
        <w:t>(</w:t>
      </w:r>
      <w:r w:rsidR="004F74D2" w:rsidRPr="00DF5C23">
        <w:rPr>
          <w:noProof/>
          <w:lang w:val="en-IE" w:eastAsia="fr-BE"/>
        </w:rPr>
        <w:t>a)</w:t>
      </w:r>
      <w:r w:rsidR="004F74D2" w:rsidRPr="00DF5C23">
        <w:rPr>
          <w:noProof/>
          <w:lang w:val="en-IE" w:eastAsia="fr-BE"/>
        </w:rPr>
        <w:t>については、その証拠は、</w:t>
      </w:r>
      <w:r w:rsidR="004C77EA" w:rsidRPr="00DF5C23">
        <w:rPr>
          <w:noProof/>
          <w:lang w:val="en-IE" w:eastAsia="fr-BE"/>
        </w:rPr>
        <w:t>エコデザイン要件および自主規制措置の目的を正当化し、</w:t>
      </w:r>
      <w:r w:rsidR="005C482B" w:rsidRPr="00DF5C23">
        <w:rPr>
          <w:noProof/>
          <w:lang w:val="en-IE" w:eastAsia="fr-BE"/>
        </w:rPr>
        <w:t>当該自主規制措置に定められたエコデザイン要件の影響を評価する、</w:t>
      </w:r>
      <w:r w:rsidR="004C77EA" w:rsidRPr="00DF5C23">
        <w:rPr>
          <w:noProof/>
          <w:lang w:val="en-IE" w:eastAsia="fr-BE"/>
        </w:rPr>
        <w:t>構造化された</w:t>
      </w:r>
      <w:r w:rsidR="004F74D2" w:rsidRPr="00DF5C23">
        <w:rPr>
          <w:noProof/>
          <w:lang w:val="en-IE" w:eastAsia="fr-BE"/>
        </w:rPr>
        <w:t>技術、環境および経済分析で構成されなければならない。</w:t>
      </w:r>
      <w:r w:rsidR="004F74D2" w:rsidRPr="00DF5C23">
        <w:rPr>
          <w:noProof/>
          <w:lang w:val="en-IE" w:eastAsia="fr-BE"/>
        </w:rPr>
        <w:t xml:space="preserve"> </w:t>
      </w:r>
    </w:p>
    <w:p w14:paraId="00A85635" w14:textId="77777777" w:rsidR="0038775E" w:rsidRDefault="00877B9C" w:rsidP="002041D4">
      <w:pPr>
        <w:pStyle w:val="ManualNumPar1"/>
        <w:wordWrap w:val="0"/>
        <w:rPr>
          <w:noProof/>
          <w:lang w:val="en-IE" w:eastAsia="fr-BE"/>
        </w:rPr>
      </w:pPr>
      <w:r w:rsidRPr="004F5E59">
        <w:rPr>
          <w:lang w:eastAsia="ja-JP"/>
        </w:rPr>
        <w:t>2.</w:t>
      </w:r>
      <w:r w:rsidRPr="004F5E59">
        <w:rPr>
          <w:lang w:eastAsia="ja-JP"/>
        </w:rPr>
        <w:tab/>
      </w:r>
      <w:r w:rsidR="00B14F62" w:rsidRPr="00DF5C23">
        <w:rPr>
          <w:noProof/>
          <w:lang w:val="en-IE" w:eastAsia="fr-BE"/>
        </w:rPr>
        <w:t>自主規制</w:t>
      </w:r>
      <w:r w:rsidR="004B2C8A" w:rsidRPr="00DF5C23">
        <w:rPr>
          <w:noProof/>
          <w:lang w:val="en-IE" w:eastAsia="fr-BE"/>
        </w:rPr>
        <w:t>対策には、以下の内容を記載する</w:t>
      </w:r>
      <w:r w:rsidR="00B14F62" w:rsidRPr="00DF5C23">
        <w:rPr>
          <w:noProof/>
          <w:lang w:val="en-IE" w:eastAsia="fr-BE"/>
        </w:rPr>
        <w:t>：</w:t>
      </w:r>
    </w:p>
    <w:p w14:paraId="54FFE0A1" w14:textId="77777777" w:rsidR="0038775E" w:rsidRDefault="00877B9C" w:rsidP="002041D4">
      <w:pPr>
        <w:pStyle w:val="Point1"/>
        <w:wordWrap w:val="0"/>
        <w:rPr>
          <w:noProof/>
          <w:lang w:val="en-IE" w:eastAsia="fr-BE"/>
        </w:rPr>
      </w:pPr>
      <w:r w:rsidRPr="004F5E59">
        <w:rPr>
          <w:lang w:eastAsia="ja-JP"/>
        </w:rPr>
        <w:t>(a)</w:t>
      </w:r>
      <w:r w:rsidRPr="004F5E59">
        <w:rPr>
          <w:lang w:eastAsia="ja-JP"/>
        </w:rPr>
        <w:tab/>
      </w:r>
      <w:r w:rsidR="004F74D2" w:rsidRPr="00DF5C23">
        <w:rPr>
          <w:noProof/>
          <w:lang w:val="en-IE" w:eastAsia="fr-BE"/>
        </w:rPr>
        <w:t>自己規制</w:t>
      </w:r>
      <w:r w:rsidR="00B14F62" w:rsidRPr="00DF5C23">
        <w:rPr>
          <w:noProof/>
          <w:lang w:val="en-IE" w:eastAsia="fr-BE"/>
        </w:rPr>
        <w:t>措置に署名して</w:t>
      </w:r>
      <w:r w:rsidR="00AD3559" w:rsidRPr="00DF5C23">
        <w:rPr>
          <w:noProof/>
          <w:lang w:val="en-IE" w:eastAsia="fr-BE"/>
        </w:rPr>
        <w:t>いる</w:t>
      </w:r>
      <w:r w:rsidR="004B2C8A" w:rsidRPr="00DF5C23">
        <w:rPr>
          <w:noProof/>
          <w:lang w:val="en-IE" w:eastAsia="fr-BE"/>
        </w:rPr>
        <w:t>経済事業者の</w:t>
      </w:r>
      <w:r w:rsidR="00B14F62" w:rsidRPr="00DF5C23">
        <w:rPr>
          <w:noProof/>
          <w:lang w:val="en-IE" w:eastAsia="fr-BE"/>
        </w:rPr>
        <w:t>リスト；</w:t>
      </w:r>
      <w:r w:rsidR="00B14F62" w:rsidRPr="00DF5C23">
        <w:rPr>
          <w:noProof/>
          <w:lang w:val="en-IE" w:eastAsia="fr-BE"/>
        </w:rPr>
        <w:t xml:space="preserve"> </w:t>
      </w:r>
    </w:p>
    <w:p w14:paraId="7759753A" w14:textId="77777777" w:rsidR="0038775E" w:rsidRDefault="00877B9C" w:rsidP="002041D4">
      <w:pPr>
        <w:pStyle w:val="Point1"/>
        <w:wordWrap w:val="0"/>
        <w:rPr>
          <w:noProof/>
          <w:lang w:val="en-IE" w:eastAsia="fr-BE"/>
        </w:rPr>
      </w:pPr>
      <w:r w:rsidRPr="004F5E59">
        <w:rPr>
          <w:lang w:eastAsia="ja-JP"/>
        </w:rPr>
        <w:t>(b)</w:t>
      </w:r>
      <w:r w:rsidRPr="004F5E59">
        <w:rPr>
          <w:lang w:eastAsia="ja-JP"/>
        </w:rPr>
        <w:tab/>
      </w:r>
      <w:r w:rsidR="00A8195B" w:rsidRPr="00DF5C23">
        <w:rPr>
          <w:noProof/>
          <w:lang w:eastAsia="ja-JP"/>
        </w:rPr>
        <w:t>自主規制措置の</w:t>
      </w:r>
      <w:r w:rsidR="00B14F62" w:rsidRPr="00DF5C23">
        <w:rPr>
          <w:noProof/>
          <w:lang w:eastAsia="ja-JP"/>
        </w:rPr>
        <w:t>対象となる製品に適用される</w:t>
      </w:r>
      <w:r w:rsidR="00092811" w:rsidRPr="00DF5C23">
        <w:rPr>
          <w:noProof/>
          <w:lang w:val="en-IE" w:eastAsia="fr-BE"/>
        </w:rPr>
        <w:t>エコデザイン</w:t>
      </w:r>
      <w:r w:rsidR="00B14F62" w:rsidRPr="00DF5C23">
        <w:rPr>
          <w:noProof/>
          <w:lang w:eastAsia="ja-JP"/>
        </w:rPr>
        <w:t>要求事項</w:t>
      </w:r>
      <w:r w:rsidR="004F74D2" w:rsidRPr="00DF5C23">
        <w:rPr>
          <w:noProof/>
          <w:lang w:val="en-IE" w:eastAsia="fr-BE"/>
        </w:rPr>
        <w:t>；</w:t>
      </w:r>
      <w:r w:rsidR="004F74D2" w:rsidRPr="00DF5C23">
        <w:rPr>
          <w:noProof/>
          <w:lang w:val="en-IE" w:eastAsia="fr-BE"/>
        </w:rPr>
        <w:t xml:space="preserve"> </w:t>
      </w:r>
    </w:p>
    <w:p w14:paraId="3DF31739" w14:textId="77777777" w:rsidR="0038775E" w:rsidRDefault="00877B9C" w:rsidP="002041D4">
      <w:pPr>
        <w:pStyle w:val="Point1"/>
        <w:wordWrap w:val="0"/>
        <w:rPr>
          <w:noProof/>
          <w:lang w:val="en-IE" w:eastAsia="fr-BE"/>
        </w:rPr>
      </w:pPr>
      <w:r w:rsidRPr="004F5E59">
        <w:rPr>
          <w:lang w:eastAsia="ja-JP"/>
        </w:rPr>
        <w:t>(c)</w:t>
      </w:r>
      <w:r w:rsidRPr="004F5E59">
        <w:rPr>
          <w:lang w:eastAsia="ja-JP"/>
        </w:rPr>
        <w:tab/>
      </w:r>
      <w:r w:rsidR="00914AC2" w:rsidRPr="00DF5C23">
        <w:rPr>
          <w:noProof/>
          <w:lang w:val="en-IE" w:eastAsia="fr-BE"/>
        </w:rPr>
        <w:t>付属書</w:t>
      </w:r>
      <w:r w:rsidR="00914AC2" w:rsidRPr="00DF5C23">
        <w:rPr>
          <w:noProof/>
          <w:lang w:val="en-IE" w:eastAsia="fr-BE"/>
        </w:rPr>
        <w:t>VII</w:t>
      </w:r>
      <w:r w:rsidR="00914AC2" w:rsidRPr="00DF5C23">
        <w:rPr>
          <w:noProof/>
          <w:lang w:val="en-IE" w:eastAsia="fr-BE"/>
        </w:rPr>
        <w:t>の</w:t>
      </w:r>
      <w:r w:rsidR="004F74D2" w:rsidRPr="00DF5C23">
        <w:rPr>
          <w:noProof/>
          <w:lang w:val="en-IE" w:eastAsia="fr-BE"/>
        </w:rPr>
        <w:t>6</w:t>
      </w:r>
      <w:r w:rsidR="004F74D2" w:rsidRPr="00DF5C23">
        <w:rPr>
          <w:noProof/>
          <w:lang w:val="en-IE" w:eastAsia="fr-BE"/>
        </w:rPr>
        <w:t>項に</w:t>
      </w:r>
      <w:r w:rsidR="00914AC2" w:rsidRPr="00DF5C23">
        <w:rPr>
          <w:noProof/>
          <w:lang w:val="en-IE" w:eastAsia="fr-BE"/>
        </w:rPr>
        <w:t>定める</w:t>
      </w:r>
      <w:r w:rsidR="00AF52FB" w:rsidRPr="00DF5C23">
        <w:rPr>
          <w:noProof/>
          <w:lang w:val="en-IE" w:eastAsia="fr-BE"/>
        </w:rPr>
        <w:t>基準を</w:t>
      </w:r>
      <w:r w:rsidR="00914AC2" w:rsidRPr="00DF5C23">
        <w:rPr>
          <w:noProof/>
          <w:lang w:val="en-IE" w:eastAsia="fr-BE"/>
        </w:rPr>
        <w:t>含む、</w:t>
      </w:r>
      <w:r w:rsidR="00B14F62" w:rsidRPr="00DF5C23">
        <w:rPr>
          <w:noProof/>
          <w:lang w:val="en-IE" w:eastAsia="fr-BE"/>
        </w:rPr>
        <w:t>産業界及び独立した検査官の責任を明確にした、詳細かつ透明で客観的なモニタリング計画；</w:t>
      </w:r>
      <w:r w:rsidR="00B14F62" w:rsidRPr="00DF5C23">
        <w:rPr>
          <w:noProof/>
          <w:lang w:val="en-IE" w:eastAsia="fr-BE"/>
        </w:rPr>
        <w:t xml:space="preserve"> </w:t>
      </w:r>
    </w:p>
    <w:p w14:paraId="31CEC7F0" w14:textId="77777777" w:rsidR="0038775E" w:rsidRDefault="00877B9C" w:rsidP="002041D4">
      <w:pPr>
        <w:pStyle w:val="Point1"/>
        <w:wordWrap w:val="0"/>
        <w:rPr>
          <w:noProof/>
          <w:lang w:val="en-IE" w:eastAsia="fr-BE"/>
        </w:rPr>
      </w:pPr>
      <w:r w:rsidRPr="004F5E59">
        <w:rPr>
          <w:lang w:eastAsia="ja-JP"/>
        </w:rPr>
        <w:t>(d)</w:t>
      </w:r>
      <w:r w:rsidRPr="004F5E59">
        <w:rPr>
          <w:lang w:eastAsia="ja-JP"/>
        </w:rPr>
        <w:tab/>
      </w:r>
      <w:r w:rsidR="00B14F62" w:rsidRPr="00DF5C23">
        <w:rPr>
          <w:noProof/>
          <w:lang w:val="en-IE" w:eastAsia="fr-BE"/>
        </w:rPr>
        <w:t>署名者が報告すべき情報、試験・検査に関する規則。</w:t>
      </w:r>
    </w:p>
    <w:p w14:paraId="64D9210B" w14:textId="77777777" w:rsidR="0038775E" w:rsidRDefault="00877B9C" w:rsidP="002041D4">
      <w:pPr>
        <w:pStyle w:val="Text1"/>
        <w:wordWrap w:val="0"/>
        <w:rPr>
          <w:noProof/>
          <w:lang w:val="en-IE" w:eastAsia="fr-BE"/>
        </w:rPr>
      </w:pPr>
      <w:r w:rsidRPr="00DF5C23">
        <w:rPr>
          <w:noProof/>
          <w:lang w:val="en-IE" w:eastAsia="fr-BE"/>
        </w:rPr>
        <w:t>本項の情報は、常に最新の状態に保ち</w:t>
      </w:r>
      <w:r w:rsidR="008500AD" w:rsidRPr="00DF5C23">
        <w:rPr>
          <w:noProof/>
          <w:lang w:val="en-IE" w:eastAsia="fr-BE"/>
        </w:rPr>
        <w:t>、一般にアクセス可能なウェブサイト上で公開するものとする</w:t>
      </w:r>
      <w:r w:rsidRPr="00DF5C23">
        <w:rPr>
          <w:noProof/>
          <w:lang w:val="en-IE" w:eastAsia="fr-BE"/>
        </w:rPr>
        <w:t>。</w:t>
      </w:r>
    </w:p>
    <w:p w14:paraId="78D5A18C" w14:textId="77777777" w:rsidR="0038775E" w:rsidRDefault="00877B9C" w:rsidP="002041D4">
      <w:pPr>
        <w:pStyle w:val="ManualNumPar1"/>
        <w:wordWrap w:val="0"/>
        <w:rPr>
          <w:noProof/>
          <w:lang w:val="en-IE" w:eastAsia="fr-BE"/>
        </w:rPr>
      </w:pPr>
      <w:r w:rsidRPr="004F5E59">
        <w:rPr>
          <w:lang w:eastAsia="ja-JP"/>
        </w:rPr>
        <w:t>3.</w:t>
      </w:r>
      <w:r w:rsidRPr="004F5E59">
        <w:rPr>
          <w:lang w:eastAsia="ja-JP"/>
        </w:rPr>
        <w:tab/>
      </w:r>
      <w:r w:rsidR="00413BFF" w:rsidRPr="00DF5C23">
        <w:rPr>
          <w:noProof/>
          <w:lang w:val="en-IE" w:eastAsia="fr-BE"/>
        </w:rPr>
        <w:t>欧州委員会は、</w:t>
      </w:r>
      <w:r w:rsidR="000218B6" w:rsidRPr="00DF5C23">
        <w:rPr>
          <w:noProof/>
          <w:lang w:val="en-IE" w:eastAsia="fr-BE"/>
        </w:rPr>
        <w:t>提案された自主規制</w:t>
      </w:r>
      <w:r w:rsidR="00413BFF" w:rsidRPr="00DF5C23">
        <w:rPr>
          <w:noProof/>
          <w:lang w:val="en-IE" w:eastAsia="fr-BE"/>
        </w:rPr>
        <w:t>措置を評価</w:t>
      </w:r>
      <w:r w:rsidR="00ED2110" w:rsidRPr="00DF5C23">
        <w:rPr>
          <w:noProof/>
          <w:lang w:val="en-IE" w:eastAsia="fr-BE"/>
        </w:rPr>
        <w:t>し、必要な場合には、欧州連合の分散型機関から科学的助言を求めるものとする。</w:t>
      </w:r>
      <w:r w:rsidR="00C56382" w:rsidRPr="00DF5C23">
        <w:rPr>
          <w:noProof/>
          <w:lang w:val="en-IE" w:eastAsia="fr-BE"/>
        </w:rPr>
        <w:t>その</w:t>
      </w:r>
      <w:r w:rsidR="00ED2110" w:rsidRPr="00DF5C23">
        <w:rPr>
          <w:noProof/>
          <w:lang w:val="en-IE" w:eastAsia="fr-BE"/>
        </w:rPr>
        <w:t>評価に基づき、</w:t>
      </w:r>
      <w:r w:rsidR="00413BFF" w:rsidRPr="00DF5C23">
        <w:rPr>
          <w:noProof/>
          <w:lang w:val="en-IE" w:eastAsia="fr-BE"/>
        </w:rPr>
        <w:t>以下の基準を満たす場合、第</w:t>
      </w:r>
      <w:r w:rsidR="00413BFF" w:rsidRPr="00DF5C23">
        <w:rPr>
          <w:noProof/>
          <w:lang w:val="en-IE" w:eastAsia="fr-BE"/>
        </w:rPr>
        <w:t>4</w:t>
      </w:r>
      <w:r w:rsidR="00413BFF" w:rsidRPr="00DF5C23">
        <w:rPr>
          <w:noProof/>
          <w:lang w:val="en-IE" w:eastAsia="fr-BE"/>
        </w:rPr>
        <w:t>条に従って採択された委任法の有効な代替案</w:t>
      </w:r>
      <w:r w:rsidR="000A6A88" w:rsidRPr="00DF5C23">
        <w:rPr>
          <w:noProof/>
          <w:lang w:val="en-IE" w:eastAsia="fr-BE"/>
        </w:rPr>
        <w:t>で</w:t>
      </w:r>
      <w:r w:rsidR="00ED2110" w:rsidRPr="00DF5C23">
        <w:rPr>
          <w:noProof/>
          <w:lang w:val="en-IE" w:eastAsia="fr-BE"/>
        </w:rPr>
        <w:t>あるかどうかを</w:t>
      </w:r>
      <w:r w:rsidR="000A6A88" w:rsidRPr="00DF5C23">
        <w:rPr>
          <w:noProof/>
          <w:lang w:val="en-IE" w:eastAsia="fr-BE"/>
        </w:rPr>
        <w:t>確定する</w:t>
      </w:r>
      <w:r w:rsidR="00413BFF" w:rsidRPr="00DF5C23">
        <w:rPr>
          <w:noProof/>
          <w:lang w:val="en-IE" w:eastAsia="fr-BE"/>
        </w:rPr>
        <w:t>ものとする：</w:t>
      </w:r>
    </w:p>
    <w:p w14:paraId="36A3700C" w14:textId="77777777" w:rsidR="0038775E" w:rsidRDefault="00877B9C" w:rsidP="002041D4">
      <w:pPr>
        <w:pStyle w:val="Point1"/>
        <w:wordWrap w:val="0"/>
        <w:rPr>
          <w:noProof/>
          <w:lang w:val="en-IE" w:eastAsia="fr-BE"/>
        </w:rPr>
      </w:pPr>
      <w:r w:rsidRPr="004F5E59">
        <w:rPr>
          <w:lang w:eastAsia="ja-JP"/>
        </w:rPr>
        <w:t>(a)</w:t>
      </w:r>
      <w:r w:rsidRPr="004F5E59">
        <w:rPr>
          <w:lang w:eastAsia="ja-JP"/>
        </w:rPr>
        <w:tab/>
      </w:r>
      <w:r w:rsidR="003A6AFB" w:rsidRPr="00DF5C23">
        <w:rPr>
          <w:noProof/>
          <w:lang w:val="en-IE" w:eastAsia="fr-BE"/>
        </w:rPr>
        <w:t>自主規制措置が、</w:t>
      </w:r>
      <w:r w:rsidR="00A67E0F" w:rsidRPr="00DF5C23">
        <w:rPr>
          <w:noProof/>
          <w:lang w:eastAsia="ja-JP"/>
        </w:rPr>
        <w:t>製品の環境</w:t>
      </w:r>
      <w:r w:rsidR="000A6A88" w:rsidRPr="00DF5C23">
        <w:rPr>
          <w:noProof/>
          <w:lang w:eastAsia="ja-JP"/>
        </w:rPr>
        <w:t>持続可能性の向上及び域内市場の自由な移動の確保に、</w:t>
      </w:r>
      <w:r w:rsidR="00726668" w:rsidRPr="00DF5C23">
        <w:rPr>
          <w:noProof/>
          <w:lang w:val="en-IE" w:eastAsia="fr-BE"/>
        </w:rPr>
        <w:t>第</w:t>
      </w:r>
      <w:r w:rsidR="00726668" w:rsidRPr="00DF5C23">
        <w:rPr>
          <w:noProof/>
          <w:lang w:val="en-IE" w:eastAsia="fr-BE"/>
        </w:rPr>
        <w:t>4</w:t>
      </w:r>
      <w:r w:rsidR="003A6AFB" w:rsidRPr="00DF5C23">
        <w:rPr>
          <w:noProof/>
          <w:lang w:val="en-IE" w:eastAsia="fr-BE"/>
        </w:rPr>
        <w:t>条に従って採択される委任法よりも迅速に又は少ない費用で寄与する</w:t>
      </w:r>
      <w:r w:rsidR="00ED2665" w:rsidRPr="00DF5C23">
        <w:rPr>
          <w:noProof/>
          <w:lang w:eastAsia="ja-JP"/>
        </w:rPr>
        <w:t>こと；</w:t>
      </w:r>
      <w:r w:rsidR="00ED2665" w:rsidRPr="00DF5C23">
        <w:rPr>
          <w:noProof/>
          <w:lang w:eastAsia="ja-JP"/>
        </w:rPr>
        <w:t xml:space="preserve"> </w:t>
      </w:r>
    </w:p>
    <w:p w14:paraId="370E3D53" w14:textId="77777777" w:rsidR="0038775E" w:rsidRDefault="00877B9C" w:rsidP="002041D4">
      <w:pPr>
        <w:pStyle w:val="Point1"/>
        <w:wordWrap w:val="0"/>
        <w:rPr>
          <w:noProof/>
          <w:lang w:val="en-IE" w:eastAsia="fr-BE"/>
        </w:rPr>
      </w:pPr>
      <w:r w:rsidRPr="004F5E59">
        <w:rPr>
          <w:lang w:eastAsia="ja-JP"/>
        </w:rPr>
        <w:t>(b)</w:t>
      </w:r>
      <w:r w:rsidRPr="004F5E59">
        <w:rPr>
          <w:lang w:eastAsia="ja-JP"/>
        </w:rPr>
        <w:tab/>
      </w:r>
      <w:r w:rsidR="000A6A88" w:rsidRPr="00DF5C23">
        <w:rPr>
          <w:noProof/>
          <w:lang w:val="en-IE" w:eastAsia="fr-BE"/>
        </w:rPr>
        <w:t>自主規制措置の</w:t>
      </w:r>
      <w:r w:rsidR="00C56382" w:rsidRPr="00DF5C23">
        <w:rPr>
          <w:noProof/>
          <w:lang w:val="en-IE" w:eastAsia="fr-BE"/>
        </w:rPr>
        <w:t>対象となる製品に関して、</w:t>
      </w:r>
      <w:r w:rsidR="000A6A88" w:rsidRPr="00DF5C23">
        <w:rPr>
          <w:noProof/>
          <w:lang w:val="en-IE" w:eastAsia="fr-BE"/>
        </w:rPr>
        <w:t>自主規制措置の</w:t>
      </w:r>
      <w:r w:rsidR="003A6AFB" w:rsidRPr="00DF5C23">
        <w:rPr>
          <w:noProof/>
          <w:lang w:val="en-IE" w:eastAsia="fr-BE"/>
        </w:rPr>
        <w:t>署名</w:t>
      </w:r>
      <w:r w:rsidR="000A6A88" w:rsidRPr="00DF5C23">
        <w:rPr>
          <w:noProof/>
          <w:lang w:val="en-IE" w:eastAsia="fr-BE"/>
        </w:rPr>
        <w:t>者の</w:t>
      </w:r>
      <w:r w:rsidR="00C56382" w:rsidRPr="00DF5C23">
        <w:rPr>
          <w:noProof/>
          <w:lang w:val="en-IE" w:eastAsia="fr-BE"/>
        </w:rPr>
        <w:t>数量ベースの</w:t>
      </w:r>
      <w:r w:rsidR="003A6AFB" w:rsidRPr="00DF5C23">
        <w:rPr>
          <w:noProof/>
          <w:lang w:val="en-IE" w:eastAsia="fr-BE"/>
        </w:rPr>
        <w:t>市場</w:t>
      </w:r>
      <w:r w:rsidR="00C56382" w:rsidRPr="00DF5C23">
        <w:rPr>
          <w:noProof/>
          <w:lang w:val="en-IE" w:eastAsia="fr-BE"/>
        </w:rPr>
        <w:t>シェアが、</w:t>
      </w:r>
      <w:r w:rsidR="003A6AFB" w:rsidRPr="00DF5C23">
        <w:rPr>
          <w:noProof/>
          <w:lang w:val="en-IE" w:eastAsia="fr-BE"/>
        </w:rPr>
        <w:t>市場に投入された、または使用開始されたユニットの</w:t>
      </w:r>
      <w:r w:rsidR="003A6AFB" w:rsidRPr="00DF5C23">
        <w:rPr>
          <w:noProof/>
          <w:lang w:val="en-IE" w:eastAsia="fr-BE"/>
        </w:rPr>
        <w:t>80</w:t>
      </w:r>
      <w:r w:rsidR="003A6AFB" w:rsidRPr="00DF5C23">
        <w:rPr>
          <w:noProof/>
          <w:lang w:val="en-IE" w:eastAsia="fr-BE"/>
        </w:rPr>
        <w:t>％以上であること；</w:t>
      </w:r>
    </w:p>
    <w:p w14:paraId="38535F23" w14:textId="77777777" w:rsidR="0038775E" w:rsidRDefault="00877B9C" w:rsidP="002041D4">
      <w:pPr>
        <w:pStyle w:val="Point1"/>
        <w:wordWrap w:val="0"/>
        <w:rPr>
          <w:noProof/>
          <w:lang w:val="en-IE" w:eastAsia="fr-BE"/>
        </w:rPr>
      </w:pPr>
      <w:r w:rsidRPr="004F5E59">
        <w:rPr>
          <w:lang w:eastAsia="ja-JP"/>
        </w:rPr>
        <w:t>(c)</w:t>
      </w:r>
      <w:r w:rsidRPr="004F5E59">
        <w:rPr>
          <w:lang w:eastAsia="ja-JP"/>
        </w:rPr>
        <w:tab/>
      </w:r>
      <w:r w:rsidR="003A6AFB" w:rsidRPr="00DF5C23">
        <w:rPr>
          <w:noProof/>
          <w:lang w:val="en-IE" w:eastAsia="fr-BE"/>
        </w:rPr>
        <w:t>自主規制措置が付属書</w:t>
      </w:r>
      <w:r w:rsidR="003A6AFB" w:rsidRPr="00DF5C23">
        <w:rPr>
          <w:noProof/>
          <w:lang w:val="en-IE" w:eastAsia="fr-BE"/>
        </w:rPr>
        <w:t>VII</w:t>
      </w:r>
      <w:r w:rsidR="003A6AFB" w:rsidRPr="00DF5C23">
        <w:rPr>
          <w:noProof/>
          <w:lang w:val="en-IE" w:eastAsia="fr-BE"/>
        </w:rPr>
        <w:t>に定める基準に適合していること；</w:t>
      </w:r>
      <w:r w:rsidR="003A6AFB" w:rsidRPr="00DF5C23">
        <w:rPr>
          <w:noProof/>
          <w:lang w:val="en-IE" w:eastAsia="fr-BE"/>
        </w:rPr>
        <w:t xml:space="preserve"> </w:t>
      </w:r>
    </w:p>
    <w:p w14:paraId="71758E37" w14:textId="77777777" w:rsidR="0038775E" w:rsidRDefault="00877B9C" w:rsidP="002041D4">
      <w:pPr>
        <w:pStyle w:val="Point1"/>
        <w:wordWrap w:val="0"/>
        <w:rPr>
          <w:noProof/>
          <w:lang w:val="en-IE" w:eastAsia="fr-BE"/>
        </w:rPr>
      </w:pPr>
      <w:r w:rsidRPr="004F5E59">
        <w:rPr>
          <w:lang w:eastAsia="ja-JP"/>
        </w:rPr>
        <w:t>(d)</w:t>
      </w:r>
      <w:r w:rsidRPr="004F5E59">
        <w:rPr>
          <w:lang w:eastAsia="ja-JP"/>
        </w:rPr>
        <w:tab/>
      </w:r>
      <w:r w:rsidR="003A6AFB" w:rsidRPr="00DF5C23">
        <w:rPr>
          <w:noProof/>
          <w:lang w:val="en-IE" w:eastAsia="fr-BE"/>
        </w:rPr>
        <w:t>自主規制措置の対象となる製品が、</w:t>
      </w:r>
      <w:r w:rsidR="00726668" w:rsidRPr="00DF5C23">
        <w:rPr>
          <w:noProof/>
          <w:lang w:val="en-IE" w:eastAsia="fr-BE"/>
        </w:rPr>
        <w:t>第</w:t>
      </w:r>
      <w:r w:rsidR="00726668" w:rsidRPr="00DF5C23">
        <w:rPr>
          <w:noProof/>
          <w:lang w:val="en-IE" w:eastAsia="fr-BE"/>
        </w:rPr>
        <w:t>4</w:t>
      </w:r>
      <w:r w:rsidR="003A6AFB" w:rsidRPr="00DF5C23">
        <w:rPr>
          <w:noProof/>
          <w:lang w:val="en-IE" w:eastAsia="fr-BE"/>
        </w:rPr>
        <w:t>条に従って採択された委任法の範囲に含まれないこと；</w:t>
      </w:r>
      <w:r w:rsidR="003A6AFB" w:rsidRPr="00DF5C23">
        <w:rPr>
          <w:noProof/>
          <w:lang w:val="en-IE" w:eastAsia="fr-BE"/>
        </w:rPr>
        <w:t xml:space="preserve"> </w:t>
      </w:r>
    </w:p>
    <w:p w14:paraId="45DDBF47" w14:textId="77777777" w:rsidR="0038775E" w:rsidRDefault="00877B9C" w:rsidP="002041D4">
      <w:pPr>
        <w:pStyle w:val="Point1"/>
        <w:wordWrap w:val="0"/>
        <w:rPr>
          <w:noProof/>
          <w:lang w:val="en-IE" w:eastAsia="fr-BE"/>
        </w:rPr>
      </w:pPr>
      <w:r w:rsidRPr="004F5E59">
        <w:rPr>
          <w:lang w:eastAsia="ja-JP"/>
        </w:rPr>
        <w:t>(e)</w:t>
      </w:r>
      <w:r w:rsidRPr="004F5E59">
        <w:rPr>
          <w:lang w:eastAsia="ja-JP"/>
        </w:rPr>
        <w:tab/>
      </w:r>
      <w:r w:rsidR="002D6AA1" w:rsidRPr="00DF5C23">
        <w:rPr>
          <w:noProof/>
          <w:lang w:eastAsia="ja-JP"/>
        </w:rPr>
        <w:t>自主規制</w:t>
      </w:r>
      <w:r w:rsidR="00A90AF7" w:rsidRPr="00DF5C23">
        <w:rPr>
          <w:noProof/>
          <w:lang w:eastAsia="ja-JP"/>
        </w:rPr>
        <w:t>措置が、</w:t>
      </w:r>
      <w:r w:rsidR="00A90AF7" w:rsidRPr="00DF5C23">
        <w:rPr>
          <w:noProof/>
          <w:lang w:eastAsia="ja-JP"/>
        </w:rPr>
        <w:t>EU</w:t>
      </w:r>
      <w:r w:rsidR="00A90AF7" w:rsidRPr="00DF5C23">
        <w:rPr>
          <w:noProof/>
          <w:lang w:eastAsia="ja-JP"/>
        </w:rPr>
        <w:t>の法律および</w:t>
      </w:r>
      <w:r w:rsidR="00A90AF7" w:rsidRPr="00DF5C23">
        <w:rPr>
          <w:noProof/>
          <w:lang w:eastAsia="ja-JP"/>
        </w:rPr>
        <w:t>EU</w:t>
      </w:r>
      <w:r w:rsidR="00A90AF7" w:rsidRPr="00DF5C23">
        <w:rPr>
          <w:noProof/>
          <w:lang w:eastAsia="ja-JP"/>
        </w:rPr>
        <w:t>の国際貿易公約に合致していること</w:t>
      </w:r>
      <w:r w:rsidR="003A6AFB" w:rsidRPr="00DF5C23">
        <w:rPr>
          <w:noProof/>
          <w:lang w:val="en-IE" w:eastAsia="fr-BE"/>
        </w:rPr>
        <w:t>。</w:t>
      </w:r>
    </w:p>
    <w:p w14:paraId="66FFE4D3" w14:textId="77777777" w:rsidR="0038775E" w:rsidRDefault="00877B9C" w:rsidP="002041D4">
      <w:pPr>
        <w:pStyle w:val="Text1"/>
        <w:wordWrap w:val="0"/>
        <w:rPr>
          <w:noProof/>
          <w:lang w:eastAsia="ja-JP"/>
        </w:rPr>
      </w:pPr>
      <w:r w:rsidRPr="00DF5C23">
        <w:rPr>
          <w:noProof/>
          <w:lang w:val="en-IE" w:eastAsia="ja-JP"/>
        </w:rPr>
        <w:t>欧州委員会は、第</w:t>
      </w:r>
      <w:r w:rsidRPr="00DF5C23">
        <w:rPr>
          <w:noProof/>
          <w:lang w:val="en-IE" w:eastAsia="ja-JP"/>
        </w:rPr>
        <w:t>4</w:t>
      </w:r>
      <w:r w:rsidRPr="00DF5C23">
        <w:rPr>
          <w:noProof/>
          <w:lang w:val="en-IE" w:eastAsia="ja-JP"/>
        </w:rPr>
        <w:t>条に従って採択された委任法の有効な代替案として確立された自主規制措置のリストを含む実施法を採択しなければならない。</w:t>
      </w:r>
      <w:r w:rsidR="00FC4C54" w:rsidRPr="00DF5C23">
        <w:rPr>
          <w:noProof/>
          <w:lang w:val="en-IE" w:eastAsia="ja-JP"/>
        </w:rPr>
        <w:t>当該実施法は、</w:t>
      </w:r>
      <w:r w:rsidR="00ED2665" w:rsidRPr="00DF5C23">
        <w:rPr>
          <w:noProof/>
          <w:lang w:val="en-IE" w:eastAsia="ja-JP"/>
        </w:rPr>
        <w:t>第</w:t>
      </w:r>
      <w:r w:rsidR="00ED2665" w:rsidRPr="00DF5C23">
        <w:rPr>
          <w:noProof/>
          <w:lang w:val="en-IE" w:eastAsia="ja-JP"/>
        </w:rPr>
        <w:t>67</w:t>
      </w:r>
      <w:r w:rsidR="00ED2665" w:rsidRPr="00DF5C23">
        <w:rPr>
          <w:noProof/>
          <w:lang w:val="en-IE" w:eastAsia="ja-JP"/>
        </w:rPr>
        <w:t>条</w:t>
      </w:r>
      <w:r w:rsidR="001C3ACC" w:rsidRPr="00DF5C23">
        <w:rPr>
          <w:noProof/>
          <w:lang w:val="en-IE" w:eastAsia="fr-BE"/>
        </w:rPr>
        <w:t>(2)</w:t>
      </w:r>
      <w:r w:rsidR="001C3ACC" w:rsidRPr="00DF5C23">
        <w:rPr>
          <w:noProof/>
          <w:lang w:val="en-IE" w:eastAsia="ja-JP"/>
        </w:rPr>
        <w:t>にいう諮問手続に従って採択されなければならない。</w:t>
      </w:r>
    </w:p>
    <w:p w14:paraId="01FA7149" w14:textId="77777777" w:rsidR="0038775E" w:rsidRDefault="00877B9C" w:rsidP="002041D4">
      <w:pPr>
        <w:pStyle w:val="ManualNumPar1"/>
        <w:wordWrap w:val="0"/>
        <w:rPr>
          <w:noProof/>
          <w:lang w:eastAsia="ja-JP"/>
        </w:rPr>
      </w:pPr>
      <w:r w:rsidRPr="004F5E59">
        <w:rPr>
          <w:lang w:eastAsia="ja-JP"/>
        </w:rPr>
        <w:lastRenderedPageBreak/>
        <w:t>4.</w:t>
      </w:r>
      <w:r w:rsidRPr="004F5E59">
        <w:rPr>
          <w:lang w:eastAsia="ja-JP"/>
        </w:rPr>
        <w:tab/>
      </w:r>
      <w:r w:rsidR="00B14F62" w:rsidRPr="00DF5C23">
        <w:rPr>
          <w:noProof/>
          <w:lang w:val="en-IE" w:eastAsia="fr-BE"/>
        </w:rPr>
        <w:t>欧州委員会は、</w:t>
      </w:r>
      <w:r w:rsidR="00871E48" w:rsidRPr="00DF5C23">
        <w:rPr>
          <w:noProof/>
          <w:lang w:eastAsia="ja-JP"/>
        </w:rPr>
        <w:t>関係する製品グループ内の関連する市場または技術の発展に鑑み、または第</w:t>
      </w:r>
      <w:r w:rsidR="00871E48" w:rsidRPr="00DF5C23">
        <w:rPr>
          <w:noProof/>
          <w:lang w:eastAsia="ja-JP"/>
        </w:rPr>
        <w:t>3</w:t>
      </w:r>
      <w:r w:rsidR="00871E48" w:rsidRPr="00DF5C23">
        <w:rPr>
          <w:noProof/>
          <w:lang w:eastAsia="ja-JP"/>
        </w:rPr>
        <w:t>項に定める基準がもはや満たされないと信じるに足る理由がある場合には、</w:t>
      </w:r>
      <w:r w:rsidR="000A6A88" w:rsidRPr="00DF5C23">
        <w:rPr>
          <w:noProof/>
          <w:lang w:val="en-IE" w:eastAsia="fr-BE"/>
        </w:rPr>
        <w:t>いつでも、</w:t>
      </w:r>
      <w:r w:rsidR="00B14F62" w:rsidRPr="00DF5C23">
        <w:rPr>
          <w:noProof/>
          <w:lang w:val="en-IE" w:eastAsia="fr-BE"/>
        </w:rPr>
        <w:t>自主規制措置の署名者に対し、</w:t>
      </w:r>
      <w:r w:rsidR="000A6A88" w:rsidRPr="00DF5C23">
        <w:rPr>
          <w:noProof/>
          <w:lang w:eastAsia="ja-JP"/>
        </w:rPr>
        <w:t>当該</w:t>
      </w:r>
      <w:r w:rsidR="00B14F62" w:rsidRPr="00DF5C23">
        <w:rPr>
          <w:noProof/>
          <w:lang w:eastAsia="ja-JP"/>
        </w:rPr>
        <w:t>措置の改訂</w:t>
      </w:r>
      <w:r w:rsidR="000A6A88" w:rsidRPr="00DF5C23">
        <w:rPr>
          <w:noProof/>
          <w:lang w:eastAsia="ja-JP"/>
        </w:rPr>
        <w:t>・更新版の</w:t>
      </w:r>
      <w:r w:rsidR="00B14F62" w:rsidRPr="00DF5C23">
        <w:rPr>
          <w:noProof/>
          <w:lang w:val="en-IE" w:eastAsia="fr-BE"/>
        </w:rPr>
        <w:t>提出を求めることができる</w:t>
      </w:r>
      <w:r w:rsidR="00B14F62" w:rsidRPr="00DF5C23">
        <w:rPr>
          <w:noProof/>
          <w:lang w:eastAsia="ja-JP"/>
        </w:rPr>
        <w:t>。</w:t>
      </w:r>
      <w:r w:rsidR="00B14F62" w:rsidRPr="00DF5C23">
        <w:rPr>
          <w:noProof/>
          <w:lang w:eastAsia="ja-JP"/>
        </w:rPr>
        <w:t xml:space="preserve"> </w:t>
      </w:r>
    </w:p>
    <w:p w14:paraId="7FD8AFF1" w14:textId="77777777" w:rsidR="0038775E" w:rsidRDefault="00877B9C" w:rsidP="002041D4">
      <w:pPr>
        <w:pStyle w:val="ManualNumPar1"/>
        <w:wordWrap w:val="0"/>
        <w:rPr>
          <w:noProof/>
          <w:lang w:val="en-IE" w:eastAsia="fr-BE"/>
        </w:rPr>
      </w:pPr>
      <w:r w:rsidRPr="004F5E59">
        <w:rPr>
          <w:lang w:eastAsia="ja-JP"/>
        </w:rPr>
        <w:t>5.</w:t>
      </w:r>
      <w:r w:rsidRPr="004F5E59">
        <w:rPr>
          <w:lang w:eastAsia="ja-JP"/>
        </w:rPr>
        <w:tab/>
      </w:r>
      <w:r w:rsidR="002B67B0" w:rsidRPr="00DF5C23">
        <w:rPr>
          <w:noProof/>
          <w:lang w:val="en-IE" w:eastAsia="fr-BE"/>
        </w:rPr>
        <w:t>自己規制</w:t>
      </w:r>
      <w:r w:rsidR="000A6A88" w:rsidRPr="00DF5C23">
        <w:rPr>
          <w:noProof/>
          <w:lang w:val="en-IE" w:eastAsia="fr-BE"/>
        </w:rPr>
        <w:t>措置が</w:t>
      </w:r>
      <w:r w:rsidR="002B67B0" w:rsidRPr="00DF5C23">
        <w:rPr>
          <w:noProof/>
          <w:lang w:val="en-IE" w:eastAsia="fr-BE"/>
        </w:rPr>
        <w:t>第</w:t>
      </w:r>
      <w:r w:rsidR="002B67B0" w:rsidRPr="00DF5C23">
        <w:rPr>
          <w:noProof/>
          <w:lang w:val="en-IE" w:eastAsia="fr-BE"/>
        </w:rPr>
        <w:t>3</w:t>
      </w:r>
      <w:r w:rsidR="002B67B0" w:rsidRPr="00DF5C23">
        <w:rPr>
          <w:noProof/>
          <w:lang w:val="en-IE" w:eastAsia="fr-BE"/>
        </w:rPr>
        <w:t>項</w:t>
      </w:r>
      <w:r w:rsidR="000A6A88" w:rsidRPr="00DF5C23">
        <w:rPr>
          <w:noProof/>
          <w:lang w:val="en-IE" w:eastAsia="fr-BE"/>
        </w:rPr>
        <w:t>第</w:t>
      </w:r>
      <w:r w:rsidR="000A6A88" w:rsidRPr="00DF5C23">
        <w:rPr>
          <w:noProof/>
          <w:lang w:val="en-IE" w:eastAsia="fr-BE"/>
        </w:rPr>
        <w:t>2</w:t>
      </w:r>
      <w:r w:rsidR="000A6A88" w:rsidRPr="00DF5C23">
        <w:rPr>
          <w:noProof/>
          <w:lang w:val="en-IE" w:eastAsia="fr-BE"/>
        </w:rPr>
        <w:t>号</w:t>
      </w:r>
      <w:r w:rsidR="002B67B0" w:rsidRPr="00DF5C23">
        <w:rPr>
          <w:noProof/>
          <w:lang w:val="en-IE" w:eastAsia="fr-BE"/>
        </w:rPr>
        <w:t>に従って</w:t>
      </w:r>
      <w:r w:rsidR="000A6A88" w:rsidRPr="00DF5C23">
        <w:rPr>
          <w:noProof/>
          <w:lang w:val="en-IE" w:eastAsia="fr-BE"/>
        </w:rPr>
        <w:t>採択された</w:t>
      </w:r>
      <w:r w:rsidR="002B67B0" w:rsidRPr="00DF5C23">
        <w:rPr>
          <w:noProof/>
          <w:lang w:val="en-IE" w:eastAsia="fr-BE"/>
        </w:rPr>
        <w:t>実施法に記載された後は、</w:t>
      </w:r>
      <w:r w:rsidR="000A6A88" w:rsidRPr="00DF5C23">
        <w:rPr>
          <w:noProof/>
          <w:lang w:val="en-IE" w:eastAsia="fr-BE"/>
        </w:rPr>
        <w:t>当該措置の</w:t>
      </w:r>
      <w:r w:rsidR="00B14F62" w:rsidRPr="00DF5C23">
        <w:rPr>
          <w:noProof/>
          <w:lang w:val="en-IE" w:eastAsia="fr-BE"/>
        </w:rPr>
        <w:t>署名者は、</w:t>
      </w:r>
      <w:r w:rsidR="002B67B0" w:rsidRPr="00DF5C23">
        <w:rPr>
          <w:noProof/>
          <w:lang w:val="en-IE" w:eastAsia="fr-BE"/>
        </w:rPr>
        <w:t>当該</w:t>
      </w:r>
      <w:r w:rsidR="001C3ACC" w:rsidRPr="00DF5C23">
        <w:rPr>
          <w:noProof/>
          <w:lang w:val="en-IE" w:eastAsia="fr-BE"/>
        </w:rPr>
        <w:t>実施</w:t>
      </w:r>
      <w:r w:rsidR="00B14F62" w:rsidRPr="00DF5C23">
        <w:rPr>
          <w:noProof/>
          <w:lang w:val="en-IE" w:eastAsia="fr-BE"/>
        </w:rPr>
        <w:t>法に</w:t>
      </w:r>
      <w:r w:rsidR="000A6A88" w:rsidRPr="00DF5C23">
        <w:rPr>
          <w:noProof/>
          <w:lang w:val="en-IE" w:eastAsia="fr-BE"/>
        </w:rPr>
        <w:t>定められた定期的な間隔で、</w:t>
      </w:r>
      <w:r w:rsidR="00B14F62" w:rsidRPr="00DF5C23">
        <w:rPr>
          <w:noProof/>
          <w:lang w:val="en-IE" w:eastAsia="fr-BE"/>
        </w:rPr>
        <w:t>自己規制措置の目的の</w:t>
      </w:r>
      <w:r w:rsidR="00AD3559" w:rsidRPr="00DF5C23">
        <w:rPr>
          <w:noProof/>
          <w:lang w:eastAsia="fr-BE"/>
        </w:rPr>
        <w:t>達成に</w:t>
      </w:r>
      <w:r w:rsidR="00B14F62" w:rsidRPr="00DF5C23">
        <w:rPr>
          <w:noProof/>
          <w:lang w:val="en-IE" w:eastAsia="fr-BE"/>
        </w:rPr>
        <w:t>向けた進捗状況を欧州委員会に報告し</w:t>
      </w:r>
      <w:r w:rsidR="007C13D7" w:rsidRPr="00DF5C23">
        <w:rPr>
          <w:noProof/>
          <w:lang w:val="en-IE" w:eastAsia="fr-BE"/>
        </w:rPr>
        <w:t>、</w:t>
      </w:r>
      <w:r w:rsidR="00C41B87" w:rsidRPr="00DF5C23">
        <w:rPr>
          <w:noProof/>
          <w:lang w:val="en-IE" w:eastAsia="fr-BE"/>
        </w:rPr>
        <w:t>第</w:t>
      </w:r>
      <w:r w:rsidR="00C41B87" w:rsidRPr="00DF5C23">
        <w:rPr>
          <w:noProof/>
          <w:lang w:val="en-IE" w:eastAsia="fr-BE"/>
        </w:rPr>
        <w:t>3</w:t>
      </w:r>
      <w:r w:rsidR="00C41B87" w:rsidRPr="00DF5C23">
        <w:rPr>
          <w:noProof/>
          <w:lang w:val="en-IE" w:eastAsia="fr-BE"/>
        </w:rPr>
        <w:t>項（</w:t>
      </w:r>
      <w:r w:rsidR="00C41B87" w:rsidRPr="00DF5C23">
        <w:rPr>
          <w:noProof/>
          <w:lang w:val="en-IE" w:eastAsia="fr-BE"/>
        </w:rPr>
        <w:t>a</w:t>
      </w:r>
      <w:r w:rsidR="00C41B87" w:rsidRPr="00DF5C23">
        <w:rPr>
          <w:noProof/>
          <w:lang w:val="en-IE" w:eastAsia="fr-BE"/>
        </w:rPr>
        <w:t>）から（</w:t>
      </w:r>
      <w:r w:rsidR="00C41B87" w:rsidRPr="00DF5C23">
        <w:rPr>
          <w:noProof/>
          <w:lang w:val="en-IE" w:eastAsia="fr-BE"/>
        </w:rPr>
        <w:t>e</w:t>
      </w:r>
      <w:r w:rsidR="00C41B87" w:rsidRPr="00DF5C23">
        <w:rPr>
          <w:noProof/>
          <w:lang w:val="en-IE" w:eastAsia="fr-BE"/>
        </w:rPr>
        <w:t>）に定められた基準が引き続き満たさ</w:t>
      </w:r>
      <w:r w:rsidR="00E172E8" w:rsidRPr="00DF5C23">
        <w:rPr>
          <w:noProof/>
          <w:lang w:val="en-IE" w:eastAsia="fr-BE"/>
        </w:rPr>
        <w:t>れる</w:t>
      </w:r>
      <w:r w:rsidR="00C41B87" w:rsidRPr="00DF5C23">
        <w:rPr>
          <w:noProof/>
          <w:lang w:val="en-IE" w:eastAsia="fr-BE"/>
        </w:rPr>
        <w:t>ことを証明するものとする。また、これらの報告書は、一般にアクセス可能な</w:t>
      </w:r>
      <w:r w:rsidR="007C13D7" w:rsidRPr="00DF5C23">
        <w:rPr>
          <w:noProof/>
          <w:lang w:val="en-IE" w:eastAsia="fr-BE"/>
        </w:rPr>
        <w:t>ウェブサイト</w:t>
      </w:r>
      <w:r w:rsidR="00C41B87" w:rsidRPr="00DF5C23">
        <w:rPr>
          <w:noProof/>
          <w:lang w:val="en-IE" w:eastAsia="fr-BE"/>
        </w:rPr>
        <w:t>上で公開されるものとする</w:t>
      </w:r>
      <w:r w:rsidR="00B14F62" w:rsidRPr="00DF5C23">
        <w:rPr>
          <w:noProof/>
          <w:lang w:val="en-IE" w:eastAsia="fr-BE"/>
        </w:rPr>
        <w:t>。</w:t>
      </w:r>
      <w:r w:rsidR="00B14F62" w:rsidRPr="00DF5C23">
        <w:rPr>
          <w:noProof/>
          <w:lang w:val="en-IE" w:eastAsia="fr-BE"/>
        </w:rPr>
        <w:t xml:space="preserve"> </w:t>
      </w:r>
    </w:p>
    <w:p w14:paraId="36E2BA1F" w14:textId="77777777" w:rsidR="0038775E" w:rsidRDefault="00877B9C" w:rsidP="002041D4">
      <w:pPr>
        <w:pStyle w:val="ManualNumPar1"/>
        <w:wordWrap w:val="0"/>
        <w:rPr>
          <w:noProof/>
          <w:lang w:val="en-IE" w:eastAsia="fr-BE"/>
        </w:rPr>
      </w:pPr>
      <w:r w:rsidRPr="004F5E59">
        <w:rPr>
          <w:lang w:eastAsia="ja-JP"/>
        </w:rPr>
        <w:t>6.</w:t>
      </w:r>
      <w:r w:rsidRPr="004F5E59">
        <w:rPr>
          <w:lang w:eastAsia="ja-JP"/>
        </w:rPr>
        <w:tab/>
      </w:r>
      <w:r w:rsidR="00871E48" w:rsidRPr="00DF5C23">
        <w:rPr>
          <w:noProof/>
          <w:lang w:val="en-IE" w:eastAsia="fr-BE"/>
        </w:rPr>
        <w:t>欧州委員会は、第</w:t>
      </w:r>
      <w:r w:rsidR="00871E48" w:rsidRPr="00DF5C23">
        <w:rPr>
          <w:noProof/>
          <w:lang w:val="en-IE" w:eastAsia="fr-BE"/>
        </w:rPr>
        <w:t>4</w:t>
      </w:r>
      <w:r w:rsidR="00871E48" w:rsidRPr="00DF5C23">
        <w:rPr>
          <w:noProof/>
          <w:lang w:val="en-IE" w:eastAsia="fr-BE"/>
        </w:rPr>
        <w:t>項または第</w:t>
      </w:r>
      <w:r w:rsidR="00871E48" w:rsidRPr="00DF5C23">
        <w:rPr>
          <w:noProof/>
          <w:lang w:val="en-IE" w:eastAsia="fr-BE"/>
        </w:rPr>
        <w:t>5</w:t>
      </w:r>
      <w:r w:rsidR="00871E48" w:rsidRPr="00DF5C23">
        <w:rPr>
          <w:noProof/>
          <w:lang w:val="en-IE" w:eastAsia="fr-BE"/>
        </w:rPr>
        <w:t>項に従って受け取った情報に基づき、</w:t>
      </w:r>
      <w:r w:rsidR="001C3ACC" w:rsidRPr="00DF5C23">
        <w:rPr>
          <w:noProof/>
          <w:lang w:val="en-IE" w:eastAsia="fr-BE"/>
        </w:rPr>
        <w:t>自主規制措置がもはや</w:t>
      </w:r>
      <w:r w:rsidR="000A6A88" w:rsidRPr="00DF5C23">
        <w:rPr>
          <w:noProof/>
          <w:lang w:val="en-IE" w:eastAsia="fr-BE"/>
        </w:rPr>
        <w:t>第</w:t>
      </w:r>
      <w:r w:rsidR="000A6A88" w:rsidRPr="00DF5C23">
        <w:rPr>
          <w:noProof/>
          <w:lang w:val="en-IE" w:eastAsia="fr-BE"/>
        </w:rPr>
        <w:t>3</w:t>
      </w:r>
      <w:r w:rsidR="000A6A88" w:rsidRPr="00DF5C23">
        <w:rPr>
          <w:noProof/>
          <w:lang w:val="en-IE" w:eastAsia="fr-BE"/>
        </w:rPr>
        <w:t>項に</w:t>
      </w:r>
      <w:r w:rsidR="001C3ACC" w:rsidRPr="00DF5C23">
        <w:rPr>
          <w:noProof/>
          <w:lang w:val="en-IE" w:eastAsia="fr-BE"/>
        </w:rPr>
        <w:t>定める基準を満たさないと考える場合、</w:t>
      </w:r>
      <w:r w:rsidR="000A6A88" w:rsidRPr="00DF5C23">
        <w:rPr>
          <w:noProof/>
          <w:lang w:val="en-IE" w:eastAsia="fr-BE"/>
        </w:rPr>
        <w:t>同項に</w:t>
      </w:r>
      <w:r w:rsidR="0062422A" w:rsidRPr="00DF5C23">
        <w:rPr>
          <w:noProof/>
          <w:lang w:val="en-IE" w:eastAsia="fr-BE"/>
        </w:rPr>
        <w:t>定める</w:t>
      </w:r>
      <w:r w:rsidR="000A6A88" w:rsidRPr="00DF5C23">
        <w:rPr>
          <w:noProof/>
          <w:lang w:val="en-IE" w:eastAsia="fr-BE"/>
        </w:rPr>
        <w:t>リストから削除する</w:t>
      </w:r>
      <w:r w:rsidR="0062422A" w:rsidRPr="00DF5C23">
        <w:rPr>
          <w:noProof/>
          <w:lang w:val="en-IE" w:eastAsia="fr-BE"/>
        </w:rPr>
        <w:t>ものとする。</w:t>
      </w:r>
      <w:r w:rsidR="00C41B87" w:rsidRPr="00DF5C23">
        <w:rPr>
          <w:noProof/>
          <w:lang w:val="en-IE" w:eastAsia="fr-BE"/>
        </w:rPr>
        <w:t>この場合、欧州委員会は、当該自主規制措置の対象となる製品に適用されるエコデザイン要求事項を採択することを決定することができる。</w:t>
      </w:r>
    </w:p>
    <w:p w14:paraId="330B14B3" w14:textId="77777777" w:rsidR="0038775E" w:rsidRDefault="00877B9C" w:rsidP="002041D4">
      <w:pPr>
        <w:pStyle w:val="Titrearticle"/>
        <w:wordWrap w:val="0"/>
        <w:rPr>
          <w:noProof/>
          <w:lang w:val="en-IE" w:eastAsia="fr-BE"/>
        </w:rPr>
      </w:pPr>
      <w:r w:rsidRPr="00DF5C23">
        <w:rPr>
          <w:noProof/>
          <w:lang w:val="en-IE" w:eastAsia="fr-BE"/>
        </w:rPr>
        <w:t>第</w:t>
      </w:r>
      <w:r w:rsidRPr="00DF5C23">
        <w:rPr>
          <w:noProof/>
          <w:lang w:val="en-IE" w:eastAsia="fr-BE"/>
        </w:rPr>
        <w:t>19</w:t>
      </w:r>
      <w:r w:rsidRPr="00DF5C23">
        <w:rPr>
          <w:noProof/>
          <w:lang w:val="en-IE" w:eastAsia="fr-BE"/>
        </w:rPr>
        <w:t>条</w:t>
      </w:r>
      <w:r w:rsidRPr="00DF5C23">
        <w:rPr>
          <w:noProof/>
          <w:lang w:val="en-IE" w:eastAsia="fr-BE"/>
        </w:rPr>
        <w:t xml:space="preserve"> </w:t>
      </w:r>
      <w:r w:rsidRPr="00DF5C23">
        <w:rPr>
          <w:noProof/>
          <w:lang w:eastAsia="ja-JP"/>
        </w:rPr>
        <w:br/>
      </w:r>
      <w:r w:rsidR="00A33CDE" w:rsidRPr="00DF5C23">
        <w:rPr>
          <w:noProof/>
          <w:lang w:val="en-IE" w:eastAsia="fr-BE"/>
        </w:rPr>
        <w:t>マイクロ、</w:t>
      </w:r>
      <w:r w:rsidRPr="00DF5C23">
        <w:rPr>
          <w:noProof/>
          <w:lang w:val="en-IE" w:eastAsia="fr-BE"/>
        </w:rPr>
        <w:t>スモール、ミディアムサイズの企業</w:t>
      </w:r>
    </w:p>
    <w:p w14:paraId="4B25DDE9" w14:textId="77777777" w:rsidR="0038775E" w:rsidRDefault="00877B9C" w:rsidP="002041D4">
      <w:pPr>
        <w:pStyle w:val="ManualNumPar1"/>
        <w:wordWrap w:val="0"/>
        <w:rPr>
          <w:noProof/>
          <w:lang w:val="en-IE" w:eastAsia="fr-BE"/>
        </w:rPr>
      </w:pPr>
      <w:r w:rsidRPr="004F5E59">
        <w:rPr>
          <w:lang w:eastAsia="ja-JP"/>
        </w:rPr>
        <w:t>1.</w:t>
      </w:r>
      <w:r w:rsidRPr="004F5E59">
        <w:rPr>
          <w:lang w:eastAsia="ja-JP"/>
        </w:rPr>
        <w:tab/>
      </w:r>
      <w:r w:rsidR="00847992" w:rsidRPr="00DF5C23">
        <w:rPr>
          <w:noProof/>
          <w:lang w:eastAsia="ja-JP"/>
        </w:rPr>
        <w:t>中小企業が恩恵を受けることができる</w:t>
      </w:r>
      <w:r w:rsidR="00AF52FB" w:rsidRPr="00DF5C23">
        <w:rPr>
          <w:noProof/>
          <w:lang w:eastAsia="ja-JP"/>
        </w:rPr>
        <w:t>プログラムについて</w:t>
      </w:r>
      <w:r w:rsidR="00847992" w:rsidRPr="00DF5C23">
        <w:rPr>
          <w:noProof/>
          <w:lang w:eastAsia="ja-JP"/>
        </w:rPr>
        <w:t>、欧州委員会は、中小企業がエネルギー効率を含む環境持続可能性の側面をバリューチェーンに組み込むことを支援するイニシアティブを考慮するものとする。</w:t>
      </w:r>
    </w:p>
    <w:p w14:paraId="06BF070B" w14:textId="77777777" w:rsidR="0038775E" w:rsidRDefault="00877B9C" w:rsidP="002041D4">
      <w:pPr>
        <w:pStyle w:val="ManualNumPar1"/>
        <w:wordWrap w:val="0"/>
        <w:rPr>
          <w:noProof/>
          <w:lang w:val="en-IE" w:eastAsia="fr-BE"/>
        </w:rPr>
      </w:pPr>
      <w:r w:rsidRPr="004F5E59">
        <w:rPr>
          <w:lang w:eastAsia="ja-JP"/>
        </w:rPr>
        <w:t>2.</w:t>
      </w:r>
      <w:r w:rsidRPr="004F5E59">
        <w:rPr>
          <w:lang w:eastAsia="ja-JP"/>
        </w:rPr>
        <w:tab/>
      </w:r>
      <w:r w:rsidR="00847992" w:rsidRPr="00DF5C23">
        <w:rPr>
          <w:noProof/>
          <w:lang w:val="en-IE" w:eastAsia="fr-BE"/>
        </w:rPr>
        <w:t>第</w:t>
      </w:r>
      <w:r w:rsidR="00847992" w:rsidRPr="00DF5C23">
        <w:rPr>
          <w:noProof/>
          <w:lang w:val="en-IE" w:eastAsia="fr-BE"/>
        </w:rPr>
        <w:t>4</w:t>
      </w:r>
      <w:r w:rsidR="00AF52FB" w:rsidRPr="00DF5C23">
        <w:rPr>
          <w:noProof/>
          <w:lang w:val="en-IE" w:eastAsia="fr-BE"/>
        </w:rPr>
        <w:t>条に従って委任法を採択する場合、欧州委員会は、必要に応じて、</w:t>
      </w:r>
      <w:r w:rsidR="00847992" w:rsidRPr="00DF5C23">
        <w:rPr>
          <w:noProof/>
          <w:lang w:val="en-IE" w:eastAsia="fr-BE"/>
        </w:rPr>
        <w:t>中小企業による本規則の適用を促進するために、</w:t>
      </w:r>
      <w:r w:rsidR="00AF52FB" w:rsidRPr="00DF5C23">
        <w:rPr>
          <w:noProof/>
          <w:lang w:val="en-IE" w:eastAsia="fr-BE"/>
        </w:rPr>
        <w:t>影響を受ける製品または製品グループの分野で活動する中小企業の特殊性を網羅したガイドラインを添付するものとする。</w:t>
      </w:r>
      <w:r w:rsidR="00AF52FB" w:rsidRPr="00DF5C23">
        <w:rPr>
          <w:noProof/>
          <w:lang w:val="en-IE" w:eastAsia="fr-BE"/>
        </w:rPr>
        <w:t xml:space="preserve"> </w:t>
      </w:r>
    </w:p>
    <w:p w14:paraId="697DEAD7" w14:textId="77777777" w:rsidR="0038775E" w:rsidRDefault="00877B9C" w:rsidP="002041D4">
      <w:pPr>
        <w:pStyle w:val="ManualNumPar1"/>
        <w:wordWrap w:val="0"/>
        <w:rPr>
          <w:noProof/>
          <w:lang w:val="en-IE" w:eastAsia="fr-BE"/>
        </w:rPr>
      </w:pPr>
      <w:r w:rsidRPr="004F5E59">
        <w:rPr>
          <w:lang w:eastAsia="ja-JP"/>
        </w:rPr>
        <w:t>3.</w:t>
      </w:r>
      <w:r w:rsidRPr="004F5E59">
        <w:rPr>
          <w:lang w:eastAsia="ja-JP"/>
        </w:rPr>
        <w:tab/>
      </w:r>
      <w:r w:rsidR="00AF52FB" w:rsidRPr="00DF5C23">
        <w:rPr>
          <w:noProof/>
          <w:lang w:val="en-IE" w:eastAsia="fr-BE"/>
        </w:rPr>
        <w:t>加盟国は、中小企業が</w:t>
      </w:r>
      <w:r w:rsidR="001964EE" w:rsidRPr="00DF5C23">
        <w:rPr>
          <w:noProof/>
          <w:lang w:val="en-IE" w:eastAsia="fr-BE"/>
        </w:rPr>
        <w:t>第</w:t>
      </w:r>
      <w:r w:rsidR="001964EE" w:rsidRPr="00DF5C23">
        <w:rPr>
          <w:noProof/>
          <w:lang w:val="en-IE" w:eastAsia="fr-BE"/>
        </w:rPr>
        <w:t>4</w:t>
      </w:r>
      <w:r w:rsidR="001964EE" w:rsidRPr="00DF5C23">
        <w:rPr>
          <w:noProof/>
          <w:lang w:val="en-IE" w:eastAsia="fr-BE"/>
        </w:rPr>
        <w:t>条に従って採択された</w:t>
      </w:r>
      <w:r w:rsidR="00AF52FB" w:rsidRPr="00DF5C23">
        <w:rPr>
          <w:noProof/>
          <w:lang w:val="en-IE" w:eastAsia="fr-BE"/>
        </w:rPr>
        <w:t>委任法に定めるエコデザイン要求事項を適用するのを支援するために、適切な措置を講じるものとする。</w:t>
      </w:r>
      <w:r w:rsidR="00AF52FB" w:rsidRPr="00DF5C23">
        <w:rPr>
          <w:noProof/>
          <w:lang w:val="en-IE" w:eastAsia="fr-BE"/>
        </w:rPr>
        <w:t xml:space="preserve"> </w:t>
      </w:r>
    </w:p>
    <w:p w14:paraId="1EA71CA3" w14:textId="77777777" w:rsidR="0038775E" w:rsidRDefault="00877B9C" w:rsidP="002041D4">
      <w:pPr>
        <w:pStyle w:val="Text1"/>
        <w:wordWrap w:val="0"/>
        <w:rPr>
          <w:noProof/>
          <w:lang w:val="en-IE" w:eastAsia="fr-BE"/>
        </w:rPr>
      </w:pPr>
      <w:r w:rsidRPr="00DF5C23">
        <w:rPr>
          <w:noProof/>
          <w:lang w:val="en-IE" w:eastAsia="fr-BE"/>
        </w:rPr>
        <w:t>これらの措置には、少なくとも、中小企業が要件に適応するための認識を高め、ネットワークの機会を創出するためのワンストップ・ショップまたは同様のメカニズムの利用可能性を確保することを含むものとする。</w:t>
      </w:r>
      <w:r w:rsidRPr="00DF5C23">
        <w:rPr>
          <w:noProof/>
          <w:lang w:val="en-IE" w:eastAsia="fr-BE"/>
        </w:rPr>
        <w:t xml:space="preserve"> </w:t>
      </w:r>
    </w:p>
    <w:p w14:paraId="0C026D96" w14:textId="77777777" w:rsidR="0038775E" w:rsidRDefault="00877B9C" w:rsidP="002041D4">
      <w:pPr>
        <w:pStyle w:val="Text1"/>
        <w:wordWrap w:val="0"/>
        <w:rPr>
          <w:noProof/>
          <w:lang w:val="en-IE" w:eastAsia="fr-BE"/>
        </w:rPr>
      </w:pPr>
      <w:r w:rsidRPr="00DF5C23">
        <w:rPr>
          <w:noProof/>
          <w:lang w:val="en-IE" w:eastAsia="fr-BE"/>
        </w:rPr>
        <w:t>さらに、</w:t>
      </w:r>
      <w:r w:rsidR="00804904" w:rsidRPr="00DF5C23">
        <w:rPr>
          <w:noProof/>
          <w:lang w:val="en-IE" w:eastAsia="fr-BE"/>
        </w:rPr>
        <w:t>適用される国家補助規則を害することなく、</w:t>
      </w:r>
      <w:r w:rsidRPr="00DF5C23">
        <w:rPr>
          <w:noProof/>
          <w:lang w:val="en-IE" w:eastAsia="fr-BE"/>
        </w:rPr>
        <w:t>かかる措置は以下を含むことができる：</w:t>
      </w:r>
    </w:p>
    <w:p w14:paraId="5432DB33" w14:textId="77777777" w:rsidR="0038775E" w:rsidRDefault="00877B9C" w:rsidP="002041D4">
      <w:pPr>
        <w:pStyle w:val="Point1"/>
        <w:wordWrap w:val="0"/>
        <w:rPr>
          <w:noProof/>
          <w:lang w:eastAsia="fr-BE"/>
        </w:rPr>
      </w:pPr>
      <w:r w:rsidRPr="004F5E59">
        <w:rPr>
          <w:lang w:eastAsia="ja-JP"/>
        </w:rPr>
        <w:t>(a)</w:t>
      </w:r>
      <w:r w:rsidRPr="004F5E59">
        <w:rPr>
          <w:lang w:eastAsia="ja-JP"/>
        </w:rPr>
        <w:tab/>
      </w:r>
      <w:r w:rsidR="00AF52FB" w:rsidRPr="00DF5C23">
        <w:rPr>
          <w:noProof/>
          <w:lang w:eastAsia="fr-BE"/>
        </w:rPr>
        <w:t>財政的な優遇措置の付与、物理的・デジタル的なインフラ投資の提供など、財政的な支援を行っている；</w:t>
      </w:r>
    </w:p>
    <w:p w14:paraId="3E1006D9" w14:textId="77777777" w:rsidR="0038775E" w:rsidRDefault="00877B9C" w:rsidP="002041D4">
      <w:pPr>
        <w:pStyle w:val="Point1"/>
        <w:wordWrap w:val="0"/>
        <w:rPr>
          <w:noProof/>
          <w:lang w:eastAsia="ja-JP"/>
        </w:rPr>
      </w:pPr>
      <w:r w:rsidRPr="004F5E59">
        <w:rPr>
          <w:lang w:eastAsia="ja-JP"/>
        </w:rPr>
        <w:t>(b)</w:t>
      </w:r>
      <w:r w:rsidRPr="004F5E59">
        <w:rPr>
          <w:lang w:eastAsia="ja-JP"/>
        </w:rPr>
        <w:tab/>
      </w:r>
      <w:r w:rsidR="00AF52FB" w:rsidRPr="00DF5C23">
        <w:rPr>
          <w:noProof/>
          <w:lang w:eastAsia="ja-JP"/>
        </w:rPr>
        <w:t>ファイナンスへのアクセス</w:t>
      </w:r>
    </w:p>
    <w:p w14:paraId="07E38C13" w14:textId="77777777" w:rsidR="0038775E" w:rsidRDefault="00877B9C" w:rsidP="002041D4">
      <w:pPr>
        <w:pStyle w:val="Point1"/>
        <w:wordWrap w:val="0"/>
        <w:rPr>
          <w:noProof/>
          <w:lang w:eastAsia="fr-BE"/>
        </w:rPr>
      </w:pPr>
      <w:r w:rsidRPr="004F5E59">
        <w:rPr>
          <w:lang w:eastAsia="ja-JP"/>
        </w:rPr>
        <w:t>(c)</w:t>
      </w:r>
      <w:r w:rsidRPr="004F5E59">
        <w:rPr>
          <w:lang w:eastAsia="ja-JP"/>
        </w:rPr>
        <w:tab/>
      </w:r>
      <w:r w:rsidR="00AF52FB" w:rsidRPr="00DF5C23">
        <w:rPr>
          <w:noProof/>
          <w:lang w:eastAsia="ja-JP"/>
        </w:rPr>
        <w:t>専門的なマネジメントとスタッフのトレーニング；</w:t>
      </w:r>
    </w:p>
    <w:p w14:paraId="3F817531" w14:textId="77777777" w:rsidR="0038775E" w:rsidRDefault="00877B9C" w:rsidP="002041D4">
      <w:pPr>
        <w:pStyle w:val="Point1"/>
        <w:wordWrap w:val="0"/>
        <w:rPr>
          <w:noProof/>
          <w:lang w:val="en-IE" w:eastAsia="fr-BE"/>
        </w:rPr>
      </w:pPr>
      <w:r w:rsidRPr="004F5E59">
        <w:rPr>
          <w:lang w:eastAsia="ja-JP"/>
        </w:rPr>
        <w:t>(d)</w:t>
      </w:r>
      <w:r w:rsidRPr="004F5E59">
        <w:rPr>
          <w:lang w:eastAsia="ja-JP"/>
        </w:rPr>
        <w:tab/>
      </w:r>
      <w:r w:rsidR="00AF52FB" w:rsidRPr="00DF5C23">
        <w:rPr>
          <w:noProof/>
          <w:lang w:eastAsia="fr-BE"/>
        </w:rPr>
        <w:t>組織的・技術的な支援を行う</w:t>
      </w:r>
      <w:r w:rsidR="00AF52FB" w:rsidRPr="00DF5C23">
        <w:rPr>
          <w:noProof/>
          <w:lang w:val="en-IE" w:eastAsia="fr-BE"/>
        </w:rPr>
        <w:t>。</w:t>
      </w:r>
    </w:p>
    <w:p w14:paraId="6479ACCB" w14:textId="77777777" w:rsidR="0038775E" w:rsidRDefault="00877B9C" w:rsidP="002041D4">
      <w:pPr>
        <w:pStyle w:val="ManualHeading1"/>
        <w:wordWrap w:val="0"/>
        <w:jc w:val="center"/>
        <w:rPr>
          <w:noProof/>
          <w:lang w:eastAsia="ja-JP"/>
        </w:rPr>
      </w:pPr>
      <w:r w:rsidRPr="00DF5C23">
        <w:rPr>
          <w:noProof/>
          <w:lang w:eastAsia="ja-JP"/>
        </w:rPr>
        <w:lastRenderedPageBreak/>
        <w:t>第六</w:t>
      </w:r>
      <w:r w:rsidR="00BA4E97" w:rsidRPr="00DF5C23">
        <w:rPr>
          <w:noProof/>
          <w:lang w:eastAsia="ja-JP"/>
        </w:rPr>
        <w:t>章</w:t>
      </w:r>
      <w:r w:rsidR="00BA4E97" w:rsidRPr="00DF5C23">
        <w:rPr>
          <w:noProof/>
          <w:lang w:eastAsia="ja-JP"/>
        </w:rPr>
        <w:t xml:space="preserve"> </w:t>
      </w:r>
      <w:r w:rsidRPr="00DF5C23">
        <w:rPr>
          <w:noProof/>
          <w:lang w:eastAsia="ja-JP"/>
        </w:rPr>
        <w:t>売れ残った消費財の破棄</w:t>
      </w:r>
    </w:p>
    <w:p w14:paraId="2AE6D957" w14:textId="77777777" w:rsidR="0038775E" w:rsidRDefault="001A4BE8" w:rsidP="002041D4">
      <w:pPr>
        <w:wordWrap w:val="0"/>
        <w:jc w:val="center"/>
        <w:rPr>
          <w:i/>
          <w:iCs/>
          <w:noProof/>
          <w:lang w:eastAsia="ja-JP"/>
        </w:rPr>
      </w:pPr>
      <w:r w:rsidRPr="00DF5C23">
        <w:rPr>
          <w:i/>
          <w:iCs/>
          <w:noProof/>
          <w:lang w:eastAsia="ja-JP"/>
        </w:rPr>
        <w:t>第</w:t>
      </w:r>
      <w:r w:rsidRPr="00DF5C23">
        <w:rPr>
          <w:i/>
          <w:iCs/>
          <w:noProof/>
          <w:lang w:eastAsia="ja-JP"/>
        </w:rPr>
        <w:t>20</w:t>
      </w:r>
      <w:r w:rsidR="00877B9C" w:rsidRPr="00DF5C23">
        <w:rPr>
          <w:i/>
          <w:iCs/>
          <w:noProof/>
          <w:lang w:eastAsia="ja-JP"/>
        </w:rPr>
        <w:t>条</w:t>
      </w:r>
      <w:r w:rsidR="00877B9C" w:rsidRPr="00DF5C23">
        <w:rPr>
          <w:noProof/>
          <w:lang w:eastAsia="ja-JP"/>
        </w:rPr>
        <w:br/>
      </w:r>
      <w:r w:rsidR="00877B9C" w:rsidRPr="00DF5C23">
        <w:rPr>
          <w:i/>
          <w:iCs/>
          <w:noProof/>
          <w:lang w:eastAsia="ja-JP"/>
        </w:rPr>
        <w:t>売れ残った</w:t>
      </w:r>
      <w:r w:rsidR="00877B9C" w:rsidRPr="00DF5C23">
        <w:rPr>
          <w:i/>
          <w:noProof/>
          <w:lang w:eastAsia="ja-JP"/>
        </w:rPr>
        <w:t>消費</w:t>
      </w:r>
      <w:r w:rsidR="00877B9C" w:rsidRPr="00DF5C23">
        <w:rPr>
          <w:i/>
          <w:iCs/>
          <w:noProof/>
          <w:lang w:eastAsia="ja-JP"/>
        </w:rPr>
        <w:t>財の廃棄</w:t>
      </w:r>
    </w:p>
    <w:p w14:paraId="752CA02A" w14:textId="77777777" w:rsidR="0038775E" w:rsidRDefault="00877B9C" w:rsidP="002041D4">
      <w:pPr>
        <w:pStyle w:val="ManualNumPar1"/>
        <w:wordWrap w:val="0"/>
        <w:rPr>
          <w:noProof/>
          <w:lang w:eastAsia="ja-JP"/>
        </w:rPr>
      </w:pPr>
      <w:r w:rsidRPr="004F5E59">
        <w:rPr>
          <w:lang w:eastAsia="ja-JP"/>
        </w:rPr>
        <w:t>1.</w:t>
      </w:r>
      <w:r w:rsidRPr="004F5E59">
        <w:rPr>
          <w:lang w:eastAsia="ja-JP"/>
        </w:rPr>
        <w:tab/>
      </w:r>
      <w:r w:rsidR="00D531F0" w:rsidRPr="00DF5C23">
        <w:rPr>
          <w:noProof/>
          <w:lang w:eastAsia="ja-JP"/>
        </w:rPr>
        <w:t>売れ残った消費財を</w:t>
      </w:r>
      <w:r w:rsidR="00040FE1" w:rsidRPr="00DF5C23">
        <w:rPr>
          <w:noProof/>
          <w:lang w:eastAsia="ja-JP"/>
        </w:rPr>
        <w:t>直接、または</w:t>
      </w:r>
      <w:r w:rsidR="00D531F0" w:rsidRPr="00DF5C23">
        <w:rPr>
          <w:noProof/>
          <w:lang w:eastAsia="ja-JP"/>
        </w:rPr>
        <w:t>他の経済事業者に代わって</w:t>
      </w:r>
      <w:r w:rsidR="00AB244C" w:rsidRPr="00DF5C23">
        <w:rPr>
          <w:noProof/>
          <w:lang w:eastAsia="ja-JP"/>
        </w:rPr>
        <w:t>廃棄する</w:t>
      </w:r>
      <w:r w:rsidR="00D531F0" w:rsidRPr="00DF5C23">
        <w:rPr>
          <w:noProof/>
          <w:lang w:eastAsia="ja-JP"/>
        </w:rPr>
        <w:t>経済事業者は、開示しなければならない：</w:t>
      </w:r>
    </w:p>
    <w:p w14:paraId="4C0968FD" w14:textId="77777777" w:rsidR="0038775E" w:rsidRDefault="00877B9C" w:rsidP="002041D4">
      <w:pPr>
        <w:pStyle w:val="Point1"/>
        <w:wordWrap w:val="0"/>
        <w:rPr>
          <w:noProof/>
          <w:lang w:val="en-IE" w:eastAsia="fr-BE"/>
        </w:rPr>
      </w:pPr>
      <w:r w:rsidRPr="004F5E59">
        <w:rPr>
          <w:lang w:eastAsia="ja-JP"/>
        </w:rPr>
        <w:t>(a)</w:t>
      </w:r>
      <w:r w:rsidRPr="004F5E59">
        <w:rPr>
          <w:lang w:eastAsia="ja-JP"/>
        </w:rPr>
        <w:tab/>
      </w:r>
      <w:r w:rsidR="00D531F0" w:rsidRPr="00DF5C23">
        <w:rPr>
          <w:noProof/>
          <w:lang w:val="en-IE" w:eastAsia="fr-BE"/>
        </w:rPr>
        <w:t>製品の種類やカテゴリーごとに区別して</w:t>
      </w:r>
      <w:r w:rsidR="002D6AA1" w:rsidRPr="00DF5C23">
        <w:rPr>
          <w:noProof/>
          <w:lang w:val="en-IE" w:eastAsia="fr-BE"/>
        </w:rPr>
        <w:t>、</w:t>
      </w:r>
      <w:r w:rsidR="002D6AA1" w:rsidRPr="00DF5C23">
        <w:rPr>
          <w:noProof/>
          <w:lang w:val="en-IE" w:eastAsia="fr-BE"/>
        </w:rPr>
        <w:t>1</w:t>
      </w:r>
      <w:r w:rsidR="00D531F0" w:rsidRPr="00DF5C23">
        <w:rPr>
          <w:noProof/>
          <w:lang w:val="en-IE" w:eastAsia="fr-BE"/>
        </w:rPr>
        <w:t>年間に</w:t>
      </w:r>
      <w:r w:rsidR="001E51A3" w:rsidRPr="00DF5C23">
        <w:rPr>
          <w:noProof/>
          <w:lang w:val="en-IE" w:eastAsia="fr-BE"/>
        </w:rPr>
        <w:t>廃棄</w:t>
      </w:r>
      <w:r w:rsidR="00AB244C" w:rsidRPr="00DF5C23">
        <w:rPr>
          <w:noProof/>
          <w:lang w:val="en-IE" w:eastAsia="fr-BE"/>
        </w:rPr>
        <w:t>される</w:t>
      </w:r>
      <w:r w:rsidR="00D531F0" w:rsidRPr="00DF5C23">
        <w:rPr>
          <w:noProof/>
          <w:lang w:val="en-IE" w:eastAsia="fr-BE"/>
        </w:rPr>
        <w:t>売れ残り消費財の数；</w:t>
      </w:r>
    </w:p>
    <w:p w14:paraId="200D83F5" w14:textId="77777777" w:rsidR="0038775E" w:rsidRDefault="00877B9C" w:rsidP="002041D4">
      <w:pPr>
        <w:pStyle w:val="Point1"/>
        <w:wordWrap w:val="0"/>
        <w:rPr>
          <w:noProof/>
          <w:lang w:val="en-IE" w:eastAsia="fr-BE"/>
        </w:rPr>
      </w:pPr>
      <w:r w:rsidRPr="004F5E59">
        <w:rPr>
          <w:lang w:eastAsia="ja-JP"/>
        </w:rPr>
        <w:t>(b)</w:t>
      </w:r>
      <w:r w:rsidRPr="004F5E59">
        <w:rPr>
          <w:lang w:eastAsia="ja-JP"/>
        </w:rPr>
        <w:tab/>
      </w:r>
      <w:r w:rsidR="00D531F0" w:rsidRPr="00DF5C23">
        <w:rPr>
          <w:noProof/>
          <w:lang w:val="en-IE" w:eastAsia="fr-BE"/>
        </w:rPr>
        <w:t>製品を</w:t>
      </w:r>
      <w:r w:rsidR="00AB244C" w:rsidRPr="00DF5C23">
        <w:rPr>
          <w:noProof/>
          <w:lang w:val="en-IE" w:eastAsia="fr-BE"/>
        </w:rPr>
        <w:t>廃棄する</w:t>
      </w:r>
      <w:r w:rsidR="00D531F0" w:rsidRPr="00DF5C23">
        <w:rPr>
          <w:noProof/>
          <w:lang w:val="en-IE" w:eastAsia="fr-BE"/>
        </w:rPr>
        <w:t>理由；</w:t>
      </w:r>
      <w:r w:rsidR="00D531F0" w:rsidRPr="00DF5C23">
        <w:rPr>
          <w:noProof/>
          <w:lang w:val="en-IE" w:eastAsia="fr-BE"/>
        </w:rPr>
        <w:t xml:space="preserve"> </w:t>
      </w:r>
    </w:p>
    <w:p w14:paraId="418C23DF" w14:textId="77777777" w:rsidR="0038775E" w:rsidRDefault="00877B9C" w:rsidP="002041D4">
      <w:pPr>
        <w:pStyle w:val="Point1"/>
        <w:wordWrap w:val="0"/>
        <w:rPr>
          <w:noProof/>
          <w:lang w:val="en-IE" w:eastAsia="fr-BE"/>
        </w:rPr>
      </w:pPr>
      <w:r w:rsidRPr="004F5E59">
        <w:rPr>
          <w:lang w:eastAsia="ja-JP"/>
        </w:rPr>
        <w:t>(c)</w:t>
      </w:r>
      <w:r w:rsidRPr="004F5E59">
        <w:rPr>
          <w:lang w:eastAsia="ja-JP"/>
        </w:rPr>
        <w:tab/>
      </w:r>
      <w:r w:rsidR="00D531F0" w:rsidRPr="00DF5C23">
        <w:rPr>
          <w:noProof/>
          <w:shd w:val="clear" w:color="auto" w:fill="FFFFFF"/>
          <w:lang w:val="en-US" w:eastAsia="ja-JP"/>
        </w:rPr>
        <w:t>指令</w:t>
      </w:r>
      <w:r w:rsidR="00D531F0" w:rsidRPr="00DF5C23">
        <w:rPr>
          <w:noProof/>
          <w:shd w:val="clear" w:color="auto" w:fill="FFFFFF"/>
          <w:lang w:val="en-US" w:eastAsia="ja-JP"/>
        </w:rPr>
        <w:t>2008/98/EC</w:t>
      </w:r>
      <w:r w:rsidR="00D531F0" w:rsidRPr="00DF5C23">
        <w:rPr>
          <w:noProof/>
          <w:shd w:val="clear" w:color="auto" w:fill="FFFFFF"/>
          <w:lang w:val="en-US" w:eastAsia="ja-JP"/>
        </w:rPr>
        <w:t>の</w:t>
      </w:r>
      <w:r w:rsidR="00D531F0" w:rsidRPr="00DF5C23">
        <w:rPr>
          <w:noProof/>
          <w:lang w:val="en-IE" w:eastAsia="fr-BE"/>
        </w:rPr>
        <w:t>第</w:t>
      </w:r>
      <w:r w:rsidR="00D531F0" w:rsidRPr="00DF5C23">
        <w:rPr>
          <w:noProof/>
          <w:lang w:val="en-IE" w:eastAsia="fr-BE"/>
        </w:rPr>
        <w:t>4</w:t>
      </w:r>
      <w:r w:rsidR="00D531F0" w:rsidRPr="00DF5C23">
        <w:rPr>
          <w:noProof/>
          <w:lang w:val="en-IE" w:eastAsia="fr-BE"/>
        </w:rPr>
        <w:t>条で定義された廃棄物階層に従って、</w:t>
      </w:r>
      <w:r w:rsidR="00AB244C" w:rsidRPr="00DF5C23">
        <w:rPr>
          <w:noProof/>
          <w:lang w:val="en-IE" w:eastAsia="fr-BE"/>
        </w:rPr>
        <w:t>再使用、再製造、</w:t>
      </w:r>
      <w:r w:rsidR="00D531F0" w:rsidRPr="00DF5C23">
        <w:rPr>
          <w:noProof/>
          <w:shd w:val="clear" w:color="auto" w:fill="FFFFFF"/>
          <w:lang w:val="en-US" w:eastAsia="ja-JP"/>
        </w:rPr>
        <w:t>リサイクル、エネルギー回収および廃棄作業の</w:t>
      </w:r>
      <w:r w:rsidR="00AB244C" w:rsidRPr="00DF5C23">
        <w:rPr>
          <w:noProof/>
          <w:lang w:val="en-IE" w:eastAsia="fr-BE"/>
        </w:rPr>
        <w:t>準備のために廃棄された</w:t>
      </w:r>
      <w:r w:rsidR="00952123" w:rsidRPr="00DF5C23">
        <w:rPr>
          <w:noProof/>
          <w:lang w:val="en-IE" w:eastAsia="fr-BE"/>
        </w:rPr>
        <w:t>製品を</w:t>
      </w:r>
      <w:r w:rsidR="00D531F0" w:rsidRPr="00DF5C23">
        <w:rPr>
          <w:noProof/>
          <w:lang w:val="en-IE" w:eastAsia="fr-BE"/>
        </w:rPr>
        <w:t>提供すること。</w:t>
      </w:r>
      <w:r w:rsidR="00D531F0" w:rsidRPr="00DF5C23">
        <w:rPr>
          <w:noProof/>
          <w:lang w:val="en-IE" w:eastAsia="fr-BE"/>
        </w:rPr>
        <w:t xml:space="preserve"> </w:t>
      </w:r>
    </w:p>
    <w:p w14:paraId="384901FF" w14:textId="77777777" w:rsidR="0038775E" w:rsidRDefault="00877B9C" w:rsidP="002041D4">
      <w:pPr>
        <w:pStyle w:val="Text1"/>
        <w:wordWrap w:val="0"/>
        <w:rPr>
          <w:noProof/>
          <w:lang w:eastAsia="ja-JP"/>
        </w:rPr>
      </w:pPr>
      <w:r w:rsidRPr="00DF5C23">
        <w:rPr>
          <w:noProof/>
          <w:lang w:eastAsia="ja-JP"/>
        </w:rPr>
        <w:t>経済事業者は、</w:t>
      </w:r>
      <w:r w:rsidR="002D6AA1" w:rsidRPr="00DF5C23">
        <w:rPr>
          <w:noProof/>
          <w:lang w:eastAsia="ja-JP"/>
        </w:rPr>
        <w:t>第</w:t>
      </w:r>
      <w:r w:rsidR="002D6AA1" w:rsidRPr="00DF5C23">
        <w:rPr>
          <w:noProof/>
          <w:lang w:eastAsia="ja-JP"/>
        </w:rPr>
        <w:t>3</w:t>
      </w:r>
      <w:r w:rsidR="002D6AA1" w:rsidRPr="00DF5C23">
        <w:rPr>
          <w:noProof/>
          <w:lang w:eastAsia="ja-JP"/>
        </w:rPr>
        <w:t>項に従って採択された</w:t>
      </w:r>
      <w:r w:rsidRPr="00DF5C23">
        <w:rPr>
          <w:noProof/>
          <w:lang w:eastAsia="ja-JP"/>
        </w:rPr>
        <w:t>委任法が当該事業者が</w:t>
      </w:r>
      <w:r w:rsidR="00C728A2" w:rsidRPr="00DF5C23">
        <w:rPr>
          <w:noProof/>
          <w:lang w:eastAsia="ja-JP"/>
        </w:rPr>
        <w:t>廃棄する</w:t>
      </w:r>
      <w:r w:rsidRPr="00DF5C23">
        <w:rPr>
          <w:noProof/>
          <w:lang w:eastAsia="ja-JP"/>
        </w:rPr>
        <w:t>売れ残り消費財のカテゴリーに適用を開始するまで</w:t>
      </w:r>
      <w:r w:rsidR="002D6AA1" w:rsidRPr="00DF5C23">
        <w:rPr>
          <w:noProof/>
          <w:lang w:eastAsia="ja-JP"/>
        </w:rPr>
        <w:t>、</w:t>
      </w:r>
      <w:r w:rsidR="00040FE1" w:rsidRPr="00DF5C23">
        <w:rPr>
          <w:noProof/>
          <w:lang w:eastAsia="ja-JP"/>
        </w:rPr>
        <w:t>その</w:t>
      </w:r>
      <w:r w:rsidRPr="00DF5C23">
        <w:rPr>
          <w:noProof/>
          <w:lang w:eastAsia="ja-JP"/>
        </w:rPr>
        <w:t>情報を自由にアクセスできるウェブサイト上で開示し</w:t>
      </w:r>
      <w:r w:rsidRPr="00DF5C23">
        <w:rPr>
          <w:noProof/>
          <w:lang w:eastAsia="ja-JP"/>
        </w:rPr>
        <w:t>、またはその他の方法で一般に利用可能にするものとする。</w:t>
      </w:r>
      <w:r w:rsidRPr="00DF5C23">
        <w:rPr>
          <w:noProof/>
          <w:lang w:eastAsia="ja-JP"/>
        </w:rPr>
        <w:t xml:space="preserve"> </w:t>
      </w:r>
    </w:p>
    <w:p w14:paraId="63DE6143" w14:textId="77777777" w:rsidR="0038775E" w:rsidRDefault="00877B9C" w:rsidP="002041D4">
      <w:pPr>
        <w:pStyle w:val="ManualNumPar1"/>
        <w:wordWrap w:val="0"/>
        <w:rPr>
          <w:noProof/>
          <w:lang w:eastAsia="ja-JP"/>
        </w:rPr>
      </w:pPr>
      <w:r w:rsidRPr="004F5E59">
        <w:rPr>
          <w:lang w:eastAsia="ja-JP"/>
        </w:rPr>
        <w:t>2.</w:t>
      </w:r>
      <w:r w:rsidRPr="004F5E59">
        <w:rPr>
          <w:lang w:eastAsia="ja-JP"/>
        </w:rPr>
        <w:tab/>
      </w:r>
      <w:r w:rsidR="00D531F0" w:rsidRPr="00DF5C23">
        <w:rPr>
          <w:noProof/>
          <w:lang w:eastAsia="ja-JP"/>
        </w:rPr>
        <w:t>欧州委員会は、種類又はカテゴリー及び情報の検証方法を含む、</w:t>
      </w:r>
      <w:r w:rsidR="00AE0112" w:rsidRPr="00DF5C23">
        <w:rPr>
          <w:noProof/>
          <w:lang w:eastAsia="ja-JP"/>
        </w:rPr>
        <w:t>第</w:t>
      </w:r>
      <w:r w:rsidR="00AE0112" w:rsidRPr="00DF5C23">
        <w:rPr>
          <w:noProof/>
          <w:lang w:eastAsia="ja-JP"/>
        </w:rPr>
        <w:t>1</w:t>
      </w:r>
      <w:r w:rsidR="00AE0112" w:rsidRPr="00DF5C23">
        <w:rPr>
          <w:noProof/>
          <w:lang w:eastAsia="ja-JP"/>
        </w:rPr>
        <w:t>項に</w:t>
      </w:r>
      <w:r w:rsidR="00D531F0" w:rsidRPr="00DF5C23">
        <w:rPr>
          <w:noProof/>
          <w:lang w:eastAsia="ja-JP"/>
        </w:rPr>
        <w:t>いう情報の開示のための形式を</w:t>
      </w:r>
      <w:r w:rsidR="00AE0112" w:rsidRPr="00DF5C23">
        <w:rPr>
          <w:noProof/>
          <w:lang w:eastAsia="ja-JP"/>
        </w:rPr>
        <w:t>定める</w:t>
      </w:r>
      <w:r w:rsidR="00D531F0" w:rsidRPr="00DF5C23">
        <w:rPr>
          <w:noProof/>
          <w:lang w:eastAsia="ja-JP"/>
        </w:rPr>
        <w:t>実施法を採択することができる。</w:t>
      </w:r>
    </w:p>
    <w:p w14:paraId="65462812" w14:textId="77777777" w:rsidR="0038775E" w:rsidRDefault="00877B9C" w:rsidP="002041D4">
      <w:pPr>
        <w:pStyle w:val="Text1"/>
        <w:wordWrap w:val="0"/>
        <w:rPr>
          <w:noProof/>
          <w:lang w:eastAsia="ja-JP"/>
        </w:rPr>
      </w:pPr>
      <w:r w:rsidRPr="00DF5C23">
        <w:rPr>
          <w:noProof/>
          <w:lang w:eastAsia="ja-JP"/>
        </w:rPr>
        <w:t>これらの実施法は、</w:t>
      </w:r>
      <w:r w:rsidR="00ED2665" w:rsidRPr="00DF5C23">
        <w:rPr>
          <w:noProof/>
          <w:lang w:eastAsia="ja-JP"/>
        </w:rPr>
        <w:t>第</w:t>
      </w:r>
      <w:r w:rsidR="00ED2665" w:rsidRPr="00DF5C23">
        <w:rPr>
          <w:noProof/>
          <w:lang w:eastAsia="ja-JP"/>
        </w:rPr>
        <w:t>67</w:t>
      </w:r>
      <w:r w:rsidR="00ED2665" w:rsidRPr="00DF5C23">
        <w:rPr>
          <w:noProof/>
          <w:lang w:eastAsia="ja-JP"/>
        </w:rPr>
        <w:t>条</w:t>
      </w:r>
      <w:r w:rsidRPr="00DF5C23">
        <w:rPr>
          <w:noProof/>
          <w:lang w:eastAsia="ja-JP"/>
        </w:rPr>
        <w:t>(3)</w:t>
      </w:r>
      <w:r w:rsidRPr="00DF5C23">
        <w:rPr>
          <w:noProof/>
          <w:lang w:eastAsia="ja-JP"/>
        </w:rPr>
        <w:t>にいう審査手続きに基づいて採択されるものとする。</w:t>
      </w:r>
    </w:p>
    <w:p w14:paraId="4F7C277C" w14:textId="2D1732C9" w:rsidR="0038775E" w:rsidRDefault="00877B9C" w:rsidP="002041D4">
      <w:pPr>
        <w:pStyle w:val="ManualNumPar1"/>
        <w:wordWrap w:val="0"/>
        <w:rPr>
          <w:rFonts w:eastAsia="Times New Roman"/>
          <w:noProof/>
          <w:lang w:val="en-IE" w:eastAsia="fr-BE"/>
        </w:rPr>
      </w:pPr>
      <w:r w:rsidRPr="004F5E59">
        <w:rPr>
          <w:lang w:eastAsia="ja-JP"/>
        </w:rPr>
        <w:t>3.</w:t>
      </w:r>
      <w:r w:rsidRPr="004F5E59">
        <w:rPr>
          <w:lang w:eastAsia="ja-JP"/>
        </w:rPr>
        <w:tab/>
      </w:r>
      <w:r w:rsidR="00AE0112" w:rsidRPr="00DF5C23">
        <w:rPr>
          <w:noProof/>
          <w:lang w:eastAsia="ja-JP"/>
        </w:rPr>
        <w:t>欧州委員会は、</w:t>
      </w:r>
      <w:r w:rsidR="004A0177" w:rsidRPr="00DF5C23">
        <w:rPr>
          <w:noProof/>
          <w:lang w:eastAsia="ja-JP"/>
        </w:rPr>
        <w:t>特定の</w:t>
      </w:r>
      <w:r w:rsidR="00871E48" w:rsidRPr="00DF5C23">
        <w:rPr>
          <w:noProof/>
          <w:lang w:eastAsia="ja-JP"/>
        </w:rPr>
        <w:t>製品群に</w:t>
      </w:r>
      <w:r w:rsidR="004A0177" w:rsidRPr="00DF5C23">
        <w:rPr>
          <w:noProof/>
          <w:lang w:eastAsia="ja-JP"/>
        </w:rPr>
        <w:t>属する</w:t>
      </w:r>
      <w:r w:rsidR="00871E48" w:rsidRPr="00DF5C23">
        <w:rPr>
          <w:noProof/>
          <w:lang w:eastAsia="ja-JP"/>
        </w:rPr>
        <w:t>売れ残り消費財の破棄が</w:t>
      </w:r>
      <w:r w:rsidR="004A0177" w:rsidRPr="00DF5C23">
        <w:rPr>
          <w:noProof/>
          <w:lang w:eastAsia="ja-JP"/>
        </w:rPr>
        <w:t>環境に</w:t>
      </w:r>
      <w:r w:rsidR="00C728A2" w:rsidRPr="00DF5C23">
        <w:rPr>
          <w:noProof/>
          <w:lang w:eastAsia="ja-JP"/>
        </w:rPr>
        <w:t>重大な影響を与える</w:t>
      </w:r>
      <w:r w:rsidR="00871E48" w:rsidRPr="00DF5C23">
        <w:rPr>
          <w:noProof/>
          <w:lang w:eastAsia="ja-JP"/>
        </w:rPr>
        <w:t>場合、</w:t>
      </w:r>
      <w:r w:rsidR="00AE0112" w:rsidRPr="00DF5C23">
        <w:rPr>
          <w:noProof/>
          <w:lang w:eastAsia="ja-JP"/>
        </w:rPr>
        <w:t>経済事業者が連合内で売れ残り消費財を破棄することを禁止することにより本規則を補足するため、</w:t>
      </w:r>
      <w:r w:rsidR="00ED2665" w:rsidRPr="00DF5C23">
        <w:rPr>
          <w:noProof/>
          <w:lang w:eastAsia="ja-JP"/>
        </w:rPr>
        <w:t>第</w:t>
      </w:r>
      <w:r w:rsidR="00ED2665" w:rsidRPr="00DF5C23">
        <w:rPr>
          <w:noProof/>
          <w:lang w:eastAsia="ja-JP"/>
        </w:rPr>
        <w:t>66</w:t>
      </w:r>
      <w:r w:rsidR="00ED2665" w:rsidRPr="00DF5C23">
        <w:rPr>
          <w:noProof/>
          <w:lang w:eastAsia="ja-JP"/>
        </w:rPr>
        <w:t>条に基づき</w:t>
      </w:r>
      <w:r w:rsidR="00AE0112" w:rsidRPr="00DF5C23">
        <w:rPr>
          <w:noProof/>
          <w:lang w:eastAsia="ja-JP"/>
        </w:rPr>
        <w:t>委任法を採択する権限を有するものと</w:t>
      </w:r>
      <w:r w:rsidR="002041D4">
        <w:rPr>
          <w:noProof/>
          <w:lang w:eastAsia="ja-JP"/>
        </w:rPr>
        <w:t>する</w:t>
      </w:r>
      <w:r w:rsidR="00AE0112" w:rsidRPr="00DF5C23">
        <w:rPr>
          <w:noProof/>
          <w:lang w:eastAsia="ja-JP"/>
        </w:rPr>
        <w:t>。</w:t>
      </w:r>
      <w:r w:rsidR="00AE0112" w:rsidRPr="00DF5C23">
        <w:rPr>
          <w:noProof/>
          <w:lang w:eastAsia="ja-JP"/>
        </w:rPr>
        <w:t xml:space="preserve"> </w:t>
      </w:r>
    </w:p>
    <w:p w14:paraId="69039DEE" w14:textId="77777777" w:rsidR="0038775E" w:rsidRDefault="00877B9C" w:rsidP="002041D4">
      <w:pPr>
        <w:pStyle w:val="Text1"/>
        <w:wordWrap w:val="0"/>
        <w:rPr>
          <w:noProof/>
          <w:lang w:val="en-IE" w:eastAsia="ja-JP"/>
        </w:rPr>
      </w:pPr>
      <w:r w:rsidRPr="00DF5C23">
        <w:rPr>
          <w:noProof/>
          <w:lang w:val="en-IE" w:eastAsia="ja-JP"/>
        </w:rPr>
        <w:t>第</w:t>
      </w:r>
      <w:r w:rsidRPr="00DF5C23">
        <w:rPr>
          <w:noProof/>
          <w:lang w:val="en-IE" w:eastAsia="ja-JP"/>
        </w:rPr>
        <w:t>1</w:t>
      </w:r>
      <w:r w:rsidRPr="00DF5C23">
        <w:rPr>
          <w:noProof/>
          <w:lang w:val="en-IE" w:eastAsia="ja-JP"/>
        </w:rPr>
        <w:t>号に従って採択された委任行為において、</w:t>
      </w:r>
      <w:r w:rsidR="00243E33" w:rsidRPr="00DF5C23">
        <w:rPr>
          <w:noProof/>
          <w:lang w:val="en-IE" w:eastAsia="ja-JP"/>
        </w:rPr>
        <w:t>委員会は、以下の観点から適切な場合には、これらの禁止事項に対する一定の適用除外を定めるものとする：</w:t>
      </w:r>
    </w:p>
    <w:p w14:paraId="4ACEA427" w14:textId="77777777" w:rsidR="0038775E" w:rsidRDefault="00877B9C" w:rsidP="002041D4">
      <w:pPr>
        <w:pStyle w:val="Point1"/>
        <w:wordWrap w:val="0"/>
        <w:rPr>
          <w:noProof/>
          <w:lang w:eastAsia="fr-BE"/>
        </w:rPr>
      </w:pPr>
      <w:r w:rsidRPr="004F5E59">
        <w:rPr>
          <w:lang w:eastAsia="ja-JP"/>
        </w:rPr>
        <w:t>(a)</w:t>
      </w:r>
      <w:r w:rsidRPr="004F5E59">
        <w:rPr>
          <w:lang w:eastAsia="ja-JP"/>
        </w:rPr>
        <w:tab/>
      </w:r>
      <w:r w:rsidR="00E529C9" w:rsidRPr="00DF5C23">
        <w:rPr>
          <w:noProof/>
          <w:lang w:val="en-IE" w:eastAsia="fr-BE"/>
        </w:rPr>
        <w:t>健康や安全への配慮</w:t>
      </w:r>
    </w:p>
    <w:p w14:paraId="747C4D32" w14:textId="77777777" w:rsidR="0038775E" w:rsidRDefault="00877B9C" w:rsidP="002041D4">
      <w:pPr>
        <w:pStyle w:val="Point1"/>
        <w:wordWrap w:val="0"/>
        <w:rPr>
          <w:noProof/>
          <w:lang w:eastAsia="fr-BE"/>
        </w:rPr>
      </w:pPr>
      <w:r w:rsidRPr="004F5E59">
        <w:rPr>
          <w:lang w:eastAsia="ja-JP"/>
        </w:rPr>
        <w:t>(b)</w:t>
      </w:r>
      <w:r w:rsidRPr="004F5E59">
        <w:rPr>
          <w:lang w:eastAsia="ja-JP"/>
        </w:rPr>
        <w:tab/>
      </w:r>
      <w:r w:rsidR="00A83FC4" w:rsidRPr="00DF5C23">
        <w:rPr>
          <w:noProof/>
          <w:lang w:eastAsia="ja-JP"/>
        </w:rPr>
        <w:t>製品の</w:t>
      </w:r>
      <w:r w:rsidR="00AA433D" w:rsidRPr="00DF5C23">
        <w:rPr>
          <w:noProof/>
          <w:lang w:eastAsia="ja-JP"/>
        </w:rPr>
        <w:t>取り扱いに起因する損害、または消費者による製品の返品後に発見された損害；</w:t>
      </w:r>
    </w:p>
    <w:p w14:paraId="5FAA7FFB" w14:textId="77777777" w:rsidR="0038775E" w:rsidRDefault="00877B9C" w:rsidP="002041D4">
      <w:pPr>
        <w:pStyle w:val="Point1"/>
        <w:wordWrap w:val="0"/>
        <w:rPr>
          <w:rFonts w:eastAsia="Times New Roman"/>
          <w:noProof/>
          <w:lang w:val="en-IE" w:eastAsia="fr-BE"/>
        </w:rPr>
      </w:pPr>
      <w:r w:rsidRPr="004F5E59">
        <w:rPr>
          <w:lang w:eastAsia="ja-JP"/>
        </w:rPr>
        <w:t>(c)</w:t>
      </w:r>
      <w:r w:rsidRPr="004F5E59">
        <w:rPr>
          <w:lang w:eastAsia="ja-JP"/>
        </w:rPr>
        <w:tab/>
      </w:r>
      <w:r w:rsidR="00AA433D" w:rsidRPr="00DF5C23">
        <w:rPr>
          <w:noProof/>
          <w:lang w:eastAsia="ja-JP"/>
        </w:rPr>
        <w:t>該当する場合、欧州連合および国内の法律および技術基準を考慮し、製品が意図された目的に対する</w:t>
      </w:r>
      <w:r w:rsidR="00AA433D" w:rsidRPr="00DF5C23">
        <w:rPr>
          <w:noProof/>
          <w:lang w:val="en-IE" w:eastAsia="ja-JP"/>
        </w:rPr>
        <w:t>適合性；</w:t>
      </w:r>
    </w:p>
    <w:p w14:paraId="2AFCB419" w14:textId="77777777" w:rsidR="0038775E" w:rsidRDefault="00877B9C" w:rsidP="002041D4">
      <w:pPr>
        <w:pStyle w:val="Point1"/>
        <w:wordWrap w:val="0"/>
        <w:rPr>
          <w:noProof/>
          <w:lang w:val="en-IE" w:eastAsia="fr-BE"/>
        </w:rPr>
      </w:pPr>
      <w:r w:rsidRPr="004F5E59">
        <w:rPr>
          <w:lang w:eastAsia="ja-JP"/>
        </w:rPr>
        <w:t>(d)</w:t>
      </w:r>
      <w:r w:rsidRPr="004F5E59">
        <w:rPr>
          <w:lang w:eastAsia="ja-JP"/>
        </w:rPr>
        <w:tab/>
      </w:r>
      <w:r w:rsidR="00E529C9" w:rsidRPr="00DF5C23">
        <w:rPr>
          <w:noProof/>
          <w:lang w:val="en-IE" w:eastAsia="fr-BE"/>
        </w:rPr>
        <w:t>製品の寄贈を拒否</w:t>
      </w:r>
      <w:r w:rsidR="00E529C9" w:rsidRPr="00DF5C23" w:rsidDel="00ED4D67">
        <w:rPr>
          <w:noProof/>
          <w:lang w:val="en-IE" w:eastAsia="fr-BE"/>
        </w:rPr>
        <w:t>し、再利用や再製造を準備すること</w:t>
      </w:r>
      <w:r w:rsidR="00E529C9" w:rsidRPr="00DF5C23">
        <w:rPr>
          <w:noProof/>
          <w:lang w:val="en-IE" w:eastAsia="fr-BE"/>
        </w:rPr>
        <w:t>。</w:t>
      </w:r>
    </w:p>
    <w:p w14:paraId="3B95FCD9" w14:textId="77777777" w:rsidR="0038775E" w:rsidRDefault="00877B9C" w:rsidP="002041D4">
      <w:pPr>
        <w:pStyle w:val="ManualNumPar1"/>
        <w:wordWrap w:val="0"/>
        <w:rPr>
          <w:noProof/>
          <w:lang w:val="en-US" w:eastAsia="ja-JP"/>
        </w:rPr>
      </w:pPr>
      <w:r w:rsidRPr="004F5E59">
        <w:rPr>
          <w:lang w:eastAsia="ja-JP"/>
        </w:rPr>
        <w:t>4.</w:t>
      </w:r>
      <w:r w:rsidRPr="004F5E59">
        <w:rPr>
          <w:lang w:eastAsia="ja-JP"/>
        </w:rPr>
        <w:tab/>
      </w:r>
      <w:r w:rsidR="00F82C45" w:rsidRPr="00DF5C23">
        <w:rPr>
          <w:noProof/>
          <w:lang w:val="en-IE" w:eastAsia="ja-JP"/>
        </w:rPr>
        <w:t>第</w:t>
      </w:r>
      <w:r w:rsidR="00F82C45" w:rsidRPr="00DF5C23">
        <w:rPr>
          <w:noProof/>
          <w:lang w:val="en-IE" w:eastAsia="ja-JP"/>
        </w:rPr>
        <w:t>3</w:t>
      </w:r>
      <w:r w:rsidR="00F82C45" w:rsidRPr="00DF5C23">
        <w:rPr>
          <w:noProof/>
          <w:lang w:val="en-IE" w:eastAsia="ja-JP"/>
        </w:rPr>
        <w:t>項の</w:t>
      </w:r>
      <w:r w:rsidR="001A5637" w:rsidRPr="00DF5C23">
        <w:rPr>
          <w:noProof/>
          <w:lang w:val="en-IE" w:eastAsia="ja-JP"/>
        </w:rPr>
        <w:t>規定により採択された</w:t>
      </w:r>
      <w:r w:rsidR="00F82C45" w:rsidRPr="00DF5C23">
        <w:rPr>
          <w:noProof/>
          <w:lang w:val="en-IE" w:eastAsia="ja-JP"/>
        </w:rPr>
        <w:t>委任行為を作成する</w:t>
      </w:r>
      <w:r w:rsidR="001A5637" w:rsidRPr="00DF5C23">
        <w:rPr>
          <w:noProof/>
          <w:lang w:val="en-IE" w:eastAsia="ja-JP"/>
        </w:rPr>
        <w:t>ときは、</w:t>
      </w:r>
      <w:r w:rsidR="00F82C45" w:rsidRPr="00DF5C23">
        <w:rPr>
          <w:noProof/>
          <w:lang w:val="en-IE" w:eastAsia="ja-JP"/>
        </w:rPr>
        <w:t>委員会は、次のとおりとする：</w:t>
      </w:r>
    </w:p>
    <w:p w14:paraId="0411DB8A" w14:textId="77777777" w:rsidR="0038775E" w:rsidRDefault="00877B9C" w:rsidP="002041D4">
      <w:pPr>
        <w:pStyle w:val="Point1"/>
        <w:wordWrap w:val="0"/>
        <w:rPr>
          <w:noProof/>
          <w:lang w:val="en-IE" w:eastAsia="fr-BE"/>
        </w:rPr>
      </w:pPr>
      <w:r w:rsidRPr="004F5E59">
        <w:rPr>
          <w:lang w:eastAsia="ja-JP"/>
        </w:rPr>
        <w:t>(a)</w:t>
      </w:r>
      <w:r w:rsidRPr="004F5E59">
        <w:rPr>
          <w:lang w:eastAsia="ja-JP"/>
        </w:rPr>
        <w:tab/>
      </w:r>
      <w:r w:rsidR="004A0177" w:rsidRPr="00DF5C23">
        <w:rPr>
          <w:noProof/>
          <w:lang w:val="en-IE" w:eastAsia="fr-BE"/>
        </w:rPr>
        <w:t>特定の消費財の破壊の普及率と環境への影響を評価する；</w:t>
      </w:r>
      <w:r w:rsidR="004A0177" w:rsidRPr="00DF5C23">
        <w:rPr>
          <w:noProof/>
          <w:lang w:val="en-IE" w:eastAsia="fr-BE"/>
        </w:rPr>
        <w:t xml:space="preserve"> </w:t>
      </w:r>
    </w:p>
    <w:p w14:paraId="3C1FF448" w14:textId="77777777" w:rsidR="0038775E" w:rsidRDefault="00877B9C" w:rsidP="002041D4">
      <w:pPr>
        <w:pStyle w:val="Point1"/>
        <w:wordWrap w:val="0"/>
        <w:rPr>
          <w:noProof/>
          <w:lang w:val="en-IE" w:eastAsia="fr-BE"/>
        </w:rPr>
      </w:pPr>
      <w:r w:rsidRPr="004F5E59">
        <w:rPr>
          <w:lang w:eastAsia="ja-JP"/>
        </w:rPr>
        <w:t>(b)</w:t>
      </w:r>
      <w:r w:rsidRPr="004F5E59">
        <w:rPr>
          <w:lang w:eastAsia="ja-JP"/>
        </w:rPr>
        <w:tab/>
      </w:r>
      <w:r w:rsidR="00F82C45" w:rsidRPr="00DF5C23">
        <w:rPr>
          <w:noProof/>
          <w:lang w:val="en-IE" w:eastAsia="fr-BE"/>
        </w:rPr>
        <w:t>第</w:t>
      </w:r>
      <w:r w:rsidR="00F82C45" w:rsidRPr="00DF5C23">
        <w:rPr>
          <w:noProof/>
          <w:lang w:val="en-IE" w:eastAsia="fr-BE"/>
        </w:rPr>
        <w:t>1</w:t>
      </w:r>
      <w:r w:rsidR="00F82C45" w:rsidRPr="00DF5C23">
        <w:rPr>
          <w:noProof/>
          <w:lang w:val="en-IE" w:eastAsia="fr-BE"/>
        </w:rPr>
        <w:t>項に基づき経済事業者が開示した情報を考慮する；</w:t>
      </w:r>
    </w:p>
    <w:p w14:paraId="30EB3C02" w14:textId="77777777" w:rsidR="0038775E" w:rsidRDefault="00877B9C" w:rsidP="002041D4">
      <w:pPr>
        <w:pStyle w:val="Point1"/>
        <w:wordWrap w:val="0"/>
        <w:rPr>
          <w:noProof/>
          <w:lang w:val="en-IE" w:eastAsia="fr-BE"/>
        </w:rPr>
      </w:pPr>
      <w:r w:rsidRPr="004F5E59">
        <w:rPr>
          <w:lang w:eastAsia="ja-JP"/>
        </w:rPr>
        <w:t>(c)</w:t>
      </w:r>
      <w:r w:rsidRPr="004F5E59">
        <w:rPr>
          <w:lang w:eastAsia="ja-JP"/>
        </w:rPr>
        <w:tab/>
      </w:r>
      <w:r w:rsidR="00F82C45" w:rsidRPr="00DF5C23">
        <w:rPr>
          <w:noProof/>
          <w:lang w:val="en-IE" w:eastAsia="fr-BE"/>
        </w:rPr>
        <w:t>入手可能な最善の証拠と分析、および必要に応じて追加調査に基づき、影響評価を実施すること</w:t>
      </w:r>
      <w:r w:rsidR="00F63C7E" w:rsidRPr="00DF5C23">
        <w:rPr>
          <w:noProof/>
          <w:lang w:val="en-IE" w:eastAsia="fr-BE"/>
        </w:rPr>
        <w:t>。</w:t>
      </w:r>
    </w:p>
    <w:p w14:paraId="4B69E800" w14:textId="77777777" w:rsidR="0038775E" w:rsidRDefault="00877B9C" w:rsidP="002041D4">
      <w:pPr>
        <w:pStyle w:val="Text1"/>
        <w:wordWrap w:val="0"/>
        <w:rPr>
          <w:noProof/>
          <w:lang w:val="en-IE" w:eastAsia="fr-BE"/>
        </w:rPr>
      </w:pPr>
      <w:r w:rsidRPr="00DF5C23">
        <w:rPr>
          <w:noProof/>
          <w:lang w:val="en-IE" w:eastAsia="ja-JP"/>
        </w:rPr>
        <w:lastRenderedPageBreak/>
        <w:t>欧州委員会は、</w:t>
      </w:r>
      <w:r w:rsidRPr="00DF5C23">
        <w:rPr>
          <w:bCs/>
          <w:noProof/>
          <w:lang w:val="en-IE" w:eastAsia="ja-JP"/>
        </w:rPr>
        <w:t>禁止事項を定めた委任法の作成に先立ち、</w:t>
      </w:r>
      <w:r w:rsidRPr="00DF5C23">
        <w:rPr>
          <w:noProof/>
          <w:lang w:val="en-IE" w:eastAsia="ja-JP"/>
        </w:rPr>
        <w:t>第</w:t>
      </w:r>
      <w:r w:rsidRPr="00DF5C23">
        <w:rPr>
          <w:noProof/>
          <w:lang w:val="en-IE" w:eastAsia="ja-JP"/>
        </w:rPr>
        <w:t>17</w:t>
      </w:r>
      <w:r w:rsidRPr="00DF5C23">
        <w:rPr>
          <w:noProof/>
          <w:lang w:val="en-IE" w:eastAsia="ja-JP"/>
        </w:rPr>
        <w:t>条のエコデザインフォーラムに相談し、</w:t>
      </w:r>
      <w:r w:rsidRPr="00DF5C23">
        <w:rPr>
          <w:bCs/>
          <w:noProof/>
          <w:lang w:val="en-IE" w:eastAsia="ja-JP"/>
        </w:rPr>
        <w:t>第</w:t>
      </w:r>
      <w:r w:rsidRPr="00DF5C23">
        <w:rPr>
          <w:bCs/>
          <w:noProof/>
          <w:lang w:val="en-IE" w:eastAsia="ja-JP"/>
        </w:rPr>
        <w:t>3</w:t>
      </w:r>
      <w:r w:rsidRPr="00DF5C23">
        <w:rPr>
          <w:bCs/>
          <w:noProof/>
          <w:lang w:val="en-IE" w:eastAsia="ja-JP"/>
        </w:rPr>
        <w:t>項の売れ残った消費財の廃棄を禁止する可能</w:t>
      </w:r>
      <w:r w:rsidRPr="00DF5C23">
        <w:rPr>
          <w:noProof/>
          <w:lang w:val="en-IE" w:eastAsia="ja-JP"/>
        </w:rPr>
        <w:t>性について、その意見を考慮するものとする</w:t>
      </w:r>
      <w:r w:rsidR="00F82C45" w:rsidRPr="00DF5C23">
        <w:rPr>
          <w:noProof/>
          <w:lang w:val="en-IE" w:eastAsia="fr-BE"/>
        </w:rPr>
        <w:t>。</w:t>
      </w:r>
    </w:p>
    <w:p w14:paraId="38F62895" w14:textId="77777777" w:rsidR="0038775E" w:rsidRDefault="00877B9C" w:rsidP="002041D4">
      <w:pPr>
        <w:pStyle w:val="ManualNumPar1"/>
        <w:wordWrap w:val="0"/>
        <w:rPr>
          <w:noProof/>
          <w:lang w:eastAsia="ja-JP"/>
        </w:rPr>
      </w:pPr>
      <w:r w:rsidRPr="004F5E59">
        <w:rPr>
          <w:lang w:eastAsia="ja-JP"/>
        </w:rPr>
        <w:t>5.</w:t>
      </w:r>
      <w:r w:rsidRPr="004F5E59">
        <w:rPr>
          <w:lang w:eastAsia="ja-JP"/>
        </w:rPr>
        <w:tab/>
      </w:r>
      <w:r w:rsidR="00595C9D" w:rsidRPr="00DF5C23">
        <w:rPr>
          <w:noProof/>
          <w:lang w:eastAsia="ja-JP"/>
        </w:rPr>
        <w:t>売れ残った消費者製品が</w:t>
      </w:r>
      <w:r w:rsidR="006859F8" w:rsidRPr="00DF5C23">
        <w:rPr>
          <w:noProof/>
          <w:lang w:eastAsia="ja-JP"/>
        </w:rPr>
        <w:t>第</w:t>
      </w:r>
      <w:r w:rsidR="006859F8" w:rsidRPr="00DF5C23">
        <w:rPr>
          <w:noProof/>
          <w:lang w:eastAsia="ja-JP"/>
        </w:rPr>
        <w:t>3</w:t>
      </w:r>
      <w:r w:rsidR="00595C9D" w:rsidRPr="00DF5C23">
        <w:rPr>
          <w:noProof/>
          <w:lang w:eastAsia="ja-JP"/>
        </w:rPr>
        <w:t>項</w:t>
      </w:r>
      <w:r w:rsidR="00C728A2" w:rsidRPr="00DF5C23">
        <w:rPr>
          <w:noProof/>
          <w:lang w:eastAsia="ja-JP"/>
        </w:rPr>
        <w:t>第</w:t>
      </w:r>
      <w:r w:rsidR="00C728A2" w:rsidRPr="00DF5C23">
        <w:rPr>
          <w:noProof/>
          <w:lang w:eastAsia="ja-JP"/>
        </w:rPr>
        <w:t>2</w:t>
      </w:r>
      <w:r w:rsidR="00C728A2" w:rsidRPr="00DF5C23">
        <w:rPr>
          <w:noProof/>
          <w:lang w:eastAsia="ja-JP"/>
        </w:rPr>
        <w:t>号に</w:t>
      </w:r>
      <w:r w:rsidR="00595C9D" w:rsidRPr="00DF5C23">
        <w:rPr>
          <w:noProof/>
          <w:lang w:eastAsia="ja-JP"/>
        </w:rPr>
        <w:t>掲げる免責事項に基づいて破棄される場合、責任ある経済事業者は、自由にアクセスできるウェブサイト上で、またはその他の方法で一般に公開するものとする：</w:t>
      </w:r>
    </w:p>
    <w:p w14:paraId="567FBB23" w14:textId="77777777" w:rsidR="0038775E" w:rsidRDefault="00877B9C" w:rsidP="002041D4">
      <w:pPr>
        <w:pStyle w:val="Point1"/>
        <w:wordWrap w:val="0"/>
        <w:rPr>
          <w:noProof/>
          <w:lang w:val="en-IE" w:eastAsia="fr-BE"/>
        </w:rPr>
      </w:pPr>
      <w:r w:rsidRPr="004F5E59">
        <w:rPr>
          <w:lang w:eastAsia="ja-JP"/>
        </w:rPr>
        <w:t>(a)</w:t>
      </w:r>
      <w:r w:rsidRPr="004F5E59">
        <w:rPr>
          <w:lang w:eastAsia="ja-JP"/>
        </w:rPr>
        <w:tab/>
      </w:r>
      <w:r w:rsidR="00D531F0" w:rsidRPr="00DF5C23">
        <w:rPr>
          <w:noProof/>
          <w:lang w:val="en-IE" w:eastAsia="fr-BE"/>
        </w:rPr>
        <w:t>売れ残った消費財の廃棄数</w:t>
      </w:r>
    </w:p>
    <w:p w14:paraId="7D3B13D7" w14:textId="77777777" w:rsidR="0038775E" w:rsidRDefault="00877B9C" w:rsidP="002041D4">
      <w:pPr>
        <w:pStyle w:val="Point1"/>
        <w:wordWrap w:val="0"/>
        <w:rPr>
          <w:noProof/>
          <w:lang w:val="en-IE" w:eastAsia="fr-BE"/>
        </w:rPr>
      </w:pPr>
      <w:r w:rsidRPr="004F5E59">
        <w:rPr>
          <w:lang w:eastAsia="ja-JP"/>
        </w:rPr>
        <w:t>(b)</w:t>
      </w:r>
      <w:r w:rsidRPr="004F5E59">
        <w:rPr>
          <w:lang w:eastAsia="ja-JP"/>
        </w:rPr>
        <w:tab/>
      </w:r>
      <w:r w:rsidR="00D531F0" w:rsidRPr="00DF5C23">
        <w:rPr>
          <w:noProof/>
          <w:lang w:val="en-IE" w:eastAsia="fr-BE"/>
        </w:rPr>
        <w:t>適用される免責事項を参照しながら、その破棄の理由を説明する</w:t>
      </w:r>
      <w:r w:rsidR="002D6AA1" w:rsidRPr="00DF5C23">
        <w:rPr>
          <w:noProof/>
          <w:lang w:val="en-IE" w:eastAsia="fr-BE"/>
        </w:rPr>
        <w:t>；</w:t>
      </w:r>
    </w:p>
    <w:p w14:paraId="5E750F0C" w14:textId="77777777" w:rsidR="0038775E" w:rsidRDefault="00877B9C" w:rsidP="002041D4">
      <w:pPr>
        <w:pStyle w:val="Point1"/>
        <w:wordWrap w:val="0"/>
        <w:rPr>
          <w:noProof/>
          <w:lang w:eastAsia="ja-JP"/>
        </w:rPr>
      </w:pPr>
      <w:r w:rsidRPr="004F5E59">
        <w:rPr>
          <w:lang w:eastAsia="ja-JP"/>
        </w:rPr>
        <w:t>(c)</w:t>
      </w:r>
      <w:r w:rsidRPr="004F5E59">
        <w:rPr>
          <w:lang w:eastAsia="ja-JP"/>
        </w:rPr>
        <w:tab/>
      </w:r>
      <w:r w:rsidR="00D531F0" w:rsidRPr="00DF5C23">
        <w:rPr>
          <w:noProof/>
          <w:shd w:val="clear" w:color="auto" w:fill="FFFFFF"/>
          <w:lang w:val="en-US" w:eastAsia="ja-JP"/>
        </w:rPr>
        <w:t>指令</w:t>
      </w:r>
      <w:r w:rsidR="00D531F0" w:rsidRPr="00DF5C23">
        <w:rPr>
          <w:noProof/>
          <w:shd w:val="clear" w:color="auto" w:fill="FFFFFF"/>
          <w:lang w:val="en-US" w:eastAsia="ja-JP"/>
        </w:rPr>
        <w:t>2008/98/EC</w:t>
      </w:r>
      <w:r w:rsidR="00D531F0" w:rsidRPr="00DF5C23">
        <w:rPr>
          <w:noProof/>
          <w:shd w:val="clear" w:color="auto" w:fill="FFFFFF"/>
          <w:lang w:val="en-US" w:eastAsia="ja-JP"/>
        </w:rPr>
        <w:t>の</w:t>
      </w:r>
      <w:r w:rsidR="00D531F0" w:rsidRPr="00DF5C23">
        <w:rPr>
          <w:noProof/>
          <w:lang w:val="en-IE" w:eastAsia="fr-BE"/>
        </w:rPr>
        <w:t>第</w:t>
      </w:r>
      <w:r w:rsidR="00D531F0" w:rsidRPr="00DF5C23">
        <w:rPr>
          <w:noProof/>
          <w:lang w:val="en-IE" w:eastAsia="fr-BE"/>
        </w:rPr>
        <w:t>4</w:t>
      </w:r>
      <w:r w:rsidR="00D531F0" w:rsidRPr="00DF5C23">
        <w:rPr>
          <w:noProof/>
          <w:lang w:val="en-IE" w:eastAsia="fr-BE"/>
        </w:rPr>
        <w:t>条で定義された廃棄物階層に従って、</w:t>
      </w:r>
      <w:r w:rsidR="00DB47ED" w:rsidRPr="00DF5C23">
        <w:rPr>
          <w:noProof/>
          <w:lang w:val="en-IE" w:eastAsia="fr-BE"/>
        </w:rPr>
        <w:t>破壊された</w:t>
      </w:r>
      <w:r w:rsidR="00D531F0" w:rsidRPr="00DF5C23">
        <w:rPr>
          <w:noProof/>
          <w:lang w:val="en-IE" w:eastAsia="fr-BE"/>
        </w:rPr>
        <w:t>製品を</w:t>
      </w:r>
      <w:r w:rsidR="00D531F0" w:rsidRPr="00DF5C23">
        <w:rPr>
          <w:noProof/>
          <w:shd w:val="clear" w:color="auto" w:fill="FFFFFF"/>
          <w:lang w:val="en-US" w:eastAsia="ja-JP"/>
        </w:rPr>
        <w:t>リサイクル、エネルギー回収、および廃棄業務に</w:t>
      </w:r>
      <w:r w:rsidR="00D531F0" w:rsidRPr="00DF5C23">
        <w:rPr>
          <w:noProof/>
          <w:lang w:val="en-IE" w:eastAsia="fr-BE"/>
        </w:rPr>
        <w:t>提供すること。</w:t>
      </w:r>
      <w:r w:rsidR="00D531F0" w:rsidRPr="00DF5C23">
        <w:rPr>
          <w:noProof/>
          <w:lang w:val="en-IE" w:eastAsia="fr-BE"/>
        </w:rPr>
        <w:t xml:space="preserve"> </w:t>
      </w:r>
    </w:p>
    <w:p w14:paraId="4BCF2796" w14:textId="77777777" w:rsidR="0038775E" w:rsidRDefault="002D6AA1" w:rsidP="002041D4">
      <w:pPr>
        <w:pStyle w:val="Text1"/>
        <w:wordWrap w:val="0"/>
        <w:rPr>
          <w:noProof/>
          <w:lang w:val="en-IE" w:eastAsia="ja-JP"/>
        </w:rPr>
      </w:pPr>
      <w:r w:rsidRPr="00DF5C23">
        <w:rPr>
          <w:noProof/>
          <w:lang w:val="en-IE" w:eastAsia="ja-JP"/>
        </w:rPr>
        <w:t>第</w:t>
      </w:r>
      <w:r w:rsidRPr="00DF5C23">
        <w:rPr>
          <w:noProof/>
          <w:lang w:val="en-IE" w:eastAsia="ja-JP"/>
        </w:rPr>
        <w:t>2</w:t>
      </w:r>
      <w:r w:rsidR="00877B9C" w:rsidRPr="00DF5C23">
        <w:rPr>
          <w:noProof/>
          <w:lang w:val="en-IE" w:eastAsia="ja-JP"/>
        </w:rPr>
        <w:t>項の</w:t>
      </w:r>
      <w:r w:rsidRPr="00DF5C23">
        <w:rPr>
          <w:noProof/>
          <w:lang w:val="en-IE" w:eastAsia="ja-JP"/>
        </w:rPr>
        <w:t>規定により採択された</w:t>
      </w:r>
      <w:r w:rsidR="00877B9C" w:rsidRPr="00DF5C23">
        <w:rPr>
          <w:noProof/>
          <w:lang w:val="en-IE" w:eastAsia="ja-JP"/>
        </w:rPr>
        <w:t>実施法に定める情報の</w:t>
      </w:r>
      <w:r w:rsidR="00877B9C" w:rsidRPr="00DF5C23">
        <w:rPr>
          <w:noProof/>
          <w:lang w:eastAsia="ja-JP"/>
        </w:rPr>
        <w:t>開示の内容及び様式は、</w:t>
      </w:r>
      <w:r w:rsidRPr="00DF5C23">
        <w:rPr>
          <w:noProof/>
          <w:lang w:val="en-IE" w:eastAsia="ja-JP"/>
        </w:rPr>
        <w:t>第</w:t>
      </w:r>
      <w:r w:rsidRPr="00DF5C23">
        <w:rPr>
          <w:noProof/>
          <w:lang w:val="en-IE" w:eastAsia="ja-JP"/>
        </w:rPr>
        <w:t>3</w:t>
      </w:r>
      <w:r w:rsidR="00877B9C" w:rsidRPr="00DF5C23">
        <w:rPr>
          <w:noProof/>
          <w:lang w:val="en-IE" w:eastAsia="ja-JP"/>
        </w:rPr>
        <w:t>項の</w:t>
      </w:r>
      <w:r w:rsidR="001A5637" w:rsidRPr="00DF5C23">
        <w:rPr>
          <w:noProof/>
          <w:lang w:val="en-IE" w:eastAsia="ja-JP"/>
        </w:rPr>
        <w:t>規定により採択された</w:t>
      </w:r>
      <w:r w:rsidR="00877B9C" w:rsidRPr="00DF5C23">
        <w:rPr>
          <w:noProof/>
          <w:lang w:val="en-IE" w:eastAsia="ja-JP"/>
        </w:rPr>
        <w:t>委任法に別段</w:t>
      </w:r>
      <w:r w:rsidR="00877B9C" w:rsidRPr="00DF5C23">
        <w:rPr>
          <w:noProof/>
          <w:lang w:val="en-IE" w:eastAsia="ja-JP"/>
        </w:rPr>
        <w:t>の定めがある場合を除き、この項の規定により開示すべき情報についても適用される。</w:t>
      </w:r>
    </w:p>
    <w:p w14:paraId="652E725E" w14:textId="77777777" w:rsidR="0038775E" w:rsidRDefault="00877B9C" w:rsidP="002041D4">
      <w:pPr>
        <w:pStyle w:val="ManualNumPar1"/>
        <w:wordWrap w:val="0"/>
        <w:rPr>
          <w:noProof/>
          <w:lang w:val="en-US" w:eastAsia="ja-JP"/>
        </w:rPr>
      </w:pPr>
      <w:r w:rsidRPr="004F5E59">
        <w:rPr>
          <w:lang w:eastAsia="ja-JP"/>
        </w:rPr>
        <w:t>6.</w:t>
      </w:r>
      <w:r w:rsidRPr="004F5E59">
        <w:rPr>
          <w:lang w:eastAsia="ja-JP"/>
        </w:rPr>
        <w:tab/>
      </w:r>
      <w:r w:rsidR="00F97FEE" w:rsidRPr="00DF5C23">
        <w:rPr>
          <w:noProof/>
          <w:lang w:val="en-IE" w:eastAsia="ja-JP"/>
        </w:rPr>
        <w:t>本条は、中小企業には適用されないものとする。</w:t>
      </w:r>
      <w:r w:rsidR="00F97FEE" w:rsidRPr="00DF5C23">
        <w:rPr>
          <w:noProof/>
          <w:lang w:val="en-IE" w:eastAsia="ja-JP"/>
        </w:rPr>
        <w:t xml:space="preserve"> </w:t>
      </w:r>
    </w:p>
    <w:p w14:paraId="41E667ED" w14:textId="77777777" w:rsidR="0038775E" w:rsidRDefault="00877B9C" w:rsidP="002041D4">
      <w:pPr>
        <w:pStyle w:val="Text1"/>
        <w:wordWrap w:val="0"/>
        <w:rPr>
          <w:noProof/>
          <w:lang w:val="en-IE" w:eastAsia="fr-BE"/>
        </w:rPr>
      </w:pPr>
      <w:r w:rsidRPr="00DF5C23">
        <w:rPr>
          <w:noProof/>
          <w:lang w:val="en-IE" w:eastAsia="ja-JP"/>
        </w:rPr>
        <w:t>ただし、</w:t>
      </w:r>
      <w:r w:rsidRPr="00DF5C23">
        <w:rPr>
          <w:noProof/>
          <w:lang w:val="en-IE" w:eastAsia="fr-BE"/>
        </w:rPr>
        <w:t>委員会は、第</w:t>
      </w:r>
      <w:r w:rsidRPr="00DF5C23">
        <w:rPr>
          <w:noProof/>
          <w:lang w:val="en-IE" w:eastAsia="fr-BE"/>
        </w:rPr>
        <w:t>3</w:t>
      </w:r>
      <w:r w:rsidRPr="00DF5C23">
        <w:rPr>
          <w:noProof/>
          <w:lang w:val="en-IE" w:eastAsia="fr-BE"/>
        </w:rPr>
        <w:t>項に従って採択された委任法において、</w:t>
      </w:r>
      <w:r w:rsidR="006A156D" w:rsidRPr="00DF5C23">
        <w:rPr>
          <w:noProof/>
          <w:lang w:val="en-IE" w:eastAsia="fr-BE"/>
        </w:rPr>
        <w:t>第</w:t>
      </w:r>
      <w:r w:rsidR="006A156D" w:rsidRPr="00DF5C23">
        <w:rPr>
          <w:noProof/>
          <w:lang w:val="en-IE" w:eastAsia="fr-BE"/>
        </w:rPr>
        <w:t>3</w:t>
      </w:r>
      <w:r w:rsidR="006A156D" w:rsidRPr="00DF5C23">
        <w:rPr>
          <w:noProof/>
          <w:lang w:val="en-IE" w:eastAsia="fr-BE"/>
        </w:rPr>
        <w:t>項にいう売れ残った消費者製品の廃棄の禁止又は第</w:t>
      </w:r>
      <w:r w:rsidR="006A156D" w:rsidRPr="00DF5C23">
        <w:rPr>
          <w:noProof/>
          <w:lang w:val="en-IE" w:eastAsia="fr-BE"/>
        </w:rPr>
        <w:t>4</w:t>
      </w:r>
      <w:r w:rsidR="006A156D" w:rsidRPr="00DF5C23">
        <w:rPr>
          <w:noProof/>
          <w:lang w:val="en-IE" w:eastAsia="fr-BE"/>
        </w:rPr>
        <w:t>項にいう開示</w:t>
      </w:r>
      <w:r w:rsidR="001A5637" w:rsidRPr="00DF5C23">
        <w:rPr>
          <w:noProof/>
          <w:lang w:val="en-IE" w:eastAsia="fr-BE"/>
        </w:rPr>
        <w:t>義務を</w:t>
      </w:r>
      <w:r w:rsidRPr="00DF5C23">
        <w:rPr>
          <w:noProof/>
          <w:lang w:val="en-IE" w:eastAsia="fr-BE"/>
        </w:rPr>
        <w:t>適用する旨を</w:t>
      </w:r>
      <w:r w:rsidR="001A5637" w:rsidRPr="00DF5C23">
        <w:rPr>
          <w:noProof/>
          <w:lang w:val="en-IE" w:eastAsia="fr-BE"/>
        </w:rPr>
        <w:t>規定する</w:t>
      </w:r>
      <w:r w:rsidRPr="00DF5C23">
        <w:rPr>
          <w:noProof/>
          <w:lang w:val="en-IE" w:eastAsia="fr-BE"/>
        </w:rPr>
        <w:t>ことができる：</w:t>
      </w:r>
      <w:r w:rsidRPr="00DF5C23">
        <w:rPr>
          <w:noProof/>
          <w:lang w:val="en-IE" w:eastAsia="fr-BE"/>
        </w:rPr>
        <w:t xml:space="preserve"> </w:t>
      </w:r>
    </w:p>
    <w:p w14:paraId="3F2DB887" w14:textId="77777777" w:rsidR="0038775E" w:rsidRDefault="00877B9C" w:rsidP="002041D4">
      <w:pPr>
        <w:pStyle w:val="Point1"/>
        <w:wordWrap w:val="0"/>
        <w:rPr>
          <w:noProof/>
          <w:lang w:val="en-IE" w:eastAsia="fr-BE"/>
        </w:rPr>
      </w:pPr>
      <w:r w:rsidRPr="004F5E59">
        <w:rPr>
          <w:lang w:eastAsia="ja-JP"/>
        </w:rPr>
        <w:t>(a)</w:t>
      </w:r>
      <w:r w:rsidRPr="004F5E59">
        <w:rPr>
          <w:lang w:eastAsia="ja-JP"/>
        </w:rPr>
        <w:tab/>
      </w:r>
      <w:r w:rsidR="001A5637" w:rsidRPr="00DF5C23">
        <w:rPr>
          <w:noProof/>
          <w:lang w:val="en-IE" w:eastAsia="fr-BE"/>
        </w:rPr>
        <w:t>中堅企業が、</w:t>
      </w:r>
      <w:r w:rsidR="00254999" w:rsidRPr="00DF5C23">
        <w:rPr>
          <w:noProof/>
          <w:lang w:val="en-IE" w:eastAsia="fr-BE"/>
        </w:rPr>
        <w:t>売れ残った消費財の廃棄のかなりの割合を占めていることを示す</w:t>
      </w:r>
      <w:r w:rsidR="00F63C7E" w:rsidRPr="00DF5C23">
        <w:rPr>
          <w:noProof/>
          <w:lang w:val="en-IE" w:eastAsia="fr-BE"/>
        </w:rPr>
        <w:t>十分な</w:t>
      </w:r>
      <w:r w:rsidR="001A5637" w:rsidRPr="00DF5C23">
        <w:rPr>
          <w:noProof/>
          <w:lang w:val="en-IE" w:eastAsia="fr-BE"/>
        </w:rPr>
        <w:t>証拠がある</w:t>
      </w:r>
      <w:r w:rsidR="001A5637" w:rsidRPr="00DF5C23">
        <w:rPr>
          <w:noProof/>
          <w:lang w:val="en-IE" w:eastAsia="ja-JP"/>
        </w:rPr>
        <w:t>場合；</w:t>
      </w:r>
    </w:p>
    <w:p w14:paraId="580CED2E" w14:textId="77777777" w:rsidR="0038775E" w:rsidRDefault="00877B9C" w:rsidP="002041D4">
      <w:pPr>
        <w:pStyle w:val="Point1"/>
        <w:wordWrap w:val="0"/>
        <w:rPr>
          <w:noProof/>
          <w:lang w:val="en-IE" w:eastAsia="fr-BE"/>
        </w:rPr>
      </w:pPr>
      <w:r w:rsidRPr="004F5E59">
        <w:rPr>
          <w:lang w:eastAsia="ja-JP"/>
        </w:rPr>
        <w:t>(b)</w:t>
      </w:r>
      <w:r w:rsidRPr="004F5E59">
        <w:rPr>
          <w:lang w:eastAsia="ja-JP"/>
        </w:rPr>
        <w:tab/>
      </w:r>
      <w:r w:rsidR="00254999" w:rsidRPr="00DF5C23">
        <w:rPr>
          <w:noProof/>
          <w:lang w:val="en-IE" w:eastAsia="fr-BE"/>
        </w:rPr>
        <w:t>第</w:t>
      </w:r>
      <w:r w:rsidR="00254999" w:rsidRPr="00DF5C23">
        <w:rPr>
          <w:noProof/>
          <w:lang w:val="en-IE" w:eastAsia="fr-BE"/>
        </w:rPr>
        <w:t>3</w:t>
      </w:r>
      <w:r w:rsidR="00254999" w:rsidRPr="00DF5C23">
        <w:rPr>
          <w:noProof/>
          <w:lang w:val="en-IE" w:eastAsia="fr-BE"/>
        </w:rPr>
        <w:t>項にいう売れ残った消費者製品の廃棄の禁止または第</w:t>
      </w:r>
      <w:r w:rsidR="00254999" w:rsidRPr="00DF5C23">
        <w:rPr>
          <w:noProof/>
          <w:lang w:val="en-IE" w:eastAsia="fr-BE"/>
        </w:rPr>
        <w:t>4</w:t>
      </w:r>
      <w:r w:rsidR="00254999" w:rsidRPr="00DF5C23">
        <w:rPr>
          <w:noProof/>
          <w:lang w:val="en-IE" w:eastAsia="fr-BE"/>
        </w:rPr>
        <w:t>項にいう開示義務を回避するために使用される可能性があるという</w:t>
      </w:r>
      <w:r w:rsidR="00F63C7E" w:rsidRPr="00DF5C23">
        <w:rPr>
          <w:noProof/>
          <w:lang w:val="en-IE" w:eastAsia="fr-BE"/>
        </w:rPr>
        <w:t>十分な</w:t>
      </w:r>
      <w:r w:rsidR="001A5637" w:rsidRPr="00DF5C23">
        <w:rPr>
          <w:noProof/>
          <w:lang w:val="en-IE" w:eastAsia="fr-BE"/>
        </w:rPr>
        <w:t>証拠がある</w:t>
      </w:r>
      <w:r w:rsidR="001A5637" w:rsidRPr="00DF5C23">
        <w:rPr>
          <w:noProof/>
          <w:lang w:val="en-IE" w:eastAsia="ja-JP"/>
        </w:rPr>
        <w:t>場合</w:t>
      </w:r>
      <w:r w:rsidR="001A5637" w:rsidRPr="00DF5C23">
        <w:rPr>
          <w:noProof/>
          <w:lang w:val="en-IE" w:eastAsia="fr-BE"/>
        </w:rPr>
        <w:t>、零細企業、小規模企業または中堅企業である</w:t>
      </w:r>
      <w:r w:rsidR="006A156D" w:rsidRPr="00DF5C23">
        <w:rPr>
          <w:noProof/>
          <w:lang w:val="en-IE" w:eastAsia="fr-BE"/>
        </w:rPr>
        <w:t>。</w:t>
      </w:r>
    </w:p>
    <w:p w14:paraId="02F3EB43" w14:textId="77777777" w:rsidR="0038775E" w:rsidRDefault="00A625AD" w:rsidP="002041D4">
      <w:pPr>
        <w:pStyle w:val="ManualHeading1"/>
        <w:wordWrap w:val="0"/>
        <w:jc w:val="center"/>
        <w:rPr>
          <w:noProof/>
          <w:lang w:eastAsia="ja-JP"/>
        </w:rPr>
      </w:pPr>
      <w:r w:rsidRPr="00DF5C23">
        <w:rPr>
          <w:noProof/>
          <w:lang w:eastAsia="ja-JP"/>
        </w:rPr>
        <w:t>第</w:t>
      </w:r>
      <w:r w:rsidRPr="00DF5C23">
        <w:rPr>
          <w:noProof/>
          <w:lang w:eastAsia="ja-JP"/>
        </w:rPr>
        <w:t>VII</w:t>
      </w:r>
      <w:r w:rsidR="00BA4E97" w:rsidRPr="00DF5C23">
        <w:rPr>
          <w:noProof/>
          <w:lang w:eastAsia="ja-JP"/>
        </w:rPr>
        <w:t>章</w:t>
      </w:r>
      <w:r w:rsidR="00BA4E97" w:rsidRPr="00DF5C23">
        <w:rPr>
          <w:noProof/>
          <w:lang w:eastAsia="ja-JP"/>
        </w:rPr>
        <w:t xml:space="preserve"> </w:t>
      </w:r>
      <w:r w:rsidR="00877B9C" w:rsidRPr="00DF5C23">
        <w:rPr>
          <w:noProof/>
          <w:lang w:eastAsia="ja-JP"/>
        </w:rPr>
        <w:t>経済事業者の義務</w:t>
      </w:r>
    </w:p>
    <w:p w14:paraId="62950BE1" w14:textId="77777777" w:rsidR="0038775E" w:rsidRDefault="001A4BE8" w:rsidP="002041D4">
      <w:pPr>
        <w:pStyle w:val="Titrearticle"/>
        <w:wordWrap w:val="0"/>
        <w:rPr>
          <w:noProof/>
          <w:lang w:val="en-IE" w:eastAsia="fr-BE"/>
        </w:rPr>
      </w:pPr>
      <w:r w:rsidRPr="00DF5C23">
        <w:rPr>
          <w:noProof/>
          <w:lang w:val="en-IE" w:eastAsia="fr-BE"/>
        </w:rPr>
        <w:t>第</w:t>
      </w:r>
      <w:r w:rsidRPr="00DF5C23">
        <w:rPr>
          <w:noProof/>
          <w:lang w:val="en-IE" w:eastAsia="fr-BE"/>
        </w:rPr>
        <w:t>21</w:t>
      </w:r>
      <w:r w:rsidR="00877B9C" w:rsidRPr="00DF5C23">
        <w:rPr>
          <w:noProof/>
          <w:lang w:val="en-IE" w:eastAsia="fr-BE"/>
        </w:rPr>
        <w:t>条</w:t>
      </w:r>
      <w:r w:rsidR="00646885" w:rsidRPr="00DF5C23">
        <w:rPr>
          <w:noProof/>
          <w:lang w:eastAsia="ja-JP"/>
        </w:rPr>
        <w:br/>
      </w:r>
      <w:r w:rsidR="00877B9C" w:rsidRPr="00DF5C23">
        <w:rPr>
          <w:noProof/>
          <w:lang w:val="en-IE" w:eastAsia="fr-BE"/>
        </w:rPr>
        <w:t>製造者の義務</w:t>
      </w:r>
    </w:p>
    <w:p w14:paraId="0AF5ACD5" w14:textId="77777777" w:rsidR="0038775E" w:rsidRDefault="00877B9C" w:rsidP="002041D4">
      <w:pPr>
        <w:pStyle w:val="ManualNumPar1"/>
        <w:wordWrap w:val="0"/>
        <w:rPr>
          <w:noProof/>
          <w:lang w:val="en-IE" w:eastAsia="ja-JP"/>
        </w:rPr>
      </w:pPr>
      <w:r w:rsidRPr="004F5E59">
        <w:rPr>
          <w:lang w:eastAsia="ja-JP"/>
        </w:rPr>
        <w:t>1.</w:t>
      </w:r>
      <w:r w:rsidRPr="004F5E59">
        <w:rPr>
          <w:lang w:eastAsia="ja-JP"/>
        </w:rPr>
        <w:tab/>
      </w:r>
      <w:r w:rsidR="00FD7DBE" w:rsidRPr="00DF5C23">
        <w:rPr>
          <w:noProof/>
          <w:lang w:val="en-IE" w:eastAsia="fr-BE"/>
        </w:rPr>
        <w:t>第</w:t>
      </w:r>
      <w:r w:rsidR="00FD7DBE" w:rsidRPr="00DF5C23">
        <w:rPr>
          <w:noProof/>
          <w:lang w:val="en-IE" w:eastAsia="fr-BE"/>
        </w:rPr>
        <w:t>4</w:t>
      </w:r>
      <w:r w:rsidR="00FD7DBE" w:rsidRPr="00DF5C23">
        <w:rPr>
          <w:noProof/>
          <w:lang w:val="en-IE" w:eastAsia="fr-BE"/>
        </w:rPr>
        <w:t>条に従って採択された</w:t>
      </w:r>
      <w:r w:rsidR="00715D90" w:rsidRPr="00DF5C23">
        <w:rPr>
          <w:noProof/>
          <w:lang w:val="en-IE" w:eastAsia="fr-BE"/>
        </w:rPr>
        <w:t>委任法の</w:t>
      </w:r>
      <w:r w:rsidR="00646885" w:rsidRPr="00DF5C23">
        <w:rPr>
          <w:noProof/>
          <w:lang w:val="en-IE" w:eastAsia="ja-JP"/>
        </w:rPr>
        <w:t>対象となる</w:t>
      </w:r>
      <w:r w:rsidR="00A40034" w:rsidRPr="00DF5C23">
        <w:rPr>
          <w:noProof/>
          <w:lang w:val="en-IE" w:eastAsia="ja-JP"/>
        </w:rPr>
        <w:t>製品を</w:t>
      </w:r>
      <w:r w:rsidR="00646885" w:rsidRPr="00DF5C23">
        <w:rPr>
          <w:noProof/>
          <w:lang w:val="en-IE" w:eastAsia="ja-JP"/>
        </w:rPr>
        <w:t>市場に出し</w:t>
      </w:r>
      <w:r w:rsidR="005C4CCB" w:rsidRPr="00DF5C23">
        <w:rPr>
          <w:noProof/>
          <w:lang w:val="en-IE" w:eastAsia="ja-JP"/>
        </w:rPr>
        <w:t>、又は使用に供する</w:t>
      </w:r>
      <w:r w:rsidR="00646885" w:rsidRPr="00DF5C23">
        <w:rPr>
          <w:noProof/>
          <w:lang w:val="en-IE" w:eastAsia="ja-JP"/>
        </w:rPr>
        <w:t>場合</w:t>
      </w:r>
      <w:r w:rsidR="00DA1886" w:rsidRPr="00DF5C23">
        <w:rPr>
          <w:noProof/>
          <w:lang w:val="en-IE" w:eastAsia="ja-JP"/>
        </w:rPr>
        <w:t>、</w:t>
      </w:r>
      <w:r w:rsidR="00646885" w:rsidRPr="00DF5C23">
        <w:rPr>
          <w:noProof/>
          <w:lang w:val="en-IE" w:eastAsia="ja-JP"/>
        </w:rPr>
        <w:t>製造者は、</w:t>
      </w:r>
      <w:r w:rsidR="00680CC3" w:rsidRPr="00DF5C23">
        <w:rPr>
          <w:noProof/>
          <w:lang w:val="en-IE" w:eastAsia="ja-JP"/>
        </w:rPr>
        <w:t>以下を確保</w:t>
      </w:r>
      <w:r w:rsidR="00646885" w:rsidRPr="00DF5C23">
        <w:rPr>
          <w:noProof/>
          <w:lang w:val="en-IE" w:eastAsia="ja-JP"/>
        </w:rPr>
        <w:t>しなければならない</w:t>
      </w:r>
      <w:r w:rsidR="00EC03A0" w:rsidRPr="00DF5C23">
        <w:rPr>
          <w:noProof/>
          <w:lang w:val="en-IE" w:eastAsia="ja-JP"/>
        </w:rPr>
        <w:t>：</w:t>
      </w:r>
    </w:p>
    <w:p w14:paraId="0DF415B0" w14:textId="77777777" w:rsidR="0038775E" w:rsidRDefault="00877B9C" w:rsidP="002041D4">
      <w:pPr>
        <w:pStyle w:val="Point1"/>
        <w:wordWrap w:val="0"/>
        <w:rPr>
          <w:noProof/>
          <w:lang w:val="en-IE" w:eastAsia="ja-JP"/>
        </w:rPr>
      </w:pPr>
      <w:r w:rsidRPr="004F5E59">
        <w:rPr>
          <w:lang w:eastAsia="ja-JP"/>
        </w:rPr>
        <w:t>(a)</w:t>
      </w:r>
      <w:r w:rsidRPr="004F5E59">
        <w:rPr>
          <w:lang w:eastAsia="ja-JP"/>
        </w:rPr>
        <w:tab/>
      </w:r>
      <w:r w:rsidR="007521E3" w:rsidRPr="00DF5C23">
        <w:rPr>
          <w:noProof/>
          <w:lang w:val="en-IE" w:eastAsia="ja-JP"/>
        </w:rPr>
        <w:t>これらの製品は、第</w:t>
      </w:r>
      <w:r w:rsidR="007521E3" w:rsidRPr="00DF5C23">
        <w:rPr>
          <w:noProof/>
          <w:lang w:val="en-IE" w:eastAsia="ja-JP"/>
        </w:rPr>
        <w:t>6</w:t>
      </w:r>
      <w:r w:rsidR="007521E3" w:rsidRPr="00DF5C23">
        <w:rPr>
          <w:noProof/>
          <w:lang w:val="en-IE" w:eastAsia="ja-JP"/>
        </w:rPr>
        <w:t>条に</w:t>
      </w:r>
      <w:r w:rsidR="0681B866" w:rsidRPr="00DF5C23">
        <w:rPr>
          <w:noProof/>
          <w:lang w:val="en-IE" w:eastAsia="ja-JP"/>
        </w:rPr>
        <w:t>規定された要件</w:t>
      </w:r>
      <w:r w:rsidR="007521E3" w:rsidRPr="00DF5C23">
        <w:rPr>
          <w:noProof/>
          <w:lang w:val="en-IE" w:eastAsia="ja-JP"/>
        </w:rPr>
        <w:t>および</w:t>
      </w:r>
      <w:r w:rsidR="00FD7DBE" w:rsidRPr="00DF5C23">
        <w:rPr>
          <w:noProof/>
          <w:lang w:val="en-IE" w:eastAsia="fr-BE"/>
        </w:rPr>
        <w:t>第</w:t>
      </w:r>
      <w:r w:rsidR="00FD7DBE" w:rsidRPr="00DF5C23">
        <w:rPr>
          <w:noProof/>
          <w:lang w:val="en-IE" w:eastAsia="fr-BE"/>
        </w:rPr>
        <w:t>4</w:t>
      </w:r>
      <w:r w:rsidR="00FD7DBE" w:rsidRPr="00DF5C23">
        <w:rPr>
          <w:noProof/>
          <w:lang w:val="en-IE" w:eastAsia="fr-BE"/>
        </w:rPr>
        <w:t>条に従って採択された</w:t>
      </w:r>
      <w:r w:rsidR="0681B866" w:rsidRPr="00DF5C23">
        <w:rPr>
          <w:noProof/>
          <w:color w:val="000000" w:themeColor="text1"/>
          <w:lang w:val="en-IE" w:eastAsia="ja-JP"/>
        </w:rPr>
        <w:t>委任行為に従って</w:t>
      </w:r>
      <w:r w:rsidR="0681B866" w:rsidRPr="00DF5C23">
        <w:rPr>
          <w:noProof/>
          <w:lang w:val="en-IE" w:eastAsia="ja-JP"/>
        </w:rPr>
        <w:t>設計および製造されたものである；</w:t>
      </w:r>
    </w:p>
    <w:p w14:paraId="67F0BE27" w14:textId="77777777" w:rsidR="0038775E" w:rsidRDefault="00877B9C" w:rsidP="002041D4">
      <w:pPr>
        <w:pStyle w:val="Point1"/>
        <w:wordWrap w:val="0"/>
        <w:rPr>
          <w:noProof/>
          <w:lang w:val="en-IE" w:eastAsia="ja-JP"/>
        </w:rPr>
      </w:pPr>
      <w:r w:rsidRPr="004F5E59">
        <w:rPr>
          <w:lang w:eastAsia="ja-JP"/>
        </w:rPr>
        <w:t>(b)</w:t>
      </w:r>
      <w:r w:rsidRPr="004F5E59">
        <w:rPr>
          <w:lang w:eastAsia="ja-JP"/>
        </w:rPr>
        <w:tab/>
      </w:r>
      <w:r w:rsidR="007521E3" w:rsidRPr="00DF5C23">
        <w:rPr>
          <w:noProof/>
          <w:lang w:val="en-IE" w:eastAsia="ja-JP"/>
        </w:rPr>
        <w:t>これらの製品には、第</w:t>
      </w:r>
      <w:r w:rsidR="007521E3" w:rsidRPr="00DF5C23">
        <w:rPr>
          <w:noProof/>
          <w:lang w:val="en-IE" w:eastAsia="ja-JP"/>
        </w:rPr>
        <w:t>7</w:t>
      </w:r>
      <w:r w:rsidR="007521E3" w:rsidRPr="00DF5C23">
        <w:rPr>
          <w:noProof/>
          <w:lang w:val="en-IE" w:eastAsia="ja-JP"/>
        </w:rPr>
        <w:t>条および</w:t>
      </w:r>
      <w:r w:rsidR="00FD7DBE" w:rsidRPr="00DF5C23">
        <w:rPr>
          <w:noProof/>
          <w:lang w:val="en-IE" w:eastAsia="fr-BE"/>
        </w:rPr>
        <w:t>第</w:t>
      </w:r>
      <w:r w:rsidR="00FD7DBE" w:rsidRPr="00DF5C23">
        <w:rPr>
          <w:noProof/>
          <w:lang w:val="en-IE" w:eastAsia="fr-BE"/>
        </w:rPr>
        <w:t>4</w:t>
      </w:r>
      <w:r w:rsidR="00FD7DBE" w:rsidRPr="00DF5C23">
        <w:rPr>
          <w:noProof/>
          <w:lang w:val="en-IE" w:eastAsia="fr-BE"/>
        </w:rPr>
        <w:t>条に従って採択された</w:t>
      </w:r>
      <w:r w:rsidR="00505A61" w:rsidRPr="00DF5C23">
        <w:rPr>
          <w:noProof/>
          <w:color w:val="000000" w:themeColor="text1"/>
          <w:lang w:val="en-IE" w:eastAsia="ja-JP"/>
        </w:rPr>
        <w:t>委任状により</w:t>
      </w:r>
      <w:r w:rsidR="00646885" w:rsidRPr="00DF5C23">
        <w:rPr>
          <w:noProof/>
          <w:lang w:val="en-IE" w:eastAsia="ja-JP"/>
        </w:rPr>
        <w:t>要求される情報が</w:t>
      </w:r>
      <w:r w:rsidR="009F647D" w:rsidRPr="00DF5C23">
        <w:rPr>
          <w:noProof/>
          <w:lang w:val="en-IE" w:eastAsia="ja-JP"/>
        </w:rPr>
        <w:t>添付されています</w:t>
      </w:r>
      <w:r w:rsidR="00F04F32" w:rsidRPr="00DF5C23">
        <w:rPr>
          <w:noProof/>
          <w:lang w:val="en-IE" w:eastAsia="ja-JP"/>
        </w:rPr>
        <w:t>；</w:t>
      </w:r>
    </w:p>
    <w:p w14:paraId="19BBC75F" w14:textId="17C3E761" w:rsidR="0038775E" w:rsidRDefault="00877B9C" w:rsidP="002041D4">
      <w:pPr>
        <w:pStyle w:val="Point1"/>
        <w:wordWrap w:val="0"/>
        <w:rPr>
          <w:noProof/>
          <w:lang w:val="en-IE" w:eastAsia="ja-JP"/>
        </w:rPr>
      </w:pPr>
      <w:r w:rsidRPr="004F5E59">
        <w:rPr>
          <w:lang w:eastAsia="ja-JP"/>
        </w:rPr>
        <w:t>(c)</w:t>
      </w:r>
      <w:r w:rsidRPr="004F5E59">
        <w:rPr>
          <w:lang w:eastAsia="ja-JP"/>
        </w:rPr>
        <w:tab/>
      </w:r>
      <w:r w:rsidR="00465EDA" w:rsidRPr="00DF5C23">
        <w:rPr>
          <w:noProof/>
          <w:lang w:val="en-IE" w:eastAsia="ja-JP"/>
        </w:rPr>
        <w:t>第</w:t>
      </w:r>
      <w:r w:rsidR="00465EDA" w:rsidRPr="00DF5C23">
        <w:rPr>
          <w:noProof/>
          <w:lang w:val="en-IE" w:eastAsia="ja-JP"/>
        </w:rPr>
        <w:t>8</w:t>
      </w:r>
      <w:r w:rsidR="007521E3" w:rsidRPr="00DF5C23">
        <w:rPr>
          <w:noProof/>
          <w:lang w:val="en-IE" w:eastAsia="ja-JP"/>
        </w:rPr>
        <w:t>条</w:t>
      </w:r>
      <w:r w:rsidR="00121761" w:rsidRPr="00DF5C23">
        <w:rPr>
          <w:noProof/>
          <w:lang w:val="en-IE" w:eastAsia="ja-JP"/>
        </w:rPr>
        <w:t>および</w:t>
      </w:r>
      <w:r w:rsidR="00121761" w:rsidRPr="00DF5C23">
        <w:rPr>
          <w:noProof/>
          <w:lang w:val="en-IE" w:eastAsia="fr-BE"/>
        </w:rPr>
        <w:t>第</w:t>
      </w:r>
      <w:r w:rsidR="00121761" w:rsidRPr="00DF5C23">
        <w:rPr>
          <w:noProof/>
          <w:lang w:val="en-IE" w:eastAsia="fr-BE"/>
        </w:rPr>
        <w:t>4</w:t>
      </w:r>
      <w:r w:rsidR="00121761" w:rsidRPr="00DF5C23">
        <w:rPr>
          <w:noProof/>
          <w:lang w:val="en-IE" w:eastAsia="fr-BE"/>
        </w:rPr>
        <w:t>条に従って採択された</w:t>
      </w:r>
      <w:r w:rsidR="00121761" w:rsidRPr="00DF5C23">
        <w:rPr>
          <w:noProof/>
          <w:color w:val="000000" w:themeColor="text1"/>
          <w:lang w:val="en-IE" w:eastAsia="ja-JP"/>
        </w:rPr>
        <w:t>委任法に</w:t>
      </w:r>
      <w:r w:rsidR="00121761" w:rsidRPr="00DF5C23">
        <w:rPr>
          <w:noProof/>
          <w:lang w:val="en-IE" w:eastAsia="ja-JP"/>
        </w:rPr>
        <w:t>基づき、</w:t>
      </w:r>
      <w:r w:rsidR="009F647D" w:rsidRPr="00DF5C23">
        <w:rPr>
          <w:noProof/>
          <w:lang w:val="en-IE" w:eastAsia="ja-JP"/>
        </w:rPr>
        <w:t>製品パスポートを</w:t>
      </w:r>
      <w:r w:rsidR="00C33BBE" w:rsidRPr="00DF5C23">
        <w:rPr>
          <w:noProof/>
          <w:lang w:val="en-IE" w:eastAsia="ja-JP"/>
        </w:rPr>
        <w:t>入手することがで</w:t>
      </w:r>
      <w:r w:rsidR="002041D4">
        <w:rPr>
          <w:noProof/>
          <w:lang w:val="en-IE" w:eastAsia="ja-JP"/>
        </w:rPr>
        <w:t>く</w:t>
      </w:r>
      <w:r w:rsidR="001D0AD1" w:rsidRPr="00DF5C23">
        <w:rPr>
          <w:noProof/>
          <w:lang w:val="en-IE" w:eastAsia="ja-JP"/>
        </w:rPr>
        <w:t>。</w:t>
      </w:r>
      <w:r w:rsidR="001D0AD1" w:rsidRPr="00DF5C23">
        <w:rPr>
          <w:noProof/>
          <w:lang w:val="en-IE" w:eastAsia="ja-JP"/>
        </w:rPr>
        <w:t xml:space="preserve"> </w:t>
      </w:r>
    </w:p>
    <w:p w14:paraId="53DC3BE3" w14:textId="77777777" w:rsidR="0038775E" w:rsidRDefault="00877B9C" w:rsidP="002041D4">
      <w:pPr>
        <w:pStyle w:val="ManualNumPar1"/>
        <w:wordWrap w:val="0"/>
        <w:rPr>
          <w:noProof/>
          <w:lang w:val="en-IE" w:eastAsia="ja-JP"/>
        </w:rPr>
      </w:pPr>
      <w:r w:rsidRPr="004F5E59">
        <w:rPr>
          <w:lang w:eastAsia="ja-JP"/>
        </w:rPr>
        <w:t>2.</w:t>
      </w:r>
      <w:r w:rsidRPr="004F5E59">
        <w:rPr>
          <w:lang w:eastAsia="ja-JP"/>
        </w:rPr>
        <w:tab/>
      </w:r>
      <w:r w:rsidR="00646885" w:rsidRPr="00DF5C23">
        <w:rPr>
          <w:noProof/>
          <w:lang w:val="en-IE" w:eastAsia="ja-JP"/>
        </w:rPr>
        <w:t>製造者は、</w:t>
      </w:r>
      <w:r w:rsidR="00FD7DBE" w:rsidRPr="00DF5C23">
        <w:rPr>
          <w:noProof/>
          <w:lang w:val="en-IE" w:eastAsia="fr-BE"/>
        </w:rPr>
        <w:t>第</w:t>
      </w:r>
      <w:r w:rsidR="00FD7DBE" w:rsidRPr="00DF5C23">
        <w:rPr>
          <w:noProof/>
          <w:lang w:val="en-IE" w:eastAsia="fr-BE"/>
        </w:rPr>
        <w:t>4</w:t>
      </w:r>
      <w:r w:rsidR="00FD7DBE" w:rsidRPr="00DF5C23">
        <w:rPr>
          <w:noProof/>
          <w:lang w:val="en-IE" w:eastAsia="fr-BE"/>
        </w:rPr>
        <w:t>条に従って採択された</w:t>
      </w:r>
      <w:r w:rsidR="00032027" w:rsidRPr="00DF5C23">
        <w:rPr>
          <w:noProof/>
          <w:lang w:val="en-IE" w:eastAsia="fr-BE"/>
        </w:rPr>
        <w:t>委任法の</w:t>
      </w:r>
      <w:r w:rsidR="00032027" w:rsidRPr="00DF5C23">
        <w:rPr>
          <w:noProof/>
          <w:lang w:val="en-IE" w:eastAsia="ja-JP"/>
        </w:rPr>
        <w:t>対象となる</w:t>
      </w:r>
      <w:r w:rsidR="00646885" w:rsidRPr="00DF5C23">
        <w:rPr>
          <w:noProof/>
          <w:lang w:val="en-IE" w:eastAsia="ja-JP"/>
        </w:rPr>
        <w:t>製品を市場に出し、又は使用に供する前に</w:t>
      </w:r>
      <w:r w:rsidR="00354170" w:rsidRPr="00DF5C23">
        <w:rPr>
          <w:noProof/>
          <w:lang w:val="en-IE" w:eastAsia="ja-JP"/>
        </w:rPr>
        <w:t>、</w:t>
      </w:r>
      <w:r w:rsidR="00FD7DBE" w:rsidRPr="00DF5C23">
        <w:rPr>
          <w:noProof/>
          <w:lang w:val="en-IE" w:eastAsia="fr-BE"/>
        </w:rPr>
        <w:t>第</w:t>
      </w:r>
      <w:r w:rsidR="00FD7DBE" w:rsidRPr="00DF5C23">
        <w:rPr>
          <w:noProof/>
          <w:lang w:val="en-IE" w:eastAsia="fr-BE"/>
        </w:rPr>
        <w:t>4</w:t>
      </w:r>
      <w:r w:rsidR="00FD7DBE" w:rsidRPr="00DF5C23">
        <w:rPr>
          <w:noProof/>
          <w:lang w:val="en-IE" w:eastAsia="fr-BE"/>
        </w:rPr>
        <w:t>条に従って採択された</w:t>
      </w:r>
      <w:r w:rsidR="00505A61" w:rsidRPr="00DF5C23">
        <w:rPr>
          <w:noProof/>
          <w:color w:val="000000" w:themeColor="text1"/>
          <w:lang w:val="en-IE" w:eastAsia="ja-JP"/>
        </w:rPr>
        <w:t>委任</w:t>
      </w:r>
      <w:r w:rsidR="00646885" w:rsidRPr="00DF5C23">
        <w:rPr>
          <w:noProof/>
          <w:lang w:val="en-IE" w:eastAsia="ja-JP"/>
        </w:rPr>
        <w:t>法に規定された適合</w:t>
      </w:r>
      <w:r w:rsidR="00646885" w:rsidRPr="00DF5C23">
        <w:rPr>
          <w:noProof/>
          <w:lang w:val="en-IE" w:eastAsia="ja-JP"/>
        </w:rPr>
        <w:lastRenderedPageBreak/>
        <w:t>性評価手続を実施</w:t>
      </w:r>
      <w:r w:rsidR="00957065" w:rsidRPr="00DF5C23">
        <w:rPr>
          <w:noProof/>
          <w:lang w:val="en-IE" w:eastAsia="ja-JP"/>
        </w:rPr>
        <w:t>し、必要な技術文書を作成し</w:t>
      </w:r>
      <w:r w:rsidR="00505A61" w:rsidRPr="00DF5C23">
        <w:rPr>
          <w:noProof/>
          <w:lang w:val="en-IE" w:eastAsia="ja-JP"/>
        </w:rPr>
        <w:t>、</w:t>
      </w:r>
      <w:r w:rsidR="00646885" w:rsidRPr="00DF5C23">
        <w:rPr>
          <w:noProof/>
          <w:lang w:val="en-IE" w:eastAsia="ja-JP"/>
        </w:rPr>
        <w:t>又は</w:t>
      </w:r>
      <w:r w:rsidR="00D87AB9" w:rsidRPr="00DF5C23">
        <w:rPr>
          <w:noProof/>
          <w:lang w:eastAsia="ja-JP"/>
        </w:rPr>
        <w:t>その代行を依頼する</w:t>
      </w:r>
      <w:r w:rsidR="00646885" w:rsidRPr="00DF5C23">
        <w:rPr>
          <w:noProof/>
          <w:lang w:val="en-IE" w:eastAsia="ja-JP"/>
        </w:rPr>
        <w:t>ものとする。</w:t>
      </w:r>
    </w:p>
    <w:p w14:paraId="42F24C08" w14:textId="77777777" w:rsidR="0038775E" w:rsidRDefault="00FD7DBE" w:rsidP="002041D4">
      <w:pPr>
        <w:pStyle w:val="Text1"/>
        <w:wordWrap w:val="0"/>
        <w:rPr>
          <w:noProof/>
          <w:lang w:val="en-IE" w:eastAsia="ja-JP"/>
        </w:rPr>
      </w:pPr>
      <w:r w:rsidRPr="00DF5C23">
        <w:rPr>
          <w:noProof/>
          <w:lang w:val="en-IE" w:eastAsia="fr-BE"/>
        </w:rPr>
        <w:t>第</w:t>
      </w:r>
      <w:r w:rsidRPr="00DF5C23">
        <w:rPr>
          <w:noProof/>
          <w:lang w:val="en-IE" w:eastAsia="fr-BE"/>
        </w:rPr>
        <w:t>4</w:t>
      </w:r>
      <w:r w:rsidRPr="00DF5C23">
        <w:rPr>
          <w:noProof/>
          <w:lang w:val="en-IE" w:eastAsia="fr-BE"/>
        </w:rPr>
        <w:t>条に従って採択された</w:t>
      </w:r>
      <w:r w:rsidR="00425AA5" w:rsidRPr="00DF5C23">
        <w:rPr>
          <w:noProof/>
          <w:lang w:val="en-IE" w:eastAsia="fr-BE"/>
        </w:rPr>
        <w:t>委任法の</w:t>
      </w:r>
      <w:r w:rsidR="00425AA5" w:rsidRPr="00DF5C23">
        <w:rPr>
          <w:noProof/>
          <w:lang w:val="en-IE" w:eastAsia="ja-JP"/>
        </w:rPr>
        <w:t>対象となる</w:t>
      </w:r>
      <w:r w:rsidR="00877B9C" w:rsidRPr="00DF5C23">
        <w:rPr>
          <w:noProof/>
          <w:lang w:val="en-IE" w:eastAsia="ja-JP"/>
        </w:rPr>
        <w:t>製品の適用要件への適合がその手続きによって証明された場合、製造者は、</w:t>
      </w:r>
      <w:r w:rsidR="00321240" w:rsidRPr="00DF5C23">
        <w:rPr>
          <w:noProof/>
          <w:lang w:val="en-IE" w:eastAsia="ja-JP"/>
        </w:rPr>
        <w:t>第</w:t>
      </w:r>
      <w:r w:rsidR="00321240" w:rsidRPr="00DF5C23">
        <w:rPr>
          <w:noProof/>
          <w:lang w:val="en-IE" w:eastAsia="ja-JP"/>
        </w:rPr>
        <w:t>37</w:t>
      </w:r>
      <w:r w:rsidR="00877B9C" w:rsidRPr="00DF5C23">
        <w:rPr>
          <w:noProof/>
          <w:lang w:val="en-IE" w:eastAsia="ja-JP"/>
        </w:rPr>
        <w:t>条に従って</w:t>
      </w:r>
      <w:r w:rsidR="00877B9C" w:rsidRPr="00DF5C23">
        <w:rPr>
          <w:noProof/>
          <w:lang w:val="en-IE" w:eastAsia="ja-JP"/>
        </w:rPr>
        <w:t>EU</w:t>
      </w:r>
      <w:r w:rsidR="00877B9C" w:rsidRPr="00DF5C23">
        <w:rPr>
          <w:noProof/>
          <w:lang w:val="en-IE" w:eastAsia="ja-JP"/>
        </w:rPr>
        <w:t>適合宣言を作成し、</w:t>
      </w:r>
      <w:r w:rsidR="00321240" w:rsidRPr="00DF5C23">
        <w:rPr>
          <w:noProof/>
          <w:lang w:val="en-IE" w:eastAsia="ja-JP"/>
        </w:rPr>
        <w:t>第</w:t>
      </w:r>
      <w:r w:rsidR="00321240" w:rsidRPr="00DF5C23">
        <w:rPr>
          <w:noProof/>
          <w:lang w:val="en-IE" w:eastAsia="ja-JP"/>
        </w:rPr>
        <w:t>39</w:t>
      </w:r>
      <w:r w:rsidR="00877B9C" w:rsidRPr="00DF5C23">
        <w:rPr>
          <w:noProof/>
          <w:lang w:val="en-IE" w:eastAsia="ja-JP"/>
        </w:rPr>
        <w:t>条に従って</w:t>
      </w:r>
      <w:r w:rsidR="00877B9C" w:rsidRPr="00DF5C23">
        <w:rPr>
          <w:noProof/>
          <w:lang w:val="en-IE" w:eastAsia="ja-JP"/>
        </w:rPr>
        <w:t>CE</w:t>
      </w:r>
      <w:r w:rsidR="00877B9C" w:rsidRPr="00DF5C23">
        <w:rPr>
          <w:noProof/>
          <w:lang w:val="en-IE" w:eastAsia="ja-JP"/>
        </w:rPr>
        <w:t>マーキングを付すものとする。</w:t>
      </w:r>
      <w:r w:rsidR="00121761" w:rsidRPr="00DF5C23">
        <w:rPr>
          <w:noProof/>
          <w:lang w:val="en-IE" w:eastAsia="ja-JP"/>
        </w:rPr>
        <w:t>ただし、第</w:t>
      </w:r>
      <w:r w:rsidR="00121761" w:rsidRPr="00DF5C23">
        <w:rPr>
          <w:noProof/>
          <w:lang w:val="en-IE" w:eastAsia="ja-JP"/>
        </w:rPr>
        <w:t>4</w:t>
      </w:r>
      <w:r w:rsidR="00121761" w:rsidRPr="00DF5C23">
        <w:rPr>
          <w:noProof/>
          <w:lang w:val="en-IE" w:eastAsia="ja-JP"/>
        </w:rPr>
        <w:t>条</w:t>
      </w:r>
      <w:r w:rsidR="002438E5" w:rsidRPr="00DF5C23">
        <w:rPr>
          <w:noProof/>
          <w:lang w:val="en-IE" w:eastAsia="ja-JP"/>
        </w:rPr>
        <w:t>第</w:t>
      </w:r>
      <w:r w:rsidR="002438E5" w:rsidRPr="00DF5C23">
        <w:rPr>
          <w:noProof/>
          <w:lang w:val="en-IE" w:eastAsia="ja-JP"/>
        </w:rPr>
        <w:t>3</w:t>
      </w:r>
      <w:r w:rsidR="002438E5" w:rsidRPr="00DF5C23">
        <w:rPr>
          <w:noProof/>
          <w:lang w:val="en-IE" w:eastAsia="ja-JP"/>
        </w:rPr>
        <w:t>項</w:t>
      </w:r>
      <w:r w:rsidR="00121761" w:rsidRPr="00DF5C23">
        <w:rPr>
          <w:noProof/>
          <w:lang w:val="en-IE" w:eastAsia="ja-JP"/>
        </w:rPr>
        <w:t>第</w:t>
      </w:r>
      <w:r w:rsidR="00121761" w:rsidRPr="00DF5C23">
        <w:rPr>
          <w:noProof/>
          <w:lang w:val="en-IE" w:eastAsia="ja-JP"/>
        </w:rPr>
        <w:t>(</w:t>
      </w:r>
      <w:r w:rsidR="00AD4B9A" w:rsidRPr="00DF5C23">
        <w:rPr>
          <w:noProof/>
          <w:lang w:val="en-IE" w:eastAsia="ja-JP"/>
        </w:rPr>
        <w:t>f</w:t>
      </w:r>
      <w:r w:rsidR="00121761" w:rsidRPr="00DF5C23">
        <w:rPr>
          <w:noProof/>
          <w:lang w:val="en-IE" w:eastAsia="ja-JP"/>
        </w:rPr>
        <w:t>)</w:t>
      </w:r>
      <w:r w:rsidR="00121761" w:rsidRPr="00DF5C23">
        <w:rPr>
          <w:noProof/>
          <w:lang w:val="en-IE" w:eastAsia="ja-JP"/>
        </w:rPr>
        <w:t>号に従って欧州委員会が代替規則を定めた場合、製造者は、その規則に従って適合宣言書を作成し、適合表示を付すものとする。</w:t>
      </w:r>
    </w:p>
    <w:p w14:paraId="645B9D34" w14:textId="77777777" w:rsidR="0038775E" w:rsidRDefault="00877B9C" w:rsidP="002041D4">
      <w:pPr>
        <w:pStyle w:val="ManualNumPar1"/>
        <w:wordWrap w:val="0"/>
        <w:rPr>
          <w:noProof/>
          <w:lang w:val="en-IE" w:eastAsia="ja-JP"/>
        </w:rPr>
      </w:pPr>
      <w:r w:rsidRPr="004F5E59">
        <w:rPr>
          <w:lang w:eastAsia="ja-JP"/>
        </w:rPr>
        <w:t>3.</w:t>
      </w:r>
      <w:r w:rsidRPr="004F5E59">
        <w:rPr>
          <w:lang w:eastAsia="ja-JP"/>
        </w:rPr>
        <w:tab/>
      </w:r>
      <w:r w:rsidR="0681B866" w:rsidRPr="00DF5C23">
        <w:rPr>
          <w:noProof/>
          <w:lang w:val="en-IE" w:eastAsia="ja-JP"/>
        </w:rPr>
        <w:t>製造者は、技術文書及び</w:t>
      </w:r>
      <w:r w:rsidR="0681B866" w:rsidRPr="00DF5C23">
        <w:rPr>
          <w:noProof/>
          <w:lang w:val="en-IE" w:eastAsia="ja-JP"/>
        </w:rPr>
        <w:t>EU</w:t>
      </w:r>
      <w:r w:rsidR="0681B866" w:rsidRPr="00DF5C23">
        <w:rPr>
          <w:noProof/>
          <w:lang w:val="en-IE" w:eastAsia="ja-JP"/>
        </w:rPr>
        <w:t>適合宣言書を、製品が上市又は使用開始された後</w:t>
      </w:r>
      <w:r w:rsidR="0681B866" w:rsidRPr="00DF5C23">
        <w:rPr>
          <w:noProof/>
          <w:lang w:val="en-IE" w:eastAsia="ja-JP"/>
        </w:rPr>
        <w:t>10</w:t>
      </w:r>
      <w:r w:rsidR="0681B866" w:rsidRPr="00DF5C23">
        <w:rPr>
          <w:noProof/>
          <w:lang w:val="en-IE" w:eastAsia="ja-JP"/>
        </w:rPr>
        <w:t>年間保管しなければならない。</w:t>
      </w:r>
      <w:r w:rsidR="0053300B" w:rsidRPr="00DF5C23">
        <w:rPr>
          <w:noProof/>
          <w:lang w:val="en-IE" w:eastAsia="ja-JP"/>
        </w:rPr>
        <w:t>第</w:t>
      </w:r>
      <w:r w:rsidR="0053300B" w:rsidRPr="00DF5C23">
        <w:rPr>
          <w:noProof/>
          <w:lang w:val="en-IE" w:eastAsia="ja-JP"/>
        </w:rPr>
        <w:t>4</w:t>
      </w:r>
      <w:r w:rsidR="0053300B" w:rsidRPr="00DF5C23">
        <w:rPr>
          <w:noProof/>
          <w:lang w:val="en-IE" w:eastAsia="ja-JP"/>
        </w:rPr>
        <w:t>条に従って採択された</w:t>
      </w:r>
      <w:r w:rsidR="0681B866" w:rsidRPr="00DF5C23">
        <w:rPr>
          <w:noProof/>
          <w:lang w:val="en-IE" w:eastAsia="ja-JP"/>
        </w:rPr>
        <w:t>委任法は、関係する製品または要求事項の性質を考慮するため、</w:t>
      </w:r>
      <w:r w:rsidR="0681B866" w:rsidRPr="00DF5C23">
        <w:rPr>
          <w:noProof/>
          <w:lang w:val="en-IE" w:eastAsia="ja-JP"/>
        </w:rPr>
        <w:t>10</w:t>
      </w:r>
      <w:r w:rsidR="0681B866" w:rsidRPr="00DF5C23">
        <w:rPr>
          <w:noProof/>
          <w:lang w:val="en-IE" w:eastAsia="ja-JP"/>
        </w:rPr>
        <w:t>年より長い期間または短い期間を指定することができる。</w:t>
      </w:r>
      <w:r w:rsidR="0681B866" w:rsidRPr="00DF5C23">
        <w:rPr>
          <w:noProof/>
          <w:lang w:val="en-IE" w:eastAsia="ja-JP"/>
        </w:rPr>
        <w:t xml:space="preserve"> </w:t>
      </w:r>
    </w:p>
    <w:p w14:paraId="29AACCFA" w14:textId="77777777" w:rsidR="0038775E" w:rsidRDefault="00877B9C" w:rsidP="002041D4">
      <w:pPr>
        <w:pStyle w:val="ManualNumPar1"/>
        <w:wordWrap w:val="0"/>
        <w:rPr>
          <w:noProof/>
          <w:lang w:val="en-IE" w:eastAsia="ja-JP"/>
        </w:rPr>
      </w:pPr>
      <w:r w:rsidRPr="004F5E59">
        <w:rPr>
          <w:lang w:eastAsia="ja-JP"/>
        </w:rPr>
        <w:t>4.</w:t>
      </w:r>
      <w:r w:rsidRPr="004F5E59">
        <w:rPr>
          <w:lang w:eastAsia="ja-JP"/>
        </w:rPr>
        <w:tab/>
      </w:r>
      <w:r w:rsidR="00D87AB9" w:rsidRPr="00DF5C23">
        <w:rPr>
          <w:noProof/>
          <w:lang w:eastAsia="ja-JP"/>
        </w:rPr>
        <w:t>製造事業者は，連続生産が</w:t>
      </w:r>
      <w:r w:rsidR="00354E9E" w:rsidRPr="00DF5C23">
        <w:rPr>
          <w:noProof/>
          <w:lang w:eastAsia="ja-JP"/>
        </w:rPr>
        <w:t>適用される要求事項への</w:t>
      </w:r>
      <w:r w:rsidR="00D87AB9" w:rsidRPr="00DF5C23">
        <w:rPr>
          <w:noProof/>
          <w:lang w:eastAsia="ja-JP"/>
        </w:rPr>
        <w:t>適合を維持するための手順が整備されていることを確</w:t>
      </w:r>
      <w:r w:rsidR="00D87AB9" w:rsidRPr="00DF5C23">
        <w:rPr>
          <w:noProof/>
          <w:lang w:eastAsia="ja-JP"/>
        </w:rPr>
        <w:t xml:space="preserve"> </w:t>
      </w:r>
      <w:r w:rsidR="00D87AB9" w:rsidRPr="00DF5C23">
        <w:rPr>
          <w:noProof/>
          <w:lang w:eastAsia="ja-JP"/>
        </w:rPr>
        <w:t>認しなければならない。製造工程、製品設計又は特性の変更、並びに製品の適合性が</w:t>
      </w:r>
      <w:r w:rsidR="0681B866" w:rsidRPr="00DF5C23">
        <w:rPr>
          <w:noProof/>
          <w:lang w:val="en-IE" w:eastAsia="ja-JP"/>
        </w:rPr>
        <w:t>宣言され又はその適合性が検証される基準となる</w:t>
      </w:r>
      <w:r w:rsidR="00D87AB9" w:rsidRPr="00DF5C23">
        <w:rPr>
          <w:noProof/>
          <w:lang w:eastAsia="ja-JP"/>
        </w:rPr>
        <w:t>整合規格、共通仕様又はその他の技術仕様の変更は、</w:t>
      </w:r>
      <w:r w:rsidR="00354E9E" w:rsidRPr="00DF5C23">
        <w:rPr>
          <w:noProof/>
          <w:lang w:val="en-IE" w:eastAsia="ja-JP"/>
        </w:rPr>
        <w:t>製造業者が</w:t>
      </w:r>
      <w:r w:rsidR="0681B866" w:rsidRPr="00DF5C23">
        <w:rPr>
          <w:noProof/>
          <w:lang w:val="en-IE" w:eastAsia="ja-JP"/>
        </w:rPr>
        <w:t>適切に考慮しなければならず、製品の適合性に影響がある</w:t>
      </w:r>
      <w:r w:rsidR="00354E9E" w:rsidRPr="00DF5C23">
        <w:rPr>
          <w:noProof/>
          <w:lang w:val="en-IE" w:eastAsia="ja-JP"/>
        </w:rPr>
        <w:t>ことが判明した場合、製造業者は、</w:t>
      </w:r>
      <w:r w:rsidR="0053300B" w:rsidRPr="00DF5C23">
        <w:rPr>
          <w:noProof/>
          <w:lang w:val="en-IE" w:eastAsia="ja-JP"/>
        </w:rPr>
        <w:t>第</w:t>
      </w:r>
      <w:r w:rsidR="0053300B" w:rsidRPr="00DF5C23">
        <w:rPr>
          <w:noProof/>
          <w:lang w:val="en-IE" w:eastAsia="ja-JP"/>
        </w:rPr>
        <w:t>4</w:t>
      </w:r>
      <w:r w:rsidR="0053300B" w:rsidRPr="00DF5C23">
        <w:rPr>
          <w:noProof/>
          <w:lang w:val="en-IE" w:eastAsia="ja-JP"/>
        </w:rPr>
        <w:t>条に従って採択された</w:t>
      </w:r>
      <w:r w:rsidR="00354E9E" w:rsidRPr="00DF5C23">
        <w:rPr>
          <w:noProof/>
          <w:color w:val="000000" w:themeColor="text1"/>
          <w:lang w:val="en-IE" w:eastAsia="ja-JP"/>
        </w:rPr>
        <w:t>委任</w:t>
      </w:r>
      <w:r w:rsidR="00354E9E" w:rsidRPr="00DF5C23">
        <w:rPr>
          <w:noProof/>
          <w:lang w:val="en-IE" w:eastAsia="ja-JP"/>
        </w:rPr>
        <w:t>法に規定する</w:t>
      </w:r>
      <w:r w:rsidR="0681B866" w:rsidRPr="00DF5C23">
        <w:rPr>
          <w:noProof/>
          <w:lang w:val="en-IE" w:eastAsia="ja-JP"/>
        </w:rPr>
        <w:t>適合性評価手続に従って再評価を実施し</w:t>
      </w:r>
      <w:r w:rsidR="00354E9E" w:rsidRPr="00DF5C23">
        <w:rPr>
          <w:noProof/>
          <w:lang w:val="en-IE" w:eastAsia="ja-JP"/>
        </w:rPr>
        <w:t>又は</w:t>
      </w:r>
      <w:r w:rsidR="00354E9E" w:rsidRPr="00DF5C23">
        <w:rPr>
          <w:noProof/>
          <w:lang w:eastAsia="ja-JP"/>
        </w:rPr>
        <w:t>その代わりに</w:t>
      </w:r>
      <w:r w:rsidR="00354E9E" w:rsidRPr="00DF5C23">
        <w:rPr>
          <w:noProof/>
          <w:lang w:val="en-IE" w:eastAsia="ja-JP"/>
        </w:rPr>
        <w:t>実施させるものとする</w:t>
      </w:r>
      <w:r w:rsidR="0681B866" w:rsidRPr="00DF5C23">
        <w:rPr>
          <w:noProof/>
          <w:lang w:val="en-IE" w:eastAsia="ja-JP"/>
        </w:rPr>
        <w:t>。</w:t>
      </w:r>
    </w:p>
    <w:p w14:paraId="18865AAE" w14:textId="77777777" w:rsidR="0038775E" w:rsidRDefault="00877B9C" w:rsidP="002041D4">
      <w:pPr>
        <w:pStyle w:val="ManualNumPar1"/>
        <w:wordWrap w:val="0"/>
        <w:rPr>
          <w:noProof/>
          <w:lang w:val="en-IE" w:eastAsia="ja-JP"/>
        </w:rPr>
      </w:pPr>
      <w:r w:rsidRPr="004F5E59">
        <w:rPr>
          <w:lang w:eastAsia="ja-JP"/>
        </w:rPr>
        <w:t>5.</w:t>
      </w:r>
      <w:r w:rsidRPr="004F5E59">
        <w:rPr>
          <w:lang w:eastAsia="ja-JP"/>
        </w:rPr>
        <w:tab/>
      </w:r>
      <w:r w:rsidR="0681B866" w:rsidRPr="00DF5C23">
        <w:rPr>
          <w:noProof/>
          <w:lang w:val="en-IE" w:eastAsia="ja-JP"/>
        </w:rPr>
        <w:t>製造者は、製品に型番、バッチ番号、シリアル番号又は識別可能なその他の要素が付されていること、又は製品のサイズ又は性質が</w:t>
      </w:r>
      <w:r w:rsidR="00D80F3B" w:rsidRPr="00DF5C23">
        <w:rPr>
          <w:noProof/>
          <w:lang w:val="en-IE" w:eastAsia="ja-JP"/>
        </w:rPr>
        <w:t>それを</w:t>
      </w:r>
      <w:r w:rsidR="0681B866" w:rsidRPr="00DF5C23">
        <w:rPr>
          <w:noProof/>
          <w:lang w:val="en-IE" w:eastAsia="ja-JP"/>
        </w:rPr>
        <w:t>許さない場合には、必要な情報が包装上又は製品に添付された文書に提供されていることを保証しなければならない。</w:t>
      </w:r>
      <w:r w:rsidR="0681B866" w:rsidRPr="00DF5C23">
        <w:rPr>
          <w:noProof/>
          <w:lang w:val="en-IE" w:eastAsia="ja-JP"/>
        </w:rPr>
        <w:t xml:space="preserve"> </w:t>
      </w:r>
    </w:p>
    <w:p w14:paraId="7551801A" w14:textId="77777777" w:rsidR="0038775E" w:rsidRDefault="00877B9C" w:rsidP="002041D4">
      <w:pPr>
        <w:pStyle w:val="ManualNumPar1"/>
        <w:wordWrap w:val="0"/>
        <w:rPr>
          <w:noProof/>
          <w:lang w:val="en-IE" w:eastAsia="ja-JP"/>
        </w:rPr>
      </w:pPr>
      <w:r w:rsidRPr="004F5E59">
        <w:rPr>
          <w:lang w:eastAsia="ja-JP"/>
        </w:rPr>
        <w:t>6.</w:t>
      </w:r>
      <w:r w:rsidRPr="004F5E59">
        <w:rPr>
          <w:lang w:eastAsia="ja-JP"/>
        </w:rPr>
        <w:tab/>
      </w:r>
      <w:r w:rsidR="00D87AB9" w:rsidRPr="00DF5C23">
        <w:rPr>
          <w:noProof/>
          <w:lang w:eastAsia="ja-JP"/>
        </w:rPr>
        <w:t>製造者は，製品に，その名称，登録商標又は登録商標</w:t>
      </w:r>
      <w:r w:rsidR="00465D84">
        <w:rPr>
          <w:noProof/>
          <w:lang w:eastAsia="ja-JP"/>
        </w:rPr>
        <w:t>，</w:t>
      </w:r>
      <w:r w:rsidR="00D87AB9" w:rsidRPr="00DF5C23">
        <w:rPr>
          <w:noProof/>
          <w:lang w:eastAsia="ja-JP"/>
        </w:rPr>
        <w:t>連絡可能な郵便住所及び</w:t>
      </w:r>
      <w:r w:rsidR="00465D84" w:rsidRPr="00465D84">
        <w:rPr>
          <w:noProof/>
          <w:lang w:eastAsia="fr-BE"/>
        </w:rPr>
        <w:t>可能な場合には電子的通信手段</w:t>
      </w:r>
      <w:r w:rsidR="003A1DDF">
        <w:rPr>
          <w:noProof/>
          <w:lang w:eastAsia="ja-JP"/>
        </w:rPr>
        <w:t>，</w:t>
      </w:r>
      <w:r w:rsidR="00D87AB9" w:rsidRPr="00DF5C23">
        <w:rPr>
          <w:noProof/>
          <w:lang w:eastAsia="ja-JP"/>
        </w:rPr>
        <w:t>又はそれが不可能な場合には，その包装，製品に添付された文書又は可能な場合には製品パスポートに表示しなければならない。住所は、製造者に連絡できる一箇所を示すものとする。連絡先の詳細は、明確で、理解しやすく、読みやすいものでなければならない</w:t>
      </w:r>
      <w:r w:rsidR="00DC7B18" w:rsidRPr="00DF5C23">
        <w:rPr>
          <w:noProof/>
          <w:lang w:eastAsia="ja-JP"/>
        </w:rPr>
        <w:t>。</w:t>
      </w:r>
    </w:p>
    <w:p w14:paraId="52AC5CCE" w14:textId="77777777" w:rsidR="0038775E" w:rsidRDefault="00877B9C" w:rsidP="002041D4">
      <w:pPr>
        <w:pStyle w:val="ManualNumPar1"/>
        <w:wordWrap w:val="0"/>
        <w:rPr>
          <w:noProof/>
          <w:lang w:val="en-IE" w:eastAsia="ja-JP"/>
        </w:rPr>
      </w:pPr>
      <w:r w:rsidRPr="004F5E59">
        <w:rPr>
          <w:lang w:eastAsia="ja-JP"/>
        </w:rPr>
        <w:t>7.</w:t>
      </w:r>
      <w:r w:rsidRPr="004F5E59">
        <w:rPr>
          <w:lang w:eastAsia="ja-JP"/>
        </w:rPr>
        <w:tab/>
      </w:r>
      <w:r w:rsidR="00646885" w:rsidRPr="00DF5C23">
        <w:rPr>
          <w:noProof/>
          <w:lang w:val="en-IE" w:eastAsia="ja-JP"/>
        </w:rPr>
        <w:t>製造者は、</w:t>
      </w:r>
      <w:r w:rsidR="00354170" w:rsidRPr="00DF5C23">
        <w:rPr>
          <w:noProof/>
          <w:lang w:val="en-IE" w:eastAsia="fr-BE"/>
        </w:rPr>
        <w:t>第</w:t>
      </w:r>
      <w:r w:rsidR="00354170" w:rsidRPr="00DF5C23">
        <w:rPr>
          <w:noProof/>
          <w:lang w:val="en-IE" w:eastAsia="fr-BE"/>
        </w:rPr>
        <w:t>4</w:t>
      </w:r>
      <w:r w:rsidR="00354170" w:rsidRPr="00DF5C23">
        <w:rPr>
          <w:noProof/>
          <w:lang w:val="en-IE" w:eastAsia="fr-BE"/>
        </w:rPr>
        <w:t>条に従って採択された</w:t>
      </w:r>
      <w:r w:rsidR="00354170" w:rsidRPr="00DF5C23">
        <w:rPr>
          <w:noProof/>
          <w:lang w:val="en-IE" w:eastAsia="ja-JP"/>
        </w:rPr>
        <w:t>委任法の対象となる</w:t>
      </w:r>
      <w:r w:rsidR="00646885" w:rsidRPr="00DF5C23">
        <w:rPr>
          <w:noProof/>
          <w:lang w:val="en-IE" w:eastAsia="ja-JP"/>
        </w:rPr>
        <w:t>製品に、当該加盟国が定めるところにより、</w:t>
      </w:r>
      <w:r w:rsidR="00D87AB9" w:rsidRPr="00DF5C23">
        <w:rPr>
          <w:noProof/>
          <w:lang w:eastAsia="ja-JP"/>
        </w:rPr>
        <w:t>消費者</w:t>
      </w:r>
      <w:r w:rsidR="00C065B3" w:rsidRPr="00DF5C23">
        <w:rPr>
          <w:noProof/>
          <w:lang w:eastAsia="ja-JP"/>
        </w:rPr>
        <w:t>及びその他のエンドユーザーが</w:t>
      </w:r>
      <w:r w:rsidR="00646885" w:rsidRPr="00DF5C23">
        <w:rPr>
          <w:noProof/>
          <w:lang w:val="en-IE" w:eastAsia="ja-JP"/>
        </w:rPr>
        <w:t>容易に理解できる言語で、</w:t>
      </w:r>
      <w:r w:rsidR="00D87AB9" w:rsidRPr="00DF5C23">
        <w:rPr>
          <w:noProof/>
          <w:lang w:eastAsia="ja-JP"/>
        </w:rPr>
        <w:t>当該製品を</w:t>
      </w:r>
      <w:r w:rsidR="00924D94" w:rsidRPr="00DF5C23">
        <w:rPr>
          <w:noProof/>
          <w:lang w:eastAsia="ja-JP"/>
        </w:rPr>
        <w:t>安全に</w:t>
      </w:r>
      <w:r w:rsidR="00D87AB9" w:rsidRPr="00DF5C23">
        <w:rPr>
          <w:noProof/>
          <w:lang w:eastAsia="ja-JP"/>
        </w:rPr>
        <w:t>組立、設置、操作、保管、保守、修理及び廃棄することを可能に</w:t>
      </w:r>
      <w:r w:rsidR="00ED7380" w:rsidRPr="00DF5C23">
        <w:rPr>
          <w:noProof/>
          <w:lang w:val="en-IE" w:eastAsia="ja-JP"/>
        </w:rPr>
        <w:t>する</w:t>
      </w:r>
      <w:r w:rsidR="00646885" w:rsidRPr="00DF5C23">
        <w:rPr>
          <w:noProof/>
          <w:lang w:val="en-IE" w:eastAsia="ja-JP"/>
        </w:rPr>
        <w:t>説明書を添付する</w:t>
      </w:r>
      <w:r w:rsidR="00F44899" w:rsidRPr="00DF5C23">
        <w:rPr>
          <w:noProof/>
          <w:lang w:val="en-IE" w:eastAsia="ja-JP"/>
        </w:rPr>
        <w:t>ことを</w:t>
      </w:r>
      <w:r w:rsidR="00646885" w:rsidRPr="00DF5C23">
        <w:rPr>
          <w:noProof/>
          <w:lang w:val="en-IE" w:eastAsia="ja-JP"/>
        </w:rPr>
        <w:t>確実にしなければならない。当該指示は、明確で、理解しやすく、読みやすいものでなければ</w:t>
      </w:r>
      <w:r w:rsidR="008F54C8" w:rsidRPr="00DF5C23">
        <w:rPr>
          <w:noProof/>
          <w:lang w:val="en-IE" w:eastAsia="ja-JP"/>
        </w:rPr>
        <w:t>ならず、少なくとも、</w:t>
      </w:r>
      <w:r w:rsidR="00214C38" w:rsidRPr="00DF5C23">
        <w:rPr>
          <w:noProof/>
          <w:lang w:val="en-IE" w:eastAsia="ja-JP"/>
        </w:rPr>
        <w:t>第</w:t>
      </w:r>
      <w:r w:rsidR="00214C38" w:rsidRPr="00DF5C23">
        <w:rPr>
          <w:noProof/>
          <w:lang w:val="en-IE" w:eastAsia="ja-JP"/>
        </w:rPr>
        <w:t>4</w:t>
      </w:r>
      <w:r w:rsidR="00214C38" w:rsidRPr="00DF5C23">
        <w:rPr>
          <w:noProof/>
          <w:lang w:val="en-IE" w:eastAsia="ja-JP"/>
        </w:rPr>
        <w:t>条に従って採択された</w:t>
      </w:r>
      <w:r w:rsidR="008F54C8" w:rsidRPr="00DF5C23">
        <w:rPr>
          <w:noProof/>
          <w:lang w:val="en-IE" w:eastAsia="ja-JP"/>
        </w:rPr>
        <w:t>委任法</w:t>
      </w:r>
      <w:r w:rsidR="00321240" w:rsidRPr="00DF5C23">
        <w:rPr>
          <w:noProof/>
          <w:lang w:val="en-IE" w:eastAsia="ja-JP"/>
        </w:rPr>
        <w:t>及び</w:t>
      </w:r>
      <w:r w:rsidR="008F54C8" w:rsidRPr="00DF5C23">
        <w:rPr>
          <w:noProof/>
          <w:lang w:val="en-IE" w:eastAsia="ja-JP"/>
        </w:rPr>
        <w:t>第</w:t>
      </w:r>
      <w:r w:rsidR="008F54C8" w:rsidRPr="00DF5C23">
        <w:rPr>
          <w:noProof/>
          <w:lang w:val="en-IE" w:eastAsia="ja-JP"/>
        </w:rPr>
        <w:t>7</w:t>
      </w:r>
      <w:r w:rsidR="008F54C8" w:rsidRPr="00DF5C23">
        <w:rPr>
          <w:noProof/>
          <w:lang w:val="en-IE" w:eastAsia="ja-JP"/>
        </w:rPr>
        <w:t>条（</w:t>
      </w:r>
      <w:r w:rsidR="00DB47ED" w:rsidRPr="00DF5C23">
        <w:rPr>
          <w:noProof/>
          <w:lang w:val="en-IE" w:eastAsia="ja-JP"/>
        </w:rPr>
        <w:t>2</w:t>
      </w:r>
      <w:r w:rsidR="008F54C8" w:rsidRPr="00DF5C23">
        <w:rPr>
          <w:noProof/>
          <w:lang w:val="en-IE" w:eastAsia="ja-JP"/>
        </w:rPr>
        <w:t>）（</w:t>
      </w:r>
      <w:r w:rsidR="008F54C8" w:rsidRPr="00DF5C23">
        <w:rPr>
          <w:noProof/>
          <w:lang w:val="en-IE" w:eastAsia="ja-JP"/>
        </w:rPr>
        <w:t>b</w:t>
      </w:r>
      <w:r w:rsidR="008F54C8" w:rsidRPr="00DF5C23">
        <w:rPr>
          <w:noProof/>
          <w:lang w:val="en-IE" w:eastAsia="ja-JP"/>
        </w:rPr>
        <w:t>）の</w:t>
      </w:r>
      <w:r w:rsidR="00ED7380" w:rsidRPr="00DF5C23">
        <w:rPr>
          <w:noProof/>
          <w:lang w:val="en-IE" w:eastAsia="ja-JP"/>
        </w:rPr>
        <w:t>点（</w:t>
      </w:r>
      <w:r w:rsidR="00ED7380" w:rsidRPr="00DF5C23">
        <w:rPr>
          <w:noProof/>
          <w:lang w:val="en-IE" w:eastAsia="ja-JP"/>
        </w:rPr>
        <w:t>ii</w:t>
      </w:r>
      <w:r w:rsidR="008F54C8" w:rsidRPr="00DF5C23">
        <w:rPr>
          <w:noProof/>
          <w:lang w:val="en-IE" w:eastAsia="ja-JP"/>
        </w:rPr>
        <w:t>）に従って指定された情報を含む</w:t>
      </w:r>
      <w:r w:rsidR="00646885" w:rsidRPr="00DF5C23">
        <w:rPr>
          <w:noProof/>
          <w:lang w:val="en-IE" w:eastAsia="ja-JP"/>
        </w:rPr>
        <w:t>。</w:t>
      </w:r>
    </w:p>
    <w:p w14:paraId="39713250" w14:textId="77777777" w:rsidR="0038775E" w:rsidRDefault="00877B9C" w:rsidP="002041D4">
      <w:pPr>
        <w:pStyle w:val="ManualNumPar1"/>
        <w:wordWrap w:val="0"/>
        <w:rPr>
          <w:noProof/>
          <w:lang w:val="en-IE" w:eastAsia="ja-JP"/>
        </w:rPr>
      </w:pPr>
      <w:r w:rsidRPr="004F5E59">
        <w:rPr>
          <w:lang w:eastAsia="ja-JP"/>
        </w:rPr>
        <w:t>8.</w:t>
      </w:r>
      <w:r w:rsidRPr="004F5E59">
        <w:rPr>
          <w:lang w:eastAsia="ja-JP"/>
        </w:rPr>
        <w:tab/>
      </w:r>
      <w:r w:rsidR="00FD7DBE" w:rsidRPr="00DF5C23">
        <w:rPr>
          <w:noProof/>
          <w:lang w:val="en-IE" w:eastAsia="fr-BE"/>
        </w:rPr>
        <w:t>第</w:t>
      </w:r>
      <w:r w:rsidR="00FD7DBE" w:rsidRPr="00DF5C23">
        <w:rPr>
          <w:noProof/>
          <w:lang w:val="en-IE" w:eastAsia="fr-BE"/>
        </w:rPr>
        <w:t>4</w:t>
      </w:r>
      <w:r w:rsidR="00FD7DBE" w:rsidRPr="00DF5C23">
        <w:rPr>
          <w:noProof/>
          <w:lang w:val="en-IE" w:eastAsia="fr-BE"/>
        </w:rPr>
        <w:t>条に従って採択された</w:t>
      </w:r>
      <w:r w:rsidR="00505A61" w:rsidRPr="00DF5C23">
        <w:rPr>
          <w:noProof/>
          <w:lang w:val="en-IE" w:eastAsia="ja-JP"/>
        </w:rPr>
        <w:t>委任法の</w:t>
      </w:r>
      <w:r w:rsidR="00646885" w:rsidRPr="00DF5C23">
        <w:rPr>
          <w:noProof/>
          <w:lang w:val="en-IE" w:eastAsia="ja-JP"/>
        </w:rPr>
        <w:t>対象となる</w:t>
      </w:r>
      <w:r w:rsidR="00D87AB9" w:rsidRPr="00DF5C23">
        <w:rPr>
          <w:noProof/>
          <w:lang w:val="en-IE" w:eastAsia="ja-JP"/>
        </w:rPr>
        <w:t>製品で、</w:t>
      </w:r>
      <w:r w:rsidR="00646885" w:rsidRPr="00DF5C23">
        <w:rPr>
          <w:noProof/>
          <w:lang w:val="en-IE" w:eastAsia="ja-JP"/>
        </w:rPr>
        <w:t>その製品が市場に出さ</w:t>
      </w:r>
      <w:r w:rsidR="00ED7380" w:rsidRPr="00DF5C23">
        <w:rPr>
          <w:noProof/>
          <w:lang w:val="en-IE" w:eastAsia="ja-JP"/>
        </w:rPr>
        <w:t>れ</w:t>
      </w:r>
      <w:r w:rsidR="005C4CCB" w:rsidRPr="00DF5C23">
        <w:rPr>
          <w:noProof/>
          <w:lang w:val="en-IE" w:eastAsia="ja-JP"/>
        </w:rPr>
        <w:t>、又は使用に供されたものが、</w:t>
      </w:r>
      <w:r w:rsidR="00ED7380" w:rsidRPr="00DF5C23">
        <w:rPr>
          <w:noProof/>
          <w:lang w:val="en-IE" w:eastAsia="ja-JP"/>
        </w:rPr>
        <w:t>これらの</w:t>
      </w:r>
      <w:r w:rsidR="00505A61" w:rsidRPr="00DF5C23">
        <w:rPr>
          <w:noProof/>
          <w:lang w:val="en-IE" w:eastAsia="ja-JP"/>
        </w:rPr>
        <w:t>委任</w:t>
      </w:r>
      <w:r w:rsidR="00ED7380" w:rsidRPr="00DF5C23">
        <w:rPr>
          <w:noProof/>
          <w:lang w:val="en-IE" w:eastAsia="ja-JP"/>
        </w:rPr>
        <w:t>法に</w:t>
      </w:r>
      <w:r w:rsidR="00646885" w:rsidRPr="00DF5C23">
        <w:rPr>
          <w:noProof/>
          <w:lang w:val="en-IE" w:eastAsia="ja-JP"/>
        </w:rPr>
        <w:t>定める要件に適合していないと考え、又はそう信じる理由がある製造業者は、当該製品を適合させるために必要な是正措置を直ちにとり、適切であれば撤回又は回収するものとする。</w:t>
      </w:r>
      <w:r w:rsidR="00646885" w:rsidRPr="00DF5C23">
        <w:rPr>
          <w:noProof/>
          <w:lang w:val="en-IE" w:eastAsia="ja-JP"/>
        </w:rPr>
        <w:t xml:space="preserve"> </w:t>
      </w:r>
    </w:p>
    <w:p w14:paraId="46A3FAFB" w14:textId="77777777" w:rsidR="0038775E" w:rsidRDefault="00877B9C" w:rsidP="002041D4">
      <w:pPr>
        <w:pStyle w:val="Text1"/>
        <w:wordWrap w:val="0"/>
        <w:rPr>
          <w:noProof/>
          <w:lang w:val="en-IE" w:eastAsia="ja-JP"/>
        </w:rPr>
      </w:pPr>
      <w:r w:rsidRPr="00DF5C23">
        <w:rPr>
          <w:noProof/>
          <w:lang w:val="en-IE" w:eastAsia="ja-JP"/>
        </w:rPr>
        <w:t>製造者は、</w:t>
      </w:r>
      <w:r w:rsidR="00120A25" w:rsidRPr="00DF5C23">
        <w:rPr>
          <w:noProof/>
          <w:lang w:val="en-IE" w:eastAsia="ja-JP"/>
        </w:rPr>
        <w:t>製品を入手可能にした加盟国の市場監視当局に、違反の疑いがあること、および講じた是正措置を直ちに報告する。</w:t>
      </w:r>
    </w:p>
    <w:p w14:paraId="1BE059CF" w14:textId="77777777" w:rsidR="0038775E" w:rsidRDefault="00877B9C" w:rsidP="002041D4">
      <w:pPr>
        <w:pStyle w:val="ManualNumPar1"/>
        <w:wordWrap w:val="0"/>
        <w:rPr>
          <w:noProof/>
          <w:lang w:val="en-IE" w:eastAsia="ja-JP"/>
        </w:rPr>
      </w:pPr>
      <w:r w:rsidRPr="004F5E59">
        <w:rPr>
          <w:lang w:eastAsia="ja-JP"/>
        </w:rPr>
        <w:lastRenderedPageBreak/>
        <w:t>9.</w:t>
      </w:r>
      <w:r w:rsidRPr="004F5E59">
        <w:rPr>
          <w:lang w:eastAsia="ja-JP"/>
        </w:rPr>
        <w:tab/>
      </w:r>
      <w:r w:rsidR="00646885" w:rsidRPr="00DF5C23">
        <w:rPr>
          <w:noProof/>
          <w:lang w:val="en-IE" w:eastAsia="ja-JP"/>
        </w:rPr>
        <w:t>製造者は、管轄の国家当局からの理由ある要求があれば、当該当局が容易に理解</w:t>
      </w:r>
      <w:r w:rsidR="00D87AB9" w:rsidRPr="00DF5C23">
        <w:rPr>
          <w:noProof/>
          <w:lang w:val="en-IE" w:eastAsia="ja-JP"/>
        </w:rPr>
        <w:t>できる</w:t>
      </w:r>
      <w:r w:rsidR="00646885" w:rsidRPr="00DF5C23">
        <w:rPr>
          <w:noProof/>
          <w:lang w:val="en-IE" w:eastAsia="ja-JP"/>
        </w:rPr>
        <w:t>言語による</w:t>
      </w:r>
      <w:r w:rsidR="00D55B2C" w:rsidRPr="00DF5C23">
        <w:rPr>
          <w:noProof/>
          <w:lang w:val="en-IE" w:eastAsia="ja-JP"/>
        </w:rPr>
        <w:t>技術文書を含む、</w:t>
      </w:r>
      <w:r w:rsidR="00646885" w:rsidRPr="00DF5C23">
        <w:rPr>
          <w:noProof/>
          <w:lang w:val="en-IE" w:eastAsia="ja-JP"/>
        </w:rPr>
        <w:t>製品の適合性を実証する</w:t>
      </w:r>
      <w:r w:rsidR="00D55B2C" w:rsidRPr="00DF5C23">
        <w:rPr>
          <w:noProof/>
          <w:lang w:val="en-IE" w:eastAsia="ja-JP"/>
        </w:rPr>
        <w:t>ために必要な</w:t>
      </w:r>
      <w:r w:rsidR="00646885" w:rsidRPr="00DF5C23">
        <w:rPr>
          <w:noProof/>
          <w:lang w:val="en-IE" w:eastAsia="ja-JP"/>
        </w:rPr>
        <w:t>すべての情報及び文書を提供するものとする。その情報及び文書は、紙又は電子のいずれかの形式で提供されなければならない。</w:t>
      </w:r>
      <w:r w:rsidR="00D55B2C" w:rsidRPr="00DF5C23">
        <w:rPr>
          <w:noProof/>
          <w:lang w:val="en-IE" w:eastAsia="ja-JP"/>
        </w:rPr>
        <w:t>関連文書は、管轄の国家機関の要請を受けた日から</w:t>
      </w:r>
      <w:r w:rsidR="00D55B2C" w:rsidRPr="00DF5C23">
        <w:rPr>
          <w:noProof/>
          <w:lang w:val="en-IE" w:eastAsia="ja-JP"/>
        </w:rPr>
        <w:t>10</w:t>
      </w:r>
      <w:r w:rsidR="00D55B2C" w:rsidRPr="00DF5C23">
        <w:rPr>
          <w:noProof/>
          <w:lang w:val="en-IE" w:eastAsia="ja-JP"/>
        </w:rPr>
        <w:t>日以内に提供されなければならない。</w:t>
      </w:r>
    </w:p>
    <w:p w14:paraId="08E21FE3" w14:textId="77777777" w:rsidR="0038775E" w:rsidRDefault="00877B9C" w:rsidP="002041D4">
      <w:pPr>
        <w:pStyle w:val="Text1"/>
        <w:wordWrap w:val="0"/>
        <w:rPr>
          <w:noProof/>
          <w:lang w:val="en-IE" w:eastAsia="ja-JP"/>
        </w:rPr>
      </w:pPr>
      <w:r w:rsidRPr="00DF5C23">
        <w:rPr>
          <w:noProof/>
          <w:lang w:val="en-IE" w:eastAsia="ja-JP"/>
        </w:rPr>
        <w:t>製造者は、</w:t>
      </w:r>
      <w:r w:rsidR="003E7E96" w:rsidRPr="00DF5C23">
        <w:rPr>
          <w:noProof/>
          <w:lang w:val="en-IE" w:eastAsia="ja-JP"/>
        </w:rPr>
        <w:t>第</w:t>
      </w:r>
      <w:r w:rsidR="003E7E96" w:rsidRPr="00DF5C23">
        <w:rPr>
          <w:noProof/>
          <w:lang w:val="en-IE" w:eastAsia="ja-JP"/>
        </w:rPr>
        <w:t>4</w:t>
      </w:r>
      <w:r w:rsidRPr="00DF5C23">
        <w:rPr>
          <w:noProof/>
          <w:lang w:val="en-IE" w:eastAsia="ja-JP"/>
        </w:rPr>
        <w:t>条に従って採択された</w:t>
      </w:r>
      <w:r w:rsidR="0681B866" w:rsidRPr="00DF5C23">
        <w:rPr>
          <w:noProof/>
          <w:lang w:val="en-IE" w:eastAsia="ja-JP"/>
        </w:rPr>
        <w:t>委任</w:t>
      </w:r>
      <w:r w:rsidR="000946C5" w:rsidRPr="00DF5C23">
        <w:rPr>
          <w:noProof/>
          <w:lang w:val="en-IE" w:eastAsia="ja-JP"/>
        </w:rPr>
        <w:t>法に規定された要求事項</w:t>
      </w:r>
      <w:r w:rsidR="0681B866" w:rsidRPr="00DF5C23">
        <w:rPr>
          <w:noProof/>
          <w:lang w:val="en-IE" w:eastAsia="ja-JP"/>
        </w:rPr>
        <w:t>への不遵守を是正するためにとられた措置で、</w:t>
      </w:r>
      <w:r w:rsidR="000946C5" w:rsidRPr="00DF5C23">
        <w:rPr>
          <w:noProof/>
          <w:lang w:val="en-IE" w:eastAsia="ja-JP"/>
        </w:rPr>
        <w:t>当該製品が対象となるものについて、</w:t>
      </w:r>
      <w:r w:rsidRPr="00DF5C23">
        <w:rPr>
          <w:noProof/>
          <w:lang w:val="en-IE" w:eastAsia="ja-JP"/>
        </w:rPr>
        <w:t>管轄の国家</w:t>
      </w:r>
      <w:r w:rsidR="0681B866" w:rsidRPr="00DF5C23">
        <w:rPr>
          <w:noProof/>
          <w:lang w:val="en-IE" w:eastAsia="ja-JP"/>
        </w:rPr>
        <w:t>当局と協力しなければならない。</w:t>
      </w:r>
      <w:r w:rsidR="0681B866" w:rsidRPr="00DF5C23">
        <w:rPr>
          <w:noProof/>
          <w:lang w:val="en-IE" w:eastAsia="ja-JP"/>
        </w:rPr>
        <w:t xml:space="preserve"> </w:t>
      </w:r>
    </w:p>
    <w:p w14:paraId="65EDF817" w14:textId="77777777" w:rsidR="0038775E" w:rsidRDefault="001A4BE8" w:rsidP="002041D4">
      <w:pPr>
        <w:pStyle w:val="Titrearticle"/>
        <w:wordWrap w:val="0"/>
        <w:rPr>
          <w:noProof/>
          <w:lang w:val="en-IE" w:eastAsia="fr-BE"/>
        </w:rPr>
      </w:pPr>
      <w:r w:rsidRPr="00DF5C23">
        <w:rPr>
          <w:noProof/>
          <w:lang w:val="en-IE" w:eastAsia="fr-BE"/>
        </w:rPr>
        <w:t>第</w:t>
      </w:r>
      <w:r w:rsidRPr="00DF5C23">
        <w:rPr>
          <w:noProof/>
          <w:lang w:val="en-IE" w:eastAsia="fr-BE"/>
        </w:rPr>
        <w:t>22</w:t>
      </w:r>
      <w:r w:rsidR="00877B9C" w:rsidRPr="00DF5C23">
        <w:rPr>
          <w:noProof/>
          <w:lang w:val="en-IE" w:eastAsia="fr-BE"/>
        </w:rPr>
        <w:t>条</w:t>
      </w:r>
      <w:r w:rsidR="00877B9C" w:rsidRPr="00DF5C23">
        <w:rPr>
          <w:noProof/>
          <w:lang w:eastAsia="ja-JP"/>
        </w:rPr>
        <w:br/>
      </w:r>
      <w:r w:rsidR="00877B9C" w:rsidRPr="00DF5C23">
        <w:rPr>
          <w:noProof/>
          <w:lang w:val="en-IE" w:eastAsia="fr-BE"/>
        </w:rPr>
        <w:t>正規代理店</w:t>
      </w:r>
    </w:p>
    <w:p w14:paraId="75538622" w14:textId="77777777" w:rsidR="0038775E" w:rsidRDefault="00877B9C" w:rsidP="002041D4">
      <w:pPr>
        <w:pStyle w:val="ManualNumPar1"/>
        <w:wordWrap w:val="0"/>
        <w:rPr>
          <w:noProof/>
          <w:lang w:val="en-IE" w:eastAsia="fr-BE"/>
        </w:rPr>
      </w:pPr>
      <w:r w:rsidRPr="004F5E59">
        <w:rPr>
          <w:lang w:eastAsia="ja-JP"/>
        </w:rPr>
        <w:t>1.</w:t>
      </w:r>
      <w:r w:rsidRPr="004F5E59">
        <w:rPr>
          <w:lang w:eastAsia="ja-JP"/>
        </w:rPr>
        <w:tab/>
      </w:r>
      <w:r w:rsidR="0681B866" w:rsidRPr="00DF5C23">
        <w:rPr>
          <w:noProof/>
          <w:lang w:val="en-IE" w:eastAsia="fr-BE"/>
        </w:rPr>
        <w:t>製造者は、書面による委任により、公認代理人を任命することができる。</w:t>
      </w:r>
    </w:p>
    <w:p w14:paraId="204DC941" w14:textId="77777777" w:rsidR="0038775E" w:rsidRDefault="00E41BDB" w:rsidP="002041D4">
      <w:pPr>
        <w:pStyle w:val="Text1"/>
        <w:wordWrap w:val="0"/>
        <w:rPr>
          <w:noProof/>
          <w:lang w:val="en-IE" w:eastAsia="fr-BE"/>
        </w:rPr>
      </w:pPr>
      <w:r w:rsidRPr="00DF5C23">
        <w:rPr>
          <w:noProof/>
          <w:lang w:val="en-IE" w:eastAsia="fr-BE"/>
        </w:rPr>
        <w:t>第</w:t>
      </w:r>
      <w:r w:rsidRPr="00DF5C23">
        <w:rPr>
          <w:noProof/>
          <w:lang w:val="en-IE" w:eastAsia="fr-BE"/>
        </w:rPr>
        <w:t>21</w:t>
      </w:r>
      <w:r w:rsidRPr="00DF5C23">
        <w:rPr>
          <w:noProof/>
          <w:lang w:val="en-IE" w:eastAsia="fr-BE"/>
        </w:rPr>
        <w:t>条</w:t>
      </w:r>
      <w:r w:rsidR="00877B9C" w:rsidRPr="00DF5C23">
        <w:rPr>
          <w:noProof/>
          <w:lang w:val="en-IE" w:eastAsia="fr-BE"/>
        </w:rPr>
        <w:t>(1)</w:t>
      </w:r>
      <w:r w:rsidR="00877B9C" w:rsidRPr="00DF5C23">
        <w:rPr>
          <w:noProof/>
          <w:lang w:val="en-IE" w:eastAsia="fr-BE"/>
        </w:rPr>
        <w:t>に定める義務及び技術文書の作成は、公認代理人の職務権限の一部を構成しないものとする</w:t>
      </w:r>
      <w:r w:rsidR="00D87AB9" w:rsidRPr="00DF5C23">
        <w:rPr>
          <w:noProof/>
          <w:lang w:val="en-IE" w:eastAsia="fr-BE"/>
        </w:rPr>
        <w:t>。</w:t>
      </w:r>
    </w:p>
    <w:p w14:paraId="632E82AD" w14:textId="77777777" w:rsidR="0038775E" w:rsidRDefault="00877B9C" w:rsidP="002041D4">
      <w:pPr>
        <w:pStyle w:val="ManualNumPar1"/>
        <w:wordWrap w:val="0"/>
        <w:rPr>
          <w:noProof/>
          <w:lang w:val="en-IE" w:eastAsia="ja-JP"/>
        </w:rPr>
      </w:pPr>
      <w:r w:rsidRPr="004F5E59">
        <w:rPr>
          <w:lang w:eastAsia="ja-JP"/>
        </w:rPr>
        <w:t>2.</w:t>
      </w:r>
      <w:r w:rsidRPr="004F5E59">
        <w:rPr>
          <w:lang w:eastAsia="ja-JP"/>
        </w:rPr>
        <w:tab/>
      </w:r>
      <w:r w:rsidR="0681B866" w:rsidRPr="00DF5C23">
        <w:rPr>
          <w:noProof/>
          <w:lang w:val="en-IE" w:eastAsia="ja-JP"/>
        </w:rPr>
        <w:t>認定代理店は、製造者から受領した委任状で指定された業務を行うものとする。委任状は、認定代理人が少なくとも以下のことを行うことを許可するものとする：</w:t>
      </w:r>
    </w:p>
    <w:p w14:paraId="0A580C4E" w14:textId="77777777" w:rsidR="0038775E" w:rsidRDefault="00877B9C" w:rsidP="002041D4">
      <w:pPr>
        <w:pStyle w:val="Point1"/>
        <w:wordWrap w:val="0"/>
        <w:rPr>
          <w:noProof/>
          <w:lang w:val="en-IE" w:eastAsia="fr-BE"/>
        </w:rPr>
      </w:pPr>
      <w:r w:rsidRPr="004F5E59">
        <w:rPr>
          <w:lang w:eastAsia="ja-JP"/>
        </w:rPr>
        <w:t>(a)</w:t>
      </w:r>
      <w:r w:rsidRPr="004F5E59">
        <w:rPr>
          <w:lang w:eastAsia="ja-JP"/>
        </w:rPr>
        <w:tab/>
      </w:r>
      <w:r w:rsidR="00FD7DBE" w:rsidRPr="00DF5C23">
        <w:rPr>
          <w:noProof/>
          <w:lang w:val="en-IE" w:eastAsia="fr-BE"/>
        </w:rPr>
        <w:t>第</w:t>
      </w:r>
      <w:r w:rsidR="00FD7DBE" w:rsidRPr="00DF5C23">
        <w:rPr>
          <w:noProof/>
          <w:lang w:val="en-IE" w:eastAsia="fr-BE"/>
        </w:rPr>
        <w:t>4</w:t>
      </w:r>
      <w:r w:rsidR="00FD7DBE" w:rsidRPr="00DF5C23">
        <w:rPr>
          <w:noProof/>
          <w:lang w:val="en-IE" w:eastAsia="fr-BE"/>
        </w:rPr>
        <w:t>条に従って採択された</w:t>
      </w:r>
      <w:r w:rsidR="00032027" w:rsidRPr="00DF5C23">
        <w:rPr>
          <w:noProof/>
          <w:lang w:val="en-IE" w:eastAsia="fr-BE"/>
        </w:rPr>
        <w:t>委任法の</w:t>
      </w:r>
      <w:r w:rsidR="00032027" w:rsidRPr="00DF5C23">
        <w:rPr>
          <w:noProof/>
          <w:lang w:val="en-IE" w:eastAsia="ja-JP"/>
        </w:rPr>
        <w:t>対象となる</w:t>
      </w:r>
      <w:r w:rsidR="00123D3E" w:rsidRPr="00DF5C23">
        <w:rPr>
          <w:noProof/>
          <w:lang w:val="en-IE" w:eastAsia="fr-BE"/>
        </w:rPr>
        <w:t>製品が上市</w:t>
      </w:r>
      <w:r w:rsidR="005C4CCB" w:rsidRPr="00DF5C23">
        <w:rPr>
          <w:noProof/>
          <w:lang w:val="en-IE" w:eastAsia="fr-BE"/>
        </w:rPr>
        <w:t>または使用開始された</w:t>
      </w:r>
      <w:r w:rsidR="00123D3E" w:rsidRPr="00DF5C23">
        <w:rPr>
          <w:noProof/>
          <w:lang w:val="en-IE" w:eastAsia="fr-BE"/>
        </w:rPr>
        <w:t>後</w:t>
      </w:r>
      <w:r w:rsidR="00D87AB9" w:rsidRPr="00DF5C23">
        <w:rPr>
          <w:noProof/>
          <w:lang w:val="en-IE" w:eastAsia="fr-BE"/>
        </w:rPr>
        <w:t>10</w:t>
      </w:r>
      <w:r w:rsidR="00123D3E" w:rsidRPr="00DF5C23">
        <w:rPr>
          <w:noProof/>
          <w:lang w:val="en-IE" w:eastAsia="fr-BE"/>
        </w:rPr>
        <w:t>年間、</w:t>
      </w:r>
      <w:r w:rsidR="00123D3E" w:rsidRPr="00DF5C23">
        <w:rPr>
          <w:noProof/>
          <w:lang w:val="en-IE" w:eastAsia="fr-BE"/>
        </w:rPr>
        <w:t>EU</w:t>
      </w:r>
      <w:r w:rsidR="00123D3E" w:rsidRPr="00DF5C23">
        <w:rPr>
          <w:noProof/>
          <w:lang w:val="en-IE" w:eastAsia="fr-BE"/>
        </w:rPr>
        <w:t>適合宣言書および技術文書を各国の市場監視当局の手元に置いておくこと；</w:t>
      </w:r>
    </w:p>
    <w:p w14:paraId="6EDCBD90" w14:textId="77777777" w:rsidR="0038775E" w:rsidRDefault="00877B9C" w:rsidP="002041D4">
      <w:pPr>
        <w:pStyle w:val="Point1"/>
        <w:wordWrap w:val="0"/>
        <w:rPr>
          <w:noProof/>
          <w:lang w:val="en-IE" w:eastAsia="fr-BE"/>
        </w:rPr>
      </w:pPr>
      <w:r w:rsidRPr="004F5E59">
        <w:rPr>
          <w:lang w:eastAsia="ja-JP"/>
        </w:rPr>
        <w:t>(b)</w:t>
      </w:r>
      <w:r w:rsidRPr="004F5E59">
        <w:rPr>
          <w:lang w:eastAsia="ja-JP"/>
        </w:rPr>
        <w:tab/>
      </w:r>
      <w:r w:rsidR="00123D3E" w:rsidRPr="00DF5C23">
        <w:rPr>
          <w:noProof/>
          <w:lang w:val="en-IE" w:eastAsia="fr-BE"/>
        </w:rPr>
        <w:t>権限のある代理人の委任の対象となる製品の</w:t>
      </w:r>
      <w:r w:rsidR="00032027" w:rsidRPr="00DF5C23">
        <w:rPr>
          <w:noProof/>
          <w:lang w:val="en-IE" w:eastAsia="fr-BE"/>
        </w:rPr>
        <w:t>不適合に関して</w:t>
      </w:r>
      <w:r w:rsidR="00123D3E" w:rsidRPr="00DF5C23">
        <w:rPr>
          <w:noProof/>
          <w:lang w:val="en-IE" w:eastAsia="fr-BE"/>
        </w:rPr>
        <w:t>取られた措置について、その要請に応じて、管轄の国家当局と協力する</w:t>
      </w:r>
      <w:r w:rsidR="00032027" w:rsidRPr="00DF5C23">
        <w:rPr>
          <w:noProof/>
          <w:lang w:val="en-IE" w:eastAsia="fr-BE"/>
        </w:rPr>
        <w:t>こと；</w:t>
      </w:r>
    </w:p>
    <w:p w14:paraId="2561241E" w14:textId="77777777" w:rsidR="0038775E" w:rsidRDefault="00877B9C" w:rsidP="002041D4">
      <w:pPr>
        <w:pStyle w:val="Point1"/>
        <w:wordWrap w:val="0"/>
        <w:rPr>
          <w:noProof/>
          <w:lang w:val="en-IE" w:eastAsia="fr-BE"/>
        </w:rPr>
      </w:pPr>
      <w:r w:rsidRPr="004F5E59">
        <w:rPr>
          <w:lang w:eastAsia="ja-JP"/>
        </w:rPr>
        <w:t>(c)</w:t>
      </w:r>
      <w:r w:rsidRPr="004F5E59">
        <w:rPr>
          <w:lang w:eastAsia="ja-JP"/>
        </w:rPr>
        <w:tab/>
      </w:r>
      <w:r w:rsidR="0681B866" w:rsidRPr="00DF5C23">
        <w:rPr>
          <w:noProof/>
          <w:lang w:val="en-IE" w:eastAsia="fr-BE"/>
        </w:rPr>
        <w:t>管轄の国家機関から合理的な要求があった場合、製品の適合性を証明するために必要なすべての情報および文書を、その国家</w:t>
      </w:r>
      <w:r w:rsidR="00F63A85" w:rsidRPr="00DF5C23">
        <w:rPr>
          <w:noProof/>
          <w:lang w:val="en-IE" w:eastAsia="fr-BE"/>
        </w:rPr>
        <w:t>機関が</w:t>
      </w:r>
      <w:r w:rsidR="0681B866" w:rsidRPr="00DF5C23">
        <w:rPr>
          <w:noProof/>
          <w:lang w:val="en-IE" w:eastAsia="fr-BE"/>
        </w:rPr>
        <w:t>容易に理解</w:t>
      </w:r>
      <w:r w:rsidR="00D87AB9" w:rsidRPr="00DF5C23">
        <w:rPr>
          <w:noProof/>
          <w:lang w:val="en-IE" w:eastAsia="fr-BE"/>
        </w:rPr>
        <w:t>できる</w:t>
      </w:r>
      <w:r w:rsidR="0681B866" w:rsidRPr="00DF5C23">
        <w:rPr>
          <w:noProof/>
          <w:lang w:val="en-IE" w:eastAsia="fr-BE"/>
        </w:rPr>
        <w:t>言語で提供すること；</w:t>
      </w:r>
      <w:r w:rsidR="0681B866" w:rsidRPr="00DF5C23">
        <w:rPr>
          <w:noProof/>
          <w:lang w:val="en-IE" w:eastAsia="fr-BE"/>
        </w:rPr>
        <w:t xml:space="preserve"> </w:t>
      </w:r>
    </w:p>
    <w:p w14:paraId="1AB34E78" w14:textId="77777777" w:rsidR="0038775E" w:rsidRDefault="00877B9C" w:rsidP="002041D4">
      <w:pPr>
        <w:pStyle w:val="Point1"/>
        <w:wordWrap w:val="0"/>
        <w:rPr>
          <w:noProof/>
          <w:lang w:val="en-IE" w:eastAsia="fr-BE"/>
        </w:rPr>
      </w:pPr>
      <w:r w:rsidRPr="004F5E59">
        <w:rPr>
          <w:lang w:eastAsia="ja-JP"/>
        </w:rPr>
        <w:t>(d)</w:t>
      </w:r>
      <w:r w:rsidRPr="004F5E59">
        <w:rPr>
          <w:lang w:eastAsia="ja-JP"/>
        </w:rPr>
        <w:tab/>
      </w:r>
      <w:r w:rsidR="00354170" w:rsidRPr="00DF5C23">
        <w:rPr>
          <w:noProof/>
          <w:lang w:val="en-IE" w:eastAsia="fr-BE"/>
        </w:rPr>
        <w:t>管轄の国家</w:t>
      </w:r>
      <w:r w:rsidR="00F63A85" w:rsidRPr="00DF5C23">
        <w:rPr>
          <w:noProof/>
          <w:lang w:val="en-IE" w:eastAsia="fr-BE"/>
        </w:rPr>
        <w:t>機関からの要請があった場合、当該</w:t>
      </w:r>
      <w:r w:rsidR="0681B866" w:rsidRPr="00DF5C23">
        <w:rPr>
          <w:noProof/>
          <w:lang w:val="en-IE" w:eastAsia="fr-BE"/>
        </w:rPr>
        <w:t>要請を受領してから</w:t>
      </w:r>
      <w:r w:rsidR="0681B866" w:rsidRPr="00DF5C23">
        <w:rPr>
          <w:noProof/>
          <w:lang w:val="en-IE" w:eastAsia="fr-BE"/>
        </w:rPr>
        <w:t>10</w:t>
      </w:r>
      <w:r w:rsidR="0681B866" w:rsidRPr="00DF5C23">
        <w:rPr>
          <w:noProof/>
          <w:lang w:val="en-IE" w:eastAsia="fr-BE"/>
        </w:rPr>
        <w:t>日以内に関連文書を提供すること</w:t>
      </w:r>
      <w:r w:rsidR="00F63A85" w:rsidRPr="00DF5C23">
        <w:rPr>
          <w:noProof/>
          <w:lang w:val="en-IE" w:eastAsia="fr-BE"/>
        </w:rPr>
        <w:t>；</w:t>
      </w:r>
    </w:p>
    <w:p w14:paraId="6BD61494" w14:textId="77777777" w:rsidR="0038775E" w:rsidRDefault="00877B9C" w:rsidP="002041D4">
      <w:pPr>
        <w:pStyle w:val="Point1"/>
        <w:wordWrap w:val="0"/>
        <w:rPr>
          <w:noProof/>
          <w:lang w:val="en-IE" w:eastAsia="fr-BE"/>
        </w:rPr>
      </w:pPr>
      <w:r w:rsidRPr="004F5E59">
        <w:rPr>
          <w:lang w:eastAsia="ja-JP"/>
        </w:rPr>
        <w:t>(e)</w:t>
      </w:r>
      <w:r w:rsidRPr="004F5E59">
        <w:rPr>
          <w:lang w:eastAsia="ja-JP"/>
        </w:rPr>
        <w:tab/>
      </w:r>
      <w:r w:rsidR="00014A6A" w:rsidRPr="00DF5C23">
        <w:rPr>
          <w:noProof/>
          <w:lang w:val="en-IE" w:eastAsia="fr-BE"/>
        </w:rPr>
        <w:t>製造者が本規則及び</w:t>
      </w:r>
      <w:r w:rsidR="00FD7DBE" w:rsidRPr="00DF5C23">
        <w:rPr>
          <w:noProof/>
          <w:lang w:val="en-IE" w:eastAsia="fr-BE"/>
        </w:rPr>
        <w:t>第</w:t>
      </w:r>
      <w:r w:rsidR="00FD7DBE" w:rsidRPr="00DF5C23">
        <w:rPr>
          <w:noProof/>
          <w:lang w:val="en-IE" w:eastAsia="fr-BE"/>
        </w:rPr>
        <w:t>4</w:t>
      </w:r>
      <w:r w:rsidR="00FD7DBE" w:rsidRPr="00DF5C23">
        <w:rPr>
          <w:noProof/>
          <w:lang w:val="en-IE" w:eastAsia="fr-BE"/>
        </w:rPr>
        <w:t>条に従って採択された</w:t>
      </w:r>
      <w:r w:rsidR="00BB75FA" w:rsidRPr="00DF5C23">
        <w:rPr>
          <w:noProof/>
          <w:lang w:val="en-IE" w:eastAsia="fr-BE"/>
        </w:rPr>
        <w:t>委任行為に</w:t>
      </w:r>
      <w:r w:rsidR="00014A6A" w:rsidRPr="00DF5C23">
        <w:rPr>
          <w:noProof/>
          <w:lang w:val="en-IE" w:eastAsia="fr-BE"/>
        </w:rPr>
        <w:t>基づく義務に反する行為を行った場合、委任を終了すること</w:t>
      </w:r>
      <w:r w:rsidR="00975334" w:rsidRPr="00DF5C23">
        <w:rPr>
          <w:noProof/>
          <w:lang w:val="en-IE" w:eastAsia="fr-BE"/>
        </w:rPr>
        <w:t>。</w:t>
      </w:r>
    </w:p>
    <w:p w14:paraId="0EE05A72" w14:textId="77777777" w:rsidR="0038775E" w:rsidRDefault="001A4BE8" w:rsidP="002041D4">
      <w:pPr>
        <w:pStyle w:val="Titrearticle"/>
        <w:wordWrap w:val="0"/>
        <w:rPr>
          <w:noProof/>
          <w:lang w:val="en-IE" w:eastAsia="fr-BE"/>
        </w:rPr>
      </w:pPr>
      <w:r w:rsidRPr="00DF5C23">
        <w:rPr>
          <w:noProof/>
          <w:lang w:val="en-IE" w:eastAsia="fr-BE"/>
        </w:rPr>
        <w:t>第</w:t>
      </w:r>
      <w:r w:rsidRPr="00DF5C23">
        <w:rPr>
          <w:noProof/>
          <w:lang w:val="en-IE" w:eastAsia="fr-BE"/>
        </w:rPr>
        <w:t>23</w:t>
      </w:r>
      <w:r w:rsidR="00877B9C" w:rsidRPr="00DF5C23">
        <w:rPr>
          <w:noProof/>
          <w:lang w:val="en-IE" w:eastAsia="fr-BE"/>
        </w:rPr>
        <w:t>条</w:t>
      </w:r>
      <w:r w:rsidR="00646885" w:rsidRPr="00DF5C23">
        <w:rPr>
          <w:noProof/>
          <w:lang w:eastAsia="ja-JP"/>
        </w:rPr>
        <w:br/>
      </w:r>
      <w:r w:rsidR="00877B9C" w:rsidRPr="00DF5C23">
        <w:rPr>
          <w:noProof/>
          <w:lang w:val="en-IE" w:eastAsia="fr-BE"/>
        </w:rPr>
        <w:t>輸入者の義務</w:t>
      </w:r>
    </w:p>
    <w:p w14:paraId="4FFA7173" w14:textId="77777777" w:rsidR="0038775E" w:rsidRDefault="00877B9C" w:rsidP="002041D4">
      <w:pPr>
        <w:pStyle w:val="ManualNumPar1"/>
        <w:wordWrap w:val="0"/>
        <w:rPr>
          <w:noProof/>
          <w:lang w:val="en-IE" w:eastAsia="fr-BE"/>
        </w:rPr>
      </w:pPr>
      <w:r w:rsidRPr="004F5E59">
        <w:rPr>
          <w:lang w:eastAsia="ja-JP"/>
        </w:rPr>
        <w:t>1.</w:t>
      </w:r>
      <w:r w:rsidRPr="004F5E59">
        <w:rPr>
          <w:lang w:eastAsia="ja-JP"/>
        </w:rPr>
        <w:tab/>
      </w:r>
      <w:r w:rsidR="00646885" w:rsidRPr="00DF5C23">
        <w:rPr>
          <w:noProof/>
          <w:lang w:val="en-IE" w:eastAsia="fr-BE"/>
        </w:rPr>
        <w:t>輸入者は、</w:t>
      </w:r>
      <w:r w:rsidR="00FD7DBE" w:rsidRPr="00DF5C23">
        <w:rPr>
          <w:noProof/>
          <w:lang w:val="en-IE" w:eastAsia="fr-BE"/>
        </w:rPr>
        <w:t>第</w:t>
      </w:r>
      <w:r w:rsidR="00FD7DBE" w:rsidRPr="00DF5C23">
        <w:rPr>
          <w:noProof/>
          <w:lang w:val="en-IE" w:eastAsia="fr-BE"/>
        </w:rPr>
        <w:t>4</w:t>
      </w:r>
      <w:r w:rsidR="00FD7DBE" w:rsidRPr="00DF5C23">
        <w:rPr>
          <w:noProof/>
          <w:lang w:val="en-IE" w:eastAsia="fr-BE"/>
        </w:rPr>
        <w:t>条に従って採択された</w:t>
      </w:r>
      <w:r w:rsidR="00715D90" w:rsidRPr="00DF5C23">
        <w:rPr>
          <w:noProof/>
          <w:lang w:val="en-IE" w:eastAsia="fr-BE"/>
        </w:rPr>
        <w:t>委任法の</w:t>
      </w:r>
      <w:r w:rsidR="00646885" w:rsidRPr="00DF5C23">
        <w:rPr>
          <w:noProof/>
          <w:lang w:val="en-IE" w:eastAsia="fr-BE"/>
        </w:rPr>
        <w:t>対象となる製品のうち、適用される</w:t>
      </w:r>
      <w:r w:rsidR="00BB75FA" w:rsidRPr="00DF5C23">
        <w:rPr>
          <w:noProof/>
          <w:lang w:val="en-IE" w:eastAsia="fr-BE"/>
        </w:rPr>
        <w:t>委任</w:t>
      </w:r>
      <w:r w:rsidR="00646885" w:rsidRPr="00DF5C23">
        <w:rPr>
          <w:noProof/>
          <w:lang w:val="en-IE" w:eastAsia="fr-BE"/>
        </w:rPr>
        <w:t>法に定める要件に適合するもののみを市場に投入するものとする。</w:t>
      </w:r>
    </w:p>
    <w:p w14:paraId="55DF1ECB" w14:textId="77777777" w:rsidR="0038775E" w:rsidRDefault="00877B9C" w:rsidP="002041D4">
      <w:pPr>
        <w:pStyle w:val="ManualNumPar1"/>
        <w:wordWrap w:val="0"/>
        <w:rPr>
          <w:noProof/>
          <w:lang w:val="en-IE" w:eastAsia="fr-BE"/>
        </w:rPr>
      </w:pPr>
      <w:r w:rsidRPr="004F5E59">
        <w:rPr>
          <w:lang w:eastAsia="ja-JP"/>
        </w:rPr>
        <w:t>2.</w:t>
      </w:r>
      <w:r w:rsidRPr="004F5E59">
        <w:rPr>
          <w:lang w:eastAsia="ja-JP"/>
        </w:rPr>
        <w:tab/>
      </w:r>
      <w:r w:rsidR="00FD7DBE" w:rsidRPr="00DF5C23">
        <w:rPr>
          <w:noProof/>
          <w:lang w:val="en-IE" w:eastAsia="fr-BE"/>
        </w:rPr>
        <w:t>第</w:t>
      </w:r>
      <w:r w:rsidR="00FD7DBE" w:rsidRPr="00DF5C23">
        <w:rPr>
          <w:noProof/>
          <w:lang w:val="en-IE" w:eastAsia="fr-BE"/>
        </w:rPr>
        <w:t>4</w:t>
      </w:r>
      <w:r w:rsidR="00FD7DBE" w:rsidRPr="00DF5C23">
        <w:rPr>
          <w:noProof/>
          <w:lang w:val="en-IE" w:eastAsia="fr-BE"/>
        </w:rPr>
        <w:t>条に従って採択された</w:t>
      </w:r>
      <w:r w:rsidR="00C33BBE" w:rsidRPr="00DF5C23">
        <w:rPr>
          <w:noProof/>
          <w:lang w:val="en-IE" w:eastAsia="fr-BE"/>
        </w:rPr>
        <w:t>委任法の対象となる製品を市場に出す前に</w:t>
      </w:r>
      <w:r w:rsidR="008D7E55" w:rsidRPr="00DF5C23">
        <w:rPr>
          <w:noProof/>
          <w:lang w:val="en-IE" w:eastAsia="fr-BE"/>
        </w:rPr>
        <w:t>、</w:t>
      </w:r>
      <w:r w:rsidR="00C33BBE" w:rsidRPr="00DF5C23">
        <w:rPr>
          <w:noProof/>
          <w:lang w:val="en-IE" w:eastAsia="fr-BE"/>
        </w:rPr>
        <w:t>輸入者は、</w:t>
      </w:r>
      <w:r w:rsidR="00975334" w:rsidRPr="00DF5C23">
        <w:rPr>
          <w:noProof/>
          <w:lang w:val="en-IE" w:eastAsia="fr-BE"/>
        </w:rPr>
        <w:t>以下の</w:t>
      </w:r>
      <w:r w:rsidR="00C33BBE" w:rsidRPr="00DF5C23">
        <w:rPr>
          <w:noProof/>
          <w:lang w:val="en-IE" w:eastAsia="fr-BE"/>
        </w:rPr>
        <w:t>ことを確認しなければならない：</w:t>
      </w:r>
    </w:p>
    <w:p w14:paraId="6BAD3FAA" w14:textId="77777777" w:rsidR="0038775E" w:rsidRDefault="00877B9C" w:rsidP="002041D4">
      <w:pPr>
        <w:pStyle w:val="Point1"/>
        <w:wordWrap w:val="0"/>
        <w:rPr>
          <w:noProof/>
          <w:lang w:val="en-IE" w:eastAsia="fr-BE"/>
        </w:rPr>
      </w:pPr>
      <w:r w:rsidRPr="004F5E59">
        <w:rPr>
          <w:lang w:eastAsia="ja-JP"/>
        </w:rPr>
        <w:t>(a)</w:t>
      </w:r>
      <w:r w:rsidRPr="004F5E59">
        <w:rPr>
          <w:lang w:eastAsia="ja-JP"/>
        </w:rPr>
        <w:tab/>
      </w:r>
      <w:r w:rsidR="00C33BBE" w:rsidRPr="00DF5C23">
        <w:rPr>
          <w:noProof/>
          <w:lang w:val="en-IE" w:eastAsia="fr-BE"/>
        </w:rPr>
        <w:t>製造者によって適切な適合性評価手順が実施され、製造者が技術文書を作成したこと；</w:t>
      </w:r>
    </w:p>
    <w:p w14:paraId="70704881" w14:textId="77777777" w:rsidR="0038775E" w:rsidRDefault="00877B9C" w:rsidP="002041D4">
      <w:pPr>
        <w:pStyle w:val="Point1"/>
        <w:wordWrap w:val="0"/>
        <w:rPr>
          <w:noProof/>
          <w:lang w:val="en-IE" w:eastAsia="fr-BE"/>
        </w:rPr>
      </w:pPr>
      <w:r w:rsidRPr="004F5E59">
        <w:rPr>
          <w:lang w:eastAsia="ja-JP"/>
        </w:rPr>
        <w:lastRenderedPageBreak/>
        <w:t>(b)</w:t>
      </w:r>
      <w:r w:rsidRPr="004F5E59">
        <w:rPr>
          <w:lang w:eastAsia="ja-JP"/>
        </w:rPr>
        <w:tab/>
      </w:r>
      <w:r w:rsidR="003E7E96" w:rsidRPr="00DF5C23">
        <w:rPr>
          <w:noProof/>
          <w:lang w:val="en-IE" w:eastAsia="ja-JP"/>
        </w:rPr>
        <w:t>の製品には、第</w:t>
      </w:r>
      <w:r w:rsidR="003E7E96" w:rsidRPr="00DF5C23">
        <w:rPr>
          <w:noProof/>
          <w:lang w:val="en-IE" w:eastAsia="ja-JP"/>
        </w:rPr>
        <w:t>7</w:t>
      </w:r>
      <w:r w:rsidR="003E7E96" w:rsidRPr="00DF5C23">
        <w:rPr>
          <w:noProof/>
          <w:lang w:val="en-IE" w:eastAsia="ja-JP"/>
        </w:rPr>
        <w:t>条および</w:t>
      </w:r>
      <w:r w:rsidR="003E7E96" w:rsidRPr="00DF5C23">
        <w:rPr>
          <w:noProof/>
          <w:lang w:val="en-IE" w:eastAsia="fr-BE"/>
        </w:rPr>
        <w:t>第</w:t>
      </w:r>
      <w:r w:rsidR="003E7E96" w:rsidRPr="00DF5C23">
        <w:rPr>
          <w:noProof/>
          <w:lang w:val="en-IE" w:eastAsia="fr-BE"/>
        </w:rPr>
        <w:t>4</w:t>
      </w:r>
      <w:r w:rsidR="003E7E96" w:rsidRPr="00DF5C23">
        <w:rPr>
          <w:noProof/>
          <w:lang w:val="en-IE" w:eastAsia="fr-BE"/>
        </w:rPr>
        <w:t>条に従って採択された</w:t>
      </w:r>
      <w:r w:rsidR="003E7E96" w:rsidRPr="00DF5C23">
        <w:rPr>
          <w:noProof/>
          <w:color w:val="000000" w:themeColor="text1"/>
          <w:lang w:val="en-IE" w:eastAsia="ja-JP"/>
        </w:rPr>
        <w:t>委任</w:t>
      </w:r>
      <w:r w:rsidR="003E7E96" w:rsidRPr="00DF5C23">
        <w:rPr>
          <w:noProof/>
          <w:lang w:val="en-IE" w:eastAsia="fr-BE"/>
        </w:rPr>
        <w:t>状で要求される情報が添付されています</w:t>
      </w:r>
      <w:r w:rsidR="00C33BBE" w:rsidRPr="00DF5C23">
        <w:rPr>
          <w:noProof/>
          <w:lang w:val="en-IE" w:eastAsia="ja-JP"/>
        </w:rPr>
        <w:t>；</w:t>
      </w:r>
    </w:p>
    <w:p w14:paraId="1E9A5E7F" w14:textId="21A9B0A8" w:rsidR="0038775E" w:rsidRDefault="00877B9C" w:rsidP="002041D4">
      <w:pPr>
        <w:pStyle w:val="Point1"/>
        <w:wordWrap w:val="0"/>
        <w:rPr>
          <w:noProof/>
          <w:lang w:val="en-IE" w:eastAsia="fr-BE"/>
        </w:rPr>
      </w:pPr>
      <w:r w:rsidRPr="004F5E59">
        <w:rPr>
          <w:lang w:eastAsia="ja-JP"/>
        </w:rPr>
        <w:t>(c)</w:t>
      </w:r>
      <w:r w:rsidRPr="004F5E59">
        <w:rPr>
          <w:lang w:eastAsia="ja-JP"/>
        </w:rPr>
        <w:tab/>
      </w:r>
      <w:r w:rsidR="003E7E96" w:rsidRPr="00DF5C23">
        <w:rPr>
          <w:noProof/>
          <w:lang w:val="en-IE" w:eastAsia="ja-JP"/>
        </w:rPr>
        <w:t>第</w:t>
      </w:r>
      <w:r w:rsidR="003E7E96" w:rsidRPr="00DF5C23">
        <w:rPr>
          <w:noProof/>
          <w:lang w:val="en-IE" w:eastAsia="ja-JP"/>
        </w:rPr>
        <w:t>8</w:t>
      </w:r>
      <w:r w:rsidR="003E7E96" w:rsidRPr="00DF5C23">
        <w:rPr>
          <w:noProof/>
          <w:lang w:val="en-IE" w:eastAsia="ja-JP"/>
        </w:rPr>
        <w:t>条および</w:t>
      </w:r>
      <w:r w:rsidR="003E7E96" w:rsidRPr="00DF5C23">
        <w:rPr>
          <w:noProof/>
          <w:lang w:val="en-IE" w:eastAsia="fr-BE"/>
        </w:rPr>
        <w:t>第</w:t>
      </w:r>
      <w:r w:rsidR="003E7E96" w:rsidRPr="00DF5C23">
        <w:rPr>
          <w:noProof/>
          <w:lang w:val="en-IE" w:eastAsia="fr-BE"/>
        </w:rPr>
        <w:t>4</w:t>
      </w:r>
      <w:r w:rsidR="003E7E96" w:rsidRPr="00DF5C23">
        <w:rPr>
          <w:noProof/>
          <w:lang w:val="en-IE" w:eastAsia="fr-BE"/>
        </w:rPr>
        <w:t>条に従って採択された</w:t>
      </w:r>
      <w:r w:rsidR="003E7E96" w:rsidRPr="00DF5C23">
        <w:rPr>
          <w:noProof/>
          <w:color w:val="000000" w:themeColor="text1"/>
          <w:lang w:val="en-IE" w:eastAsia="ja-JP"/>
        </w:rPr>
        <w:t>委任法に基づき、</w:t>
      </w:r>
      <w:r w:rsidR="003E7E96" w:rsidRPr="00DF5C23">
        <w:rPr>
          <w:noProof/>
          <w:lang w:val="en-IE" w:eastAsia="ja-JP"/>
        </w:rPr>
        <w:t>製品パスポートを入手することがで</w:t>
      </w:r>
      <w:r w:rsidR="002041D4">
        <w:rPr>
          <w:noProof/>
          <w:lang w:val="en-IE" w:eastAsia="ja-JP"/>
        </w:rPr>
        <w:t>く</w:t>
      </w:r>
      <w:r w:rsidR="00C33BBE" w:rsidRPr="00DF5C23">
        <w:rPr>
          <w:noProof/>
          <w:lang w:val="en-IE" w:eastAsia="ja-JP"/>
        </w:rPr>
        <w:t>。</w:t>
      </w:r>
      <w:r w:rsidR="00C33BBE" w:rsidRPr="00DF5C23">
        <w:rPr>
          <w:noProof/>
          <w:lang w:val="en-IE" w:eastAsia="ja-JP"/>
        </w:rPr>
        <w:t xml:space="preserve"> </w:t>
      </w:r>
    </w:p>
    <w:p w14:paraId="2327FBB1" w14:textId="7193B104" w:rsidR="0038775E" w:rsidRDefault="00877B9C" w:rsidP="002041D4">
      <w:pPr>
        <w:pStyle w:val="Text1"/>
        <w:wordWrap w:val="0"/>
        <w:rPr>
          <w:noProof/>
          <w:lang w:val="en-IE" w:eastAsia="fr-BE"/>
        </w:rPr>
      </w:pPr>
      <w:r w:rsidRPr="00DF5C23">
        <w:rPr>
          <w:noProof/>
          <w:lang w:val="en-IE" w:eastAsia="fr-BE"/>
        </w:rPr>
        <w:t>輸入者は、さらに、</w:t>
      </w:r>
      <w:r w:rsidR="00646885" w:rsidRPr="00DF5C23">
        <w:rPr>
          <w:noProof/>
          <w:lang w:val="en-IE" w:eastAsia="fr-BE"/>
        </w:rPr>
        <w:t>製品が</w:t>
      </w:r>
      <w:r w:rsidR="00E41BDB" w:rsidRPr="00DF5C23">
        <w:rPr>
          <w:noProof/>
          <w:lang w:val="en-IE" w:eastAsia="fr-BE"/>
        </w:rPr>
        <w:t>第</w:t>
      </w:r>
      <w:r w:rsidR="00E41BDB" w:rsidRPr="00DF5C23">
        <w:rPr>
          <w:noProof/>
          <w:lang w:val="en-IE" w:eastAsia="fr-BE"/>
        </w:rPr>
        <w:t>38</w:t>
      </w:r>
      <w:r w:rsidR="00646885" w:rsidRPr="00DF5C23">
        <w:rPr>
          <w:noProof/>
          <w:lang w:val="en-IE" w:eastAsia="fr-BE"/>
        </w:rPr>
        <w:t>条にいう要求される</w:t>
      </w:r>
      <w:r w:rsidR="00646885" w:rsidRPr="00DF5C23">
        <w:rPr>
          <w:noProof/>
          <w:lang w:val="en-IE" w:eastAsia="fr-BE"/>
        </w:rPr>
        <w:t>CE</w:t>
      </w:r>
      <w:r w:rsidR="00646885" w:rsidRPr="00DF5C23">
        <w:rPr>
          <w:noProof/>
          <w:lang w:val="en-IE" w:eastAsia="fr-BE"/>
        </w:rPr>
        <w:t>マーキング</w:t>
      </w:r>
      <w:r w:rsidR="003E7E96" w:rsidRPr="00DF5C23">
        <w:rPr>
          <w:noProof/>
          <w:lang w:val="en-IE" w:eastAsia="fr-BE"/>
        </w:rPr>
        <w:t>、又は第</w:t>
      </w:r>
      <w:r w:rsidR="003E7E96" w:rsidRPr="00DF5C23">
        <w:rPr>
          <w:noProof/>
          <w:lang w:val="en-IE" w:eastAsia="fr-BE"/>
        </w:rPr>
        <w:t>4</w:t>
      </w:r>
      <w:r w:rsidR="003E7E96" w:rsidRPr="00DF5C23">
        <w:rPr>
          <w:noProof/>
          <w:lang w:val="en-IE" w:eastAsia="fr-BE"/>
        </w:rPr>
        <w:t>条</w:t>
      </w:r>
      <w:r w:rsidR="002438E5" w:rsidRPr="00DF5C23">
        <w:rPr>
          <w:noProof/>
          <w:lang w:val="en-IE" w:eastAsia="fr-BE"/>
        </w:rPr>
        <w:t>第</w:t>
      </w:r>
      <w:r w:rsidR="002438E5" w:rsidRPr="00DF5C23">
        <w:rPr>
          <w:noProof/>
          <w:lang w:val="en-IE" w:eastAsia="fr-BE"/>
        </w:rPr>
        <w:t>3</w:t>
      </w:r>
      <w:r w:rsidR="002438E5" w:rsidRPr="00DF5C23">
        <w:rPr>
          <w:noProof/>
          <w:lang w:val="en-IE" w:eastAsia="fr-BE"/>
        </w:rPr>
        <w:t>項</w:t>
      </w:r>
      <w:r w:rsidR="003E7E96" w:rsidRPr="00DF5C23">
        <w:rPr>
          <w:noProof/>
          <w:lang w:val="en-IE" w:eastAsia="fr-BE"/>
        </w:rPr>
        <w:t>第</w:t>
      </w:r>
      <w:r w:rsidR="003E7E96" w:rsidRPr="00DF5C23">
        <w:rPr>
          <w:noProof/>
          <w:lang w:val="en-IE" w:eastAsia="fr-BE"/>
        </w:rPr>
        <w:t>(</w:t>
      </w:r>
      <w:r w:rsidR="00AD4B9A" w:rsidRPr="00DF5C23">
        <w:rPr>
          <w:noProof/>
          <w:lang w:val="en-IE" w:eastAsia="fr-BE"/>
        </w:rPr>
        <w:t>f</w:t>
      </w:r>
      <w:r w:rsidR="003E7E96" w:rsidRPr="00DF5C23">
        <w:rPr>
          <w:noProof/>
          <w:lang w:val="en-IE" w:eastAsia="fr-BE"/>
        </w:rPr>
        <w:t>)</w:t>
      </w:r>
      <w:r w:rsidR="003E7E96" w:rsidRPr="00DF5C23">
        <w:rPr>
          <w:noProof/>
          <w:lang w:val="en-IE" w:eastAsia="fr-BE"/>
        </w:rPr>
        <w:t>号に従って</w:t>
      </w:r>
      <w:r w:rsidR="00283506" w:rsidRPr="00DF5C23">
        <w:rPr>
          <w:noProof/>
          <w:lang w:val="en-IE" w:eastAsia="fr-BE"/>
        </w:rPr>
        <w:t>採択された委任法に規定される</w:t>
      </w:r>
      <w:r w:rsidR="003E7E96" w:rsidRPr="00DF5C23">
        <w:rPr>
          <w:noProof/>
          <w:lang w:val="en-IE" w:eastAsia="fr-BE"/>
        </w:rPr>
        <w:t>代替適合</w:t>
      </w:r>
      <w:r w:rsidR="00283506" w:rsidRPr="00DF5C23">
        <w:rPr>
          <w:noProof/>
          <w:lang w:val="en-IE" w:eastAsia="fr-BE"/>
        </w:rPr>
        <w:t>マーキングを</w:t>
      </w:r>
      <w:r w:rsidR="00646885" w:rsidRPr="00DF5C23">
        <w:rPr>
          <w:noProof/>
          <w:lang w:val="en-IE" w:eastAsia="fr-BE"/>
        </w:rPr>
        <w:t>付し、要求される文書を添付し、かつ、製造者が</w:t>
      </w:r>
      <w:r w:rsidR="00E41BDB" w:rsidRPr="00DF5C23">
        <w:rPr>
          <w:noProof/>
          <w:lang w:val="en-IE" w:eastAsia="fr-BE"/>
        </w:rPr>
        <w:t>第</w:t>
      </w:r>
      <w:r w:rsidR="00E41BDB" w:rsidRPr="00DF5C23">
        <w:rPr>
          <w:noProof/>
          <w:lang w:val="en-IE" w:eastAsia="fr-BE"/>
        </w:rPr>
        <w:t>21</w:t>
      </w:r>
      <w:r w:rsidR="00E41BDB" w:rsidRPr="00DF5C23">
        <w:rPr>
          <w:noProof/>
          <w:lang w:val="en-IE" w:eastAsia="fr-BE"/>
        </w:rPr>
        <w:t>条</w:t>
      </w:r>
      <w:r w:rsidR="00646885" w:rsidRPr="00DF5C23">
        <w:rPr>
          <w:noProof/>
          <w:lang w:val="en-IE" w:eastAsia="fr-BE"/>
        </w:rPr>
        <w:t>第</w:t>
      </w:r>
      <w:r w:rsidR="00646885" w:rsidRPr="00DF5C23">
        <w:rPr>
          <w:noProof/>
          <w:lang w:val="en-IE" w:eastAsia="fr-BE"/>
        </w:rPr>
        <w:t>5</w:t>
      </w:r>
      <w:r w:rsidR="00646885" w:rsidRPr="00DF5C23">
        <w:rPr>
          <w:noProof/>
          <w:lang w:val="en-IE" w:eastAsia="fr-BE"/>
        </w:rPr>
        <w:t>項及び第</w:t>
      </w:r>
      <w:r w:rsidR="00646885" w:rsidRPr="00DF5C23">
        <w:rPr>
          <w:noProof/>
          <w:lang w:val="en-IE" w:eastAsia="fr-BE"/>
        </w:rPr>
        <w:t>6</w:t>
      </w:r>
      <w:r w:rsidR="00646885" w:rsidRPr="00DF5C23">
        <w:rPr>
          <w:noProof/>
          <w:lang w:val="en-IE" w:eastAsia="fr-BE"/>
        </w:rPr>
        <w:t>項に規定する要求事項に適合していることを</w:t>
      </w:r>
      <w:r w:rsidRPr="00DF5C23">
        <w:rPr>
          <w:noProof/>
          <w:lang w:val="en-IE" w:eastAsia="fr-BE"/>
        </w:rPr>
        <w:t>確認しなければ</w:t>
      </w:r>
      <w:r w:rsidR="002041D4">
        <w:rPr>
          <w:noProof/>
          <w:lang w:val="en-IE" w:eastAsia="fr-BE"/>
        </w:rPr>
        <w:t>ならない</w:t>
      </w:r>
      <w:r w:rsidRPr="00DF5C23">
        <w:rPr>
          <w:noProof/>
          <w:lang w:val="en-IE" w:eastAsia="fr-BE"/>
        </w:rPr>
        <w:t>。</w:t>
      </w:r>
      <w:r w:rsidR="00E0245B" w:rsidRPr="00DF5C23">
        <w:rPr>
          <w:noProof/>
          <w:lang w:val="en-IE" w:eastAsia="fr-BE"/>
        </w:rPr>
        <w:t xml:space="preserve">  </w:t>
      </w:r>
    </w:p>
    <w:p w14:paraId="4FEF68B3" w14:textId="77777777" w:rsidR="0038775E" w:rsidRDefault="008D7E55" w:rsidP="002041D4">
      <w:pPr>
        <w:pStyle w:val="Text1"/>
        <w:wordWrap w:val="0"/>
        <w:rPr>
          <w:noProof/>
          <w:lang w:val="en-IE" w:eastAsia="fr-BE"/>
        </w:rPr>
      </w:pPr>
      <w:r w:rsidRPr="00DF5C23">
        <w:rPr>
          <w:noProof/>
          <w:lang w:val="en-IE" w:eastAsia="fr-BE"/>
        </w:rPr>
        <w:t>輸入</w:t>
      </w:r>
      <w:r w:rsidR="00877B9C" w:rsidRPr="00DF5C23">
        <w:rPr>
          <w:noProof/>
          <w:lang w:val="en-IE" w:eastAsia="fr-BE"/>
        </w:rPr>
        <w:t>者は、製品が</w:t>
      </w:r>
      <w:r w:rsidR="00FD7DBE" w:rsidRPr="00DF5C23">
        <w:rPr>
          <w:noProof/>
          <w:lang w:val="en-IE" w:eastAsia="fr-BE"/>
        </w:rPr>
        <w:t>第</w:t>
      </w:r>
      <w:r w:rsidR="00FD7DBE" w:rsidRPr="00DF5C23">
        <w:rPr>
          <w:noProof/>
          <w:lang w:val="en-IE" w:eastAsia="fr-BE"/>
        </w:rPr>
        <w:t>4</w:t>
      </w:r>
      <w:r w:rsidR="00FD7DBE" w:rsidRPr="00DF5C23">
        <w:rPr>
          <w:noProof/>
          <w:lang w:val="en-IE" w:eastAsia="fr-BE"/>
        </w:rPr>
        <w:t>条に従って採択された</w:t>
      </w:r>
      <w:r w:rsidR="00877B9C" w:rsidRPr="00DF5C23">
        <w:rPr>
          <w:noProof/>
          <w:lang w:val="en-IE" w:eastAsia="fr-BE"/>
        </w:rPr>
        <w:t>適用される</w:t>
      </w:r>
      <w:r w:rsidR="00BB75FA" w:rsidRPr="00DF5C23">
        <w:rPr>
          <w:noProof/>
          <w:lang w:val="en-IE" w:eastAsia="fr-BE"/>
        </w:rPr>
        <w:t>委任</w:t>
      </w:r>
      <w:r w:rsidR="00877B9C" w:rsidRPr="00DF5C23">
        <w:rPr>
          <w:noProof/>
          <w:lang w:val="en-IE" w:eastAsia="fr-BE"/>
        </w:rPr>
        <w:t>法に定める要件に適合していないと考え、またはそう考える理由が</w:t>
      </w:r>
      <w:r w:rsidRPr="00DF5C23">
        <w:rPr>
          <w:noProof/>
          <w:lang w:val="en-IE" w:eastAsia="fr-BE"/>
        </w:rPr>
        <w:t>ある</w:t>
      </w:r>
      <w:r w:rsidR="00877B9C" w:rsidRPr="00DF5C23">
        <w:rPr>
          <w:noProof/>
          <w:lang w:val="en-IE" w:eastAsia="fr-BE"/>
        </w:rPr>
        <w:t>場合</w:t>
      </w:r>
      <w:r w:rsidRPr="00DF5C23">
        <w:rPr>
          <w:noProof/>
          <w:lang w:val="en-IE" w:eastAsia="fr-BE"/>
        </w:rPr>
        <w:t>、製品が</w:t>
      </w:r>
      <w:r w:rsidR="00877B9C" w:rsidRPr="00DF5C23">
        <w:rPr>
          <w:noProof/>
          <w:lang w:val="en-IE" w:eastAsia="fr-BE"/>
        </w:rPr>
        <w:t>適合するようになるまで、製品を市場に出し</w:t>
      </w:r>
      <w:r w:rsidR="00861E2E" w:rsidRPr="00DF5C23">
        <w:rPr>
          <w:noProof/>
          <w:lang w:val="en-IE" w:eastAsia="fr-BE"/>
        </w:rPr>
        <w:t>、または使用させてはならない。</w:t>
      </w:r>
      <w:r w:rsidR="00861E2E" w:rsidRPr="00DF5C23">
        <w:rPr>
          <w:noProof/>
          <w:lang w:val="en-IE" w:eastAsia="fr-BE"/>
        </w:rPr>
        <w:t xml:space="preserve"> </w:t>
      </w:r>
    </w:p>
    <w:p w14:paraId="2E908C18" w14:textId="77777777" w:rsidR="0038775E" w:rsidRDefault="00877B9C" w:rsidP="002041D4">
      <w:pPr>
        <w:pStyle w:val="ManualNumPar1"/>
        <w:wordWrap w:val="0"/>
        <w:rPr>
          <w:noProof/>
          <w:lang w:val="en-IE" w:eastAsia="fr-BE"/>
        </w:rPr>
      </w:pPr>
      <w:r w:rsidRPr="004F5E59">
        <w:rPr>
          <w:lang w:eastAsia="ja-JP"/>
        </w:rPr>
        <w:t>3.</w:t>
      </w:r>
      <w:r w:rsidRPr="004F5E59">
        <w:rPr>
          <w:lang w:eastAsia="ja-JP"/>
        </w:rPr>
        <w:tab/>
      </w:r>
      <w:r w:rsidR="00D87AB9" w:rsidRPr="00DF5C23">
        <w:rPr>
          <w:noProof/>
          <w:lang w:eastAsia="fr-BE"/>
        </w:rPr>
        <w:t>輸入者は、製品に、その氏名、登録商標又は登録商標</w:t>
      </w:r>
      <w:r w:rsidR="00465D84">
        <w:rPr>
          <w:noProof/>
          <w:lang w:eastAsia="fr-BE"/>
        </w:rPr>
        <w:t>、</w:t>
      </w:r>
      <w:r w:rsidR="00D87AB9" w:rsidRPr="00DF5C23">
        <w:rPr>
          <w:noProof/>
          <w:lang w:eastAsia="fr-BE"/>
        </w:rPr>
        <w:t>連絡可能な郵便住所及び</w:t>
      </w:r>
      <w:r w:rsidR="00465D84" w:rsidRPr="00465D84">
        <w:rPr>
          <w:noProof/>
          <w:lang w:eastAsia="fr-BE"/>
        </w:rPr>
        <w:t>可能な場合は電子通信</w:t>
      </w:r>
      <w:r w:rsidR="00465D84">
        <w:rPr>
          <w:noProof/>
          <w:lang w:eastAsia="fr-BE"/>
        </w:rPr>
        <w:t>手段を</w:t>
      </w:r>
      <w:r w:rsidR="00D87AB9" w:rsidRPr="00DF5C23">
        <w:rPr>
          <w:noProof/>
          <w:lang w:eastAsia="fr-BE"/>
        </w:rPr>
        <w:t>表示するか、それが不可能な場合は、包装、製品に添付する文書又は可能な場合は製品パスポートに表示しなければならない。連絡先の詳細は、明確で、理解しやすく、読みやすいものでなければならない。</w:t>
      </w:r>
    </w:p>
    <w:p w14:paraId="7A5B523A" w14:textId="77777777" w:rsidR="0038775E" w:rsidRDefault="00877B9C" w:rsidP="002041D4">
      <w:pPr>
        <w:pStyle w:val="ManualNumPar1"/>
        <w:wordWrap w:val="0"/>
        <w:rPr>
          <w:noProof/>
          <w:lang w:val="en-IE" w:eastAsia="fr-BE"/>
        </w:rPr>
      </w:pPr>
      <w:r w:rsidRPr="004F5E59">
        <w:rPr>
          <w:lang w:eastAsia="ja-JP"/>
        </w:rPr>
        <w:t>4.</w:t>
      </w:r>
      <w:r w:rsidRPr="004F5E59">
        <w:rPr>
          <w:lang w:eastAsia="ja-JP"/>
        </w:rPr>
        <w:tab/>
      </w:r>
      <w:r w:rsidR="00D25DA8" w:rsidRPr="00DF5C23">
        <w:rPr>
          <w:noProof/>
          <w:lang w:val="en-IE" w:eastAsia="fr-BE"/>
        </w:rPr>
        <w:t>輸入者は、消費者が製品の組立、設置、操作、保管、保守、</w:t>
      </w:r>
      <w:r w:rsidR="00675CC8" w:rsidRPr="00DF5C23">
        <w:rPr>
          <w:noProof/>
          <w:lang w:val="en-IE" w:eastAsia="fr-BE"/>
        </w:rPr>
        <w:t>修理</w:t>
      </w:r>
      <w:r w:rsidR="00D25DA8" w:rsidRPr="00DF5C23">
        <w:rPr>
          <w:noProof/>
          <w:lang w:val="en-IE" w:eastAsia="fr-BE"/>
        </w:rPr>
        <w:t>及び廃棄を行うことができるよう</w:t>
      </w:r>
      <w:r w:rsidR="00AA491B" w:rsidRPr="00DF5C23">
        <w:rPr>
          <w:noProof/>
          <w:lang w:val="en-IE" w:eastAsia="fr-BE"/>
        </w:rPr>
        <w:t>な</w:t>
      </w:r>
      <w:r w:rsidR="00D25DA8" w:rsidRPr="00DF5C23">
        <w:rPr>
          <w:noProof/>
          <w:lang w:val="en-IE" w:eastAsia="fr-BE"/>
        </w:rPr>
        <w:t>説明書を、</w:t>
      </w:r>
      <w:r w:rsidR="00D87AB9" w:rsidRPr="00DF5C23">
        <w:rPr>
          <w:noProof/>
          <w:lang w:eastAsia="fr-BE"/>
        </w:rPr>
        <w:t>当該加盟国が定める消費者及びその他の最終使用者が容易に理解できる言語で、</w:t>
      </w:r>
      <w:r w:rsidR="00D25DA8" w:rsidRPr="00DF5C23">
        <w:rPr>
          <w:noProof/>
          <w:lang w:val="en-IE" w:eastAsia="fr-BE"/>
        </w:rPr>
        <w:t>製品に添付することを確保しなければならない。</w:t>
      </w:r>
      <w:r w:rsidR="00D87AB9" w:rsidRPr="00DF5C23">
        <w:rPr>
          <w:noProof/>
          <w:lang w:eastAsia="fr-BE"/>
        </w:rPr>
        <w:t>当該説明書は、明確で、理解しやすく、読みやすいものでなければならず</w:t>
      </w:r>
      <w:r w:rsidR="00D87AB9" w:rsidRPr="00DF5C23">
        <w:rPr>
          <w:noProof/>
          <w:lang w:eastAsia="ja-JP"/>
        </w:rPr>
        <w:t>、</w:t>
      </w:r>
      <w:r w:rsidR="008F54C8" w:rsidRPr="00DF5C23">
        <w:rPr>
          <w:noProof/>
          <w:lang w:val="en-IE" w:eastAsia="ja-JP"/>
        </w:rPr>
        <w:t>少なくとも</w:t>
      </w:r>
      <w:r w:rsidR="00FD7DBE" w:rsidRPr="00DF5C23">
        <w:rPr>
          <w:noProof/>
          <w:lang w:val="en-IE" w:eastAsia="fr-BE"/>
        </w:rPr>
        <w:t>第</w:t>
      </w:r>
      <w:r w:rsidR="00FD7DBE" w:rsidRPr="00DF5C23">
        <w:rPr>
          <w:noProof/>
          <w:lang w:val="en-IE" w:eastAsia="fr-BE"/>
        </w:rPr>
        <w:t>4</w:t>
      </w:r>
      <w:r w:rsidR="00FD7DBE" w:rsidRPr="00DF5C23">
        <w:rPr>
          <w:noProof/>
          <w:lang w:val="en-IE" w:eastAsia="fr-BE"/>
        </w:rPr>
        <w:t>条に従って採択された</w:t>
      </w:r>
      <w:r w:rsidR="008F54C8" w:rsidRPr="00DF5C23">
        <w:rPr>
          <w:noProof/>
          <w:lang w:val="en-IE" w:eastAsia="ja-JP"/>
        </w:rPr>
        <w:t>委任行為に規定された情報を含むものとする</w:t>
      </w:r>
      <w:r w:rsidR="00D25DA8" w:rsidRPr="00DF5C23">
        <w:rPr>
          <w:noProof/>
          <w:lang w:val="en-IE" w:eastAsia="fr-BE"/>
        </w:rPr>
        <w:t>。</w:t>
      </w:r>
    </w:p>
    <w:p w14:paraId="1C6E6F49" w14:textId="77777777" w:rsidR="0038775E" w:rsidRDefault="00877B9C" w:rsidP="002041D4">
      <w:pPr>
        <w:pStyle w:val="ManualNumPar1"/>
        <w:wordWrap w:val="0"/>
        <w:rPr>
          <w:noProof/>
          <w:lang w:val="en-IE" w:eastAsia="fr-BE"/>
        </w:rPr>
      </w:pPr>
      <w:r w:rsidRPr="004F5E59">
        <w:rPr>
          <w:lang w:eastAsia="ja-JP"/>
        </w:rPr>
        <w:t>5.</w:t>
      </w:r>
      <w:r w:rsidRPr="004F5E59">
        <w:rPr>
          <w:lang w:eastAsia="ja-JP"/>
        </w:rPr>
        <w:tab/>
      </w:r>
      <w:r w:rsidR="0681B866" w:rsidRPr="00DF5C23">
        <w:rPr>
          <w:noProof/>
          <w:lang w:val="en-IE" w:eastAsia="fr-BE"/>
        </w:rPr>
        <w:t>輸入者は、製品がその責任下にある間、保管又は輸送の条件が、その</w:t>
      </w:r>
      <w:r w:rsidR="00AA491B" w:rsidRPr="00DF5C23">
        <w:rPr>
          <w:noProof/>
          <w:lang w:val="en-IE" w:eastAsia="fr-BE"/>
        </w:rPr>
        <w:t>製品が対象とする</w:t>
      </w:r>
      <w:r w:rsidR="00FD7DBE" w:rsidRPr="00DF5C23">
        <w:rPr>
          <w:noProof/>
          <w:lang w:val="en-IE" w:eastAsia="fr-BE"/>
        </w:rPr>
        <w:t>第</w:t>
      </w:r>
      <w:r w:rsidR="00FD7DBE" w:rsidRPr="00DF5C23">
        <w:rPr>
          <w:noProof/>
          <w:lang w:val="en-IE" w:eastAsia="fr-BE"/>
        </w:rPr>
        <w:t>4</w:t>
      </w:r>
      <w:r w:rsidR="00AA491B" w:rsidRPr="00DF5C23">
        <w:rPr>
          <w:noProof/>
          <w:lang w:val="en-IE" w:eastAsia="fr-BE"/>
        </w:rPr>
        <w:t>条に従って採択された</w:t>
      </w:r>
      <w:r w:rsidR="0681B866" w:rsidRPr="00DF5C23">
        <w:rPr>
          <w:noProof/>
          <w:lang w:val="en-IE" w:eastAsia="fr-BE"/>
        </w:rPr>
        <w:t>委任法に定める要件への適合を危うくしないことを保証するものとする。</w:t>
      </w:r>
    </w:p>
    <w:p w14:paraId="53B012DE" w14:textId="77777777" w:rsidR="0038775E" w:rsidRDefault="00877B9C" w:rsidP="002041D4">
      <w:pPr>
        <w:pStyle w:val="ManualNumPar1"/>
        <w:wordWrap w:val="0"/>
        <w:rPr>
          <w:noProof/>
          <w:lang w:val="en-IE" w:eastAsia="fr-BE"/>
        </w:rPr>
      </w:pPr>
      <w:r w:rsidRPr="004F5E59">
        <w:rPr>
          <w:lang w:eastAsia="ja-JP"/>
        </w:rPr>
        <w:t>6.</w:t>
      </w:r>
      <w:r w:rsidRPr="004F5E59">
        <w:rPr>
          <w:lang w:eastAsia="ja-JP"/>
        </w:rPr>
        <w:tab/>
      </w:r>
      <w:r w:rsidR="00FD7DBE" w:rsidRPr="00DF5C23">
        <w:rPr>
          <w:noProof/>
          <w:lang w:val="en-IE" w:eastAsia="fr-BE"/>
        </w:rPr>
        <w:t>第</w:t>
      </w:r>
      <w:r w:rsidR="00FD7DBE" w:rsidRPr="00DF5C23">
        <w:rPr>
          <w:noProof/>
          <w:lang w:val="en-IE" w:eastAsia="fr-BE"/>
        </w:rPr>
        <w:t>4</w:t>
      </w:r>
      <w:r w:rsidR="00FD7DBE" w:rsidRPr="00DF5C23">
        <w:rPr>
          <w:noProof/>
          <w:lang w:val="en-IE" w:eastAsia="fr-BE"/>
        </w:rPr>
        <w:t>条に従って採択された</w:t>
      </w:r>
      <w:r w:rsidR="00715D90" w:rsidRPr="00DF5C23">
        <w:rPr>
          <w:noProof/>
          <w:lang w:val="en-IE" w:eastAsia="fr-BE"/>
        </w:rPr>
        <w:t>委任法の</w:t>
      </w:r>
      <w:r w:rsidR="00646885" w:rsidRPr="00DF5C23">
        <w:rPr>
          <w:noProof/>
          <w:lang w:val="en-IE" w:eastAsia="fr-BE"/>
        </w:rPr>
        <w:t>対象となる製品で</w:t>
      </w:r>
      <w:r w:rsidR="009634AF" w:rsidRPr="00DF5C23">
        <w:rPr>
          <w:noProof/>
          <w:lang w:val="en-IE" w:eastAsia="fr-BE"/>
        </w:rPr>
        <w:t>あって、</w:t>
      </w:r>
      <w:r w:rsidR="00646885" w:rsidRPr="00DF5C23">
        <w:rPr>
          <w:noProof/>
          <w:lang w:val="en-IE" w:eastAsia="fr-BE"/>
        </w:rPr>
        <w:t>その製品を市場に出し</w:t>
      </w:r>
      <w:r w:rsidR="00861E2E" w:rsidRPr="00DF5C23">
        <w:rPr>
          <w:noProof/>
          <w:lang w:val="en-IE" w:eastAsia="fr-BE"/>
        </w:rPr>
        <w:t>、又は使用に供したものが</w:t>
      </w:r>
      <w:r w:rsidR="00975334" w:rsidRPr="00DF5C23">
        <w:rPr>
          <w:noProof/>
          <w:lang w:val="en-IE" w:eastAsia="fr-BE"/>
        </w:rPr>
        <w:t>、</w:t>
      </w:r>
      <w:r w:rsidR="00AA491B" w:rsidRPr="00DF5C23">
        <w:rPr>
          <w:noProof/>
          <w:lang w:val="en-IE" w:eastAsia="fr-BE"/>
        </w:rPr>
        <w:t>当該</w:t>
      </w:r>
      <w:r w:rsidR="00715D90" w:rsidRPr="00DF5C23">
        <w:rPr>
          <w:noProof/>
          <w:lang w:val="en-IE" w:eastAsia="fr-BE"/>
        </w:rPr>
        <w:t>委任</w:t>
      </w:r>
      <w:r w:rsidR="009634AF" w:rsidRPr="00DF5C23">
        <w:rPr>
          <w:noProof/>
          <w:lang w:val="en-IE" w:eastAsia="fr-BE"/>
        </w:rPr>
        <w:t>法に定める</w:t>
      </w:r>
      <w:r w:rsidR="00646885" w:rsidRPr="00DF5C23">
        <w:rPr>
          <w:noProof/>
          <w:lang w:val="en-IE" w:eastAsia="fr-BE"/>
        </w:rPr>
        <w:t>要件に適合していないと考え、又はそう信じる理由がある輸入者は、当該製品を適合させるために必要な是正措置を直ちにとり、適切な</w:t>
      </w:r>
      <w:r w:rsidR="00D25DA8" w:rsidRPr="00DF5C23">
        <w:rPr>
          <w:noProof/>
          <w:lang w:val="en-IE" w:eastAsia="fr-BE"/>
        </w:rPr>
        <w:t>場合には、</w:t>
      </w:r>
      <w:r w:rsidR="00646885" w:rsidRPr="00DF5C23">
        <w:rPr>
          <w:noProof/>
          <w:lang w:val="en-IE" w:eastAsia="fr-BE"/>
        </w:rPr>
        <w:t>当該製品を撤回し、又は回収する。</w:t>
      </w:r>
      <w:r w:rsidR="00646885" w:rsidRPr="00DF5C23">
        <w:rPr>
          <w:noProof/>
          <w:lang w:val="en-IE" w:eastAsia="fr-BE"/>
        </w:rPr>
        <w:t xml:space="preserve"> </w:t>
      </w:r>
    </w:p>
    <w:p w14:paraId="24D0B634" w14:textId="77777777" w:rsidR="0038775E" w:rsidRDefault="00877B9C" w:rsidP="002041D4">
      <w:pPr>
        <w:pStyle w:val="Text1"/>
        <w:wordWrap w:val="0"/>
        <w:rPr>
          <w:noProof/>
          <w:lang w:val="en-IE" w:eastAsia="ja-JP"/>
        </w:rPr>
      </w:pPr>
      <w:r w:rsidRPr="00DF5C23">
        <w:rPr>
          <w:noProof/>
          <w:lang w:val="en-IE" w:eastAsia="ja-JP"/>
        </w:rPr>
        <w:t>輸入者は、</w:t>
      </w:r>
      <w:r w:rsidR="002C39B8" w:rsidRPr="00DF5C23">
        <w:rPr>
          <w:noProof/>
          <w:lang w:val="en-IE" w:eastAsia="ja-JP"/>
        </w:rPr>
        <w:t>製品を入手可能にした加盟国の市場監視当局に、違反の疑いおよび取られた是正措置について直ちに報告するものとする。</w:t>
      </w:r>
    </w:p>
    <w:p w14:paraId="75EA9D6A" w14:textId="77777777" w:rsidR="0038775E" w:rsidRDefault="00877B9C" w:rsidP="002041D4">
      <w:pPr>
        <w:pStyle w:val="ManualNumPar1"/>
        <w:wordWrap w:val="0"/>
        <w:rPr>
          <w:noProof/>
          <w:lang w:val="en-IE" w:eastAsia="fr-BE"/>
        </w:rPr>
      </w:pPr>
      <w:r w:rsidRPr="004F5E59">
        <w:rPr>
          <w:lang w:eastAsia="ja-JP"/>
        </w:rPr>
        <w:t>7.</w:t>
      </w:r>
      <w:r w:rsidRPr="004F5E59">
        <w:rPr>
          <w:lang w:eastAsia="ja-JP"/>
        </w:rPr>
        <w:tab/>
      </w:r>
      <w:r w:rsidR="0681B866" w:rsidRPr="00DF5C23">
        <w:rPr>
          <w:noProof/>
          <w:lang w:val="en-IE" w:eastAsia="fr-BE"/>
        </w:rPr>
        <w:t>輸入者は、</w:t>
      </w:r>
      <w:r w:rsidR="0681B866" w:rsidRPr="00DF5C23">
        <w:rPr>
          <w:noProof/>
          <w:lang w:val="en-IE" w:eastAsia="fr-BE"/>
        </w:rPr>
        <w:t>10</w:t>
      </w:r>
      <w:r w:rsidR="0681B866" w:rsidRPr="00DF5C23">
        <w:rPr>
          <w:noProof/>
          <w:lang w:val="en-IE" w:eastAsia="fr-BE"/>
        </w:rPr>
        <w:t>年間または</w:t>
      </w:r>
      <w:r w:rsidR="00FD7DBE" w:rsidRPr="00DF5C23">
        <w:rPr>
          <w:noProof/>
          <w:lang w:val="en-IE" w:eastAsia="fr-BE"/>
        </w:rPr>
        <w:t>第</w:t>
      </w:r>
      <w:r w:rsidR="00FD7DBE" w:rsidRPr="00DF5C23">
        <w:rPr>
          <w:noProof/>
          <w:lang w:val="en-IE" w:eastAsia="fr-BE"/>
        </w:rPr>
        <w:t>4</w:t>
      </w:r>
      <w:r w:rsidR="0681B866" w:rsidRPr="00DF5C23">
        <w:rPr>
          <w:noProof/>
          <w:lang w:val="en-IE" w:eastAsia="fr-BE"/>
        </w:rPr>
        <w:t>条に従って</w:t>
      </w:r>
      <w:r w:rsidR="00AA491B" w:rsidRPr="00DF5C23">
        <w:rPr>
          <w:noProof/>
          <w:lang w:val="en-IE" w:eastAsia="fr-BE"/>
        </w:rPr>
        <w:t>採択された</w:t>
      </w:r>
      <w:r w:rsidR="0681B866" w:rsidRPr="00DF5C23">
        <w:rPr>
          <w:noProof/>
          <w:lang w:val="en-IE" w:eastAsia="fr-BE"/>
        </w:rPr>
        <w:t>委任法が定める期間、</w:t>
      </w:r>
      <w:r w:rsidR="0681B866" w:rsidRPr="00DF5C23">
        <w:rPr>
          <w:noProof/>
          <w:lang w:val="en-IE" w:eastAsia="fr-BE"/>
        </w:rPr>
        <w:t>EU</w:t>
      </w:r>
      <w:r w:rsidR="0681B866" w:rsidRPr="00DF5C23">
        <w:rPr>
          <w:noProof/>
          <w:lang w:val="en-IE" w:eastAsia="fr-BE"/>
        </w:rPr>
        <w:t>適合宣言の写しを市場監視当局の自由になるように保管し、要求に応じて技術文書を同当局に提供できるようにしなければならない。</w:t>
      </w:r>
      <w:r w:rsidR="0681B866" w:rsidRPr="00DF5C23">
        <w:rPr>
          <w:noProof/>
          <w:lang w:val="en-IE" w:eastAsia="fr-BE"/>
        </w:rPr>
        <w:t xml:space="preserve"> </w:t>
      </w:r>
    </w:p>
    <w:p w14:paraId="44A5D202" w14:textId="77777777" w:rsidR="0038775E" w:rsidRDefault="00877B9C" w:rsidP="002041D4">
      <w:pPr>
        <w:pStyle w:val="ManualNumPar1"/>
        <w:wordWrap w:val="0"/>
        <w:rPr>
          <w:noProof/>
          <w:lang w:val="en-IE" w:eastAsia="fr-BE"/>
        </w:rPr>
      </w:pPr>
      <w:r w:rsidRPr="004F5E59">
        <w:rPr>
          <w:lang w:eastAsia="ja-JP"/>
        </w:rPr>
        <w:t>8.</w:t>
      </w:r>
      <w:r w:rsidRPr="004F5E59">
        <w:rPr>
          <w:lang w:eastAsia="ja-JP"/>
        </w:rPr>
        <w:tab/>
      </w:r>
      <w:r w:rsidR="0681B866" w:rsidRPr="00DF5C23">
        <w:rPr>
          <w:noProof/>
          <w:lang w:val="en-IE" w:eastAsia="fr-BE"/>
        </w:rPr>
        <w:t>輸入者は、管轄の国家当局からの理由ある要請があった場合、当該当局が容易に理解</w:t>
      </w:r>
      <w:r w:rsidR="00D87AB9" w:rsidRPr="00DF5C23">
        <w:rPr>
          <w:noProof/>
          <w:lang w:eastAsia="fr-BE"/>
        </w:rPr>
        <w:t>できる</w:t>
      </w:r>
      <w:r w:rsidR="0681B866" w:rsidRPr="00DF5C23">
        <w:rPr>
          <w:noProof/>
          <w:lang w:val="en-IE" w:eastAsia="fr-BE"/>
        </w:rPr>
        <w:t>言語で、技術文書を含む製品の適合性を証明するために必要なすべての情報及び文書を提供するものとする。当該情報及び文書は、紙又は電子のいずれかの形態で提供されるものとする。関連文書は、加盟国の所轄官庁による要請を受けてから</w:t>
      </w:r>
      <w:r w:rsidR="0681B866" w:rsidRPr="00DF5C23">
        <w:rPr>
          <w:noProof/>
          <w:lang w:val="en-IE" w:eastAsia="fr-BE"/>
        </w:rPr>
        <w:t>10</w:t>
      </w:r>
      <w:r w:rsidR="0681B866" w:rsidRPr="00DF5C23">
        <w:rPr>
          <w:noProof/>
          <w:lang w:val="en-IE" w:eastAsia="fr-BE"/>
        </w:rPr>
        <w:t>日以内に提供されるものとする。</w:t>
      </w:r>
    </w:p>
    <w:p w14:paraId="28768326" w14:textId="77777777" w:rsidR="0038775E" w:rsidRDefault="00877B9C" w:rsidP="002041D4">
      <w:pPr>
        <w:pStyle w:val="Text1"/>
        <w:wordWrap w:val="0"/>
        <w:rPr>
          <w:noProof/>
          <w:lang w:val="en-IE" w:eastAsia="ja-JP"/>
        </w:rPr>
      </w:pPr>
      <w:r w:rsidRPr="00DF5C23">
        <w:rPr>
          <w:noProof/>
          <w:lang w:val="en-IE" w:eastAsia="ja-JP"/>
        </w:rPr>
        <w:lastRenderedPageBreak/>
        <w:t>輸入者は、</w:t>
      </w:r>
      <w:r w:rsidR="00FD7DBE" w:rsidRPr="00DF5C23">
        <w:rPr>
          <w:noProof/>
          <w:lang w:val="en-IE" w:eastAsia="fr-BE"/>
        </w:rPr>
        <w:t>第</w:t>
      </w:r>
      <w:r w:rsidR="00FD7DBE" w:rsidRPr="00DF5C23">
        <w:rPr>
          <w:noProof/>
          <w:lang w:val="en-IE" w:eastAsia="fr-BE"/>
        </w:rPr>
        <w:t>4</w:t>
      </w:r>
      <w:r w:rsidR="00FD7DBE" w:rsidRPr="00DF5C23">
        <w:rPr>
          <w:noProof/>
          <w:lang w:val="en-IE" w:eastAsia="fr-BE"/>
        </w:rPr>
        <w:t>条に従って</w:t>
      </w:r>
      <w:r w:rsidRPr="00DF5C23">
        <w:rPr>
          <w:noProof/>
          <w:lang w:val="en-IE" w:eastAsia="ja-JP"/>
        </w:rPr>
        <w:t>採択された</w:t>
      </w:r>
      <w:r w:rsidR="0681B866" w:rsidRPr="00DF5C23">
        <w:rPr>
          <w:noProof/>
          <w:lang w:val="en-IE" w:eastAsia="ja-JP"/>
        </w:rPr>
        <w:t>委任</w:t>
      </w:r>
      <w:r w:rsidRPr="00DF5C23">
        <w:rPr>
          <w:noProof/>
          <w:lang w:val="en-IE" w:eastAsia="ja-JP"/>
        </w:rPr>
        <w:t>法に規定された要求事項</w:t>
      </w:r>
      <w:r w:rsidR="0681B866" w:rsidRPr="00DF5C23">
        <w:rPr>
          <w:noProof/>
          <w:lang w:val="en-IE" w:eastAsia="ja-JP"/>
        </w:rPr>
        <w:t>への不遵守を是正するためにとられた措置で</w:t>
      </w:r>
      <w:r w:rsidRPr="00DF5C23">
        <w:rPr>
          <w:noProof/>
          <w:lang w:val="en-IE" w:eastAsia="ja-JP"/>
        </w:rPr>
        <w:t>、</w:t>
      </w:r>
      <w:r w:rsidR="0681B866" w:rsidRPr="00DF5C23">
        <w:rPr>
          <w:noProof/>
          <w:lang w:val="en-IE" w:eastAsia="ja-JP"/>
        </w:rPr>
        <w:t>当該製品が</w:t>
      </w:r>
      <w:r w:rsidRPr="00DF5C23">
        <w:rPr>
          <w:noProof/>
          <w:lang w:val="en-IE" w:eastAsia="ja-JP"/>
        </w:rPr>
        <w:t>対象となるものについて、管轄の国家</w:t>
      </w:r>
      <w:r w:rsidR="0681B866" w:rsidRPr="00DF5C23">
        <w:rPr>
          <w:noProof/>
          <w:lang w:val="en-IE" w:eastAsia="ja-JP"/>
        </w:rPr>
        <w:t>当局と協力するものとする。</w:t>
      </w:r>
      <w:r w:rsidR="0681B866" w:rsidRPr="00DF5C23">
        <w:rPr>
          <w:noProof/>
          <w:lang w:val="en-IE" w:eastAsia="ja-JP"/>
        </w:rPr>
        <w:t xml:space="preserve"> </w:t>
      </w:r>
    </w:p>
    <w:p w14:paraId="65921C46" w14:textId="77777777" w:rsidR="0038775E" w:rsidRDefault="001A4BE8" w:rsidP="002041D4">
      <w:pPr>
        <w:pStyle w:val="Titrearticle"/>
        <w:wordWrap w:val="0"/>
        <w:rPr>
          <w:noProof/>
          <w:lang w:val="en-IE" w:eastAsia="fr-BE"/>
        </w:rPr>
      </w:pPr>
      <w:r w:rsidRPr="00DF5C23">
        <w:rPr>
          <w:noProof/>
          <w:lang w:val="en-IE" w:eastAsia="fr-BE"/>
        </w:rPr>
        <w:t>第</w:t>
      </w:r>
      <w:r w:rsidRPr="00DF5C23">
        <w:rPr>
          <w:noProof/>
          <w:lang w:val="en-IE" w:eastAsia="fr-BE"/>
        </w:rPr>
        <w:t>24</w:t>
      </w:r>
      <w:r w:rsidR="00877B9C" w:rsidRPr="00DF5C23">
        <w:rPr>
          <w:noProof/>
          <w:lang w:val="en-IE" w:eastAsia="fr-BE"/>
        </w:rPr>
        <w:t>条</w:t>
      </w:r>
      <w:r w:rsidR="00646885" w:rsidRPr="00DF5C23">
        <w:rPr>
          <w:noProof/>
          <w:lang w:eastAsia="ja-JP"/>
        </w:rPr>
        <w:br/>
      </w:r>
      <w:r w:rsidR="00877B9C" w:rsidRPr="00DF5C23">
        <w:rPr>
          <w:noProof/>
          <w:lang w:val="en-IE" w:eastAsia="fr-BE"/>
        </w:rPr>
        <w:t>ディストリビューターの義務</w:t>
      </w:r>
    </w:p>
    <w:p w14:paraId="3153909B" w14:textId="77777777" w:rsidR="0038775E" w:rsidRDefault="00877B9C" w:rsidP="002041D4">
      <w:pPr>
        <w:pStyle w:val="ManualNumPar1"/>
        <w:wordWrap w:val="0"/>
        <w:rPr>
          <w:noProof/>
          <w:lang w:val="en-IE" w:eastAsia="fr-BE"/>
        </w:rPr>
      </w:pPr>
      <w:r w:rsidRPr="004F5E59">
        <w:rPr>
          <w:lang w:eastAsia="ja-JP"/>
        </w:rPr>
        <w:t>1.</w:t>
      </w:r>
      <w:r w:rsidRPr="004F5E59">
        <w:rPr>
          <w:lang w:eastAsia="ja-JP"/>
        </w:rPr>
        <w:tab/>
      </w:r>
      <w:r w:rsidR="00850318" w:rsidRPr="00DF5C23">
        <w:rPr>
          <w:noProof/>
          <w:lang w:val="en-IE" w:eastAsia="fr-BE"/>
        </w:rPr>
        <w:t>第</w:t>
      </w:r>
      <w:r w:rsidR="00850318" w:rsidRPr="00DF5C23">
        <w:rPr>
          <w:noProof/>
          <w:lang w:val="en-IE" w:eastAsia="fr-BE"/>
        </w:rPr>
        <w:t>4</w:t>
      </w:r>
      <w:r w:rsidR="00850318" w:rsidRPr="00DF5C23">
        <w:rPr>
          <w:noProof/>
          <w:lang w:val="en-IE" w:eastAsia="fr-BE"/>
        </w:rPr>
        <w:t>条に従って採択された</w:t>
      </w:r>
      <w:r w:rsidR="0681B866" w:rsidRPr="00DF5C23">
        <w:rPr>
          <w:noProof/>
          <w:lang w:val="en-IE" w:eastAsia="fr-BE"/>
        </w:rPr>
        <w:t>委任法の対象となる製品を市場で入手できるようにする場合</w:t>
      </w:r>
      <w:r w:rsidR="00C728A2" w:rsidRPr="00DF5C23">
        <w:rPr>
          <w:noProof/>
          <w:lang w:val="en-IE" w:eastAsia="fr-BE"/>
        </w:rPr>
        <w:t>、</w:t>
      </w:r>
      <w:r w:rsidR="0681B866" w:rsidRPr="00DF5C23">
        <w:rPr>
          <w:noProof/>
          <w:lang w:val="en-IE" w:eastAsia="fr-BE"/>
        </w:rPr>
        <w:t>販売業者は、同法に定める要件に関連して、十分な注意を払って行動しなければならない。</w:t>
      </w:r>
    </w:p>
    <w:p w14:paraId="6DDF68B7" w14:textId="77777777" w:rsidR="0038775E" w:rsidRDefault="00877B9C" w:rsidP="002041D4">
      <w:pPr>
        <w:pStyle w:val="ManualNumPar1"/>
        <w:wordWrap w:val="0"/>
        <w:rPr>
          <w:noProof/>
          <w:lang w:val="en-IE" w:eastAsia="fr-BE"/>
        </w:rPr>
      </w:pPr>
      <w:r w:rsidRPr="004F5E59">
        <w:rPr>
          <w:lang w:eastAsia="ja-JP"/>
        </w:rPr>
        <w:t>2.</w:t>
      </w:r>
      <w:r w:rsidRPr="004F5E59">
        <w:rPr>
          <w:lang w:eastAsia="ja-JP"/>
        </w:rPr>
        <w:tab/>
      </w:r>
      <w:r w:rsidR="00850318" w:rsidRPr="00DF5C23">
        <w:rPr>
          <w:noProof/>
          <w:lang w:val="en-IE" w:eastAsia="fr-BE"/>
        </w:rPr>
        <w:t>第</w:t>
      </w:r>
      <w:r w:rsidR="00850318" w:rsidRPr="00DF5C23">
        <w:rPr>
          <w:noProof/>
          <w:lang w:val="en-IE" w:eastAsia="fr-BE"/>
        </w:rPr>
        <w:t>4</w:t>
      </w:r>
      <w:r w:rsidR="00850318" w:rsidRPr="00DF5C23">
        <w:rPr>
          <w:noProof/>
          <w:lang w:val="en-IE" w:eastAsia="fr-BE"/>
        </w:rPr>
        <w:t>条に従って採択された</w:t>
      </w:r>
      <w:r w:rsidR="0681B866" w:rsidRPr="00DF5C23">
        <w:rPr>
          <w:noProof/>
          <w:lang w:val="en-IE" w:eastAsia="fr-BE"/>
        </w:rPr>
        <w:t>委任法の対象となる製品を市場に出す前に、販売業者は</w:t>
      </w:r>
      <w:r w:rsidR="000946C5" w:rsidRPr="00DF5C23">
        <w:rPr>
          <w:noProof/>
          <w:lang w:val="en-IE" w:eastAsia="fr-BE"/>
        </w:rPr>
        <w:t>以下のことを</w:t>
      </w:r>
      <w:r w:rsidR="0681B866" w:rsidRPr="00DF5C23">
        <w:rPr>
          <w:noProof/>
          <w:lang w:val="en-IE" w:eastAsia="fr-BE"/>
        </w:rPr>
        <w:t>確認するものとする：</w:t>
      </w:r>
    </w:p>
    <w:p w14:paraId="2EC12F97" w14:textId="77777777" w:rsidR="0038775E" w:rsidRDefault="00877B9C" w:rsidP="002041D4">
      <w:pPr>
        <w:pStyle w:val="Point1"/>
        <w:wordWrap w:val="0"/>
        <w:rPr>
          <w:noProof/>
          <w:lang w:val="en-IE" w:eastAsia="fr-BE"/>
        </w:rPr>
      </w:pPr>
      <w:r w:rsidRPr="004F5E59">
        <w:rPr>
          <w:lang w:eastAsia="ja-JP"/>
        </w:rPr>
        <w:t>(a)</w:t>
      </w:r>
      <w:r w:rsidRPr="004F5E59">
        <w:rPr>
          <w:lang w:eastAsia="ja-JP"/>
        </w:rPr>
        <w:tab/>
      </w:r>
      <w:r w:rsidR="00646885" w:rsidRPr="00DF5C23">
        <w:rPr>
          <w:noProof/>
          <w:lang w:val="en-IE" w:eastAsia="fr-BE"/>
        </w:rPr>
        <w:t>製品が、</w:t>
      </w:r>
      <w:r w:rsidR="00E41BDB" w:rsidRPr="00DF5C23">
        <w:rPr>
          <w:noProof/>
          <w:lang w:val="en-IE" w:eastAsia="fr-BE"/>
        </w:rPr>
        <w:t>第</w:t>
      </w:r>
      <w:r w:rsidR="00E41BDB" w:rsidRPr="00DF5C23">
        <w:rPr>
          <w:noProof/>
          <w:lang w:val="en-IE" w:eastAsia="fr-BE"/>
        </w:rPr>
        <w:t>38</w:t>
      </w:r>
      <w:r w:rsidR="003E7E96" w:rsidRPr="00DF5C23">
        <w:rPr>
          <w:noProof/>
          <w:lang w:val="en-IE" w:eastAsia="fr-BE"/>
        </w:rPr>
        <w:t>条及び</w:t>
      </w:r>
      <w:r w:rsidR="00E41BDB" w:rsidRPr="00DF5C23">
        <w:rPr>
          <w:noProof/>
          <w:lang w:val="en-IE" w:eastAsia="fr-BE"/>
        </w:rPr>
        <w:t>第</w:t>
      </w:r>
      <w:r w:rsidR="00E41BDB" w:rsidRPr="00DF5C23">
        <w:rPr>
          <w:noProof/>
          <w:lang w:val="en-IE" w:eastAsia="fr-BE"/>
        </w:rPr>
        <w:t>39</w:t>
      </w:r>
      <w:r w:rsidR="00E41BDB" w:rsidRPr="00DF5C23">
        <w:rPr>
          <w:noProof/>
          <w:lang w:val="en-IE" w:eastAsia="fr-BE"/>
        </w:rPr>
        <w:t>条に</w:t>
      </w:r>
      <w:r w:rsidR="00646885" w:rsidRPr="00DF5C23">
        <w:rPr>
          <w:noProof/>
          <w:lang w:val="en-IE" w:eastAsia="fr-BE"/>
        </w:rPr>
        <w:t>基づく</w:t>
      </w:r>
      <w:r w:rsidR="00646885" w:rsidRPr="00DF5C23">
        <w:rPr>
          <w:noProof/>
          <w:lang w:val="en-IE" w:eastAsia="fr-BE"/>
        </w:rPr>
        <w:t>CE</w:t>
      </w:r>
      <w:r w:rsidR="00646885" w:rsidRPr="00DF5C23">
        <w:rPr>
          <w:noProof/>
          <w:lang w:val="en-IE" w:eastAsia="fr-BE"/>
        </w:rPr>
        <w:t>マーキング</w:t>
      </w:r>
      <w:r w:rsidR="003E7E96" w:rsidRPr="00DF5C23">
        <w:rPr>
          <w:noProof/>
          <w:lang w:val="en-IE" w:eastAsia="fr-BE"/>
        </w:rPr>
        <w:t>又は第</w:t>
      </w:r>
      <w:r w:rsidR="003E7E96" w:rsidRPr="00DF5C23">
        <w:rPr>
          <w:noProof/>
          <w:lang w:val="en-IE" w:eastAsia="fr-BE"/>
        </w:rPr>
        <w:t>4</w:t>
      </w:r>
      <w:r w:rsidR="003E7E96" w:rsidRPr="00DF5C23">
        <w:rPr>
          <w:noProof/>
          <w:lang w:val="en-IE" w:eastAsia="fr-BE"/>
        </w:rPr>
        <w:t>条</w:t>
      </w:r>
      <w:r w:rsidR="002438E5" w:rsidRPr="00DF5C23">
        <w:rPr>
          <w:noProof/>
          <w:lang w:val="en-IE" w:eastAsia="fr-BE"/>
        </w:rPr>
        <w:t>第</w:t>
      </w:r>
      <w:r w:rsidR="002438E5" w:rsidRPr="00DF5C23">
        <w:rPr>
          <w:noProof/>
          <w:lang w:val="en-IE" w:eastAsia="fr-BE"/>
        </w:rPr>
        <w:t>3</w:t>
      </w:r>
      <w:r w:rsidR="002438E5" w:rsidRPr="00DF5C23">
        <w:rPr>
          <w:noProof/>
          <w:lang w:val="en-IE" w:eastAsia="fr-BE"/>
        </w:rPr>
        <w:t>項</w:t>
      </w:r>
      <w:r w:rsidR="003E7E96" w:rsidRPr="00DF5C23">
        <w:rPr>
          <w:noProof/>
          <w:lang w:val="en-IE" w:eastAsia="fr-BE"/>
        </w:rPr>
        <w:t>（</w:t>
      </w:r>
      <w:r w:rsidR="00AD4B9A" w:rsidRPr="00DF5C23">
        <w:rPr>
          <w:noProof/>
          <w:lang w:val="en-IE" w:eastAsia="fr-BE"/>
        </w:rPr>
        <w:t>f</w:t>
      </w:r>
      <w:r w:rsidR="003E7E96" w:rsidRPr="00DF5C23">
        <w:rPr>
          <w:noProof/>
          <w:lang w:val="en-IE" w:eastAsia="fr-BE"/>
        </w:rPr>
        <w:t>）に従って</w:t>
      </w:r>
      <w:r w:rsidR="002438E5" w:rsidRPr="00DF5C23">
        <w:rPr>
          <w:noProof/>
          <w:lang w:val="en-IE" w:eastAsia="fr-BE"/>
        </w:rPr>
        <w:t>採用された</w:t>
      </w:r>
      <w:r w:rsidR="003E7E96" w:rsidRPr="00DF5C23">
        <w:rPr>
          <w:noProof/>
          <w:lang w:val="en-IE" w:eastAsia="fr-BE"/>
        </w:rPr>
        <w:t>代替適合マーキングを</w:t>
      </w:r>
      <w:r w:rsidR="00646885" w:rsidRPr="00DF5C23">
        <w:rPr>
          <w:noProof/>
          <w:lang w:val="en-IE" w:eastAsia="fr-BE"/>
        </w:rPr>
        <w:t>有し</w:t>
      </w:r>
      <w:r w:rsidR="00A459E6" w:rsidRPr="00DF5C23">
        <w:rPr>
          <w:noProof/>
          <w:lang w:val="en-IE" w:eastAsia="fr-BE"/>
        </w:rPr>
        <w:t>、かつ、関連する場合、</w:t>
      </w:r>
      <w:r w:rsidR="000946C5" w:rsidRPr="00DF5C23">
        <w:rPr>
          <w:noProof/>
          <w:lang w:val="en-IE" w:eastAsia="fr-BE"/>
        </w:rPr>
        <w:t>当該</w:t>
      </w:r>
      <w:r w:rsidR="008F54C8" w:rsidRPr="00DF5C23">
        <w:rPr>
          <w:noProof/>
          <w:lang w:val="en-IE" w:eastAsia="fr-BE"/>
        </w:rPr>
        <w:t>委任法に基づく</w:t>
      </w:r>
      <w:r w:rsidR="008F54C8" w:rsidRPr="00DF5C23">
        <w:rPr>
          <w:noProof/>
          <w:lang w:val="en-IE" w:eastAsia="ja-JP"/>
        </w:rPr>
        <w:t>製品パスポートに</w:t>
      </w:r>
      <w:r w:rsidR="00A459E6" w:rsidRPr="00DF5C23">
        <w:rPr>
          <w:noProof/>
          <w:lang w:val="en-IE" w:eastAsia="fr-BE"/>
        </w:rPr>
        <w:t>表示され</w:t>
      </w:r>
      <w:r w:rsidR="008F54C8" w:rsidRPr="00DF5C23">
        <w:rPr>
          <w:noProof/>
          <w:lang w:val="en-IE" w:eastAsia="ja-JP"/>
        </w:rPr>
        <w:t>又は関連付けられていること</w:t>
      </w:r>
      <w:r w:rsidR="00646885" w:rsidRPr="00DF5C23">
        <w:rPr>
          <w:noProof/>
          <w:lang w:val="en-IE" w:eastAsia="fr-BE"/>
        </w:rPr>
        <w:t>；</w:t>
      </w:r>
    </w:p>
    <w:p w14:paraId="444B781D" w14:textId="77777777" w:rsidR="0038775E" w:rsidRDefault="00877B9C" w:rsidP="002041D4">
      <w:pPr>
        <w:pStyle w:val="Point1"/>
        <w:wordWrap w:val="0"/>
        <w:rPr>
          <w:noProof/>
          <w:lang w:val="en-IE" w:eastAsia="fr-BE"/>
        </w:rPr>
      </w:pPr>
      <w:r w:rsidRPr="004F5E59">
        <w:rPr>
          <w:lang w:eastAsia="ja-JP"/>
        </w:rPr>
        <w:t>(b)</w:t>
      </w:r>
      <w:r w:rsidRPr="004F5E59">
        <w:rPr>
          <w:lang w:eastAsia="ja-JP"/>
        </w:rPr>
        <w:tab/>
      </w:r>
      <w:r w:rsidR="00646885" w:rsidRPr="00DF5C23">
        <w:rPr>
          <w:noProof/>
          <w:lang w:val="en-IE" w:eastAsia="fr-BE"/>
        </w:rPr>
        <w:t>製品が、</w:t>
      </w:r>
      <w:r w:rsidR="003059AE" w:rsidRPr="00DF5C23">
        <w:rPr>
          <w:noProof/>
          <w:lang w:val="en-IE" w:eastAsia="fr-BE"/>
        </w:rPr>
        <w:t>消費者が製品の組立、設置、操作、保管、保守及び廃棄を行うことができるように、</w:t>
      </w:r>
      <w:r w:rsidR="00646885" w:rsidRPr="00DF5C23">
        <w:rPr>
          <w:noProof/>
          <w:lang w:val="en-IE" w:eastAsia="fr-BE"/>
        </w:rPr>
        <w:t>必要な文書及び</w:t>
      </w:r>
      <w:r w:rsidR="003059AE" w:rsidRPr="00DF5C23">
        <w:rPr>
          <w:noProof/>
          <w:lang w:val="en-IE" w:eastAsia="fr-BE"/>
        </w:rPr>
        <w:t>説明書が、</w:t>
      </w:r>
      <w:r w:rsidR="00646885" w:rsidRPr="00DF5C23">
        <w:rPr>
          <w:noProof/>
          <w:lang w:val="en-IE" w:eastAsia="fr-BE"/>
        </w:rPr>
        <w:t>製品が市販される加盟国が</w:t>
      </w:r>
      <w:r w:rsidR="009A11EB" w:rsidRPr="00DF5C23">
        <w:rPr>
          <w:noProof/>
          <w:lang w:val="en-IE" w:eastAsia="fr-BE"/>
        </w:rPr>
        <w:t>定めるところにより、</w:t>
      </w:r>
      <w:r w:rsidR="00646885" w:rsidRPr="00DF5C23">
        <w:rPr>
          <w:noProof/>
          <w:lang w:val="en-IE" w:eastAsia="fr-BE"/>
        </w:rPr>
        <w:t>消費者及びその他の最終使用者が容易に理解</w:t>
      </w:r>
      <w:r w:rsidR="00D87AB9" w:rsidRPr="00DF5C23">
        <w:rPr>
          <w:noProof/>
          <w:lang w:eastAsia="fr-BE"/>
        </w:rPr>
        <w:t>できる</w:t>
      </w:r>
      <w:r w:rsidR="00646885" w:rsidRPr="00DF5C23">
        <w:rPr>
          <w:noProof/>
          <w:lang w:val="en-IE" w:eastAsia="fr-BE"/>
        </w:rPr>
        <w:t>言語で添付されており</w:t>
      </w:r>
      <w:r w:rsidR="009A11EB" w:rsidRPr="00DF5C23">
        <w:rPr>
          <w:noProof/>
          <w:lang w:val="en-IE" w:eastAsia="fr-BE"/>
        </w:rPr>
        <w:t>、</w:t>
      </w:r>
      <w:r w:rsidR="003059AE" w:rsidRPr="00DF5C23">
        <w:rPr>
          <w:noProof/>
          <w:lang w:val="en-IE" w:eastAsia="fr-BE"/>
        </w:rPr>
        <w:t>当該説明書が明確で理解可能かつ読みやすく</w:t>
      </w:r>
      <w:r w:rsidR="008F54C8" w:rsidRPr="00DF5C23">
        <w:rPr>
          <w:noProof/>
          <w:lang w:val="en-IE" w:eastAsia="ja-JP"/>
        </w:rPr>
        <w:t>、少なくとも</w:t>
      </w:r>
      <w:r w:rsidR="00850318" w:rsidRPr="00DF5C23">
        <w:rPr>
          <w:noProof/>
          <w:lang w:val="en-IE" w:eastAsia="ja-JP"/>
        </w:rPr>
        <w:t>第</w:t>
      </w:r>
      <w:r w:rsidR="00850318" w:rsidRPr="00DF5C23">
        <w:rPr>
          <w:noProof/>
          <w:lang w:val="en-IE" w:eastAsia="ja-JP"/>
        </w:rPr>
        <w:t>4</w:t>
      </w:r>
      <w:r w:rsidR="00850318" w:rsidRPr="00DF5C23">
        <w:rPr>
          <w:noProof/>
          <w:lang w:val="en-IE" w:eastAsia="ja-JP"/>
        </w:rPr>
        <w:t>条に従って採択された</w:t>
      </w:r>
      <w:r w:rsidR="005513EB" w:rsidRPr="00DF5C23">
        <w:rPr>
          <w:noProof/>
          <w:lang w:val="en-IE" w:eastAsia="ja-JP"/>
        </w:rPr>
        <w:t>委任法に</w:t>
      </w:r>
      <w:r w:rsidR="003E7E96" w:rsidRPr="00DF5C23">
        <w:rPr>
          <w:noProof/>
          <w:lang w:val="en-IE" w:eastAsia="ja-JP"/>
        </w:rPr>
        <w:t>規定する</w:t>
      </w:r>
      <w:r w:rsidR="008F54C8" w:rsidRPr="00DF5C23">
        <w:rPr>
          <w:noProof/>
          <w:lang w:val="en-IE" w:eastAsia="ja-JP"/>
        </w:rPr>
        <w:t>第</w:t>
      </w:r>
      <w:r w:rsidR="008F54C8" w:rsidRPr="00DF5C23">
        <w:rPr>
          <w:noProof/>
          <w:lang w:val="en-IE" w:eastAsia="ja-JP"/>
        </w:rPr>
        <w:t>7</w:t>
      </w:r>
      <w:r w:rsidR="008F54C8" w:rsidRPr="00DF5C23">
        <w:rPr>
          <w:noProof/>
          <w:lang w:val="en-IE" w:eastAsia="ja-JP"/>
        </w:rPr>
        <w:t>条（</w:t>
      </w:r>
      <w:r w:rsidR="00DB47ED" w:rsidRPr="00DF5C23">
        <w:rPr>
          <w:noProof/>
          <w:lang w:val="en-IE" w:eastAsia="ja-JP"/>
        </w:rPr>
        <w:t>2</w:t>
      </w:r>
      <w:r w:rsidR="008F54C8" w:rsidRPr="00DF5C23">
        <w:rPr>
          <w:noProof/>
          <w:lang w:val="en-IE" w:eastAsia="ja-JP"/>
        </w:rPr>
        <w:t>）</w:t>
      </w:r>
      <w:r w:rsidR="00C728A2" w:rsidRPr="00DF5C23">
        <w:rPr>
          <w:noProof/>
          <w:lang w:val="en-IE" w:eastAsia="ja-JP"/>
        </w:rPr>
        <w:t>項</w:t>
      </w:r>
      <w:r w:rsidR="008F54C8" w:rsidRPr="00DF5C23">
        <w:rPr>
          <w:noProof/>
          <w:lang w:val="en-IE" w:eastAsia="ja-JP"/>
        </w:rPr>
        <w:t>（</w:t>
      </w:r>
      <w:r w:rsidR="008F54C8" w:rsidRPr="00DF5C23">
        <w:rPr>
          <w:noProof/>
          <w:lang w:val="en-IE" w:eastAsia="ja-JP"/>
        </w:rPr>
        <w:t>b</w:t>
      </w:r>
      <w:r w:rsidR="008F54C8" w:rsidRPr="00DF5C23">
        <w:rPr>
          <w:noProof/>
          <w:lang w:val="en-IE" w:eastAsia="ja-JP"/>
        </w:rPr>
        <w:t>）</w:t>
      </w:r>
      <w:r w:rsidR="005513EB" w:rsidRPr="00DF5C23">
        <w:rPr>
          <w:noProof/>
          <w:lang w:val="en-IE" w:eastAsia="ja-JP"/>
        </w:rPr>
        <w:t>項（</w:t>
      </w:r>
      <w:r w:rsidR="005513EB" w:rsidRPr="00DF5C23">
        <w:rPr>
          <w:noProof/>
          <w:lang w:val="en-IE" w:eastAsia="ja-JP"/>
        </w:rPr>
        <w:t>ii</w:t>
      </w:r>
      <w:r w:rsidR="005513EB" w:rsidRPr="00DF5C23">
        <w:rPr>
          <w:noProof/>
          <w:lang w:val="en-IE" w:eastAsia="ja-JP"/>
        </w:rPr>
        <w:t>）の</w:t>
      </w:r>
      <w:r w:rsidR="008F54C8" w:rsidRPr="00DF5C23">
        <w:rPr>
          <w:noProof/>
          <w:lang w:val="en-IE" w:eastAsia="ja-JP"/>
        </w:rPr>
        <w:t>情報を含んでいる場合であること</w:t>
      </w:r>
      <w:r w:rsidR="003059AE" w:rsidRPr="00DF5C23">
        <w:rPr>
          <w:noProof/>
          <w:lang w:val="en-IE" w:eastAsia="fr-BE"/>
        </w:rPr>
        <w:t>；</w:t>
      </w:r>
    </w:p>
    <w:p w14:paraId="1E4BDC96" w14:textId="77777777" w:rsidR="0038775E" w:rsidRDefault="00877B9C" w:rsidP="002041D4">
      <w:pPr>
        <w:pStyle w:val="Point1"/>
        <w:wordWrap w:val="0"/>
        <w:rPr>
          <w:noProof/>
          <w:lang w:val="en-IE" w:eastAsia="fr-BE"/>
        </w:rPr>
      </w:pPr>
      <w:r w:rsidRPr="004F5E59">
        <w:rPr>
          <w:lang w:eastAsia="ja-JP"/>
        </w:rPr>
        <w:t>(c)</w:t>
      </w:r>
      <w:r w:rsidRPr="004F5E59">
        <w:rPr>
          <w:lang w:eastAsia="ja-JP"/>
        </w:rPr>
        <w:tab/>
      </w:r>
      <w:r w:rsidR="0681B866" w:rsidRPr="00DF5C23">
        <w:rPr>
          <w:noProof/>
          <w:lang w:val="en-IE" w:eastAsia="fr-BE"/>
        </w:rPr>
        <w:t>製造者及び輸入者が、</w:t>
      </w:r>
      <w:r w:rsidR="00E41BDB" w:rsidRPr="00DF5C23">
        <w:rPr>
          <w:noProof/>
          <w:lang w:val="en-IE" w:eastAsia="fr-BE"/>
        </w:rPr>
        <w:t>第</w:t>
      </w:r>
      <w:r w:rsidR="00E41BDB" w:rsidRPr="00DF5C23">
        <w:rPr>
          <w:noProof/>
          <w:lang w:val="en-IE" w:eastAsia="fr-BE"/>
        </w:rPr>
        <w:t>21</w:t>
      </w:r>
      <w:r w:rsidR="00E41BDB" w:rsidRPr="00DF5C23">
        <w:rPr>
          <w:noProof/>
          <w:lang w:val="en-IE" w:eastAsia="fr-BE"/>
        </w:rPr>
        <w:t>条</w:t>
      </w:r>
      <w:r w:rsidR="0681B866" w:rsidRPr="00DF5C23">
        <w:rPr>
          <w:noProof/>
          <w:lang w:val="en-IE" w:eastAsia="fr-BE"/>
        </w:rPr>
        <w:t>第</w:t>
      </w:r>
      <w:r w:rsidR="0681B866" w:rsidRPr="00DF5C23">
        <w:rPr>
          <w:noProof/>
          <w:lang w:val="en-IE" w:eastAsia="fr-BE"/>
        </w:rPr>
        <w:t>5</w:t>
      </w:r>
      <w:r w:rsidR="0681B866" w:rsidRPr="00DF5C23">
        <w:rPr>
          <w:noProof/>
          <w:lang w:val="en-IE" w:eastAsia="fr-BE"/>
        </w:rPr>
        <w:t>項及び第</w:t>
      </w:r>
      <w:r w:rsidR="0681B866" w:rsidRPr="00DF5C23">
        <w:rPr>
          <w:noProof/>
          <w:lang w:val="en-IE" w:eastAsia="fr-BE"/>
        </w:rPr>
        <w:t>6</w:t>
      </w:r>
      <w:r w:rsidR="0681B866" w:rsidRPr="00DF5C23">
        <w:rPr>
          <w:noProof/>
          <w:lang w:val="en-IE" w:eastAsia="fr-BE"/>
        </w:rPr>
        <w:t>項並びに</w:t>
      </w:r>
      <w:r w:rsidR="00E41BDB" w:rsidRPr="00DF5C23">
        <w:rPr>
          <w:noProof/>
          <w:lang w:val="en-IE" w:eastAsia="fr-BE"/>
        </w:rPr>
        <w:t>第</w:t>
      </w:r>
      <w:r w:rsidR="00E41BDB" w:rsidRPr="00DF5C23">
        <w:rPr>
          <w:noProof/>
          <w:lang w:val="en-IE" w:eastAsia="fr-BE"/>
        </w:rPr>
        <w:t>23</w:t>
      </w:r>
      <w:r w:rsidR="0681B866" w:rsidRPr="00DF5C23">
        <w:rPr>
          <w:noProof/>
          <w:lang w:val="en-IE" w:eastAsia="fr-BE"/>
        </w:rPr>
        <w:t>条第</w:t>
      </w:r>
      <w:r w:rsidR="0681B866" w:rsidRPr="00DF5C23">
        <w:rPr>
          <w:noProof/>
          <w:lang w:val="en-IE" w:eastAsia="fr-BE"/>
        </w:rPr>
        <w:t>3</w:t>
      </w:r>
      <w:r w:rsidR="0681B866" w:rsidRPr="00DF5C23">
        <w:rPr>
          <w:noProof/>
          <w:lang w:val="en-IE" w:eastAsia="fr-BE"/>
        </w:rPr>
        <w:t>項に規定する要件を満たしていること。</w:t>
      </w:r>
    </w:p>
    <w:p w14:paraId="5F5A171E" w14:textId="77777777" w:rsidR="0038775E" w:rsidRDefault="00877B9C" w:rsidP="002041D4">
      <w:pPr>
        <w:pStyle w:val="ManualNumPar1"/>
        <w:wordWrap w:val="0"/>
        <w:rPr>
          <w:noProof/>
          <w:lang w:val="en-IE" w:eastAsia="fr-BE"/>
        </w:rPr>
      </w:pPr>
      <w:r w:rsidRPr="004F5E59">
        <w:rPr>
          <w:lang w:eastAsia="ja-JP"/>
        </w:rPr>
        <w:t>3.</w:t>
      </w:r>
      <w:r w:rsidRPr="004F5E59">
        <w:rPr>
          <w:lang w:eastAsia="ja-JP"/>
        </w:rPr>
        <w:tab/>
      </w:r>
      <w:r w:rsidR="00646885" w:rsidRPr="00DF5C23">
        <w:rPr>
          <w:noProof/>
          <w:lang w:val="en-IE" w:eastAsia="fr-BE"/>
        </w:rPr>
        <w:t>販売業者は、製品を市場に出す</w:t>
      </w:r>
      <w:r w:rsidR="005513EB" w:rsidRPr="00DF5C23">
        <w:rPr>
          <w:noProof/>
          <w:lang w:val="en-IE" w:eastAsia="fr-BE"/>
        </w:rPr>
        <w:t>前に、</w:t>
      </w:r>
      <w:r w:rsidR="00646885" w:rsidRPr="00DF5C23">
        <w:rPr>
          <w:noProof/>
          <w:lang w:val="en-IE" w:eastAsia="fr-BE"/>
        </w:rPr>
        <w:t>製品</w:t>
      </w:r>
      <w:r w:rsidR="006B62FF" w:rsidRPr="00DF5C23">
        <w:rPr>
          <w:noProof/>
          <w:lang w:val="en-IE" w:eastAsia="fr-BE"/>
        </w:rPr>
        <w:t>またはその製造</w:t>
      </w:r>
      <w:r w:rsidR="00646885" w:rsidRPr="00DF5C23">
        <w:rPr>
          <w:noProof/>
          <w:lang w:val="en-IE" w:eastAsia="fr-BE"/>
        </w:rPr>
        <w:t>者が</w:t>
      </w:r>
      <w:r w:rsidR="003E7E96" w:rsidRPr="00DF5C23">
        <w:rPr>
          <w:noProof/>
          <w:lang w:val="en-IE" w:eastAsia="fr-BE"/>
        </w:rPr>
        <w:t>第</w:t>
      </w:r>
      <w:r w:rsidR="003E7E96" w:rsidRPr="00DF5C23">
        <w:rPr>
          <w:noProof/>
          <w:lang w:val="en-IE" w:eastAsia="fr-BE"/>
        </w:rPr>
        <w:t>4</w:t>
      </w:r>
      <w:r w:rsidR="005513EB" w:rsidRPr="00DF5C23">
        <w:rPr>
          <w:noProof/>
          <w:lang w:val="en-IE" w:eastAsia="fr-BE"/>
        </w:rPr>
        <w:t>条に従って採択された</w:t>
      </w:r>
      <w:r w:rsidR="009634AF" w:rsidRPr="00DF5C23">
        <w:rPr>
          <w:noProof/>
          <w:lang w:val="en-IE" w:eastAsia="fr-BE"/>
        </w:rPr>
        <w:t>委任</w:t>
      </w:r>
      <w:r w:rsidR="00646885" w:rsidRPr="00DF5C23">
        <w:rPr>
          <w:noProof/>
          <w:lang w:val="en-IE" w:eastAsia="fr-BE"/>
        </w:rPr>
        <w:t>法に定める要件に</w:t>
      </w:r>
      <w:r w:rsidR="006B62FF" w:rsidRPr="00DF5C23">
        <w:rPr>
          <w:noProof/>
          <w:lang w:val="en-IE" w:eastAsia="fr-BE"/>
        </w:rPr>
        <w:t>適合していないと</w:t>
      </w:r>
      <w:r w:rsidR="00646885" w:rsidRPr="00DF5C23">
        <w:rPr>
          <w:noProof/>
          <w:lang w:val="en-IE" w:eastAsia="fr-BE"/>
        </w:rPr>
        <w:t>考え、またはそう信じる理由がある場合</w:t>
      </w:r>
      <w:r w:rsidR="00A459E6" w:rsidRPr="00DF5C23">
        <w:rPr>
          <w:noProof/>
          <w:lang w:val="en-IE" w:eastAsia="fr-BE"/>
        </w:rPr>
        <w:t>、製品が</w:t>
      </w:r>
      <w:r w:rsidR="00646885" w:rsidRPr="00DF5C23">
        <w:rPr>
          <w:noProof/>
          <w:lang w:val="en-IE" w:eastAsia="fr-BE"/>
        </w:rPr>
        <w:t>適合され</w:t>
      </w:r>
      <w:r w:rsidR="001D67C2" w:rsidRPr="00DF5C23">
        <w:rPr>
          <w:noProof/>
          <w:lang w:val="en-IE" w:eastAsia="fr-BE"/>
        </w:rPr>
        <w:t>、または製造者が適合するまで、製品を市場に出してはならないものとする</w:t>
      </w:r>
      <w:r w:rsidR="00646885" w:rsidRPr="00DF5C23">
        <w:rPr>
          <w:noProof/>
          <w:lang w:val="en-IE" w:eastAsia="fr-BE"/>
        </w:rPr>
        <w:t>。</w:t>
      </w:r>
      <w:r w:rsidR="00646885" w:rsidRPr="00DF5C23">
        <w:rPr>
          <w:noProof/>
          <w:lang w:val="en-IE" w:eastAsia="fr-BE"/>
        </w:rPr>
        <w:t xml:space="preserve"> </w:t>
      </w:r>
    </w:p>
    <w:p w14:paraId="1E35D5AF" w14:textId="2DF3F807" w:rsidR="0038775E" w:rsidRDefault="00877B9C" w:rsidP="002041D4">
      <w:pPr>
        <w:pStyle w:val="Text1"/>
        <w:wordWrap w:val="0"/>
        <w:rPr>
          <w:noProof/>
          <w:lang w:val="en-IE" w:eastAsia="fr-BE"/>
        </w:rPr>
      </w:pPr>
      <w:r w:rsidRPr="00DF5C23">
        <w:rPr>
          <w:noProof/>
          <w:lang w:val="en-IE" w:eastAsia="fr-BE"/>
        </w:rPr>
        <w:t>販売業者は、製品がその責任下にある間、保管または輸送の条件が、</w:t>
      </w:r>
      <w:r w:rsidR="003E7E96" w:rsidRPr="00DF5C23">
        <w:rPr>
          <w:noProof/>
          <w:lang w:val="en-IE" w:eastAsia="fr-BE"/>
        </w:rPr>
        <w:t>第</w:t>
      </w:r>
      <w:r w:rsidR="003E7E96" w:rsidRPr="00DF5C23">
        <w:rPr>
          <w:noProof/>
          <w:lang w:val="en-IE" w:eastAsia="fr-BE"/>
        </w:rPr>
        <w:t>4</w:t>
      </w:r>
      <w:r w:rsidR="005513EB" w:rsidRPr="00DF5C23">
        <w:rPr>
          <w:noProof/>
          <w:lang w:val="en-IE" w:eastAsia="fr-BE"/>
        </w:rPr>
        <w:t>条に従って採択された</w:t>
      </w:r>
      <w:r w:rsidR="009634AF" w:rsidRPr="00DF5C23">
        <w:rPr>
          <w:noProof/>
          <w:lang w:val="en-IE" w:eastAsia="fr-BE"/>
        </w:rPr>
        <w:t>委任</w:t>
      </w:r>
      <w:r w:rsidRPr="00DF5C23">
        <w:rPr>
          <w:noProof/>
          <w:lang w:val="en-IE" w:eastAsia="fr-BE"/>
        </w:rPr>
        <w:t>法に規定された要件への準拠を危うくしないことを保証するものと</w:t>
      </w:r>
      <w:r w:rsidR="002041D4">
        <w:rPr>
          <w:noProof/>
          <w:lang w:val="en-IE" w:eastAsia="fr-BE"/>
        </w:rPr>
        <w:t>する</w:t>
      </w:r>
      <w:r w:rsidRPr="00DF5C23">
        <w:rPr>
          <w:noProof/>
          <w:lang w:val="en-IE" w:eastAsia="fr-BE"/>
        </w:rPr>
        <w:t>。</w:t>
      </w:r>
    </w:p>
    <w:p w14:paraId="125350C0" w14:textId="77777777" w:rsidR="0038775E" w:rsidRDefault="00877B9C" w:rsidP="002041D4">
      <w:pPr>
        <w:pStyle w:val="ManualNumPar1"/>
        <w:wordWrap w:val="0"/>
        <w:rPr>
          <w:noProof/>
          <w:lang w:val="en-IE" w:eastAsia="fr-BE"/>
        </w:rPr>
      </w:pPr>
      <w:r w:rsidRPr="004F5E59">
        <w:rPr>
          <w:lang w:eastAsia="ja-JP"/>
        </w:rPr>
        <w:t>4.</w:t>
      </w:r>
      <w:r w:rsidRPr="004F5E59">
        <w:rPr>
          <w:lang w:eastAsia="ja-JP"/>
        </w:rPr>
        <w:tab/>
      </w:r>
      <w:r w:rsidR="0681B866" w:rsidRPr="00DF5C23">
        <w:rPr>
          <w:noProof/>
          <w:lang w:val="en-IE" w:eastAsia="fr-BE"/>
        </w:rPr>
        <w:t>自らが市場に出した製品が</w:t>
      </w:r>
      <w:r w:rsidR="003E7E96" w:rsidRPr="00DF5C23">
        <w:rPr>
          <w:noProof/>
          <w:lang w:val="en-IE" w:eastAsia="fr-BE"/>
        </w:rPr>
        <w:t>第</w:t>
      </w:r>
      <w:r w:rsidR="003E7E96" w:rsidRPr="00DF5C23">
        <w:rPr>
          <w:noProof/>
          <w:lang w:val="en-IE" w:eastAsia="fr-BE"/>
        </w:rPr>
        <w:t>4</w:t>
      </w:r>
      <w:r w:rsidR="005513EB" w:rsidRPr="00DF5C23">
        <w:rPr>
          <w:noProof/>
          <w:lang w:val="en-IE" w:eastAsia="fr-BE"/>
        </w:rPr>
        <w:t>条に従って採択された</w:t>
      </w:r>
      <w:r w:rsidR="0681B866" w:rsidRPr="00DF5C23">
        <w:rPr>
          <w:noProof/>
          <w:lang w:val="en-IE" w:eastAsia="fr-BE"/>
        </w:rPr>
        <w:t>委任</w:t>
      </w:r>
      <w:r w:rsidR="005513EB" w:rsidRPr="00DF5C23">
        <w:rPr>
          <w:noProof/>
          <w:lang w:val="en-IE" w:eastAsia="fr-BE"/>
        </w:rPr>
        <w:t>法に</w:t>
      </w:r>
      <w:r w:rsidR="0681B866" w:rsidRPr="00DF5C23">
        <w:rPr>
          <w:noProof/>
          <w:lang w:val="en-IE" w:eastAsia="fr-BE"/>
        </w:rPr>
        <w:t>定める要件に適合していないと考え、又はそう考える理由がある販売業者は、当該製品を適合させるために必要な是正措置、適切な場合には撤回又は回収を行うことを確認する。</w:t>
      </w:r>
      <w:r w:rsidR="0681B866" w:rsidRPr="00DF5C23">
        <w:rPr>
          <w:noProof/>
          <w:lang w:val="en-IE" w:eastAsia="fr-BE"/>
        </w:rPr>
        <w:t xml:space="preserve"> </w:t>
      </w:r>
    </w:p>
    <w:p w14:paraId="214D95BE" w14:textId="77777777" w:rsidR="0038775E" w:rsidRDefault="00877B9C" w:rsidP="002041D4">
      <w:pPr>
        <w:pStyle w:val="Text1"/>
        <w:wordWrap w:val="0"/>
        <w:rPr>
          <w:noProof/>
          <w:lang w:val="en-IE" w:eastAsia="fr-BE"/>
        </w:rPr>
      </w:pPr>
      <w:r w:rsidRPr="00DF5C23">
        <w:rPr>
          <w:noProof/>
          <w:lang w:val="en-IE" w:eastAsia="ja-JP"/>
        </w:rPr>
        <w:t>販売業者は、</w:t>
      </w:r>
      <w:r w:rsidR="003972FC" w:rsidRPr="00DF5C23">
        <w:rPr>
          <w:noProof/>
          <w:lang w:val="en-IE" w:eastAsia="ja-JP"/>
        </w:rPr>
        <w:t>違反の疑いおよび是正措置をとったことを、製品を販売した加盟国の市場監視当局に直ちに報告するものとする。</w:t>
      </w:r>
      <w:r w:rsidR="003972FC" w:rsidRPr="00DF5C23">
        <w:rPr>
          <w:noProof/>
          <w:lang w:val="en-IE" w:eastAsia="ja-JP"/>
        </w:rPr>
        <w:t xml:space="preserve"> </w:t>
      </w:r>
    </w:p>
    <w:p w14:paraId="38765225" w14:textId="77777777" w:rsidR="0038775E" w:rsidRDefault="00877B9C" w:rsidP="002041D4">
      <w:pPr>
        <w:pStyle w:val="ManualNumPar1"/>
        <w:wordWrap w:val="0"/>
        <w:rPr>
          <w:noProof/>
          <w:lang w:val="en-IE" w:eastAsia="fr-BE"/>
        </w:rPr>
      </w:pPr>
      <w:r w:rsidRPr="004F5E59">
        <w:rPr>
          <w:lang w:eastAsia="ja-JP"/>
        </w:rPr>
        <w:t>5.</w:t>
      </w:r>
      <w:r w:rsidRPr="004F5E59">
        <w:rPr>
          <w:lang w:eastAsia="ja-JP"/>
        </w:rPr>
        <w:tab/>
      </w:r>
      <w:r w:rsidR="0681B866" w:rsidRPr="00DF5C23">
        <w:rPr>
          <w:noProof/>
          <w:lang w:val="en-IE" w:eastAsia="fr-BE"/>
        </w:rPr>
        <w:t>販売業者は、所轄官庁からの合理的な要求があった場合、当該所轄官庁に対し、</w:t>
      </w:r>
      <w:r w:rsidR="00D87AB9" w:rsidRPr="00DF5C23">
        <w:rPr>
          <w:noProof/>
          <w:lang w:eastAsia="fr-BE"/>
        </w:rPr>
        <w:t>自らがアクセスできる、</w:t>
      </w:r>
      <w:r w:rsidR="0681B866" w:rsidRPr="00DF5C23">
        <w:rPr>
          <w:noProof/>
          <w:lang w:val="en-IE" w:eastAsia="fr-BE"/>
        </w:rPr>
        <w:t>製品の適合性を実証するために</w:t>
      </w:r>
      <w:r w:rsidR="00D87AB9" w:rsidRPr="00DF5C23">
        <w:rPr>
          <w:noProof/>
          <w:lang w:eastAsia="fr-BE"/>
        </w:rPr>
        <w:t>関連する全ての情報及び文書を</w:t>
      </w:r>
      <w:r w:rsidR="0681B866" w:rsidRPr="00DF5C23">
        <w:rPr>
          <w:noProof/>
          <w:lang w:val="en-IE" w:eastAsia="fr-BE"/>
        </w:rPr>
        <w:t>提供するものとする。当該情報および文書は、紙または電子のいずれかの形式で提供されるものとする。</w:t>
      </w:r>
      <w:r w:rsidR="0681B866" w:rsidRPr="00DF5C23">
        <w:rPr>
          <w:noProof/>
          <w:lang w:val="en-IE" w:eastAsia="fr-BE"/>
        </w:rPr>
        <w:t xml:space="preserve"> </w:t>
      </w:r>
    </w:p>
    <w:p w14:paraId="2E3A3128" w14:textId="39B849DC" w:rsidR="0038775E" w:rsidRDefault="00877B9C" w:rsidP="002041D4">
      <w:pPr>
        <w:pStyle w:val="Text1"/>
        <w:wordWrap w:val="0"/>
        <w:rPr>
          <w:noProof/>
          <w:lang w:val="en-IE" w:eastAsia="fr-BE"/>
        </w:rPr>
      </w:pPr>
      <w:r w:rsidRPr="00DF5C23">
        <w:rPr>
          <w:noProof/>
          <w:lang w:val="en-IE" w:eastAsia="ja-JP"/>
        </w:rPr>
        <w:lastRenderedPageBreak/>
        <w:t>販売店は、</w:t>
      </w:r>
      <w:r w:rsidR="003E7E96" w:rsidRPr="00DF5C23">
        <w:rPr>
          <w:noProof/>
          <w:lang w:val="en-IE" w:eastAsia="ja-JP"/>
        </w:rPr>
        <w:t>第</w:t>
      </w:r>
      <w:r w:rsidR="003E7E96" w:rsidRPr="00DF5C23">
        <w:rPr>
          <w:noProof/>
          <w:lang w:val="en-IE" w:eastAsia="ja-JP"/>
        </w:rPr>
        <w:t>4</w:t>
      </w:r>
      <w:r w:rsidRPr="00DF5C23">
        <w:rPr>
          <w:noProof/>
          <w:lang w:val="en-IE" w:eastAsia="ja-JP"/>
        </w:rPr>
        <w:t>条に従って</w:t>
      </w:r>
      <w:r w:rsidR="003E7E96" w:rsidRPr="00DF5C23">
        <w:rPr>
          <w:noProof/>
          <w:lang w:val="en-IE" w:eastAsia="ja-JP"/>
        </w:rPr>
        <w:t>採択</w:t>
      </w:r>
      <w:r w:rsidRPr="00DF5C23">
        <w:rPr>
          <w:noProof/>
          <w:lang w:val="en-IE" w:eastAsia="ja-JP"/>
        </w:rPr>
        <w:t>された</w:t>
      </w:r>
      <w:r w:rsidR="0681B866" w:rsidRPr="00DF5C23">
        <w:rPr>
          <w:noProof/>
          <w:lang w:val="en-IE" w:eastAsia="ja-JP"/>
        </w:rPr>
        <w:t>委任法の不遵守の</w:t>
      </w:r>
      <w:r w:rsidRPr="00DF5C23">
        <w:rPr>
          <w:noProof/>
          <w:lang w:val="en-IE" w:eastAsia="ja-JP"/>
        </w:rPr>
        <w:t>事例で</w:t>
      </w:r>
      <w:r w:rsidR="0681B866" w:rsidRPr="00DF5C23">
        <w:rPr>
          <w:noProof/>
          <w:lang w:val="en-IE" w:eastAsia="ja-JP"/>
        </w:rPr>
        <w:t>当該製品が</w:t>
      </w:r>
      <w:r w:rsidRPr="00DF5C23">
        <w:rPr>
          <w:noProof/>
          <w:lang w:val="en-IE" w:eastAsia="ja-JP"/>
        </w:rPr>
        <w:t>対象と</w:t>
      </w:r>
      <w:r w:rsidR="0681B866" w:rsidRPr="00DF5C23">
        <w:rPr>
          <w:noProof/>
          <w:lang w:val="en-IE" w:eastAsia="ja-JP"/>
        </w:rPr>
        <w:t>なるものを改善するためにとられた是正措置</w:t>
      </w:r>
      <w:r w:rsidRPr="00DF5C23">
        <w:rPr>
          <w:noProof/>
          <w:lang w:val="en-IE" w:eastAsia="ja-JP"/>
        </w:rPr>
        <w:t>について、</w:t>
      </w:r>
      <w:r w:rsidR="0681B866" w:rsidRPr="00DF5C23">
        <w:rPr>
          <w:noProof/>
          <w:lang w:val="en-IE" w:eastAsia="ja-JP"/>
        </w:rPr>
        <w:t>当該当局と協力するものと</w:t>
      </w:r>
      <w:r w:rsidR="002041D4">
        <w:rPr>
          <w:noProof/>
          <w:lang w:val="en-IE" w:eastAsia="ja-JP"/>
        </w:rPr>
        <w:t>する</w:t>
      </w:r>
      <w:r w:rsidR="0681B866" w:rsidRPr="00DF5C23">
        <w:rPr>
          <w:noProof/>
          <w:lang w:val="en-IE" w:eastAsia="ja-JP"/>
        </w:rPr>
        <w:t>。</w:t>
      </w:r>
      <w:r w:rsidR="0681B866" w:rsidRPr="00DF5C23">
        <w:rPr>
          <w:noProof/>
          <w:lang w:val="en-IE" w:eastAsia="ja-JP"/>
        </w:rPr>
        <w:t xml:space="preserve"> </w:t>
      </w:r>
    </w:p>
    <w:p w14:paraId="097C8B99" w14:textId="77777777" w:rsidR="0038775E" w:rsidRDefault="001A4BE8" w:rsidP="002041D4">
      <w:pPr>
        <w:pStyle w:val="Titrearticle"/>
        <w:wordWrap w:val="0"/>
        <w:rPr>
          <w:noProof/>
          <w:lang w:val="en-IE" w:eastAsia="fr-BE"/>
        </w:rPr>
      </w:pPr>
      <w:r w:rsidRPr="00DF5C23">
        <w:rPr>
          <w:noProof/>
          <w:lang w:val="en-IE" w:eastAsia="fr-BE"/>
        </w:rPr>
        <w:t>第</w:t>
      </w:r>
      <w:r w:rsidRPr="00DF5C23">
        <w:rPr>
          <w:noProof/>
          <w:lang w:val="en-IE" w:eastAsia="fr-BE"/>
        </w:rPr>
        <w:t>25</w:t>
      </w:r>
      <w:r w:rsidR="00877B9C" w:rsidRPr="00DF5C23">
        <w:rPr>
          <w:noProof/>
          <w:lang w:val="en-IE" w:eastAsia="fr-BE"/>
        </w:rPr>
        <w:t>条</w:t>
      </w:r>
      <w:r w:rsidR="00877B9C" w:rsidRPr="00DF5C23">
        <w:rPr>
          <w:noProof/>
          <w:lang w:eastAsia="ja-JP"/>
        </w:rPr>
        <w:br/>
      </w:r>
      <w:r w:rsidR="00B15B6E" w:rsidRPr="00DF5C23">
        <w:rPr>
          <w:noProof/>
          <w:lang w:val="en-IE" w:eastAsia="fr-BE"/>
        </w:rPr>
        <w:t>ディーラーの</w:t>
      </w:r>
      <w:r w:rsidR="00877B9C" w:rsidRPr="00DF5C23">
        <w:rPr>
          <w:noProof/>
          <w:lang w:val="en-IE" w:eastAsia="fr-BE"/>
        </w:rPr>
        <w:t>義務</w:t>
      </w:r>
    </w:p>
    <w:p w14:paraId="0A042BAD" w14:textId="77777777" w:rsidR="0038775E" w:rsidRDefault="00877B9C" w:rsidP="002041D4">
      <w:pPr>
        <w:pStyle w:val="ManualNumPar1"/>
        <w:wordWrap w:val="0"/>
        <w:rPr>
          <w:noProof/>
          <w:lang w:val="en-IE" w:eastAsia="ja-JP"/>
        </w:rPr>
      </w:pPr>
      <w:r w:rsidRPr="004F5E59">
        <w:rPr>
          <w:lang w:eastAsia="ja-JP"/>
        </w:rPr>
        <w:t>1.</w:t>
      </w:r>
      <w:r w:rsidRPr="004F5E59">
        <w:rPr>
          <w:lang w:eastAsia="ja-JP"/>
        </w:rPr>
        <w:tab/>
      </w:r>
      <w:r w:rsidR="00B15B6E" w:rsidRPr="00DF5C23">
        <w:rPr>
          <w:noProof/>
          <w:lang w:val="en-IE" w:eastAsia="fr-BE"/>
        </w:rPr>
        <w:t>販売業者は、</w:t>
      </w:r>
      <w:r w:rsidR="00B15B6E" w:rsidRPr="00DF5C23">
        <w:rPr>
          <w:noProof/>
          <w:lang w:eastAsia="ja-JP"/>
        </w:rPr>
        <w:t>遠隔販売の場合を含め</w:t>
      </w:r>
      <w:r w:rsidR="00B15B6E" w:rsidRPr="00DF5C23">
        <w:rPr>
          <w:noProof/>
          <w:lang w:val="en-IE" w:eastAsia="ja-JP"/>
        </w:rPr>
        <w:t>、</w:t>
      </w:r>
      <w:r w:rsidR="00850318" w:rsidRPr="00DF5C23">
        <w:rPr>
          <w:noProof/>
          <w:lang w:val="en-IE" w:eastAsia="ja-JP"/>
        </w:rPr>
        <w:t>第</w:t>
      </w:r>
      <w:r w:rsidR="00850318" w:rsidRPr="00DF5C23">
        <w:rPr>
          <w:noProof/>
          <w:lang w:val="en-IE" w:eastAsia="ja-JP"/>
        </w:rPr>
        <w:t>4</w:t>
      </w:r>
      <w:r w:rsidR="00850318" w:rsidRPr="00DF5C23">
        <w:rPr>
          <w:noProof/>
          <w:lang w:val="en-IE" w:eastAsia="ja-JP"/>
        </w:rPr>
        <w:t>条に従って採択された</w:t>
      </w:r>
      <w:r w:rsidR="00B15B6E" w:rsidRPr="00DF5C23">
        <w:rPr>
          <w:noProof/>
          <w:lang w:val="en-IE" w:eastAsia="fr-BE"/>
        </w:rPr>
        <w:t>委任法が要求する</w:t>
      </w:r>
      <w:r w:rsidR="00B15B6E" w:rsidRPr="00DF5C23">
        <w:rPr>
          <w:noProof/>
          <w:lang w:eastAsia="ja-JP"/>
        </w:rPr>
        <w:t>関連情報を</w:t>
      </w:r>
      <w:r w:rsidR="00B15B6E" w:rsidRPr="00DF5C23">
        <w:rPr>
          <w:noProof/>
          <w:lang w:val="en-IE" w:eastAsia="fr-BE"/>
        </w:rPr>
        <w:t>顧客が</w:t>
      </w:r>
      <w:r w:rsidR="00B15B6E" w:rsidRPr="00DF5C23">
        <w:rPr>
          <w:noProof/>
          <w:lang w:eastAsia="ja-JP"/>
        </w:rPr>
        <w:t>入手できる</w:t>
      </w:r>
      <w:r w:rsidR="00B15B6E" w:rsidRPr="00DF5C23">
        <w:rPr>
          <w:noProof/>
          <w:lang w:val="en-IE" w:eastAsia="fr-BE"/>
        </w:rPr>
        <w:t>ようにしなければならない</w:t>
      </w:r>
      <w:r w:rsidR="00B15B6E" w:rsidRPr="00DF5C23">
        <w:rPr>
          <w:noProof/>
          <w:lang w:val="en-IE" w:eastAsia="ja-JP"/>
        </w:rPr>
        <w:t>。</w:t>
      </w:r>
      <w:r w:rsidR="00B15B6E" w:rsidRPr="00DF5C23">
        <w:rPr>
          <w:noProof/>
          <w:lang w:val="en-IE" w:eastAsia="ja-JP"/>
        </w:rPr>
        <w:t xml:space="preserve"> </w:t>
      </w:r>
    </w:p>
    <w:p w14:paraId="5D0C3D13" w14:textId="77777777" w:rsidR="0038775E" w:rsidRDefault="00877B9C" w:rsidP="002041D4">
      <w:pPr>
        <w:pStyle w:val="ManualNumPar1"/>
        <w:wordWrap w:val="0"/>
        <w:rPr>
          <w:noProof/>
          <w:lang w:eastAsia="ja-JP"/>
        </w:rPr>
      </w:pPr>
      <w:r w:rsidRPr="004F5E59">
        <w:rPr>
          <w:lang w:eastAsia="ja-JP"/>
        </w:rPr>
        <w:t>2.</w:t>
      </w:r>
      <w:r w:rsidRPr="004F5E59">
        <w:rPr>
          <w:lang w:eastAsia="ja-JP"/>
        </w:rPr>
        <w:tab/>
      </w:r>
      <w:r w:rsidR="00B15B6E" w:rsidRPr="00DF5C23">
        <w:rPr>
          <w:noProof/>
          <w:lang w:eastAsia="ja-JP"/>
        </w:rPr>
        <w:t>販売店は、</w:t>
      </w:r>
      <w:r w:rsidR="003E7E96" w:rsidRPr="00DF5C23">
        <w:rPr>
          <w:noProof/>
          <w:lang w:eastAsia="ja-JP"/>
        </w:rPr>
        <w:t>第</w:t>
      </w:r>
      <w:r w:rsidR="003E7E96" w:rsidRPr="00DF5C23">
        <w:rPr>
          <w:noProof/>
          <w:lang w:eastAsia="ja-JP"/>
        </w:rPr>
        <w:t>8</w:t>
      </w:r>
      <w:r w:rsidR="003E7E96" w:rsidRPr="00DF5C23">
        <w:rPr>
          <w:noProof/>
          <w:lang w:eastAsia="ja-JP"/>
        </w:rPr>
        <w:t>条及び第</w:t>
      </w:r>
      <w:r w:rsidR="003E7E96" w:rsidRPr="00DF5C23">
        <w:rPr>
          <w:noProof/>
          <w:lang w:eastAsia="ja-JP"/>
        </w:rPr>
        <w:t>4</w:t>
      </w:r>
      <w:r w:rsidR="005513EB" w:rsidRPr="00DF5C23">
        <w:rPr>
          <w:noProof/>
          <w:lang w:eastAsia="ja-JP"/>
        </w:rPr>
        <w:t>条に従って採択された、</w:t>
      </w:r>
      <w:r w:rsidR="00B15B6E" w:rsidRPr="00DF5C23">
        <w:rPr>
          <w:noProof/>
          <w:lang w:eastAsia="ja-JP"/>
        </w:rPr>
        <w:t>製品の対象と</w:t>
      </w:r>
      <w:r w:rsidR="005513EB" w:rsidRPr="00DF5C23">
        <w:rPr>
          <w:noProof/>
          <w:lang w:eastAsia="ja-JP"/>
        </w:rPr>
        <w:t>なる</w:t>
      </w:r>
      <w:r w:rsidR="00B15B6E" w:rsidRPr="00DF5C23">
        <w:rPr>
          <w:noProof/>
          <w:lang w:eastAsia="ja-JP"/>
        </w:rPr>
        <w:t>委任</w:t>
      </w:r>
      <w:r w:rsidR="003E7E96" w:rsidRPr="00DF5C23">
        <w:rPr>
          <w:noProof/>
          <w:lang w:eastAsia="ja-JP"/>
        </w:rPr>
        <w:t>法に</w:t>
      </w:r>
      <w:r w:rsidR="00B15B6E" w:rsidRPr="00DF5C23">
        <w:rPr>
          <w:noProof/>
          <w:lang w:eastAsia="ja-JP"/>
        </w:rPr>
        <w:t>規定されているように、遠隔販売の場合を含め、製品パスポートを顧客が容易に入手できるようにするものとする。</w:t>
      </w:r>
      <w:r w:rsidR="00B15B6E" w:rsidRPr="00DF5C23">
        <w:rPr>
          <w:noProof/>
          <w:lang w:eastAsia="ja-JP"/>
        </w:rPr>
        <w:t xml:space="preserve"> </w:t>
      </w:r>
    </w:p>
    <w:p w14:paraId="398FE8B4" w14:textId="77777777" w:rsidR="0038775E" w:rsidRDefault="00877B9C" w:rsidP="002041D4">
      <w:pPr>
        <w:pStyle w:val="ManualNumPar1"/>
        <w:wordWrap w:val="0"/>
        <w:rPr>
          <w:noProof/>
          <w:lang w:val="en-IE" w:eastAsia="ja-JP"/>
        </w:rPr>
      </w:pPr>
      <w:r w:rsidRPr="004F5E59">
        <w:rPr>
          <w:lang w:eastAsia="ja-JP"/>
        </w:rPr>
        <w:t>3.</w:t>
      </w:r>
      <w:r w:rsidRPr="004F5E59">
        <w:rPr>
          <w:lang w:eastAsia="ja-JP"/>
        </w:rPr>
        <w:tab/>
      </w:r>
      <w:r w:rsidR="00B15B6E" w:rsidRPr="00DF5C23">
        <w:rPr>
          <w:noProof/>
          <w:lang w:val="en-IE" w:eastAsia="ja-JP"/>
        </w:rPr>
        <w:t>販売店は、以下のとおりとする：</w:t>
      </w:r>
      <w:r w:rsidR="00B15B6E" w:rsidRPr="00DF5C23">
        <w:rPr>
          <w:noProof/>
          <w:lang w:val="en-IE" w:eastAsia="ja-JP"/>
        </w:rPr>
        <w:t xml:space="preserve"> </w:t>
      </w:r>
    </w:p>
    <w:p w14:paraId="60DF2352" w14:textId="77777777" w:rsidR="0038775E" w:rsidRDefault="00877B9C" w:rsidP="002041D4">
      <w:pPr>
        <w:pStyle w:val="Point1"/>
        <w:wordWrap w:val="0"/>
        <w:rPr>
          <w:noProof/>
          <w:lang w:val="en-IE" w:eastAsia="ja-JP"/>
        </w:rPr>
      </w:pPr>
      <w:r w:rsidRPr="004F5E59">
        <w:rPr>
          <w:lang w:eastAsia="ja-JP"/>
        </w:rPr>
        <w:t>(a)</w:t>
      </w:r>
      <w:r w:rsidRPr="004F5E59">
        <w:rPr>
          <w:lang w:eastAsia="ja-JP"/>
        </w:rPr>
        <w:tab/>
      </w:r>
      <w:r w:rsidR="00B15B6E" w:rsidRPr="00DF5C23">
        <w:rPr>
          <w:noProof/>
          <w:lang w:val="en-IE" w:eastAsia="ja-JP"/>
        </w:rPr>
        <w:t>オンライン通信販売の場合を含め、</w:t>
      </w:r>
      <w:r w:rsidR="00E41BDB" w:rsidRPr="00DF5C23">
        <w:rPr>
          <w:noProof/>
          <w:lang w:val="en-IE" w:eastAsia="ja-JP"/>
        </w:rPr>
        <w:t>第</w:t>
      </w:r>
      <w:r w:rsidR="00E41BDB" w:rsidRPr="00DF5C23">
        <w:rPr>
          <w:noProof/>
          <w:lang w:val="en-IE" w:eastAsia="ja-JP"/>
        </w:rPr>
        <w:t>26</w:t>
      </w:r>
      <w:r w:rsidR="00E41BDB" w:rsidRPr="00DF5C23">
        <w:rPr>
          <w:noProof/>
          <w:lang w:val="en-IE" w:eastAsia="ja-JP"/>
        </w:rPr>
        <w:t>条</w:t>
      </w:r>
      <w:r w:rsidR="00B15B6E" w:rsidRPr="00DF5C23">
        <w:rPr>
          <w:noProof/>
          <w:lang w:val="en-IE" w:eastAsia="ja-JP"/>
        </w:rPr>
        <w:t>第</w:t>
      </w:r>
      <w:r w:rsidR="00B15B6E" w:rsidRPr="00DF5C23">
        <w:rPr>
          <w:noProof/>
          <w:lang w:val="en-IE" w:eastAsia="ja-JP"/>
        </w:rPr>
        <w:t>2</w:t>
      </w:r>
      <w:r w:rsidR="00B15B6E" w:rsidRPr="00DF5C23">
        <w:rPr>
          <w:noProof/>
          <w:lang w:val="en-IE" w:eastAsia="ja-JP"/>
        </w:rPr>
        <w:t>項または第</w:t>
      </w:r>
      <w:r w:rsidR="00B15B6E" w:rsidRPr="00DF5C23">
        <w:rPr>
          <w:noProof/>
          <w:lang w:val="en-IE" w:eastAsia="ja-JP"/>
        </w:rPr>
        <w:t>3</w:t>
      </w:r>
      <w:r w:rsidR="00B15B6E" w:rsidRPr="00DF5C23">
        <w:rPr>
          <w:noProof/>
          <w:lang w:val="en-IE" w:eastAsia="ja-JP"/>
        </w:rPr>
        <w:t>項に従って提供された</w:t>
      </w:r>
      <w:r w:rsidR="003A4DBF" w:rsidRPr="00DF5C23">
        <w:rPr>
          <w:noProof/>
          <w:lang w:val="en-IE" w:eastAsia="ja-JP"/>
        </w:rPr>
        <w:t>ラベルを</w:t>
      </w:r>
      <w:r w:rsidR="00B15B6E" w:rsidRPr="00DF5C23">
        <w:rPr>
          <w:noProof/>
          <w:lang w:val="en-IE" w:eastAsia="ja-JP"/>
        </w:rPr>
        <w:t>、顧客に見やすい方法で表示すること；</w:t>
      </w:r>
    </w:p>
    <w:p w14:paraId="6B5AEA23" w14:textId="77777777" w:rsidR="0038775E" w:rsidRDefault="00877B9C" w:rsidP="002041D4">
      <w:pPr>
        <w:pStyle w:val="Point1"/>
        <w:wordWrap w:val="0"/>
        <w:rPr>
          <w:noProof/>
          <w:lang w:val="en-IE" w:eastAsia="ja-JP"/>
        </w:rPr>
      </w:pPr>
      <w:r w:rsidRPr="004F5E59">
        <w:rPr>
          <w:lang w:eastAsia="ja-JP"/>
        </w:rPr>
        <w:t>(b)</w:t>
      </w:r>
      <w:r w:rsidRPr="004F5E59">
        <w:rPr>
          <w:lang w:eastAsia="ja-JP"/>
        </w:rPr>
        <w:tab/>
      </w:r>
      <w:r w:rsidR="004277E6" w:rsidRPr="00DF5C23">
        <w:rPr>
          <w:noProof/>
          <w:lang w:val="en-IE" w:eastAsia="ja-JP"/>
        </w:rPr>
        <w:t>製品が対象となる</w:t>
      </w:r>
      <w:r w:rsidR="003A4DBF" w:rsidRPr="00DF5C23">
        <w:rPr>
          <w:noProof/>
          <w:lang w:val="en-IE" w:eastAsia="ja-JP"/>
        </w:rPr>
        <w:t>第</w:t>
      </w:r>
      <w:r w:rsidR="003A4DBF" w:rsidRPr="00DF5C23">
        <w:rPr>
          <w:noProof/>
          <w:lang w:val="en-IE" w:eastAsia="ja-JP"/>
        </w:rPr>
        <w:t>4</w:t>
      </w:r>
      <w:r w:rsidR="00B15B6E" w:rsidRPr="00DF5C23">
        <w:rPr>
          <w:noProof/>
          <w:lang w:val="en-IE" w:eastAsia="ja-JP"/>
        </w:rPr>
        <w:t>条に従って</w:t>
      </w:r>
      <w:r w:rsidR="004277E6" w:rsidRPr="00DF5C23">
        <w:rPr>
          <w:noProof/>
          <w:lang w:val="en-IE" w:eastAsia="ja-JP"/>
        </w:rPr>
        <w:t>採択された</w:t>
      </w:r>
      <w:r w:rsidR="00B15B6E" w:rsidRPr="00DF5C23">
        <w:rPr>
          <w:noProof/>
          <w:lang w:val="en-IE" w:eastAsia="ja-JP"/>
        </w:rPr>
        <w:t>委任</w:t>
      </w:r>
      <w:r w:rsidR="003A4DBF" w:rsidRPr="00DF5C23">
        <w:rPr>
          <w:noProof/>
          <w:lang w:val="en-IE" w:eastAsia="ja-JP"/>
        </w:rPr>
        <w:t>法に従い、</w:t>
      </w:r>
      <w:r w:rsidR="00B15B6E" w:rsidRPr="00DF5C23">
        <w:rPr>
          <w:noProof/>
          <w:lang w:val="en-IE" w:eastAsia="ja-JP"/>
        </w:rPr>
        <w:t>特定のモデルの視覚的広告又は技術的販促物において、</w:t>
      </w:r>
      <w:r w:rsidR="00E41BDB" w:rsidRPr="00DF5C23">
        <w:rPr>
          <w:noProof/>
          <w:lang w:val="en-IE" w:eastAsia="ja-JP"/>
        </w:rPr>
        <w:t>第</w:t>
      </w:r>
      <w:r w:rsidR="00E41BDB" w:rsidRPr="00DF5C23">
        <w:rPr>
          <w:noProof/>
          <w:lang w:val="en-IE" w:eastAsia="ja-JP"/>
        </w:rPr>
        <w:t>26</w:t>
      </w:r>
      <w:r w:rsidR="00E41BDB" w:rsidRPr="00DF5C23">
        <w:rPr>
          <w:noProof/>
          <w:lang w:val="en-IE" w:eastAsia="ja-JP"/>
        </w:rPr>
        <w:t>条</w:t>
      </w:r>
      <w:r w:rsidR="003A4DBF" w:rsidRPr="00DF5C23">
        <w:rPr>
          <w:noProof/>
          <w:lang w:val="en-IE" w:eastAsia="ja-JP"/>
        </w:rPr>
        <w:t>第</w:t>
      </w:r>
      <w:r w:rsidR="003A4DBF" w:rsidRPr="00DF5C23">
        <w:rPr>
          <w:noProof/>
          <w:lang w:val="en-IE" w:eastAsia="ja-JP"/>
        </w:rPr>
        <w:t>2</w:t>
      </w:r>
      <w:r w:rsidR="003A4DBF" w:rsidRPr="00DF5C23">
        <w:rPr>
          <w:noProof/>
          <w:lang w:val="en-IE" w:eastAsia="ja-JP"/>
        </w:rPr>
        <w:t>項又は第</w:t>
      </w:r>
      <w:r w:rsidR="003A4DBF" w:rsidRPr="00DF5C23">
        <w:rPr>
          <w:noProof/>
          <w:lang w:val="en-IE" w:eastAsia="ja-JP"/>
        </w:rPr>
        <w:t>3</w:t>
      </w:r>
      <w:r w:rsidR="003A4DBF" w:rsidRPr="00DF5C23">
        <w:rPr>
          <w:noProof/>
          <w:lang w:val="en-IE" w:eastAsia="ja-JP"/>
        </w:rPr>
        <w:t>項に従って提供される</w:t>
      </w:r>
      <w:r w:rsidR="00B15B6E" w:rsidRPr="00DF5C23">
        <w:rPr>
          <w:noProof/>
          <w:lang w:val="en-IE" w:eastAsia="ja-JP"/>
        </w:rPr>
        <w:t>ラベルに含まれる情報を参照すること；</w:t>
      </w:r>
    </w:p>
    <w:p w14:paraId="19D52964" w14:textId="77777777" w:rsidR="0038775E" w:rsidRDefault="00877B9C" w:rsidP="002041D4">
      <w:pPr>
        <w:pStyle w:val="Point1"/>
        <w:wordWrap w:val="0"/>
        <w:rPr>
          <w:noProof/>
          <w:lang w:val="en-IE" w:eastAsia="ja-JP"/>
        </w:rPr>
      </w:pPr>
      <w:r w:rsidRPr="004F5E59">
        <w:rPr>
          <w:lang w:eastAsia="ja-JP"/>
        </w:rPr>
        <w:t>(c)</w:t>
      </w:r>
      <w:r w:rsidRPr="004F5E59">
        <w:rPr>
          <w:lang w:eastAsia="ja-JP"/>
        </w:rPr>
        <w:tab/>
      </w:r>
      <w:r w:rsidR="00654D12" w:rsidRPr="00DF5C23">
        <w:rPr>
          <w:noProof/>
          <w:lang w:eastAsia="ja-JP"/>
        </w:rPr>
        <w:t>ラベルに含まれる情報に関して、お客様を誤解させ、または混乱させる</w:t>
      </w:r>
      <w:r w:rsidR="004277E6" w:rsidRPr="00DF5C23">
        <w:rPr>
          <w:noProof/>
          <w:lang w:eastAsia="ja-JP"/>
        </w:rPr>
        <w:t>可能性の</w:t>
      </w:r>
      <w:r w:rsidR="00654D12" w:rsidRPr="00DF5C23">
        <w:rPr>
          <w:noProof/>
          <w:lang w:eastAsia="ja-JP"/>
        </w:rPr>
        <w:t>ある</w:t>
      </w:r>
      <w:r w:rsidR="00B15B6E" w:rsidRPr="00DF5C23">
        <w:rPr>
          <w:noProof/>
          <w:lang w:val="en-IE" w:eastAsia="ja-JP"/>
        </w:rPr>
        <w:t>他のラベル、マーク、シンボルまたは銘記を提供または表示しないこと。</w:t>
      </w:r>
    </w:p>
    <w:p w14:paraId="21A1B1BA" w14:textId="77777777" w:rsidR="0038775E" w:rsidRDefault="001A4BE8" w:rsidP="002041D4">
      <w:pPr>
        <w:pStyle w:val="Titrearticle"/>
        <w:wordWrap w:val="0"/>
        <w:rPr>
          <w:noProof/>
          <w:lang w:val="en-IE" w:eastAsia="ja-JP"/>
        </w:rPr>
      </w:pPr>
      <w:r w:rsidRPr="00DF5C23">
        <w:rPr>
          <w:noProof/>
          <w:lang w:val="en-IE" w:eastAsia="ja-JP"/>
        </w:rPr>
        <w:t>第</w:t>
      </w:r>
      <w:r w:rsidRPr="00DF5C23">
        <w:rPr>
          <w:noProof/>
          <w:lang w:val="en-IE" w:eastAsia="ja-JP"/>
        </w:rPr>
        <w:t>26</w:t>
      </w:r>
      <w:r w:rsidR="00877B9C" w:rsidRPr="00DF5C23">
        <w:rPr>
          <w:noProof/>
          <w:lang w:val="en-IE" w:eastAsia="ja-JP"/>
        </w:rPr>
        <w:t>条</w:t>
      </w:r>
      <w:r w:rsidR="00877B9C" w:rsidRPr="00DF5C23">
        <w:rPr>
          <w:noProof/>
          <w:lang w:eastAsia="ja-JP"/>
        </w:rPr>
        <w:br/>
      </w:r>
      <w:r w:rsidR="00877B9C" w:rsidRPr="00DF5C23">
        <w:rPr>
          <w:noProof/>
          <w:lang w:val="en-IE" w:eastAsia="ja-JP"/>
        </w:rPr>
        <w:t>ラベルに関連する債務</w:t>
      </w:r>
    </w:p>
    <w:p w14:paraId="532C0296" w14:textId="77777777" w:rsidR="0038775E" w:rsidRDefault="00877B9C" w:rsidP="002041D4">
      <w:pPr>
        <w:pStyle w:val="ManualNumPar1"/>
        <w:wordWrap w:val="0"/>
        <w:rPr>
          <w:noProof/>
          <w:lang w:val="en-IE" w:eastAsia="ja-JP"/>
        </w:rPr>
      </w:pPr>
      <w:r w:rsidRPr="004F5E59">
        <w:rPr>
          <w:lang w:eastAsia="ja-JP"/>
        </w:rPr>
        <w:t>1.</w:t>
      </w:r>
      <w:r w:rsidRPr="004F5E59">
        <w:rPr>
          <w:lang w:eastAsia="ja-JP"/>
        </w:rPr>
        <w:tab/>
      </w:r>
      <w:r w:rsidR="00A31862" w:rsidRPr="00DF5C23">
        <w:rPr>
          <w:noProof/>
          <w:lang w:val="en-IE" w:eastAsia="ja-JP"/>
        </w:rPr>
        <w:t>第</w:t>
      </w:r>
      <w:r w:rsidR="00A31862" w:rsidRPr="00DF5C23">
        <w:rPr>
          <w:noProof/>
          <w:lang w:val="en-IE" w:eastAsia="ja-JP"/>
        </w:rPr>
        <w:t>4</w:t>
      </w:r>
      <w:r w:rsidR="00A704E3" w:rsidRPr="00DF5C23">
        <w:rPr>
          <w:noProof/>
          <w:lang w:val="en-IE" w:eastAsia="ja-JP"/>
        </w:rPr>
        <w:t>条に従って採択された委任法が製品に</w:t>
      </w:r>
      <w:r w:rsidR="00A404BE" w:rsidRPr="00DF5C23">
        <w:rPr>
          <w:noProof/>
          <w:lang w:val="en-IE" w:eastAsia="ja-JP"/>
        </w:rPr>
        <w:t>第</w:t>
      </w:r>
      <w:r w:rsidR="00A404BE" w:rsidRPr="00DF5C23">
        <w:rPr>
          <w:noProof/>
          <w:lang w:val="en-IE" w:eastAsia="ja-JP"/>
        </w:rPr>
        <w:t>14</w:t>
      </w:r>
      <w:r w:rsidR="00A404BE" w:rsidRPr="00DF5C23">
        <w:rPr>
          <w:noProof/>
          <w:lang w:val="en-IE" w:eastAsia="ja-JP"/>
        </w:rPr>
        <w:t>条に</w:t>
      </w:r>
      <w:r w:rsidR="00A704E3" w:rsidRPr="00DF5C23">
        <w:rPr>
          <w:noProof/>
          <w:lang w:val="en-IE" w:eastAsia="ja-JP"/>
        </w:rPr>
        <w:t>いうラベルを要求する場合、</w:t>
      </w:r>
      <w:r w:rsidR="0023632F" w:rsidRPr="00DF5C23">
        <w:rPr>
          <w:noProof/>
          <w:lang w:val="en-IE" w:eastAsia="ja-JP"/>
        </w:rPr>
        <w:t>製品を市場に出し</w:t>
      </w:r>
      <w:r w:rsidR="00E92991" w:rsidRPr="00DF5C23">
        <w:rPr>
          <w:noProof/>
          <w:lang w:val="en-IE" w:eastAsia="ja-JP"/>
        </w:rPr>
        <w:t>、又は使用に供する</w:t>
      </w:r>
      <w:r w:rsidR="0023632F" w:rsidRPr="00DF5C23">
        <w:rPr>
          <w:noProof/>
          <w:lang w:val="en-IE" w:eastAsia="ja-JP"/>
        </w:rPr>
        <w:t>経済事業者は、製品に、個々の</w:t>
      </w:r>
      <w:r w:rsidR="00654D12" w:rsidRPr="00DF5C23">
        <w:rPr>
          <w:noProof/>
          <w:lang w:eastAsia="ja-JP"/>
        </w:rPr>
        <w:t>単位ごとに、</w:t>
      </w:r>
      <w:r w:rsidR="00A704E3" w:rsidRPr="00DF5C23">
        <w:rPr>
          <w:noProof/>
          <w:lang w:eastAsia="ja-JP"/>
        </w:rPr>
        <w:t>当該</w:t>
      </w:r>
      <w:r w:rsidR="00654D12" w:rsidRPr="00DF5C23">
        <w:rPr>
          <w:noProof/>
          <w:lang w:eastAsia="ja-JP"/>
        </w:rPr>
        <w:t>委任法に従った印刷ラベルを無料で</w:t>
      </w:r>
      <w:r w:rsidR="0023632F" w:rsidRPr="00DF5C23">
        <w:rPr>
          <w:noProof/>
          <w:lang w:val="en-IE" w:eastAsia="ja-JP"/>
        </w:rPr>
        <w:t>添付することを保証しなければならない。</w:t>
      </w:r>
    </w:p>
    <w:p w14:paraId="5A6C2269" w14:textId="77777777" w:rsidR="0038775E" w:rsidRDefault="00877B9C" w:rsidP="002041D4">
      <w:pPr>
        <w:pStyle w:val="ManualNumPar1"/>
        <w:wordWrap w:val="0"/>
        <w:rPr>
          <w:noProof/>
          <w:lang w:val="en-IE" w:eastAsia="ja-JP"/>
        </w:rPr>
      </w:pPr>
      <w:r w:rsidRPr="004F5E59">
        <w:rPr>
          <w:lang w:eastAsia="ja-JP"/>
        </w:rPr>
        <w:t>2.</w:t>
      </w:r>
      <w:r w:rsidRPr="004F5E59">
        <w:rPr>
          <w:lang w:eastAsia="ja-JP"/>
        </w:rPr>
        <w:tab/>
      </w:r>
      <w:r w:rsidR="00A31862" w:rsidRPr="00DF5C23">
        <w:rPr>
          <w:noProof/>
          <w:lang w:val="en-IE" w:eastAsia="ja-JP"/>
        </w:rPr>
        <w:t>第</w:t>
      </w:r>
      <w:r w:rsidR="00A31862" w:rsidRPr="00DF5C23">
        <w:rPr>
          <w:noProof/>
          <w:lang w:val="en-IE" w:eastAsia="ja-JP"/>
        </w:rPr>
        <w:t>4</w:t>
      </w:r>
      <w:r w:rsidR="00A704E3" w:rsidRPr="00DF5C23">
        <w:rPr>
          <w:noProof/>
          <w:lang w:val="en-IE" w:eastAsia="ja-JP"/>
        </w:rPr>
        <w:t>条に従って採択された委任法が、製品に</w:t>
      </w:r>
      <w:r w:rsidR="00A404BE" w:rsidRPr="00DF5C23">
        <w:rPr>
          <w:noProof/>
          <w:lang w:val="en-IE" w:eastAsia="ja-JP"/>
        </w:rPr>
        <w:t>第</w:t>
      </w:r>
      <w:r w:rsidR="00A404BE" w:rsidRPr="00DF5C23">
        <w:rPr>
          <w:noProof/>
          <w:lang w:val="en-IE" w:eastAsia="ja-JP"/>
        </w:rPr>
        <w:t>14</w:t>
      </w:r>
      <w:r w:rsidR="00A404BE" w:rsidRPr="00DF5C23">
        <w:rPr>
          <w:noProof/>
          <w:lang w:val="en-IE" w:eastAsia="ja-JP"/>
        </w:rPr>
        <w:t>条の</w:t>
      </w:r>
      <w:r w:rsidR="00A704E3" w:rsidRPr="00DF5C23">
        <w:rPr>
          <w:noProof/>
          <w:lang w:val="en-IE" w:eastAsia="ja-JP"/>
        </w:rPr>
        <w:t>ラベルを付けることを要求する場合、</w:t>
      </w:r>
      <w:r w:rsidR="0023632F" w:rsidRPr="00DF5C23">
        <w:rPr>
          <w:noProof/>
          <w:lang w:val="en-IE" w:eastAsia="ja-JP"/>
        </w:rPr>
        <w:t>製品を市場に出し</w:t>
      </w:r>
      <w:r w:rsidR="00983E72" w:rsidRPr="00DF5C23">
        <w:rPr>
          <w:noProof/>
          <w:lang w:val="en-IE" w:eastAsia="ja-JP"/>
        </w:rPr>
        <w:t>、又は使用に供する</w:t>
      </w:r>
      <w:r w:rsidR="0023632F" w:rsidRPr="00DF5C23">
        <w:rPr>
          <w:noProof/>
          <w:lang w:val="en-IE" w:eastAsia="ja-JP"/>
        </w:rPr>
        <w:t>経済事業者は、販売</w:t>
      </w:r>
      <w:r w:rsidR="00BC7914" w:rsidRPr="00DF5C23">
        <w:rPr>
          <w:noProof/>
          <w:lang w:val="en-IE" w:eastAsia="ja-JP"/>
        </w:rPr>
        <w:t>店の</w:t>
      </w:r>
      <w:r w:rsidR="0023632F" w:rsidRPr="00DF5C23">
        <w:rPr>
          <w:noProof/>
          <w:lang w:val="en-IE" w:eastAsia="ja-JP"/>
        </w:rPr>
        <w:t>要求から速やかに、いかなる場合にも</w:t>
      </w:r>
      <w:r w:rsidR="00654D12" w:rsidRPr="00DF5C23">
        <w:rPr>
          <w:noProof/>
          <w:lang w:val="en-IE" w:eastAsia="ja-JP"/>
        </w:rPr>
        <w:t>5</w:t>
      </w:r>
      <w:r w:rsidR="0023632F" w:rsidRPr="00DF5C23">
        <w:rPr>
          <w:noProof/>
          <w:lang w:val="en-IE" w:eastAsia="ja-JP"/>
        </w:rPr>
        <w:t>営業日以内に、印刷ラベル</w:t>
      </w:r>
      <w:r w:rsidR="00C605F7" w:rsidRPr="00DF5C23">
        <w:rPr>
          <w:noProof/>
          <w:lang w:val="en-IE" w:eastAsia="ja-JP"/>
        </w:rPr>
        <w:t>又は</w:t>
      </w:r>
      <w:r w:rsidR="00C605F7" w:rsidRPr="00DF5C23">
        <w:rPr>
          <w:noProof/>
          <w:lang w:val="en-IE" w:eastAsia="fr-BE"/>
        </w:rPr>
        <w:t>ラベルのデジタルコピーを</w:t>
      </w:r>
      <w:r w:rsidR="0023632F" w:rsidRPr="00DF5C23">
        <w:rPr>
          <w:noProof/>
          <w:lang w:val="en-IE" w:eastAsia="ja-JP"/>
        </w:rPr>
        <w:t>販売店に無償で交付するものとする。</w:t>
      </w:r>
    </w:p>
    <w:p w14:paraId="017101E5" w14:textId="77777777" w:rsidR="0038775E" w:rsidRDefault="00877B9C" w:rsidP="002041D4">
      <w:pPr>
        <w:pStyle w:val="ManualNumPar1"/>
        <w:wordWrap w:val="0"/>
        <w:rPr>
          <w:noProof/>
          <w:lang w:val="en-IE" w:eastAsia="ja-JP"/>
        </w:rPr>
      </w:pPr>
      <w:r w:rsidRPr="004F5E59">
        <w:rPr>
          <w:lang w:eastAsia="ja-JP"/>
        </w:rPr>
        <w:t>3.</w:t>
      </w:r>
      <w:r w:rsidRPr="004F5E59">
        <w:rPr>
          <w:lang w:eastAsia="ja-JP"/>
        </w:rPr>
        <w:tab/>
      </w:r>
      <w:r w:rsidR="00A31862" w:rsidRPr="00DF5C23">
        <w:rPr>
          <w:noProof/>
          <w:lang w:val="en-IE" w:eastAsia="ja-JP"/>
        </w:rPr>
        <w:t>第</w:t>
      </w:r>
      <w:r w:rsidR="00A31862" w:rsidRPr="00DF5C23">
        <w:rPr>
          <w:noProof/>
          <w:lang w:val="en-IE" w:eastAsia="ja-JP"/>
        </w:rPr>
        <w:t>4</w:t>
      </w:r>
      <w:r w:rsidR="00A704E3" w:rsidRPr="00DF5C23">
        <w:rPr>
          <w:noProof/>
          <w:lang w:val="en-IE" w:eastAsia="ja-JP"/>
        </w:rPr>
        <w:t>条に従って採択された委任法が製品に</w:t>
      </w:r>
      <w:r w:rsidR="00A404BE" w:rsidRPr="00DF5C23">
        <w:rPr>
          <w:noProof/>
          <w:lang w:val="en-IE" w:eastAsia="ja-JP"/>
        </w:rPr>
        <w:t>第</w:t>
      </w:r>
      <w:r w:rsidR="00A404BE" w:rsidRPr="00DF5C23">
        <w:rPr>
          <w:noProof/>
          <w:lang w:val="en-IE" w:eastAsia="ja-JP"/>
        </w:rPr>
        <w:t>14</w:t>
      </w:r>
      <w:r w:rsidR="00A404BE" w:rsidRPr="00DF5C23">
        <w:rPr>
          <w:noProof/>
          <w:lang w:val="en-IE" w:eastAsia="ja-JP"/>
        </w:rPr>
        <w:t>条の</w:t>
      </w:r>
      <w:r w:rsidR="00A704E3" w:rsidRPr="00DF5C23">
        <w:rPr>
          <w:noProof/>
          <w:lang w:val="en-IE" w:eastAsia="ja-JP"/>
        </w:rPr>
        <w:t>ラベルを要求する場合、</w:t>
      </w:r>
      <w:r w:rsidR="0023632F" w:rsidRPr="00DF5C23">
        <w:rPr>
          <w:noProof/>
          <w:lang w:val="en-IE" w:eastAsia="ja-JP"/>
        </w:rPr>
        <w:t>製品を市場に出し</w:t>
      </w:r>
      <w:r w:rsidR="00983E72" w:rsidRPr="00DF5C23">
        <w:rPr>
          <w:noProof/>
          <w:lang w:val="en-IE" w:eastAsia="ja-JP"/>
        </w:rPr>
        <w:t>、又は使用させる</w:t>
      </w:r>
      <w:r w:rsidR="0023632F" w:rsidRPr="00DF5C23">
        <w:rPr>
          <w:noProof/>
          <w:lang w:val="en-IE" w:eastAsia="ja-JP"/>
        </w:rPr>
        <w:t>経済事業者は、</w:t>
      </w:r>
      <w:r w:rsidR="00654D12" w:rsidRPr="00DF5C23">
        <w:rPr>
          <w:noProof/>
          <w:lang w:eastAsia="ja-JP"/>
        </w:rPr>
        <w:t>そのラベルが正確であることを保証</w:t>
      </w:r>
      <w:r w:rsidR="0023632F" w:rsidRPr="00DF5C23">
        <w:rPr>
          <w:noProof/>
          <w:lang w:val="en-IE" w:eastAsia="ja-JP"/>
        </w:rPr>
        <w:t>し、適用される適合性評価手続の一環として、正確さを評価できるような技術文書を作成しなければならない。</w:t>
      </w:r>
    </w:p>
    <w:p w14:paraId="6762694F" w14:textId="77777777" w:rsidR="0038775E" w:rsidRDefault="00877B9C" w:rsidP="002041D4">
      <w:pPr>
        <w:pStyle w:val="ManualNumPar1"/>
        <w:wordWrap w:val="0"/>
        <w:rPr>
          <w:noProof/>
          <w:lang w:val="en-IE" w:eastAsia="ja-JP"/>
        </w:rPr>
      </w:pPr>
      <w:r w:rsidRPr="004F5E59">
        <w:rPr>
          <w:lang w:eastAsia="ja-JP"/>
        </w:rPr>
        <w:t>4.</w:t>
      </w:r>
      <w:r w:rsidRPr="004F5E59">
        <w:rPr>
          <w:lang w:eastAsia="ja-JP"/>
        </w:rPr>
        <w:tab/>
      </w:r>
      <w:r w:rsidR="00A31862" w:rsidRPr="00DF5C23">
        <w:rPr>
          <w:noProof/>
          <w:lang w:val="en-IE" w:eastAsia="ja-JP"/>
        </w:rPr>
        <w:t>第</w:t>
      </w:r>
      <w:r w:rsidR="00A31862" w:rsidRPr="00DF5C23">
        <w:rPr>
          <w:noProof/>
          <w:lang w:val="en-IE" w:eastAsia="ja-JP"/>
        </w:rPr>
        <w:t>4</w:t>
      </w:r>
      <w:r w:rsidR="00C2178B" w:rsidRPr="00DF5C23">
        <w:rPr>
          <w:noProof/>
          <w:lang w:val="en-IE" w:eastAsia="ja-JP"/>
        </w:rPr>
        <w:t>条に従って採択された委任法が、製品に</w:t>
      </w:r>
      <w:r w:rsidR="00A404BE" w:rsidRPr="00DF5C23">
        <w:rPr>
          <w:noProof/>
          <w:lang w:val="en-IE" w:eastAsia="ja-JP"/>
        </w:rPr>
        <w:t>第</w:t>
      </w:r>
      <w:r w:rsidR="00A404BE" w:rsidRPr="00DF5C23">
        <w:rPr>
          <w:noProof/>
          <w:lang w:val="en-IE" w:eastAsia="ja-JP"/>
        </w:rPr>
        <w:t>14</w:t>
      </w:r>
      <w:r w:rsidR="00A404BE" w:rsidRPr="00DF5C23">
        <w:rPr>
          <w:noProof/>
          <w:lang w:val="en-IE" w:eastAsia="ja-JP"/>
        </w:rPr>
        <w:t>条の</w:t>
      </w:r>
      <w:r w:rsidR="00C2178B" w:rsidRPr="00DF5C23">
        <w:rPr>
          <w:noProof/>
          <w:lang w:val="en-IE" w:eastAsia="ja-JP"/>
        </w:rPr>
        <w:t>ラベルを付けることを要求する場合、</w:t>
      </w:r>
      <w:r w:rsidR="0023632F" w:rsidRPr="00DF5C23">
        <w:rPr>
          <w:noProof/>
          <w:lang w:val="en-IE" w:eastAsia="ja-JP"/>
        </w:rPr>
        <w:t>製品を市場に出し</w:t>
      </w:r>
      <w:r w:rsidR="00983E72" w:rsidRPr="00DF5C23">
        <w:rPr>
          <w:noProof/>
          <w:lang w:val="en-IE" w:eastAsia="ja-JP"/>
        </w:rPr>
        <w:t>、又は使用させる</w:t>
      </w:r>
      <w:r w:rsidR="0023632F" w:rsidRPr="00DF5C23">
        <w:rPr>
          <w:noProof/>
          <w:lang w:val="en-IE" w:eastAsia="ja-JP"/>
        </w:rPr>
        <w:t>経済事業者は、以下のことを行う：</w:t>
      </w:r>
    </w:p>
    <w:p w14:paraId="456EE19A" w14:textId="77777777" w:rsidR="0038775E" w:rsidRDefault="00877B9C" w:rsidP="002041D4">
      <w:pPr>
        <w:pStyle w:val="Point1"/>
        <w:wordWrap w:val="0"/>
        <w:rPr>
          <w:noProof/>
          <w:lang w:val="en-IE" w:eastAsia="ja-JP"/>
        </w:rPr>
      </w:pPr>
      <w:r w:rsidRPr="004F5E59">
        <w:rPr>
          <w:lang w:eastAsia="ja-JP"/>
        </w:rPr>
        <w:lastRenderedPageBreak/>
        <w:t>(a)</w:t>
      </w:r>
      <w:r w:rsidRPr="004F5E59">
        <w:rPr>
          <w:lang w:eastAsia="ja-JP"/>
        </w:rPr>
        <w:tab/>
      </w:r>
      <w:r w:rsidR="00850318" w:rsidRPr="00DF5C23">
        <w:rPr>
          <w:noProof/>
          <w:lang w:val="en-IE" w:eastAsia="ja-JP"/>
        </w:rPr>
        <w:t>第</w:t>
      </w:r>
      <w:r w:rsidR="00850318" w:rsidRPr="00DF5C23">
        <w:rPr>
          <w:noProof/>
          <w:lang w:val="en-IE" w:eastAsia="ja-JP"/>
        </w:rPr>
        <w:t>4</w:t>
      </w:r>
      <w:r w:rsidR="00850318" w:rsidRPr="00DF5C23">
        <w:rPr>
          <w:noProof/>
          <w:lang w:val="en-IE" w:eastAsia="ja-JP"/>
        </w:rPr>
        <w:t>条に従って採択された</w:t>
      </w:r>
      <w:r w:rsidR="0681B866" w:rsidRPr="00DF5C23">
        <w:rPr>
          <w:noProof/>
          <w:lang w:val="en-IE" w:eastAsia="ja-JP"/>
        </w:rPr>
        <w:t>関連する委任法に従い、ラベルに含まれる情報、特定のモデルに関する視覚的広告または技術的販促</w:t>
      </w:r>
      <w:r w:rsidR="00654D12" w:rsidRPr="00DF5C23">
        <w:rPr>
          <w:noProof/>
          <w:lang w:eastAsia="ja-JP"/>
        </w:rPr>
        <w:t>資料に</w:t>
      </w:r>
      <w:r w:rsidR="0681B866" w:rsidRPr="00DF5C23">
        <w:rPr>
          <w:noProof/>
          <w:lang w:val="en-IE" w:eastAsia="ja-JP"/>
        </w:rPr>
        <w:t>言及すること；</w:t>
      </w:r>
    </w:p>
    <w:p w14:paraId="49D1B772" w14:textId="77777777" w:rsidR="0038775E" w:rsidRDefault="00877B9C" w:rsidP="002041D4">
      <w:pPr>
        <w:pStyle w:val="Point1"/>
        <w:wordWrap w:val="0"/>
        <w:rPr>
          <w:noProof/>
          <w:lang w:val="en-IE" w:eastAsia="ja-JP"/>
        </w:rPr>
      </w:pPr>
      <w:r w:rsidRPr="004F5E59">
        <w:rPr>
          <w:lang w:eastAsia="ja-JP"/>
        </w:rPr>
        <w:t>(b)</w:t>
      </w:r>
      <w:r w:rsidRPr="004F5E59">
        <w:rPr>
          <w:lang w:eastAsia="ja-JP"/>
        </w:rPr>
        <w:tab/>
      </w:r>
      <w:r w:rsidR="00654D12" w:rsidRPr="00DF5C23">
        <w:rPr>
          <w:noProof/>
          <w:lang w:eastAsia="ja-JP"/>
        </w:rPr>
        <w:t>ラベルに含まれる情報に関して、お客様を誤解させ、または混乱させる</w:t>
      </w:r>
      <w:r w:rsidR="00C2178B" w:rsidRPr="00DF5C23">
        <w:rPr>
          <w:noProof/>
          <w:lang w:eastAsia="ja-JP"/>
        </w:rPr>
        <w:t>可能性の</w:t>
      </w:r>
      <w:r w:rsidR="00654D12" w:rsidRPr="00DF5C23">
        <w:rPr>
          <w:noProof/>
          <w:lang w:eastAsia="ja-JP"/>
        </w:rPr>
        <w:t>ある</w:t>
      </w:r>
      <w:r w:rsidR="0681B866" w:rsidRPr="00DF5C23">
        <w:rPr>
          <w:noProof/>
          <w:lang w:val="en-IE" w:eastAsia="ja-JP"/>
        </w:rPr>
        <w:t>他のラベル、マーク、シンボルまたは銘記を提供または表示しないこと。</w:t>
      </w:r>
    </w:p>
    <w:p w14:paraId="0D777CD7" w14:textId="77777777" w:rsidR="0038775E" w:rsidRDefault="001A4BE8" w:rsidP="002041D4">
      <w:pPr>
        <w:pStyle w:val="Titrearticle"/>
        <w:wordWrap w:val="0"/>
        <w:rPr>
          <w:noProof/>
          <w:lang w:val="en-IE" w:eastAsia="fr-BE"/>
        </w:rPr>
      </w:pPr>
      <w:r w:rsidRPr="00DF5C23">
        <w:rPr>
          <w:noProof/>
          <w:lang w:val="en-IE" w:eastAsia="fr-BE"/>
        </w:rPr>
        <w:t>第</w:t>
      </w:r>
      <w:r w:rsidRPr="00DF5C23">
        <w:rPr>
          <w:noProof/>
          <w:lang w:val="en-IE" w:eastAsia="fr-BE"/>
        </w:rPr>
        <w:t>27</w:t>
      </w:r>
      <w:r w:rsidR="00877B9C" w:rsidRPr="00DF5C23">
        <w:rPr>
          <w:noProof/>
          <w:lang w:val="en-IE" w:eastAsia="fr-BE"/>
        </w:rPr>
        <w:t>条</w:t>
      </w:r>
      <w:r w:rsidR="00014A6A" w:rsidRPr="00DF5C23">
        <w:rPr>
          <w:noProof/>
          <w:lang w:eastAsia="ja-JP"/>
        </w:rPr>
        <w:br/>
      </w:r>
      <w:r w:rsidR="00877B9C" w:rsidRPr="00DF5C23">
        <w:rPr>
          <w:noProof/>
          <w:lang w:val="en-IE" w:eastAsia="fr-BE"/>
        </w:rPr>
        <w:t>フルフィルメントサービスプロバイダーの義務</w:t>
      </w:r>
    </w:p>
    <w:p w14:paraId="3BFCF136" w14:textId="77777777" w:rsidR="0038775E" w:rsidRDefault="00877B9C" w:rsidP="002041D4">
      <w:pPr>
        <w:shd w:val="clear" w:color="auto" w:fill="FFFFFF" w:themeFill="background1"/>
        <w:wordWrap w:val="0"/>
        <w:spacing w:after="0" w:line="312" w:lineRule="atLeast"/>
        <w:rPr>
          <w:rFonts w:eastAsia="Times New Roman"/>
          <w:noProof/>
          <w:lang w:val="en-IE" w:eastAsia="fr-BE"/>
        </w:rPr>
      </w:pPr>
      <w:r w:rsidRPr="23DF1179">
        <w:rPr>
          <w:rFonts w:eastAsia="Times New Roman"/>
          <w:noProof/>
          <w:lang w:val="en-IE" w:eastAsia="fr-BE"/>
        </w:rPr>
        <w:t>フルフィルメントサービスプロバイダーは、第4条に従って採択された委任法の対象となる製品を取り扱う場合、倉庫保管、包装、宛名書き又は発送の際の条件が、当該委任法に定める要件への製品の適合を危うくしないことを確実にしなければならない。</w:t>
      </w:r>
    </w:p>
    <w:p w14:paraId="71BE8BCA" w14:textId="77777777" w:rsidR="0038775E" w:rsidRDefault="001A4BE8" w:rsidP="002041D4">
      <w:pPr>
        <w:pStyle w:val="Titrearticle"/>
        <w:wordWrap w:val="0"/>
        <w:rPr>
          <w:noProof/>
          <w:lang w:val="en-IE" w:eastAsia="fr-BE"/>
        </w:rPr>
      </w:pPr>
      <w:r w:rsidRPr="00DF5C23">
        <w:rPr>
          <w:noProof/>
          <w:lang w:val="en-IE" w:eastAsia="fr-BE"/>
        </w:rPr>
        <w:t>第</w:t>
      </w:r>
      <w:r w:rsidRPr="00DF5C23">
        <w:rPr>
          <w:noProof/>
          <w:lang w:val="en-IE" w:eastAsia="fr-BE"/>
        </w:rPr>
        <w:t>28</w:t>
      </w:r>
      <w:r w:rsidR="00877B9C" w:rsidRPr="00DF5C23">
        <w:rPr>
          <w:noProof/>
          <w:lang w:val="en-IE" w:eastAsia="fr-BE"/>
        </w:rPr>
        <w:t>条</w:t>
      </w:r>
      <w:r w:rsidR="00014A6A" w:rsidRPr="00DF5C23">
        <w:rPr>
          <w:noProof/>
          <w:lang w:eastAsia="ja-JP"/>
        </w:rPr>
        <w:br/>
      </w:r>
      <w:r w:rsidR="00877B9C" w:rsidRPr="00DF5C23">
        <w:rPr>
          <w:noProof/>
          <w:lang w:val="en-IE" w:eastAsia="fr-BE"/>
        </w:rPr>
        <w:t>製造者の義務が輸入者・販売者にも適用されるケース</w:t>
      </w:r>
    </w:p>
    <w:p w14:paraId="3605C928" w14:textId="77777777" w:rsidR="0038775E" w:rsidRDefault="00877B9C" w:rsidP="002041D4">
      <w:pPr>
        <w:shd w:val="clear" w:color="auto" w:fill="FFFFFF" w:themeFill="background1"/>
        <w:wordWrap w:val="0"/>
        <w:spacing w:after="0" w:line="312" w:lineRule="atLeast"/>
        <w:rPr>
          <w:rFonts w:eastAsia="Times New Roman"/>
          <w:noProof/>
          <w:lang w:val="en-IE" w:eastAsia="fr-BE"/>
        </w:rPr>
      </w:pPr>
      <w:r w:rsidRPr="23DF1179">
        <w:rPr>
          <w:rFonts w:eastAsia="Times New Roman"/>
          <w:noProof/>
          <w:lang w:val="en-IE" w:eastAsia="fr-BE"/>
        </w:rPr>
        <w:t>輸入業者又は販売業者は、本規則において製造業者とみなされ、第21条に基づく製造業者の義務に服するものとする：</w:t>
      </w:r>
    </w:p>
    <w:p w14:paraId="1702D847" w14:textId="77777777" w:rsidR="0038775E" w:rsidRDefault="00877B9C" w:rsidP="002041D4">
      <w:pPr>
        <w:pStyle w:val="Point0"/>
        <w:wordWrap w:val="0"/>
        <w:rPr>
          <w:noProof/>
          <w:lang w:val="en-IE" w:eastAsia="fr-BE"/>
        </w:rPr>
      </w:pPr>
      <w:r w:rsidRPr="004F5E59">
        <w:rPr>
          <w:lang w:eastAsia="ja-JP"/>
        </w:rPr>
        <w:t>(1)</w:t>
      </w:r>
      <w:r w:rsidRPr="004F5E59">
        <w:rPr>
          <w:lang w:eastAsia="ja-JP"/>
        </w:rPr>
        <w:tab/>
      </w:r>
      <w:r w:rsidR="00850318" w:rsidRPr="00DF5C23">
        <w:rPr>
          <w:noProof/>
          <w:lang w:val="en-IE" w:eastAsia="fr-BE"/>
        </w:rPr>
        <w:t>第</w:t>
      </w:r>
      <w:r w:rsidR="00850318" w:rsidRPr="00DF5C23">
        <w:rPr>
          <w:noProof/>
          <w:lang w:val="en-IE" w:eastAsia="fr-BE"/>
        </w:rPr>
        <w:t>4</w:t>
      </w:r>
      <w:r w:rsidR="00850318" w:rsidRPr="00DF5C23">
        <w:rPr>
          <w:noProof/>
          <w:lang w:val="en-IE" w:eastAsia="fr-BE"/>
        </w:rPr>
        <w:t>条に従って採択された</w:t>
      </w:r>
      <w:r w:rsidR="0681B866" w:rsidRPr="00DF5C23">
        <w:rPr>
          <w:noProof/>
          <w:lang w:val="en-IE" w:eastAsia="fr-BE"/>
        </w:rPr>
        <w:t>委任法の対象となる製品を、その名称または商標の下に市場に置くこと；</w:t>
      </w:r>
      <w:r w:rsidR="0681B866" w:rsidRPr="00DF5C23">
        <w:rPr>
          <w:noProof/>
          <w:lang w:val="en-IE" w:eastAsia="fr-BE"/>
        </w:rPr>
        <w:t xml:space="preserve"> </w:t>
      </w:r>
    </w:p>
    <w:p w14:paraId="632FDFFA" w14:textId="77777777" w:rsidR="0038775E" w:rsidRDefault="00877B9C" w:rsidP="002041D4">
      <w:pPr>
        <w:pStyle w:val="Point0"/>
        <w:wordWrap w:val="0"/>
        <w:rPr>
          <w:noProof/>
          <w:lang w:val="en-IE" w:eastAsia="fr-BE"/>
        </w:rPr>
      </w:pPr>
      <w:r w:rsidRPr="004F5E59">
        <w:rPr>
          <w:lang w:eastAsia="ja-JP"/>
        </w:rPr>
        <w:t>(2)</w:t>
      </w:r>
      <w:r w:rsidRPr="004F5E59">
        <w:rPr>
          <w:lang w:eastAsia="ja-JP"/>
        </w:rPr>
        <w:tab/>
      </w:r>
      <w:r w:rsidR="00A404BE" w:rsidRPr="00DF5C23">
        <w:rPr>
          <w:noProof/>
          <w:lang w:val="en-IE" w:eastAsia="fr-BE"/>
        </w:rPr>
        <w:t>第</w:t>
      </w:r>
      <w:r w:rsidR="00A404BE" w:rsidRPr="00DF5C23">
        <w:rPr>
          <w:noProof/>
          <w:lang w:val="en-IE" w:eastAsia="fr-BE"/>
        </w:rPr>
        <w:t>4</w:t>
      </w:r>
      <w:r w:rsidR="006B6792" w:rsidRPr="00DF5C23">
        <w:rPr>
          <w:noProof/>
          <w:lang w:val="en-IE" w:eastAsia="fr-BE"/>
        </w:rPr>
        <w:t>条に従って採択された委任</w:t>
      </w:r>
      <w:r w:rsidR="003A4DBF" w:rsidRPr="00DF5C23">
        <w:rPr>
          <w:noProof/>
          <w:lang w:val="en-IE" w:eastAsia="fr-BE"/>
        </w:rPr>
        <w:t>法に</w:t>
      </w:r>
      <w:r w:rsidR="006B6792" w:rsidRPr="00DF5C23">
        <w:rPr>
          <w:noProof/>
          <w:lang w:val="en-IE" w:eastAsia="fr-BE"/>
        </w:rPr>
        <w:t>規定された</w:t>
      </w:r>
      <w:r w:rsidR="0681B866" w:rsidRPr="00DF5C23">
        <w:rPr>
          <w:noProof/>
          <w:lang w:val="en-IE" w:eastAsia="fr-BE"/>
        </w:rPr>
        <w:t>要求事項の遵守に</w:t>
      </w:r>
      <w:r w:rsidR="006B6792" w:rsidRPr="00DF5C23">
        <w:rPr>
          <w:noProof/>
          <w:lang w:val="en-IE" w:eastAsia="fr-BE"/>
        </w:rPr>
        <w:t>影響を与える方法で、</w:t>
      </w:r>
      <w:r w:rsidR="0681B866" w:rsidRPr="00DF5C23">
        <w:rPr>
          <w:noProof/>
          <w:lang w:val="en-IE" w:eastAsia="fr-BE"/>
        </w:rPr>
        <w:t>既に上市されている当該製品を修正すること。</w:t>
      </w:r>
      <w:r w:rsidR="0681B866" w:rsidRPr="00DF5C23">
        <w:rPr>
          <w:noProof/>
          <w:lang w:val="en-IE" w:eastAsia="fr-BE"/>
        </w:rPr>
        <w:t xml:space="preserve"> </w:t>
      </w:r>
    </w:p>
    <w:p w14:paraId="3EB05EE6" w14:textId="77777777" w:rsidR="0038775E" w:rsidRDefault="001A4BE8" w:rsidP="002041D4">
      <w:pPr>
        <w:pStyle w:val="Titrearticle"/>
        <w:wordWrap w:val="0"/>
        <w:rPr>
          <w:noProof/>
          <w:lang w:val="en-IE" w:eastAsia="fr-BE"/>
        </w:rPr>
      </w:pPr>
      <w:r w:rsidRPr="00DF5C23">
        <w:rPr>
          <w:noProof/>
          <w:lang w:val="en-IE" w:eastAsia="fr-BE"/>
        </w:rPr>
        <w:t>第</w:t>
      </w:r>
      <w:r w:rsidRPr="00DF5C23">
        <w:rPr>
          <w:noProof/>
          <w:lang w:val="en-IE" w:eastAsia="fr-BE"/>
        </w:rPr>
        <w:t>29</w:t>
      </w:r>
      <w:r w:rsidR="00877B9C" w:rsidRPr="00DF5C23">
        <w:rPr>
          <w:noProof/>
          <w:lang w:val="en-IE" w:eastAsia="fr-BE"/>
        </w:rPr>
        <w:t>条</w:t>
      </w:r>
      <w:r w:rsidR="00877B9C" w:rsidRPr="00DF5C23">
        <w:rPr>
          <w:noProof/>
          <w:lang w:eastAsia="ja-JP"/>
        </w:rPr>
        <w:br/>
      </w:r>
      <w:r w:rsidR="00877B9C" w:rsidRPr="00DF5C23">
        <w:rPr>
          <w:noProof/>
          <w:lang w:val="en-IE" w:eastAsia="fr-BE"/>
        </w:rPr>
        <w:t>オンラインマーケットプレイス</w:t>
      </w:r>
      <w:r w:rsidR="003A12BC" w:rsidRPr="00DF5C23">
        <w:rPr>
          <w:noProof/>
          <w:lang w:val="en-IE" w:eastAsia="fr-BE"/>
        </w:rPr>
        <w:t>およびオンライン</w:t>
      </w:r>
      <w:r w:rsidR="00B708F3" w:rsidRPr="00DF5C23">
        <w:rPr>
          <w:noProof/>
          <w:lang w:val="en-IE" w:eastAsia="fr-BE"/>
        </w:rPr>
        <w:t>検索</w:t>
      </w:r>
      <w:r w:rsidR="003A12BC" w:rsidRPr="00DF5C23">
        <w:rPr>
          <w:noProof/>
          <w:lang w:val="en-IE" w:eastAsia="fr-BE"/>
        </w:rPr>
        <w:t>エンジンの</w:t>
      </w:r>
      <w:r w:rsidR="00877B9C" w:rsidRPr="00DF5C23">
        <w:rPr>
          <w:noProof/>
          <w:lang w:val="en-IE" w:eastAsia="fr-BE"/>
        </w:rPr>
        <w:t>義務</w:t>
      </w:r>
    </w:p>
    <w:p w14:paraId="0F3578AC" w14:textId="77777777" w:rsidR="0038775E" w:rsidRDefault="00877B9C" w:rsidP="002041D4">
      <w:pPr>
        <w:pStyle w:val="ManualNumPar1"/>
        <w:wordWrap w:val="0"/>
        <w:rPr>
          <w:noProof/>
          <w:lang w:val="en-IE" w:eastAsia="ja-JP"/>
        </w:rPr>
      </w:pPr>
      <w:r w:rsidRPr="004F5E59">
        <w:rPr>
          <w:lang w:eastAsia="ja-JP"/>
        </w:rPr>
        <w:t>1.</w:t>
      </w:r>
      <w:r w:rsidRPr="004F5E59">
        <w:rPr>
          <w:lang w:eastAsia="ja-JP"/>
        </w:rPr>
        <w:tab/>
      </w:r>
      <w:r w:rsidR="00FE6CEC" w:rsidRPr="00DF5C23">
        <w:rPr>
          <w:noProof/>
          <w:lang w:val="en-IE" w:eastAsia="ja-JP"/>
        </w:rPr>
        <w:t>規則（</w:t>
      </w:r>
      <w:r w:rsidR="00FE6CEC" w:rsidRPr="00DF5C23">
        <w:rPr>
          <w:noProof/>
          <w:lang w:val="en-IE" w:eastAsia="ja-JP"/>
        </w:rPr>
        <w:t>EU</w:t>
      </w:r>
      <w:r w:rsidR="00FE6CEC" w:rsidRPr="00DF5C23">
        <w:rPr>
          <w:noProof/>
          <w:lang w:val="en-IE" w:eastAsia="ja-JP"/>
        </w:rPr>
        <w:t>）</w:t>
      </w:r>
      <w:r w:rsidR="00FE6CEC" w:rsidRPr="00DF5C23">
        <w:rPr>
          <w:noProof/>
          <w:lang w:val="en-IE" w:eastAsia="ja-JP"/>
        </w:rPr>
        <w:t>2019/1020</w:t>
      </w:r>
      <w:r w:rsidR="00FE6CEC" w:rsidRPr="00DF5C23">
        <w:rPr>
          <w:noProof/>
          <w:lang w:val="en-IE" w:eastAsia="ja-JP"/>
        </w:rPr>
        <w:t>の第</w:t>
      </w:r>
      <w:r w:rsidR="00FE6CEC" w:rsidRPr="00DF5C23">
        <w:rPr>
          <w:noProof/>
          <w:lang w:val="en-IE" w:eastAsia="ja-JP"/>
        </w:rPr>
        <w:t>7</w:t>
      </w:r>
      <w:r w:rsidR="00FE6CEC" w:rsidRPr="00DF5C23">
        <w:rPr>
          <w:noProof/>
          <w:lang w:val="en-IE" w:eastAsia="ja-JP"/>
        </w:rPr>
        <w:t>条（</w:t>
      </w:r>
      <w:r w:rsidR="00FE6CEC" w:rsidRPr="00DF5C23">
        <w:rPr>
          <w:noProof/>
          <w:lang w:val="en-IE" w:eastAsia="ja-JP"/>
        </w:rPr>
        <w:t>2</w:t>
      </w:r>
      <w:r w:rsidR="00FE6CEC" w:rsidRPr="00DF5C23">
        <w:rPr>
          <w:noProof/>
          <w:lang w:val="en-IE" w:eastAsia="ja-JP"/>
        </w:rPr>
        <w:t>）で言及される協力は、</w:t>
      </w:r>
      <w:r w:rsidR="00140C2C" w:rsidRPr="00DF5C23">
        <w:rPr>
          <w:noProof/>
          <w:lang w:val="en-IE" w:eastAsia="ja-JP"/>
        </w:rPr>
        <w:t>オンラインマーケットプレイスに関して、また</w:t>
      </w:r>
      <w:r w:rsidR="00FE6CEC" w:rsidRPr="00DF5C23">
        <w:rPr>
          <w:noProof/>
          <w:lang w:val="en-IE" w:eastAsia="ja-JP"/>
        </w:rPr>
        <w:t>本規則の目的のために、</w:t>
      </w:r>
      <w:r w:rsidR="008077E6" w:rsidRPr="00DF5C23">
        <w:rPr>
          <w:noProof/>
          <w:lang w:val="en-IE" w:eastAsia="ja-JP"/>
        </w:rPr>
        <w:t>特に</w:t>
      </w:r>
      <w:r w:rsidR="00FE6CEC" w:rsidRPr="00DF5C23">
        <w:rPr>
          <w:noProof/>
          <w:lang w:val="en-IE" w:eastAsia="ja-JP"/>
        </w:rPr>
        <w:t>含むものとする：</w:t>
      </w:r>
      <w:r w:rsidR="00FE6CEC" w:rsidRPr="00DF5C23">
        <w:rPr>
          <w:noProof/>
          <w:lang w:val="en-IE" w:eastAsia="ja-JP"/>
        </w:rPr>
        <w:t xml:space="preserve"> </w:t>
      </w:r>
    </w:p>
    <w:p w14:paraId="11630D2B" w14:textId="77777777" w:rsidR="0038775E" w:rsidRDefault="00877B9C" w:rsidP="002041D4">
      <w:pPr>
        <w:pStyle w:val="Point1"/>
        <w:wordWrap w:val="0"/>
        <w:rPr>
          <w:noProof/>
          <w:lang w:val="en-IE" w:eastAsia="fr-BE"/>
        </w:rPr>
      </w:pPr>
      <w:r w:rsidRPr="004F5E59">
        <w:rPr>
          <w:lang w:eastAsia="ja-JP"/>
        </w:rPr>
        <w:t>(a)</w:t>
      </w:r>
      <w:r w:rsidRPr="004F5E59">
        <w:rPr>
          <w:lang w:eastAsia="ja-JP"/>
        </w:rPr>
        <w:tab/>
      </w:r>
      <w:r w:rsidR="008077E6" w:rsidRPr="00DF5C23">
        <w:rPr>
          <w:noProof/>
          <w:lang w:eastAsia="ja-JP"/>
        </w:rPr>
        <w:t>効果的な市場監視手段の確保に協力すること（当該手段に対する障害の</w:t>
      </w:r>
      <w:r w:rsidR="00654D12" w:rsidRPr="00DF5C23">
        <w:rPr>
          <w:noProof/>
          <w:lang w:eastAsia="ja-JP"/>
        </w:rPr>
        <w:t>設置を</w:t>
      </w:r>
      <w:r w:rsidR="008077E6" w:rsidRPr="00DF5C23">
        <w:rPr>
          <w:noProof/>
          <w:lang w:eastAsia="ja-JP"/>
        </w:rPr>
        <w:t>断念することを含む）；</w:t>
      </w:r>
      <w:r w:rsidR="008077E6" w:rsidRPr="00DF5C23">
        <w:rPr>
          <w:noProof/>
          <w:lang w:eastAsia="ja-JP"/>
        </w:rPr>
        <w:t xml:space="preserve"> </w:t>
      </w:r>
    </w:p>
    <w:p w14:paraId="1FFCE451" w14:textId="77777777" w:rsidR="0038775E" w:rsidRDefault="00877B9C" w:rsidP="002041D4">
      <w:pPr>
        <w:pStyle w:val="Point1"/>
        <w:wordWrap w:val="0"/>
        <w:rPr>
          <w:noProof/>
          <w:lang w:eastAsia="ja-JP"/>
        </w:rPr>
      </w:pPr>
      <w:r w:rsidRPr="004F5E59">
        <w:rPr>
          <w:lang w:eastAsia="ja-JP"/>
        </w:rPr>
        <w:t>(b)</w:t>
      </w:r>
      <w:r w:rsidRPr="004F5E59">
        <w:rPr>
          <w:lang w:eastAsia="ja-JP"/>
        </w:rPr>
        <w:tab/>
      </w:r>
      <w:r w:rsidR="008077E6" w:rsidRPr="00DF5C23">
        <w:rPr>
          <w:noProof/>
          <w:lang w:eastAsia="ja-JP"/>
        </w:rPr>
        <w:t>市場監視当局に、取られた措置を通知すること；</w:t>
      </w:r>
      <w:r w:rsidR="008077E6" w:rsidRPr="00DF5C23">
        <w:rPr>
          <w:noProof/>
          <w:lang w:eastAsia="ja-JP"/>
        </w:rPr>
        <w:t xml:space="preserve"> </w:t>
      </w:r>
    </w:p>
    <w:p w14:paraId="43CFCC05" w14:textId="77777777" w:rsidR="0038775E" w:rsidRDefault="00877B9C" w:rsidP="002041D4">
      <w:pPr>
        <w:pStyle w:val="Point1"/>
        <w:wordWrap w:val="0"/>
        <w:rPr>
          <w:noProof/>
          <w:lang w:eastAsia="ja-JP"/>
        </w:rPr>
      </w:pPr>
      <w:r w:rsidRPr="004F5E59">
        <w:rPr>
          <w:lang w:eastAsia="ja-JP"/>
        </w:rPr>
        <w:t>(c)</w:t>
      </w:r>
      <w:r w:rsidRPr="004F5E59">
        <w:rPr>
          <w:lang w:eastAsia="ja-JP"/>
        </w:rPr>
        <w:tab/>
      </w:r>
      <w:r w:rsidR="008077E6" w:rsidRPr="00DF5C23">
        <w:rPr>
          <w:noProof/>
          <w:lang w:eastAsia="ja-JP"/>
        </w:rPr>
        <w:t>オンラインマーケットプレイスが本条に基づき削除したオファーについて、定期的かつ構造的な情報交換を</w:t>
      </w:r>
      <w:r w:rsidR="00140C2C" w:rsidRPr="00DF5C23">
        <w:rPr>
          <w:noProof/>
          <w:lang w:eastAsia="ja-JP"/>
        </w:rPr>
        <w:t>確立すること；</w:t>
      </w:r>
      <w:r w:rsidR="00140C2C" w:rsidRPr="00DF5C23">
        <w:rPr>
          <w:noProof/>
          <w:lang w:eastAsia="ja-JP"/>
        </w:rPr>
        <w:t xml:space="preserve"> </w:t>
      </w:r>
    </w:p>
    <w:p w14:paraId="15D2B86E" w14:textId="77777777" w:rsidR="0038775E" w:rsidRDefault="00877B9C" w:rsidP="002041D4">
      <w:pPr>
        <w:pStyle w:val="Point1"/>
        <w:wordWrap w:val="0"/>
        <w:rPr>
          <w:noProof/>
          <w:lang w:eastAsia="ja-JP"/>
        </w:rPr>
      </w:pPr>
      <w:r w:rsidRPr="004F5E59">
        <w:rPr>
          <w:lang w:eastAsia="ja-JP"/>
        </w:rPr>
        <w:t>(d)</w:t>
      </w:r>
      <w:r w:rsidRPr="004F5E59">
        <w:rPr>
          <w:lang w:eastAsia="ja-JP"/>
        </w:rPr>
        <w:tab/>
      </w:r>
      <w:r w:rsidR="00654D12" w:rsidRPr="00DF5C23">
        <w:rPr>
          <w:noProof/>
          <w:lang w:eastAsia="ja-JP"/>
        </w:rPr>
        <w:t>市場監視当局が運営するオンラインツールが、</w:t>
      </w:r>
      <w:r w:rsidR="008077E6" w:rsidRPr="00DF5C23">
        <w:rPr>
          <w:noProof/>
          <w:lang w:eastAsia="ja-JP"/>
        </w:rPr>
        <w:t>非対応製品を特定するために、</w:t>
      </w:r>
      <w:r w:rsidR="00654D12" w:rsidRPr="00DF5C23">
        <w:rPr>
          <w:noProof/>
          <w:lang w:eastAsia="ja-JP"/>
        </w:rPr>
        <w:t>そのインターフェースにアクセスできるようにする；</w:t>
      </w:r>
      <w:r w:rsidR="00654D12" w:rsidRPr="00DF5C23">
        <w:rPr>
          <w:noProof/>
          <w:lang w:eastAsia="ja-JP"/>
        </w:rPr>
        <w:t xml:space="preserve"> </w:t>
      </w:r>
    </w:p>
    <w:p w14:paraId="4FFA1AEB" w14:textId="77777777" w:rsidR="0038775E" w:rsidRDefault="00877B9C" w:rsidP="002041D4">
      <w:pPr>
        <w:pStyle w:val="Point1"/>
        <w:wordWrap w:val="0"/>
        <w:rPr>
          <w:noProof/>
          <w:lang w:eastAsia="ja-JP"/>
        </w:rPr>
      </w:pPr>
      <w:r w:rsidRPr="004F5E59">
        <w:rPr>
          <w:lang w:eastAsia="ja-JP"/>
        </w:rPr>
        <w:t>(e)</w:t>
      </w:r>
      <w:r w:rsidRPr="004F5E59">
        <w:rPr>
          <w:lang w:eastAsia="ja-JP"/>
        </w:rPr>
        <w:tab/>
      </w:r>
      <w:r w:rsidR="008077E6" w:rsidRPr="00DF5C23">
        <w:rPr>
          <w:noProof/>
          <w:lang w:eastAsia="ja-JP"/>
        </w:rPr>
        <w:t>市場監視当局の要請により、オンラインマーケットプレイスまたはオンライン販売者が、そのオンラインインターフェースからのデータ抽出に技術的障害を設けている場合、市場監視</w:t>
      </w:r>
      <w:r w:rsidR="00140C2C" w:rsidRPr="00DF5C23">
        <w:rPr>
          <w:noProof/>
          <w:lang w:eastAsia="ja-JP"/>
        </w:rPr>
        <w:t>当局は、</w:t>
      </w:r>
      <w:r w:rsidR="008077E6" w:rsidRPr="00DF5C23">
        <w:rPr>
          <w:noProof/>
          <w:lang w:eastAsia="ja-JP"/>
        </w:rPr>
        <w:t>要請した市場監視当局が提供する識別パラメータに基づいて、製品コンプライアンス目的のために当該データをスクレイピングすることができる。</w:t>
      </w:r>
    </w:p>
    <w:p w14:paraId="48E783BC" w14:textId="77777777" w:rsidR="0038775E" w:rsidRDefault="00877B9C" w:rsidP="002041D4">
      <w:pPr>
        <w:pStyle w:val="ManualNumPar1"/>
        <w:wordWrap w:val="0"/>
        <w:rPr>
          <w:rFonts w:eastAsia="Times New Roman"/>
          <w:noProof/>
          <w:lang w:val="en-IE" w:eastAsia="fr-BE"/>
        </w:rPr>
      </w:pPr>
      <w:r w:rsidRPr="004F5E59">
        <w:rPr>
          <w:lang w:eastAsia="ja-JP"/>
        </w:rPr>
        <w:lastRenderedPageBreak/>
        <w:t>2.</w:t>
      </w:r>
      <w:r w:rsidRPr="004F5E59">
        <w:rPr>
          <w:lang w:eastAsia="ja-JP"/>
        </w:rPr>
        <w:tab/>
      </w:r>
      <w:r w:rsidR="00BD3FA6" w:rsidRPr="00DF5C23">
        <w:rPr>
          <w:noProof/>
          <w:lang w:eastAsia="ja-JP"/>
        </w:rPr>
        <w:t>規則（</w:t>
      </w:r>
      <w:r w:rsidR="00BD3FA6" w:rsidRPr="00DF5C23">
        <w:rPr>
          <w:noProof/>
          <w:lang w:eastAsia="ja-JP"/>
        </w:rPr>
        <w:t>EU</w:t>
      </w:r>
      <w:r w:rsidR="00BD3FA6" w:rsidRPr="00DF5C23">
        <w:rPr>
          <w:noProof/>
          <w:lang w:eastAsia="ja-JP"/>
        </w:rPr>
        <w:t>）</w:t>
      </w:r>
      <w:r w:rsidR="00BD3FA6" w:rsidRPr="00DF5C23">
        <w:rPr>
          <w:noProof/>
          <w:lang w:eastAsia="ja-JP"/>
        </w:rPr>
        <w:t>.../...</w:t>
      </w:r>
      <w:r w:rsidR="00140C2C" w:rsidRPr="00DF5C23">
        <w:rPr>
          <w:noProof/>
          <w:lang w:eastAsia="ja-JP"/>
        </w:rPr>
        <w:t>［デジタルサービス法］の</w:t>
      </w:r>
      <w:r w:rsidR="00550CDA" w:rsidRPr="00DF5C23">
        <w:rPr>
          <w:noProof/>
          <w:lang w:eastAsia="ja-JP"/>
        </w:rPr>
        <w:t>［</w:t>
      </w:r>
      <w:r w:rsidR="00BD3FA6" w:rsidRPr="00DF5C23">
        <w:rPr>
          <w:noProof/>
          <w:lang w:eastAsia="ja-JP"/>
        </w:rPr>
        <w:t>第</w:t>
      </w:r>
      <w:r w:rsidR="00BD3FA6" w:rsidRPr="00DF5C23">
        <w:rPr>
          <w:noProof/>
          <w:lang w:eastAsia="ja-JP"/>
        </w:rPr>
        <w:t>22</w:t>
      </w:r>
      <w:r w:rsidR="00BD3FA6" w:rsidRPr="00DF5C23">
        <w:rPr>
          <w:noProof/>
          <w:lang w:eastAsia="ja-JP"/>
        </w:rPr>
        <w:t>条（</w:t>
      </w:r>
      <w:r w:rsidR="00BD3FA6" w:rsidRPr="00DF5C23">
        <w:rPr>
          <w:noProof/>
          <w:lang w:eastAsia="ja-JP"/>
        </w:rPr>
        <w:t>7</w:t>
      </w:r>
      <w:r w:rsidR="00BD3FA6" w:rsidRPr="00DF5C23">
        <w:rPr>
          <w:noProof/>
          <w:lang w:eastAsia="ja-JP"/>
        </w:rPr>
        <w:t>）</w:t>
      </w:r>
      <w:r w:rsidR="00550CDA" w:rsidRPr="00DF5C23">
        <w:rPr>
          <w:noProof/>
          <w:lang w:eastAsia="ja-JP"/>
        </w:rPr>
        <w:t>］の</w:t>
      </w:r>
      <w:r w:rsidR="00BD3FA6" w:rsidRPr="00DF5C23">
        <w:rPr>
          <w:noProof/>
          <w:lang w:eastAsia="ja-JP"/>
        </w:rPr>
        <w:t>要件のために、オンラインマーケットプレイスは、</w:t>
      </w:r>
      <w:r w:rsidR="00061F2C" w:rsidRPr="00DF5C23">
        <w:rPr>
          <w:noProof/>
          <w:lang w:eastAsia="ja-JP"/>
        </w:rPr>
        <w:t>販売</w:t>
      </w:r>
      <w:r w:rsidR="00BD3FA6" w:rsidRPr="00DF5C23">
        <w:rPr>
          <w:noProof/>
          <w:lang w:eastAsia="ja-JP"/>
        </w:rPr>
        <w:t>業者が</w:t>
      </w:r>
      <w:r w:rsidR="00A404BE" w:rsidRPr="00DF5C23">
        <w:rPr>
          <w:noProof/>
          <w:lang w:eastAsia="ja-JP"/>
        </w:rPr>
        <w:t>第</w:t>
      </w:r>
      <w:r w:rsidR="00A404BE" w:rsidRPr="00DF5C23">
        <w:rPr>
          <w:noProof/>
          <w:lang w:eastAsia="ja-JP"/>
        </w:rPr>
        <w:t>25</w:t>
      </w:r>
      <w:r w:rsidR="00DE7857" w:rsidRPr="00DF5C23">
        <w:rPr>
          <w:noProof/>
          <w:lang w:eastAsia="ja-JP"/>
        </w:rPr>
        <w:t>条に定める</w:t>
      </w:r>
      <w:r w:rsidR="00061F2C" w:rsidRPr="00DF5C23">
        <w:rPr>
          <w:noProof/>
          <w:lang w:eastAsia="ja-JP"/>
        </w:rPr>
        <w:t>義務を果たし</w:t>
      </w:r>
      <w:r w:rsidR="00003FAC" w:rsidRPr="00DF5C23">
        <w:rPr>
          <w:noProof/>
          <w:lang w:eastAsia="ja-JP"/>
        </w:rPr>
        <w:t>、</w:t>
      </w:r>
      <w:r w:rsidR="00654D12" w:rsidRPr="00DF5C23">
        <w:rPr>
          <w:noProof/>
          <w:lang w:eastAsia="ja-JP"/>
        </w:rPr>
        <w:t>経済事業者が</w:t>
      </w:r>
      <w:r w:rsidR="006F4675" w:rsidRPr="00DF5C23">
        <w:rPr>
          <w:noProof/>
          <w:lang w:eastAsia="ja-JP"/>
        </w:rPr>
        <w:t>本規則</w:t>
      </w:r>
      <w:r w:rsidR="00A404BE" w:rsidRPr="00DF5C23">
        <w:rPr>
          <w:noProof/>
          <w:lang w:eastAsia="ja-JP"/>
        </w:rPr>
        <w:t>第</w:t>
      </w:r>
      <w:r w:rsidR="00A404BE" w:rsidRPr="00DF5C23">
        <w:rPr>
          <w:noProof/>
          <w:lang w:eastAsia="ja-JP"/>
        </w:rPr>
        <w:t>30</w:t>
      </w:r>
      <w:r w:rsidR="006F4675" w:rsidRPr="00DF5C23">
        <w:rPr>
          <w:noProof/>
          <w:lang w:eastAsia="ja-JP"/>
        </w:rPr>
        <w:t>条（</w:t>
      </w:r>
      <w:r w:rsidR="00803F97" w:rsidRPr="00DF5C23">
        <w:rPr>
          <w:noProof/>
          <w:lang w:eastAsia="ja-JP"/>
        </w:rPr>
        <w:t>1</w:t>
      </w:r>
      <w:r w:rsidR="00803F97" w:rsidRPr="00DF5C23">
        <w:rPr>
          <w:noProof/>
          <w:lang w:eastAsia="ja-JP"/>
        </w:rPr>
        <w:t>）に</w:t>
      </w:r>
      <w:r w:rsidR="006F4675" w:rsidRPr="00DF5C23">
        <w:rPr>
          <w:noProof/>
          <w:lang w:eastAsia="ja-JP"/>
        </w:rPr>
        <w:t>基づく義務を果たすことができるように、</w:t>
      </w:r>
      <w:r w:rsidR="00BD3FA6" w:rsidRPr="00DF5C23">
        <w:rPr>
          <w:noProof/>
          <w:lang w:eastAsia="ja-JP"/>
        </w:rPr>
        <w:t>そのオンラインインターフェースを設計し整理するものとする。</w:t>
      </w:r>
    </w:p>
    <w:p w14:paraId="74B59F61" w14:textId="77777777" w:rsidR="0038775E" w:rsidRDefault="00877B9C" w:rsidP="002041D4">
      <w:pPr>
        <w:pStyle w:val="Text1"/>
        <w:wordWrap w:val="0"/>
        <w:rPr>
          <w:noProof/>
          <w:lang w:eastAsia="ja-JP"/>
        </w:rPr>
      </w:pPr>
      <w:r w:rsidRPr="00DF5C23">
        <w:rPr>
          <w:noProof/>
          <w:lang w:val="en-IE" w:eastAsia="fr-BE"/>
        </w:rPr>
        <w:t>提供する商品ごとに提供でき、商品一覧表に表示するなど、</w:t>
      </w:r>
      <w:r w:rsidR="00C065B3" w:rsidRPr="00DF5C23">
        <w:rPr>
          <w:noProof/>
          <w:lang w:val="en-IE" w:eastAsia="fr-BE"/>
        </w:rPr>
        <w:t>お客様が</w:t>
      </w:r>
      <w:r w:rsidRPr="00DF5C23">
        <w:rPr>
          <w:noProof/>
          <w:lang w:val="en-IE" w:eastAsia="fr-BE"/>
        </w:rPr>
        <w:t>容易にアクセスできるようにすること</w:t>
      </w:r>
      <w:r w:rsidR="00792BB6" w:rsidRPr="00DF5C23">
        <w:rPr>
          <w:noProof/>
          <w:lang w:eastAsia="ja-JP"/>
        </w:rPr>
        <w:t>。</w:t>
      </w:r>
      <w:r w:rsidR="00792BB6" w:rsidRPr="00DF5C23">
        <w:rPr>
          <w:noProof/>
          <w:lang w:eastAsia="ja-JP"/>
        </w:rPr>
        <w:t xml:space="preserve"> </w:t>
      </w:r>
    </w:p>
    <w:p w14:paraId="76B05581" w14:textId="77777777" w:rsidR="0038775E" w:rsidRDefault="00877B9C" w:rsidP="002041D4">
      <w:pPr>
        <w:pStyle w:val="Text1"/>
        <w:wordWrap w:val="0"/>
        <w:rPr>
          <w:noProof/>
          <w:lang w:eastAsia="ja-JP"/>
        </w:rPr>
      </w:pPr>
      <w:r w:rsidRPr="00DF5C23">
        <w:rPr>
          <w:noProof/>
          <w:lang w:eastAsia="ja-JP"/>
        </w:rPr>
        <w:t>特に、</w:t>
      </w:r>
      <w:r w:rsidR="00850318" w:rsidRPr="00DF5C23">
        <w:rPr>
          <w:noProof/>
          <w:lang w:val="en-IE" w:eastAsia="fr-BE"/>
        </w:rPr>
        <w:t>第</w:t>
      </w:r>
      <w:r w:rsidR="00850318" w:rsidRPr="00DF5C23">
        <w:rPr>
          <w:noProof/>
          <w:lang w:val="en-IE" w:eastAsia="fr-BE"/>
        </w:rPr>
        <w:t>4</w:t>
      </w:r>
      <w:r w:rsidR="00850318" w:rsidRPr="00DF5C23">
        <w:rPr>
          <w:noProof/>
          <w:lang w:val="en-IE" w:eastAsia="fr-BE"/>
        </w:rPr>
        <w:t>条に従って採択された</w:t>
      </w:r>
      <w:r w:rsidRPr="00DF5C23">
        <w:rPr>
          <w:noProof/>
          <w:lang w:val="en-IE" w:eastAsia="fr-BE"/>
        </w:rPr>
        <w:t>委任法が、</w:t>
      </w:r>
      <w:r w:rsidRPr="00DF5C23">
        <w:rPr>
          <w:noProof/>
          <w:lang w:eastAsia="ja-JP"/>
        </w:rPr>
        <w:t>特定の製品のオンライン視覚</w:t>
      </w:r>
      <w:r w:rsidR="00654D12" w:rsidRPr="00DF5C23">
        <w:rPr>
          <w:noProof/>
          <w:lang w:eastAsia="ja-JP"/>
        </w:rPr>
        <w:t>広告に、</w:t>
      </w:r>
      <w:r w:rsidRPr="00DF5C23">
        <w:rPr>
          <w:noProof/>
          <w:lang w:eastAsia="ja-JP"/>
        </w:rPr>
        <w:t>表示機構に表示されるオンライン電子情報を添付することを要求する場合、オンラインマーケットプレイスは、</w:t>
      </w:r>
      <w:r w:rsidR="00654D12" w:rsidRPr="00DF5C23">
        <w:rPr>
          <w:noProof/>
          <w:lang w:eastAsia="ja-JP"/>
        </w:rPr>
        <w:t>販売業者が</w:t>
      </w:r>
      <w:r w:rsidR="00863F05" w:rsidRPr="00DF5C23">
        <w:rPr>
          <w:noProof/>
          <w:lang w:eastAsia="ja-JP"/>
        </w:rPr>
        <w:t>それを</w:t>
      </w:r>
      <w:r w:rsidR="00654D12" w:rsidRPr="00DF5C23">
        <w:rPr>
          <w:noProof/>
          <w:lang w:eastAsia="ja-JP"/>
        </w:rPr>
        <w:t>表示</w:t>
      </w:r>
      <w:r w:rsidRPr="00DF5C23">
        <w:rPr>
          <w:noProof/>
          <w:lang w:eastAsia="ja-JP"/>
        </w:rPr>
        <w:t>できるようにしなければならない</w:t>
      </w:r>
      <w:r w:rsidR="00654D12" w:rsidRPr="00DF5C23">
        <w:rPr>
          <w:noProof/>
          <w:lang w:eastAsia="ja-JP"/>
        </w:rPr>
        <w:t>。この義務は、当該製品のオンライン視覚広告を提供するオンライン検索エンジンおよびその他のオンラインプラットフォームにも適用されるものとする</w:t>
      </w:r>
      <w:r w:rsidRPr="00DF5C23">
        <w:rPr>
          <w:noProof/>
          <w:lang w:eastAsia="ja-JP"/>
        </w:rPr>
        <w:t>。</w:t>
      </w:r>
    </w:p>
    <w:p w14:paraId="65CD2D12" w14:textId="1F347F76" w:rsidR="0038775E" w:rsidRDefault="00877B9C" w:rsidP="002041D4">
      <w:pPr>
        <w:pStyle w:val="ManualNumPar1"/>
        <w:wordWrap w:val="0"/>
        <w:rPr>
          <w:noProof/>
          <w:lang w:val="en-IE" w:eastAsia="fr-BE"/>
        </w:rPr>
      </w:pPr>
      <w:r w:rsidRPr="004F5E59">
        <w:rPr>
          <w:lang w:eastAsia="ja-JP"/>
        </w:rPr>
        <w:t>3.</w:t>
      </w:r>
      <w:r w:rsidRPr="004F5E59">
        <w:rPr>
          <w:lang w:eastAsia="ja-JP"/>
        </w:rPr>
        <w:tab/>
      </w:r>
      <w:r w:rsidR="008077E6" w:rsidRPr="00DF5C23">
        <w:rPr>
          <w:noProof/>
          <w:lang w:eastAsia="ja-JP"/>
        </w:rPr>
        <w:t>規則（</w:t>
      </w:r>
      <w:r w:rsidR="008077E6" w:rsidRPr="00DF5C23">
        <w:rPr>
          <w:noProof/>
          <w:lang w:eastAsia="ja-JP"/>
        </w:rPr>
        <w:t>EU</w:t>
      </w:r>
      <w:r w:rsidR="008077E6" w:rsidRPr="00DF5C23">
        <w:rPr>
          <w:noProof/>
          <w:lang w:eastAsia="ja-JP"/>
        </w:rPr>
        <w:t>）</w:t>
      </w:r>
      <w:r w:rsidR="008077E6" w:rsidRPr="00DF5C23">
        <w:rPr>
          <w:noProof/>
          <w:lang w:eastAsia="ja-JP"/>
        </w:rPr>
        <w:t>2019/1020</w:t>
      </w:r>
      <w:r w:rsidR="008077E6" w:rsidRPr="00DF5C23">
        <w:rPr>
          <w:noProof/>
          <w:lang w:eastAsia="ja-JP"/>
        </w:rPr>
        <w:t>の第</w:t>
      </w:r>
      <w:r w:rsidR="008077E6" w:rsidRPr="00DF5C23">
        <w:rPr>
          <w:noProof/>
          <w:lang w:eastAsia="ja-JP"/>
        </w:rPr>
        <w:t>14</w:t>
      </w:r>
      <w:r w:rsidR="008077E6" w:rsidRPr="00DF5C23">
        <w:rPr>
          <w:noProof/>
          <w:lang w:eastAsia="ja-JP"/>
        </w:rPr>
        <w:t>条に従って加盟国が付与する権限に関する限り、加盟国は、</w:t>
      </w:r>
      <w:r w:rsidR="00850318" w:rsidRPr="00DF5C23">
        <w:rPr>
          <w:noProof/>
          <w:lang w:eastAsia="ja-JP"/>
        </w:rPr>
        <w:t>第</w:t>
      </w:r>
      <w:r w:rsidR="00850318" w:rsidRPr="00DF5C23">
        <w:rPr>
          <w:noProof/>
          <w:lang w:eastAsia="ja-JP"/>
        </w:rPr>
        <w:t>4</w:t>
      </w:r>
      <w:r w:rsidR="00850318" w:rsidRPr="00DF5C23">
        <w:rPr>
          <w:noProof/>
          <w:lang w:eastAsia="ja-JP"/>
        </w:rPr>
        <w:t>条に従って採択された</w:t>
      </w:r>
      <w:r w:rsidR="008077E6" w:rsidRPr="00DF5C23">
        <w:rPr>
          <w:noProof/>
          <w:lang w:eastAsia="ja-JP"/>
        </w:rPr>
        <w:t>関連委任法の対象となるすべての製品について、オンラインマーケットプレイスに対し、そのオンラインインターフェースから非適合製品に言及する特定の違法コンテンツを削除する、そのアクセスを無効にする、または</w:t>
      </w:r>
      <w:r w:rsidR="00654D12" w:rsidRPr="00DF5C23">
        <w:rPr>
          <w:noProof/>
          <w:lang w:eastAsia="ja-JP"/>
        </w:rPr>
        <w:t>エンド</w:t>
      </w:r>
      <w:r w:rsidR="008077E6" w:rsidRPr="00DF5C23">
        <w:rPr>
          <w:noProof/>
          <w:lang w:eastAsia="ja-JP"/>
        </w:rPr>
        <w:t>ユーザがアクセスする際に明示的警告を表示することを命令する権限をその市場監視当局に付与されるものと</w:t>
      </w:r>
      <w:r w:rsidR="002041D4">
        <w:rPr>
          <w:noProof/>
          <w:lang w:eastAsia="ja-JP"/>
        </w:rPr>
        <w:t>する</w:t>
      </w:r>
      <w:r w:rsidR="008077E6" w:rsidRPr="00DF5C23">
        <w:rPr>
          <w:noProof/>
          <w:lang w:eastAsia="ja-JP"/>
        </w:rPr>
        <w:t>。当該命令は、</w:t>
      </w:r>
      <w:r w:rsidR="00FE5CF8" w:rsidRPr="00DF5C23">
        <w:rPr>
          <w:noProof/>
          <w:lang w:eastAsia="ja-JP"/>
        </w:rPr>
        <w:t>規則（</w:t>
      </w:r>
      <w:r w:rsidR="00FE5CF8" w:rsidRPr="00DF5C23">
        <w:rPr>
          <w:noProof/>
          <w:lang w:eastAsia="ja-JP"/>
        </w:rPr>
        <w:t>EU</w:t>
      </w:r>
      <w:r w:rsidR="00FE5CF8" w:rsidRPr="00DF5C23">
        <w:rPr>
          <w:noProof/>
          <w:lang w:eastAsia="ja-JP"/>
        </w:rPr>
        <w:t>）</w:t>
      </w:r>
      <w:r w:rsidR="00FE5CF8" w:rsidRPr="00DF5C23">
        <w:rPr>
          <w:noProof/>
          <w:lang w:eastAsia="ja-JP"/>
        </w:rPr>
        <w:t>.../...</w:t>
      </w:r>
      <w:r w:rsidR="00FE5CF8" w:rsidRPr="00DF5C23">
        <w:rPr>
          <w:noProof/>
          <w:lang w:eastAsia="ja-JP"/>
        </w:rPr>
        <w:t>［デジタルサービス法］の［第</w:t>
      </w:r>
      <w:r w:rsidR="00FE5CF8" w:rsidRPr="00DF5C23">
        <w:rPr>
          <w:noProof/>
          <w:lang w:eastAsia="ja-JP"/>
        </w:rPr>
        <w:t>8</w:t>
      </w:r>
      <w:r w:rsidR="00FE5CF8" w:rsidRPr="00DF5C23">
        <w:rPr>
          <w:noProof/>
          <w:lang w:eastAsia="ja-JP"/>
        </w:rPr>
        <w:t>条（</w:t>
      </w:r>
      <w:r w:rsidR="00FE5CF8" w:rsidRPr="00DF5C23">
        <w:rPr>
          <w:noProof/>
          <w:lang w:eastAsia="ja-JP"/>
        </w:rPr>
        <w:t>1</w:t>
      </w:r>
      <w:r w:rsidR="00FE5CF8" w:rsidRPr="00DF5C23">
        <w:rPr>
          <w:noProof/>
          <w:lang w:eastAsia="ja-JP"/>
        </w:rPr>
        <w:t>）］に準拠するものとする</w:t>
      </w:r>
      <w:r w:rsidR="008077E6" w:rsidRPr="00DF5C23">
        <w:rPr>
          <w:noProof/>
          <w:lang w:eastAsia="ja-JP"/>
        </w:rPr>
        <w:t>。</w:t>
      </w:r>
      <w:r w:rsidR="008077E6" w:rsidRPr="00DF5C23">
        <w:rPr>
          <w:noProof/>
          <w:lang w:eastAsia="ja-JP"/>
        </w:rPr>
        <w:t xml:space="preserve"> </w:t>
      </w:r>
    </w:p>
    <w:p w14:paraId="0B470B72" w14:textId="77777777" w:rsidR="0038775E" w:rsidRDefault="00877B9C" w:rsidP="002041D4">
      <w:pPr>
        <w:pStyle w:val="ManualNumPar1"/>
        <w:wordWrap w:val="0"/>
        <w:rPr>
          <w:noProof/>
          <w:lang w:eastAsia="ja-JP"/>
        </w:rPr>
      </w:pPr>
      <w:r w:rsidRPr="004F5E59">
        <w:rPr>
          <w:lang w:eastAsia="ja-JP"/>
        </w:rPr>
        <w:t>4.</w:t>
      </w:r>
      <w:r w:rsidRPr="004F5E59">
        <w:rPr>
          <w:lang w:eastAsia="ja-JP"/>
        </w:rPr>
        <w:tab/>
      </w:r>
      <w:r w:rsidR="008077E6" w:rsidRPr="00DF5C23">
        <w:rPr>
          <w:noProof/>
          <w:lang w:eastAsia="ja-JP"/>
        </w:rPr>
        <w:t>オンラインマーケットプレイスは、規則（</w:t>
      </w:r>
      <w:r w:rsidR="008077E6" w:rsidRPr="00DF5C23">
        <w:rPr>
          <w:noProof/>
          <w:lang w:eastAsia="ja-JP"/>
        </w:rPr>
        <w:t>EU</w:t>
      </w:r>
      <w:r w:rsidR="008077E6" w:rsidRPr="00DF5C23">
        <w:rPr>
          <w:noProof/>
          <w:lang w:eastAsia="ja-JP"/>
        </w:rPr>
        <w:t>）</w:t>
      </w:r>
      <w:r w:rsidR="008077E6" w:rsidRPr="00DF5C23">
        <w:rPr>
          <w:noProof/>
          <w:lang w:eastAsia="ja-JP"/>
        </w:rPr>
        <w:t>.../...</w:t>
      </w:r>
      <w:r w:rsidR="008077E6" w:rsidRPr="00DF5C23">
        <w:rPr>
          <w:noProof/>
          <w:lang w:eastAsia="ja-JP"/>
        </w:rPr>
        <w:t>［デジタルサービス法］の［第</w:t>
      </w:r>
      <w:r w:rsidR="008077E6" w:rsidRPr="00DF5C23">
        <w:rPr>
          <w:noProof/>
          <w:lang w:eastAsia="ja-JP"/>
        </w:rPr>
        <w:t>8</w:t>
      </w:r>
      <w:r w:rsidR="008077E6" w:rsidRPr="00DF5C23">
        <w:rPr>
          <w:noProof/>
          <w:lang w:eastAsia="ja-JP"/>
        </w:rPr>
        <w:t>条］に従って、</w:t>
      </w:r>
      <w:r w:rsidR="006A7F46" w:rsidRPr="00DF5C23">
        <w:rPr>
          <w:noProof/>
          <w:lang w:eastAsia="ja-JP"/>
        </w:rPr>
        <w:t>第</w:t>
      </w:r>
      <w:r w:rsidR="006A7F46" w:rsidRPr="00DF5C23">
        <w:rPr>
          <w:noProof/>
          <w:lang w:eastAsia="ja-JP"/>
        </w:rPr>
        <w:t>2</w:t>
      </w:r>
      <w:r w:rsidR="006A7F46" w:rsidRPr="00DF5C23">
        <w:rPr>
          <w:noProof/>
          <w:lang w:eastAsia="ja-JP"/>
        </w:rPr>
        <w:t>項の</w:t>
      </w:r>
      <w:r w:rsidR="008077E6" w:rsidRPr="00DF5C23">
        <w:rPr>
          <w:noProof/>
          <w:lang w:eastAsia="ja-JP"/>
        </w:rPr>
        <w:t>注文を受け取り、処理するために必要な措置を講じるものとする</w:t>
      </w:r>
      <w:r w:rsidR="006A7F46" w:rsidRPr="00DF5C23">
        <w:rPr>
          <w:noProof/>
          <w:lang w:eastAsia="ja-JP"/>
        </w:rPr>
        <w:t>。</w:t>
      </w:r>
      <w:r w:rsidR="006A7F46" w:rsidRPr="00DF5C23">
        <w:rPr>
          <w:noProof/>
          <w:lang w:eastAsia="ja-JP"/>
        </w:rPr>
        <w:t xml:space="preserve"> </w:t>
      </w:r>
    </w:p>
    <w:p w14:paraId="3F8ECA37" w14:textId="77777777" w:rsidR="0038775E" w:rsidRDefault="00877B9C" w:rsidP="002041D4">
      <w:pPr>
        <w:pStyle w:val="ManualNumPar1"/>
        <w:wordWrap w:val="0"/>
        <w:rPr>
          <w:noProof/>
          <w:lang w:eastAsia="ja-JP"/>
        </w:rPr>
      </w:pPr>
      <w:r w:rsidRPr="004F5E59">
        <w:rPr>
          <w:lang w:eastAsia="ja-JP"/>
        </w:rPr>
        <w:t>5.</w:t>
      </w:r>
      <w:r w:rsidRPr="004F5E59">
        <w:rPr>
          <w:lang w:eastAsia="ja-JP"/>
        </w:rPr>
        <w:tab/>
      </w:r>
      <w:r w:rsidR="008077E6" w:rsidRPr="00DF5C23">
        <w:rPr>
          <w:noProof/>
          <w:lang w:eastAsia="ja-JP"/>
        </w:rPr>
        <w:t>オンラインマーケットプレイスは、本規則</w:t>
      </w:r>
      <w:r w:rsidR="00792BB6" w:rsidRPr="00DF5C23">
        <w:rPr>
          <w:noProof/>
          <w:lang w:eastAsia="ja-JP"/>
        </w:rPr>
        <w:t>および</w:t>
      </w:r>
      <w:r w:rsidR="00850318" w:rsidRPr="00DF5C23">
        <w:rPr>
          <w:noProof/>
          <w:lang w:eastAsia="ja-JP"/>
        </w:rPr>
        <w:t>第</w:t>
      </w:r>
      <w:r w:rsidR="00850318" w:rsidRPr="00DF5C23">
        <w:rPr>
          <w:noProof/>
          <w:lang w:eastAsia="ja-JP"/>
        </w:rPr>
        <w:t>4</w:t>
      </w:r>
      <w:r w:rsidR="00850318" w:rsidRPr="00DF5C23">
        <w:rPr>
          <w:noProof/>
          <w:lang w:eastAsia="ja-JP"/>
        </w:rPr>
        <w:t>条に従って採択された</w:t>
      </w:r>
      <w:r w:rsidR="00792BB6" w:rsidRPr="00DF5C23">
        <w:rPr>
          <w:noProof/>
          <w:lang w:eastAsia="ja-JP"/>
        </w:rPr>
        <w:t>委任法の</w:t>
      </w:r>
      <w:r w:rsidR="008077E6" w:rsidRPr="00DF5C23">
        <w:rPr>
          <w:noProof/>
          <w:lang w:eastAsia="ja-JP"/>
        </w:rPr>
        <w:t>遵守に関連して、加盟国の市場監視当局と直接連絡を取ることができる単一の窓口を設置するものとする</w:t>
      </w:r>
      <w:r w:rsidR="00A633B7" w:rsidRPr="00DF5C23">
        <w:rPr>
          <w:noProof/>
          <w:lang w:eastAsia="ja-JP"/>
        </w:rPr>
        <w:t>。</w:t>
      </w:r>
      <w:r w:rsidR="00A633B7" w:rsidRPr="00DF5C23">
        <w:rPr>
          <w:noProof/>
          <w:lang w:eastAsia="ja-JP"/>
        </w:rPr>
        <w:t xml:space="preserve"> </w:t>
      </w:r>
    </w:p>
    <w:p w14:paraId="63F0637D" w14:textId="610D3118" w:rsidR="0038775E" w:rsidRDefault="00877B9C" w:rsidP="002041D4">
      <w:pPr>
        <w:pStyle w:val="Text1"/>
        <w:wordWrap w:val="0"/>
        <w:rPr>
          <w:noProof/>
          <w:lang w:eastAsia="ja-JP"/>
        </w:rPr>
      </w:pPr>
      <w:r w:rsidRPr="00DF5C23">
        <w:rPr>
          <w:noProof/>
          <w:lang w:eastAsia="ja-JP"/>
        </w:rPr>
        <w:t>この窓口は、規則（</w:t>
      </w:r>
      <w:r w:rsidRPr="00DF5C23">
        <w:rPr>
          <w:noProof/>
          <w:lang w:eastAsia="ja-JP"/>
        </w:rPr>
        <w:t>EU</w:t>
      </w:r>
      <w:r w:rsidRPr="00DF5C23">
        <w:rPr>
          <w:noProof/>
          <w:lang w:eastAsia="ja-JP"/>
        </w:rPr>
        <w:t>）</w:t>
      </w:r>
      <w:r w:rsidRPr="00DF5C23">
        <w:rPr>
          <w:noProof/>
          <w:lang w:eastAsia="ja-JP"/>
        </w:rPr>
        <w:t>.../...</w:t>
      </w:r>
      <w:r w:rsidRPr="00DF5C23">
        <w:rPr>
          <w:noProof/>
          <w:lang w:eastAsia="ja-JP"/>
        </w:rPr>
        <w:t>［一般製品安全規則］の［第</w:t>
      </w:r>
      <w:r w:rsidRPr="00DF5C23">
        <w:rPr>
          <w:noProof/>
          <w:lang w:eastAsia="ja-JP"/>
        </w:rPr>
        <w:t>20</w:t>
      </w:r>
      <w:r w:rsidRPr="00DF5C23">
        <w:rPr>
          <w:noProof/>
          <w:lang w:eastAsia="ja-JP"/>
        </w:rPr>
        <w:t>条（</w:t>
      </w:r>
      <w:r w:rsidRPr="00DF5C23">
        <w:rPr>
          <w:noProof/>
          <w:lang w:eastAsia="ja-JP"/>
        </w:rPr>
        <w:t>1</w:t>
      </w:r>
      <w:r w:rsidRPr="00DF5C23">
        <w:rPr>
          <w:noProof/>
          <w:lang w:eastAsia="ja-JP"/>
        </w:rPr>
        <w:t>）］</w:t>
      </w:r>
      <w:r w:rsidR="00E112F3" w:rsidRPr="00DF5C23">
        <w:rPr>
          <w:noProof/>
          <w:lang w:eastAsia="ja-JP"/>
        </w:rPr>
        <w:t>または規則（</w:t>
      </w:r>
      <w:r w:rsidR="00E112F3" w:rsidRPr="00DF5C23">
        <w:rPr>
          <w:noProof/>
          <w:lang w:eastAsia="ja-JP"/>
        </w:rPr>
        <w:t>EU</w:t>
      </w:r>
      <w:r w:rsidR="00E112F3" w:rsidRPr="00DF5C23">
        <w:rPr>
          <w:noProof/>
          <w:lang w:eastAsia="ja-JP"/>
        </w:rPr>
        <w:t>）</w:t>
      </w:r>
      <w:r w:rsidR="00E112F3" w:rsidRPr="00DF5C23">
        <w:rPr>
          <w:noProof/>
          <w:lang w:eastAsia="ja-JP"/>
        </w:rPr>
        <w:t>.../...</w:t>
      </w:r>
      <w:r w:rsidR="00E112F3" w:rsidRPr="00DF5C23">
        <w:rPr>
          <w:noProof/>
          <w:lang w:eastAsia="ja-JP"/>
        </w:rPr>
        <w:t>［デジタルサービス法］の［第</w:t>
      </w:r>
      <w:r w:rsidR="00E112F3" w:rsidRPr="00DF5C23">
        <w:rPr>
          <w:noProof/>
          <w:lang w:eastAsia="ja-JP"/>
        </w:rPr>
        <w:t>10</w:t>
      </w:r>
      <w:r w:rsidR="00E112F3" w:rsidRPr="00DF5C23">
        <w:rPr>
          <w:noProof/>
          <w:lang w:eastAsia="ja-JP"/>
        </w:rPr>
        <w:t>条</w:t>
      </w:r>
      <w:r w:rsidR="00FE5CF8" w:rsidRPr="00DF5C23">
        <w:rPr>
          <w:noProof/>
          <w:lang w:eastAsia="ja-JP"/>
        </w:rPr>
        <w:t>（</w:t>
      </w:r>
      <w:r w:rsidR="00FE5CF8" w:rsidRPr="00DF5C23">
        <w:rPr>
          <w:noProof/>
          <w:lang w:eastAsia="ja-JP"/>
        </w:rPr>
        <w:t>1</w:t>
      </w:r>
      <w:r w:rsidR="00FE5CF8" w:rsidRPr="00DF5C23">
        <w:rPr>
          <w:noProof/>
          <w:lang w:eastAsia="ja-JP"/>
        </w:rPr>
        <w:t>）］</w:t>
      </w:r>
      <w:r w:rsidRPr="00DF5C23">
        <w:rPr>
          <w:noProof/>
          <w:lang w:eastAsia="ja-JP"/>
        </w:rPr>
        <w:t>で言及されている窓口と同じである可能性があ</w:t>
      </w:r>
      <w:r w:rsidR="002041D4">
        <w:rPr>
          <w:noProof/>
          <w:lang w:eastAsia="ja-JP"/>
        </w:rPr>
        <w:t>る</w:t>
      </w:r>
      <w:r w:rsidRPr="00DF5C23">
        <w:rPr>
          <w:noProof/>
          <w:lang w:eastAsia="ja-JP"/>
        </w:rPr>
        <w:t>。</w:t>
      </w:r>
    </w:p>
    <w:p w14:paraId="1825A581" w14:textId="77777777" w:rsidR="0038775E" w:rsidRDefault="001A4BE8" w:rsidP="002041D4">
      <w:pPr>
        <w:pStyle w:val="Titrearticle"/>
        <w:wordWrap w:val="0"/>
        <w:rPr>
          <w:noProof/>
          <w:lang w:val="en-IE" w:eastAsia="fr-BE"/>
        </w:rPr>
      </w:pPr>
      <w:r w:rsidRPr="00DF5C23">
        <w:rPr>
          <w:noProof/>
          <w:lang w:val="en-IE" w:eastAsia="fr-BE"/>
        </w:rPr>
        <w:t>第</w:t>
      </w:r>
      <w:r w:rsidRPr="00DF5C23">
        <w:rPr>
          <w:noProof/>
          <w:lang w:val="en-IE" w:eastAsia="fr-BE"/>
        </w:rPr>
        <w:t>30</w:t>
      </w:r>
      <w:r w:rsidR="00877B9C" w:rsidRPr="00DF5C23">
        <w:rPr>
          <w:noProof/>
          <w:lang w:val="en-IE" w:eastAsia="fr-BE"/>
        </w:rPr>
        <w:t>条</w:t>
      </w:r>
      <w:r w:rsidR="00877B9C" w:rsidRPr="00DF5C23">
        <w:rPr>
          <w:noProof/>
          <w:lang w:val="en-IE" w:eastAsia="fr-BE"/>
        </w:rPr>
        <w:t xml:space="preserve"> </w:t>
      </w:r>
      <w:r w:rsidR="00014A6A" w:rsidRPr="00DF5C23">
        <w:rPr>
          <w:noProof/>
          <w:lang w:eastAsia="ja-JP"/>
        </w:rPr>
        <w:br/>
      </w:r>
      <w:r w:rsidR="00877B9C" w:rsidRPr="00DF5C23">
        <w:rPr>
          <w:noProof/>
          <w:lang w:val="en-IE" w:eastAsia="fr-BE"/>
        </w:rPr>
        <w:t>経済事業者の情報提供義務</w:t>
      </w:r>
    </w:p>
    <w:p w14:paraId="774AF956" w14:textId="77777777" w:rsidR="0038775E" w:rsidRDefault="00877B9C" w:rsidP="002041D4">
      <w:pPr>
        <w:pStyle w:val="ManualNumPar1"/>
        <w:wordWrap w:val="0"/>
        <w:rPr>
          <w:noProof/>
          <w:lang w:val="en-IE" w:eastAsia="fr-BE"/>
        </w:rPr>
      </w:pPr>
      <w:r w:rsidRPr="004F5E59">
        <w:rPr>
          <w:lang w:eastAsia="ja-JP"/>
        </w:rPr>
        <w:t>1.</w:t>
      </w:r>
      <w:r w:rsidRPr="004F5E59">
        <w:rPr>
          <w:lang w:eastAsia="ja-JP"/>
        </w:rPr>
        <w:tab/>
      </w:r>
      <w:r w:rsidR="00003FAC" w:rsidRPr="00DF5C23">
        <w:rPr>
          <w:noProof/>
          <w:lang w:eastAsia="ja-JP"/>
        </w:rPr>
        <w:t>関連する経済事業者がオンラインまたはその他の遠隔販売手段を通じて製品を市場に提供する場合、関連する</w:t>
      </w:r>
      <w:r w:rsidR="00654D12" w:rsidRPr="00DF5C23">
        <w:rPr>
          <w:noProof/>
          <w:lang w:eastAsia="ja-JP"/>
        </w:rPr>
        <w:t>製品の提供は、少なくとも以下の情報を明確かつ目に見える形で提供するものとする：</w:t>
      </w:r>
      <w:r w:rsidR="00654D12" w:rsidRPr="00DF5C23">
        <w:rPr>
          <w:noProof/>
          <w:lang w:eastAsia="ja-JP"/>
        </w:rPr>
        <w:t xml:space="preserve"> </w:t>
      </w:r>
    </w:p>
    <w:p w14:paraId="124C5048" w14:textId="77777777" w:rsidR="0038775E" w:rsidRDefault="00877B9C" w:rsidP="002041D4">
      <w:pPr>
        <w:pStyle w:val="Point1"/>
        <w:wordWrap w:val="0"/>
        <w:rPr>
          <w:noProof/>
          <w:lang w:val="en-IE" w:eastAsia="fr-BE"/>
        </w:rPr>
      </w:pPr>
      <w:r w:rsidRPr="004F5E59">
        <w:rPr>
          <w:lang w:eastAsia="ja-JP"/>
        </w:rPr>
        <w:t>(a)</w:t>
      </w:r>
      <w:r w:rsidRPr="004F5E59">
        <w:rPr>
          <w:lang w:eastAsia="ja-JP"/>
        </w:rPr>
        <w:tab/>
      </w:r>
      <w:r w:rsidR="00003FAC" w:rsidRPr="00DF5C23">
        <w:rPr>
          <w:noProof/>
          <w:lang w:val="en-IE" w:eastAsia="fr-BE"/>
        </w:rPr>
        <w:t>製造者の名称、登録商標または登録商標、および連絡可能</w:t>
      </w:r>
      <w:r w:rsidR="00654D12" w:rsidRPr="00DF5C23">
        <w:rPr>
          <w:noProof/>
          <w:lang w:eastAsia="fr-BE"/>
        </w:rPr>
        <w:t>な</w:t>
      </w:r>
      <w:r w:rsidR="00003FAC" w:rsidRPr="00DF5C23">
        <w:rPr>
          <w:noProof/>
          <w:lang w:val="en-IE" w:eastAsia="fr-BE"/>
        </w:rPr>
        <w:t>郵便または電子メールアドレス</w:t>
      </w:r>
      <w:r w:rsidR="00B706B7" w:rsidRPr="00DF5C23">
        <w:rPr>
          <w:noProof/>
          <w:lang w:val="en-IE" w:eastAsia="fr-BE"/>
        </w:rPr>
        <w:t>；</w:t>
      </w:r>
      <w:r w:rsidR="00B706B7" w:rsidRPr="00DF5C23">
        <w:rPr>
          <w:noProof/>
          <w:lang w:val="en-IE" w:eastAsia="fr-BE"/>
        </w:rPr>
        <w:t xml:space="preserve"> </w:t>
      </w:r>
    </w:p>
    <w:p w14:paraId="14B08D56" w14:textId="77777777" w:rsidR="0038775E" w:rsidRDefault="00877B9C" w:rsidP="002041D4">
      <w:pPr>
        <w:pStyle w:val="Point1"/>
        <w:wordWrap w:val="0"/>
        <w:rPr>
          <w:noProof/>
          <w:lang w:val="en-IE" w:eastAsia="fr-BE"/>
        </w:rPr>
      </w:pPr>
      <w:r w:rsidRPr="004F5E59">
        <w:rPr>
          <w:lang w:eastAsia="ja-JP"/>
        </w:rPr>
        <w:t>(b)</w:t>
      </w:r>
      <w:r w:rsidRPr="004F5E59">
        <w:rPr>
          <w:lang w:eastAsia="ja-JP"/>
        </w:rPr>
        <w:tab/>
      </w:r>
      <w:r w:rsidR="00003FAC" w:rsidRPr="00DF5C23">
        <w:rPr>
          <w:noProof/>
          <w:lang w:val="en-IE" w:eastAsia="fr-BE"/>
        </w:rPr>
        <w:t>製造者が連合国内に設立されていない場合、</w:t>
      </w:r>
      <w:r w:rsidR="006F4675" w:rsidRPr="00DF5C23">
        <w:rPr>
          <w:noProof/>
          <w:lang w:val="en-IE" w:eastAsia="fr-BE"/>
        </w:rPr>
        <w:t>規則（</w:t>
      </w:r>
      <w:r w:rsidR="006F4675" w:rsidRPr="00DF5C23">
        <w:rPr>
          <w:noProof/>
          <w:lang w:val="en-IE" w:eastAsia="fr-BE"/>
        </w:rPr>
        <w:t>EU</w:t>
      </w:r>
      <w:r w:rsidR="006F4675" w:rsidRPr="00DF5C23">
        <w:rPr>
          <w:noProof/>
          <w:lang w:val="en-IE" w:eastAsia="fr-BE"/>
        </w:rPr>
        <w:t>）</w:t>
      </w:r>
      <w:r w:rsidR="006F4675" w:rsidRPr="00DF5C23">
        <w:rPr>
          <w:noProof/>
          <w:lang w:val="en-IE" w:eastAsia="fr-BE"/>
        </w:rPr>
        <w:t>2019/1020</w:t>
      </w:r>
      <w:r w:rsidR="006F4675" w:rsidRPr="00DF5C23">
        <w:rPr>
          <w:noProof/>
          <w:lang w:val="en-IE" w:eastAsia="fr-BE"/>
        </w:rPr>
        <w:t>の第</w:t>
      </w:r>
      <w:r w:rsidR="006F4675" w:rsidRPr="00DF5C23">
        <w:rPr>
          <w:noProof/>
          <w:lang w:val="en-IE" w:eastAsia="fr-BE"/>
        </w:rPr>
        <w:t>4</w:t>
      </w:r>
      <w:r w:rsidR="006F4675" w:rsidRPr="00DF5C23">
        <w:rPr>
          <w:noProof/>
          <w:lang w:val="en-IE" w:eastAsia="fr-BE"/>
        </w:rPr>
        <w:t>条の意味において連合国内に設立された経済運営</w:t>
      </w:r>
      <w:r w:rsidR="00003FAC" w:rsidRPr="00DF5C23">
        <w:rPr>
          <w:noProof/>
          <w:lang w:val="en-IE" w:eastAsia="fr-BE"/>
        </w:rPr>
        <w:t>者の名前、住所、電話番号および電子メールアドレス；</w:t>
      </w:r>
      <w:r w:rsidR="00003FAC" w:rsidRPr="00DF5C23">
        <w:rPr>
          <w:noProof/>
          <w:lang w:val="en-IE" w:eastAsia="fr-BE"/>
        </w:rPr>
        <w:t xml:space="preserve"> </w:t>
      </w:r>
    </w:p>
    <w:p w14:paraId="542AD20A" w14:textId="77777777" w:rsidR="0038775E" w:rsidRDefault="00877B9C" w:rsidP="002041D4">
      <w:pPr>
        <w:pStyle w:val="Point1"/>
        <w:wordWrap w:val="0"/>
        <w:rPr>
          <w:noProof/>
          <w:lang w:val="en-IE" w:eastAsia="fr-BE"/>
        </w:rPr>
      </w:pPr>
      <w:r w:rsidRPr="004F5E59">
        <w:rPr>
          <w:lang w:eastAsia="ja-JP"/>
        </w:rPr>
        <w:lastRenderedPageBreak/>
        <w:t>(c)</w:t>
      </w:r>
      <w:r w:rsidRPr="004F5E59">
        <w:rPr>
          <w:lang w:eastAsia="ja-JP"/>
        </w:rPr>
        <w:tab/>
      </w:r>
      <w:r w:rsidR="00003FAC" w:rsidRPr="00DF5C23">
        <w:rPr>
          <w:noProof/>
          <w:lang w:val="en-IE" w:eastAsia="fr-BE"/>
        </w:rPr>
        <w:t>製品を識別するための情報（製品の種類、可能で</w:t>
      </w:r>
      <w:r w:rsidR="00654D12" w:rsidRPr="00DF5C23">
        <w:rPr>
          <w:noProof/>
          <w:lang w:eastAsia="fr-BE"/>
        </w:rPr>
        <w:t>あれば</w:t>
      </w:r>
      <w:r w:rsidR="00003FAC" w:rsidRPr="00DF5C23">
        <w:rPr>
          <w:noProof/>
          <w:lang w:val="en-IE" w:eastAsia="fr-BE"/>
        </w:rPr>
        <w:t>バッチ番号またはシリアル番号</w:t>
      </w:r>
      <w:r w:rsidR="006F4675" w:rsidRPr="00DF5C23">
        <w:rPr>
          <w:noProof/>
          <w:lang w:val="en-IE" w:eastAsia="fr-BE"/>
        </w:rPr>
        <w:t>、その他の製品識別子を</w:t>
      </w:r>
      <w:r w:rsidR="00003FAC" w:rsidRPr="00DF5C23">
        <w:rPr>
          <w:noProof/>
          <w:lang w:val="en-IE" w:eastAsia="fr-BE"/>
        </w:rPr>
        <w:t>含む）。</w:t>
      </w:r>
    </w:p>
    <w:p w14:paraId="09C8B383" w14:textId="77777777" w:rsidR="0038775E" w:rsidRDefault="00877B9C" w:rsidP="002041D4">
      <w:pPr>
        <w:pStyle w:val="ManualNumPar1"/>
        <w:wordWrap w:val="0"/>
        <w:rPr>
          <w:noProof/>
          <w:lang w:val="en-IE" w:eastAsia="fr-BE"/>
        </w:rPr>
      </w:pPr>
      <w:r w:rsidRPr="004F5E59">
        <w:rPr>
          <w:lang w:eastAsia="ja-JP"/>
        </w:rPr>
        <w:t>2.</w:t>
      </w:r>
      <w:r w:rsidRPr="004F5E59">
        <w:rPr>
          <w:lang w:eastAsia="ja-JP"/>
        </w:rPr>
        <w:tab/>
      </w:r>
      <w:r w:rsidR="00957065" w:rsidRPr="00DF5C23">
        <w:rPr>
          <w:noProof/>
          <w:lang w:val="en-IE" w:eastAsia="fr-BE"/>
        </w:rPr>
        <w:t>経済事業者は、</w:t>
      </w:r>
      <w:r w:rsidR="00957065" w:rsidRPr="00DF5C23">
        <w:rPr>
          <w:noProof/>
          <w:lang w:eastAsia="fr-BE"/>
        </w:rPr>
        <w:t>要求に応じて、市場監視当局に提供</w:t>
      </w:r>
      <w:r w:rsidR="00957065" w:rsidRPr="00DF5C23">
        <w:rPr>
          <w:noProof/>
          <w:lang w:val="en-IE" w:eastAsia="fr-BE"/>
        </w:rPr>
        <w:t>しなければならない：</w:t>
      </w:r>
    </w:p>
    <w:p w14:paraId="739B4EF3" w14:textId="77777777" w:rsidR="0038775E" w:rsidRDefault="00877B9C" w:rsidP="002041D4">
      <w:pPr>
        <w:pStyle w:val="Point1"/>
        <w:wordWrap w:val="0"/>
        <w:rPr>
          <w:noProof/>
          <w:lang w:val="en-IE" w:eastAsia="fr-BE"/>
        </w:rPr>
      </w:pPr>
      <w:r w:rsidRPr="004F5E59">
        <w:rPr>
          <w:lang w:eastAsia="ja-JP"/>
        </w:rPr>
        <w:t>(a)</w:t>
      </w:r>
      <w:r w:rsidRPr="004F5E59">
        <w:rPr>
          <w:lang w:eastAsia="ja-JP"/>
        </w:rPr>
        <w:tab/>
      </w:r>
      <w:r w:rsidR="00957065" w:rsidRPr="00DF5C23">
        <w:rPr>
          <w:noProof/>
          <w:lang w:val="en-IE" w:eastAsia="fr-BE"/>
        </w:rPr>
        <w:t>第</w:t>
      </w:r>
      <w:r w:rsidR="00957065" w:rsidRPr="00DF5C23">
        <w:rPr>
          <w:noProof/>
          <w:lang w:val="en-IE" w:eastAsia="fr-BE"/>
        </w:rPr>
        <w:t>4</w:t>
      </w:r>
      <w:r w:rsidR="00957065" w:rsidRPr="00DF5C23">
        <w:rPr>
          <w:noProof/>
          <w:lang w:val="en-IE" w:eastAsia="fr-BE"/>
        </w:rPr>
        <w:t>条に従って採択された委任法の範囲内にある製品を供給した経済事業者の名前；</w:t>
      </w:r>
    </w:p>
    <w:p w14:paraId="2830C07B" w14:textId="77777777" w:rsidR="0038775E" w:rsidRDefault="00877B9C" w:rsidP="002041D4">
      <w:pPr>
        <w:pStyle w:val="Point1"/>
        <w:wordWrap w:val="0"/>
        <w:rPr>
          <w:noProof/>
          <w:lang w:val="en-IE" w:eastAsia="fr-BE"/>
        </w:rPr>
      </w:pPr>
      <w:r w:rsidRPr="004F5E59">
        <w:rPr>
          <w:lang w:eastAsia="ja-JP"/>
        </w:rPr>
        <w:t>(b)</w:t>
      </w:r>
      <w:r w:rsidRPr="004F5E59">
        <w:rPr>
          <w:lang w:eastAsia="ja-JP"/>
        </w:rPr>
        <w:tab/>
      </w:r>
      <w:r w:rsidR="00957065" w:rsidRPr="00DF5C23">
        <w:rPr>
          <w:noProof/>
          <w:lang w:val="en-IE" w:eastAsia="fr-BE"/>
        </w:rPr>
        <w:t>そのような製品を供給したすべての経済事業者、数量、正確なモデル。</w:t>
      </w:r>
    </w:p>
    <w:p w14:paraId="7155006D" w14:textId="77777777" w:rsidR="0038775E" w:rsidRDefault="00877B9C" w:rsidP="002041D4">
      <w:pPr>
        <w:pStyle w:val="Text1"/>
        <w:wordWrap w:val="0"/>
        <w:rPr>
          <w:noProof/>
          <w:lang w:val="en-IE" w:eastAsia="fr-BE"/>
        </w:rPr>
      </w:pPr>
      <w:r w:rsidRPr="00DF5C23">
        <w:rPr>
          <w:noProof/>
          <w:lang w:val="en-IE" w:eastAsia="fr-BE"/>
        </w:rPr>
        <w:t>経済事業者は、</w:t>
      </w:r>
      <w:r w:rsidRPr="00DF5C23">
        <w:rPr>
          <w:noProof/>
          <w:lang w:val="en-IE" w:eastAsia="fr-BE"/>
        </w:rPr>
        <w:t>関連製品の供給を受けてから</w:t>
      </w:r>
      <w:r w:rsidRPr="00DF5C23">
        <w:rPr>
          <w:noProof/>
          <w:lang w:val="en-IE" w:eastAsia="fr-BE"/>
        </w:rPr>
        <w:t>10</w:t>
      </w:r>
      <w:r w:rsidRPr="00DF5C23">
        <w:rPr>
          <w:noProof/>
          <w:lang w:val="en-IE" w:eastAsia="fr-BE"/>
        </w:rPr>
        <w:t>年間、および当該製品を供給してから</w:t>
      </w:r>
      <w:r w:rsidRPr="00DF5C23">
        <w:rPr>
          <w:noProof/>
          <w:lang w:val="en-IE" w:eastAsia="fr-BE"/>
        </w:rPr>
        <w:t>10</w:t>
      </w:r>
      <w:r w:rsidRPr="00DF5C23">
        <w:rPr>
          <w:noProof/>
          <w:lang w:val="en-IE" w:eastAsia="fr-BE"/>
        </w:rPr>
        <w:t>年間、当該情報を</w:t>
      </w:r>
      <w:r w:rsidRPr="00DF5C23">
        <w:rPr>
          <w:noProof/>
          <w:lang w:eastAsia="fr-BE"/>
        </w:rPr>
        <w:t>提供することが</w:t>
      </w:r>
      <w:r w:rsidRPr="00DF5C23">
        <w:rPr>
          <w:noProof/>
          <w:lang w:val="en-IE" w:eastAsia="fr-BE"/>
        </w:rPr>
        <w:t>できるものとする。第</w:t>
      </w:r>
      <w:r w:rsidRPr="00DF5C23">
        <w:rPr>
          <w:noProof/>
          <w:lang w:val="en-IE" w:eastAsia="fr-BE"/>
        </w:rPr>
        <w:t>4</w:t>
      </w:r>
      <w:r w:rsidRPr="00DF5C23">
        <w:rPr>
          <w:noProof/>
          <w:lang w:val="en-IE" w:eastAsia="fr-BE"/>
        </w:rPr>
        <w:t>条に従って</w:t>
      </w:r>
      <w:r w:rsidR="0052414F" w:rsidRPr="00DF5C23">
        <w:rPr>
          <w:noProof/>
          <w:lang w:val="en-IE" w:eastAsia="fr-BE"/>
        </w:rPr>
        <w:t>委任行為を</w:t>
      </w:r>
      <w:r w:rsidRPr="00DF5C23">
        <w:rPr>
          <w:noProof/>
          <w:lang w:val="en-IE" w:eastAsia="fr-BE"/>
        </w:rPr>
        <w:t>採択する際、欧州委員会は、</w:t>
      </w:r>
      <w:r w:rsidRPr="00DF5C23">
        <w:rPr>
          <w:noProof/>
          <w:lang w:eastAsia="fr-BE"/>
        </w:rPr>
        <w:t>関連する製品または要件の性質を考慮し、</w:t>
      </w:r>
      <w:r w:rsidRPr="00DF5C23">
        <w:rPr>
          <w:noProof/>
          <w:lang w:val="en-IE" w:eastAsia="fr-BE"/>
        </w:rPr>
        <w:t>10</w:t>
      </w:r>
      <w:r w:rsidRPr="00DF5C23">
        <w:rPr>
          <w:noProof/>
          <w:lang w:val="en-IE" w:eastAsia="fr-BE"/>
        </w:rPr>
        <w:t>年を超えるまたは下回る期間を指定することができる。</w:t>
      </w:r>
    </w:p>
    <w:p w14:paraId="64FE5C51" w14:textId="77777777" w:rsidR="0038775E" w:rsidRDefault="00877B9C" w:rsidP="002041D4">
      <w:pPr>
        <w:pStyle w:val="ManualNumPar1"/>
        <w:wordWrap w:val="0"/>
        <w:rPr>
          <w:noProof/>
          <w:lang w:val="en-IE" w:eastAsia="fr-BE"/>
        </w:rPr>
      </w:pPr>
      <w:r w:rsidRPr="004F5E59">
        <w:rPr>
          <w:lang w:eastAsia="ja-JP"/>
        </w:rPr>
        <w:t>3.</w:t>
      </w:r>
      <w:r w:rsidRPr="004F5E59">
        <w:rPr>
          <w:lang w:eastAsia="ja-JP"/>
        </w:rPr>
        <w:tab/>
      </w:r>
      <w:r w:rsidR="00DB3F29" w:rsidRPr="00DF5C23">
        <w:rPr>
          <w:noProof/>
          <w:lang w:val="en-IE" w:eastAsia="fr-BE"/>
        </w:rPr>
        <w:t>第</w:t>
      </w:r>
      <w:r w:rsidR="00DB3F29" w:rsidRPr="00DF5C23">
        <w:rPr>
          <w:noProof/>
          <w:lang w:val="en-IE" w:eastAsia="fr-BE"/>
        </w:rPr>
        <w:t>4</w:t>
      </w:r>
      <w:r w:rsidR="00DB3F29" w:rsidRPr="00DF5C23">
        <w:rPr>
          <w:noProof/>
          <w:lang w:val="en-IE" w:eastAsia="fr-BE"/>
        </w:rPr>
        <w:t>条</w:t>
      </w:r>
      <w:r w:rsidR="002438E5" w:rsidRPr="00DF5C23">
        <w:rPr>
          <w:noProof/>
          <w:lang w:val="en-IE" w:eastAsia="fr-BE"/>
        </w:rPr>
        <w:t>第</w:t>
      </w:r>
      <w:r w:rsidR="002438E5" w:rsidRPr="00DF5C23">
        <w:rPr>
          <w:noProof/>
          <w:lang w:val="en-IE" w:eastAsia="fr-BE"/>
        </w:rPr>
        <w:t>3</w:t>
      </w:r>
      <w:r w:rsidR="002438E5" w:rsidRPr="00DF5C23">
        <w:rPr>
          <w:noProof/>
          <w:lang w:val="en-IE" w:eastAsia="fr-BE"/>
        </w:rPr>
        <w:t>項第</w:t>
      </w:r>
      <w:r w:rsidR="002438E5" w:rsidRPr="00DF5C23">
        <w:rPr>
          <w:noProof/>
          <w:lang w:val="en-IE" w:eastAsia="fr-BE"/>
        </w:rPr>
        <w:t>(a)</w:t>
      </w:r>
      <w:r w:rsidR="002438E5" w:rsidRPr="00DF5C23">
        <w:rPr>
          <w:noProof/>
          <w:lang w:val="en-IE" w:eastAsia="fr-BE"/>
        </w:rPr>
        <w:t>号に従って、</w:t>
      </w:r>
      <w:r w:rsidR="00DB3F29" w:rsidRPr="00DF5C23">
        <w:rPr>
          <w:noProof/>
          <w:lang w:val="en-IE" w:eastAsia="fr-BE"/>
        </w:rPr>
        <w:t>製造業者、その正規代理人又は輸入業者に対し、</w:t>
      </w:r>
      <w:r w:rsidR="00DB3F29" w:rsidRPr="00DF5C23">
        <w:rPr>
          <w:noProof/>
          <w:lang w:eastAsia="fr-BE"/>
        </w:rPr>
        <w:t>当該製品に</w:t>
      </w:r>
      <w:r w:rsidR="00DB3F29" w:rsidRPr="00DF5C23">
        <w:rPr>
          <w:noProof/>
          <w:lang w:val="en-IE" w:eastAsia="fr-BE"/>
        </w:rPr>
        <w:t>関連する技術文書の一部をデジタルで利用可能にすることを求める場合、委員会は、以下の基準を考慮するものとする：</w:t>
      </w:r>
    </w:p>
    <w:p w14:paraId="0D28800C" w14:textId="77777777" w:rsidR="0038775E" w:rsidRDefault="00877B9C" w:rsidP="002041D4">
      <w:pPr>
        <w:pStyle w:val="Point1"/>
        <w:wordWrap w:val="0"/>
        <w:rPr>
          <w:noProof/>
          <w:lang w:val="en-IE" w:eastAsia="fr-BE"/>
        </w:rPr>
      </w:pPr>
      <w:r w:rsidRPr="004F5E59">
        <w:rPr>
          <w:lang w:eastAsia="ja-JP"/>
        </w:rPr>
        <w:t>(a)</w:t>
      </w:r>
      <w:r w:rsidRPr="004F5E59">
        <w:rPr>
          <w:lang w:eastAsia="ja-JP"/>
        </w:rPr>
        <w:tab/>
      </w:r>
      <w:r w:rsidR="00116B33" w:rsidRPr="00DF5C23">
        <w:rPr>
          <w:noProof/>
          <w:lang w:val="en-IE" w:eastAsia="fr-BE"/>
        </w:rPr>
        <w:t>市場監視当局による</w:t>
      </w:r>
      <w:r w:rsidR="00DB3F29" w:rsidRPr="00DF5C23">
        <w:rPr>
          <w:noProof/>
          <w:lang w:val="en-IE" w:eastAsia="fr-BE"/>
        </w:rPr>
        <w:t>適用要件への準拠の検証を容易にする必要があること；</w:t>
      </w:r>
    </w:p>
    <w:p w14:paraId="65C5000F" w14:textId="77777777" w:rsidR="0038775E" w:rsidRDefault="00877B9C" w:rsidP="002041D4">
      <w:pPr>
        <w:pStyle w:val="Point1"/>
        <w:wordWrap w:val="0"/>
        <w:rPr>
          <w:noProof/>
          <w:lang w:val="en-IE" w:eastAsia="ja-JP"/>
        </w:rPr>
      </w:pPr>
      <w:r w:rsidRPr="004F5E59">
        <w:rPr>
          <w:lang w:eastAsia="ja-JP"/>
        </w:rPr>
        <w:t>(b)</w:t>
      </w:r>
      <w:r w:rsidRPr="004F5E59">
        <w:rPr>
          <w:lang w:eastAsia="ja-JP"/>
        </w:rPr>
        <w:tab/>
      </w:r>
      <w:r w:rsidR="00116B33" w:rsidRPr="00DF5C23">
        <w:rPr>
          <w:noProof/>
          <w:lang w:val="en-IE" w:eastAsia="fr-BE"/>
        </w:rPr>
        <w:t>経済事業者に</w:t>
      </w:r>
      <w:r w:rsidR="00DD7EC1" w:rsidRPr="00DF5C23">
        <w:rPr>
          <w:noProof/>
          <w:lang w:val="en-IE" w:eastAsia="fr-BE"/>
        </w:rPr>
        <w:t>不釣り合いな</w:t>
      </w:r>
      <w:r w:rsidR="00116B33" w:rsidRPr="00DF5C23">
        <w:rPr>
          <w:noProof/>
          <w:lang w:val="en-IE" w:eastAsia="fr-BE"/>
        </w:rPr>
        <w:t>行政負担を</w:t>
      </w:r>
      <w:r w:rsidR="00DD7EC1" w:rsidRPr="00DF5C23">
        <w:rPr>
          <w:noProof/>
          <w:lang w:val="en-IE" w:eastAsia="fr-BE"/>
        </w:rPr>
        <w:t>与えないようにする</w:t>
      </w:r>
      <w:r w:rsidR="00116B33" w:rsidRPr="00DF5C23">
        <w:rPr>
          <w:noProof/>
          <w:lang w:val="en-IE" w:eastAsia="fr-BE"/>
        </w:rPr>
        <w:t>必要があること</w:t>
      </w:r>
      <w:r w:rsidR="00DD7EC1" w:rsidRPr="00DF5C23">
        <w:rPr>
          <w:noProof/>
          <w:lang w:val="en-IE" w:eastAsia="fr-BE"/>
        </w:rPr>
        <w:t>。</w:t>
      </w:r>
      <w:r w:rsidR="00116B33" w:rsidRPr="00DF5C23">
        <w:rPr>
          <w:noProof/>
          <w:lang w:val="en-IE" w:eastAsia="fr-BE"/>
        </w:rPr>
        <w:t xml:space="preserve">  </w:t>
      </w:r>
    </w:p>
    <w:p w14:paraId="51A02606" w14:textId="77777777" w:rsidR="0038775E" w:rsidRDefault="00877B9C" w:rsidP="002041D4">
      <w:pPr>
        <w:pStyle w:val="Text1"/>
        <w:wordWrap w:val="0"/>
        <w:rPr>
          <w:noProof/>
          <w:lang w:val="en-IE" w:eastAsia="fr-BE"/>
        </w:rPr>
      </w:pPr>
      <w:r w:rsidRPr="00DF5C23">
        <w:rPr>
          <w:noProof/>
          <w:lang w:val="en-IE" w:eastAsia="fr-BE"/>
        </w:rPr>
        <w:t>欧州委員会は、技術文書の関連部分を利用できるようにする</w:t>
      </w:r>
      <w:r w:rsidR="00116B33" w:rsidRPr="00DF5C23">
        <w:rPr>
          <w:noProof/>
          <w:lang w:val="en-IE" w:eastAsia="fr-BE"/>
        </w:rPr>
        <w:t>方法を</w:t>
      </w:r>
      <w:r w:rsidRPr="00DF5C23">
        <w:rPr>
          <w:noProof/>
          <w:lang w:val="en-IE" w:eastAsia="fr-BE"/>
        </w:rPr>
        <w:t>指定しなければならない。</w:t>
      </w:r>
      <w:r w:rsidR="00116B33" w:rsidRPr="00DF5C23">
        <w:rPr>
          <w:noProof/>
          <w:lang w:val="en-IE" w:eastAsia="fr-BE"/>
        </w:rPr>
        <w:t>利用可能な場合、技術文書は、製品パスポートを通じて利用できるようにしなければならない。</w:t>
      </w:r>
    </w:p>
    <w:p w14:paraId="07DFA793" w14:textId="77777777" w:rsidR="0038775E" w:rsidRDefault="001A4BE8" w:rsidP="002041D4">
      <w:pPr>
        <w:pStyle w:val="Titrearticle"/>
        <w:wordWrap w:val="0"/>
        <w:rPr>
          <w:noProof/>
          <w:lang w:val="en-IE" w:eastAsia="fr-BE"/>
        </w:rPr>
      </w:pPr>
      <w:r w:rsidRPr="00DF5C23">
        <w:rPr>
          <w:noProof/>
          <w:lang w:val="en-IE" w:eastAsia="fr-BE"/>
        </w:rPr>
        <w:t>第</w:t>
      </w:r>
      <w:r w:rsidRPr="00DF5C23">
        <w:rPr>
          <w:noProof/>
          <w:lang w:val="en-IE" w:eastAsia="fr-BE"/>
        </w:rPr>
        <w:t>31</w:t>
      </w:r>
      <w:r w:rsidR="00877B9C" w:rsidRPr="00DF5C23">
        <w:rPr>
          <w:noProof/>
          <w:lang w:val="en-IE" w:eastAsia="fr-BE"/>
        </w:rPr>
        <w:t>条</w:t>
      </w:r>
      <w:r w:rsidR="001E4E57" w:rsidRPr="00DF5C23">
        <w:rPr>
          <w:noProof/>
          <w:lang w:eastAsia="ja-JP"/>
        </w:rPr>
        <w:br/>
      </w:r>
      <w:r w:rsidR="00877B9C" w:rsidRPr="00DF5C23">
        <w:rPr>
          <w:noProof/>
          <w:lang w:val="en-IE" w:eastAsia="fr-BE"/>
        </w:rPr>
        <w:t>経済事業</w:t>
      </w:r>
      <w:r w:rsidR="001D1629" w:rsidRPr="00DF5C23">
        <w:rPr>
          <w:noProof/>
          <w:lang w:val="en-IE" w:eastAsia="fr-BE"/>
        </w:rPr>
        <w:t>者の</w:t>
      </w:r>
      <w:r w:rsidR="00877B9C" w:rsidRPr="00DF5C23">
        <w:rPr>
          <w:noProof/>
          <w:lang w:val="en-IE" w:eastAsia="fr-BE"/>
        </w:rPr>
        <w:t>監視・報告義務</w:t>
      </w:r>
    </w:p>
    <w:p w14:paraId="2A2C5B64" w14:textId="77777777" w:rsidR="0038775E" w:rsidRDefault="00877B9C" w:rsidP="002041D4">
      <w:pPr>
        <w:pStyle w:val="ManualNumPar1"/>
        <w:wordWrap w:val="0"/>
        <w:rPr>
          <w:noProof/>
          <w:lang w:val="en-IE" w:eastAsia="fr-BE"/>
        </w:rPr>
      </w:pPr>
      <w:r w:rsidRPr="004F5E59">
        <w:rPr>
          <w:lang w:eastAsia="ja-JP"/>
        </w:rPr>
        <w:t>1.</w:t>
      </w:r>
      <w:r w:rsidRPr="004F5E59">
        <w:rPr>
          <w:lang w:eastAsia="ja-JP"/>
        </w:rPr>
        <w:tab/>
      </w:r>
      <w:r w:rsidR="00944EFB" w:rsidRPr="00DF5C23">
        <w:rPr>
          <w:noProof/>
          <w:lang w:val="en-IE" w:eastAsia="fr-BE"/>
        </w:rPr>
        <w:t>製造業者、その認定代理人または輸入業者に対し、第</w:t>
      </w:r>
      <w:r w:rsidR="00944EFB" w:rsidRPr="00DF5C23">
        <w:rPr>
          <w:noProof/>
          <w:lang w:val="en-IE" w:eastAsia="fr-BE"/>
        </w:rPr>
        <w:t>4</w:t>
      </w:r>
      <w:r w:rsidR="00944EFB" w:rsidRPr="00DF5C23">
        <w:rPr>
          <w:noProof/>
          <w:lang w:val="en-IE" w:eastAsia="fr-BE"/>
        </w:rPr>
        <w:t>条</w:t>
      </w:r>
      <w:r w:rsidR="002438E5" w:rsidRPr="00DF5C23">
        <w:rPr>
          <w:noProof/>
          <w:lang w:val="en-IE" w:eastAsia="fr-BE"/>
        </w:rPr>
        <w:t>第</w:t>
      </w:r>
      <w:r w:rsidR="002438E5" w:rsidRPr="00DF5C23">
        <w:rPr>
          <w:noProof/>
          <w:lang w:val="en-IE" w:eastAsia="fr-BE"/>
        </w:rPr>
        <w:t>3</w:t>
      </w:r>
      <w:r w:rsidR="002438E5" w:rsidRPr="00DF5C23">
        <w:rPr>
          <w:noProof/>
          <w:lang w:val="en-IE" w:eastAsia="fr-BE"/>
        </w:rPr>
        <w:t>項</w:t>
      </w:r>
      <w:r w:rsidR="00944EFB" w:rsidRPr="00DF5C23">
        <w:rPr>
          <w:noProof/>
          <w:lang w:val="en-IE" w:eastAsia="fr-BE"/>
        </w:rPr>
        <w:t>第</w:t>
      </w:r>
      <w:r w:rsidR="00944EFB" w:rsidRPr="00DF5C23">
        <w:rPr>
          <w:noProof/>
          <w:lang w:val="en-IE" w:eastAsia="fr-BE"/>
        </w:rPr>
        <w:t>(</w:t>
      </w:r>
      <w:r w:rsidR="002438E5" w:rsidRPr="00DF5C23">
        <w:rPr>
          <w:noProof/>
          <w:lang w:val="en-IE" w:eastAsia="fr-BE"/>
        </w:rPr>
        <w:t>b</w:t>
      </w:r>
      <w:r w:rsidR="00944EFB" w:rsidRPr="00DF5C23">
        <w:rPr>
          <w:noProof/>
          <w:lang w:val="en-IE" w:eastAsia="fr-BE"/>
        </w:rPr>
        <w:t>)</w:t>
      </w:r>
      <w:r w:rsidR="00944EFB" w:rsidRPr="00DF5C23">
        <w:rPr>
          <w:noProof/>
          <w:lang w:val="en-IE" w:eastAsia="fr-BE"/>
        </w:rPr>
        <w:t>号に従って採択された委任法の対象となる製品の数量に関する情報を委員会に提供するよう求める場合、委員会は、以下の基準を考慮するものとする：</w:t>
      </w:r>
    </w:p>
    <w:p w14:paraId="02BACC85" w14:textId="77777777" w:rsidR="0038775E" w:rsidRDefault="00877B9C" w:rsidP="002041D4">
      <w:pPr>
        <w:pStyle w:val="Point1"/>
        <w:wordWrap w:val="0"/>
        <w:rPr>
          <w:noProof/>
          <w:lang w:val="en-IE" w:eastAsia="fr-BE"/>
        </w:rPr>
      </w:pPr>
      <w:r w:rsidRPr="004F5E59">
        <w:rPr>
          <w:lang w:eastAsia="ja-JP"/>
        </w:rPr>
        <w:t>(a)</w:t>
      </w:r>
      <w:r w:rsidRPr="004F5E59">
        <w:rPr>
          <w:lang w:eastAsia="ja-JP"/>
        </w:rPr>
        <w:tab/>
      </w:r>
      <w:r w:rsidR="00A149F6" w:rsidRPr="00DF5C23">
        <w:rPr>
          <w:noProof/>
          <w:lang w:val="en-IE" w:eastAsia="fr-BE"/>
        </w:rPr>
        <w:t>当該製品</w:t>
      </w:r>
      <w:r w:rsidR="00DD7EC1" w:rsidRPr="00DF5C23">
        <w:rPr>
          <w:noProof/>
          <w:lang w:val="en-IE" w:eastAsia="fr-BE"/>
        </w:rPr>
        <w:t>に適用</w:t>
      </w:r>
      <w:r w:rsidR="00CA6313" w:rsidRPr="00DF5C23">
        <w:rPr>
          <w:noProof/>
          <w:lang w:val="en-IE" w:eastAsia="fr-BE"/>
        </w:rPr>
        <w:t>される</w:t>
      </w:r>
      <w:r w:rsidR="00A149F6" w:rsidRPr="00DF5C23">
        <w:rPr>
          <w:noProof/>
          <w:lang w:val="en-IE" w:eastAsia="fr-BE"/>
        </w:rPr>
        <w:t>第</w:t>
      </w:r>
      <w:r w:rsidR="00A149F6" w:rsidRPr="00DF5C23">
        <w:rPr>
          <w:noProof/>
          <w:lang w:val="en-IE" w:eastAsia="fr-BE"/>
        </w:rPr>
        <w:t>4</w:t>
      </w:r>
      <w:r w:rsidR="00A149F6" w:rsidRPr="00DF5C23">
        <w:rPr>
          <w:noProof/>
          <w:lang w:val="en-IE" w:eastAsia="fr-BE"/>
        </w:rPr>
        <w:t>条に従って採択された委任</w:t>
      </w:r>
      <w:r w:rsidR="00DD7EC1" w:rsidRPr="00DF5C23">
        <w:rPr>
          <w:noProof/>
          <w:lang w:val="en-IE" w:eastAsia="fr-BE"/>
        </w:rPr>
        <w:t>法の</w:t>
      </w:r>
      <w:r w:rsidR="00A149F6" w:rsidRPr="00DF5C23">
        <w:rPr>
          <w:noProof/>
          <w:lang w:val="en-IE" w:eastAsia="fr-BE"/>
        </w:rPr>
        <w:t>審査を容易にするために、当該製品の</w:t>
      </w:r>
      <w:r w:rsidR="00DD7EC1" w:rsidRPr="00DF5C23">
        <w:rPr>
          <w:noProof/>
          <w:lang w:val="en-IE" w:eastAsia="fr-BE"/>
        </w:rPr>
        <w:t>市場浸透に関する証拠を入手する</w:t>
      </w:r>
      <w:r w:rsidR="00A149F6" w:rsidRPr="00DF5C23">
        <w:rPr>
          <w:noProof/>
          <w:lang w:val="en-IE" w:eastAsia="fr-BE"/>
        </w:rPr>
        <w:t>こと；</w:t>
      </w:r>
    </w:p>
    <w:p w14:paraId="5344BED7" w14:textId="77777777" w:rsidR="0038775E" w:rsidRDefault="00877B9C" w:rsidP="002041D4">
      <w:pPr>
        <w:pStyle w:val="Point1"/>
        <w:wordWrap w:val="0"/>
        <w:rPr>
          <w:noProof/>
          <w:lang w:val="en-IE" w:eastAsia="fr-BE"/>
        </w:rPr>
      </w:pPr>
      <w:r w:rsidRPr="004F5E59">
        <w:rPr>
          <w:lang w:eastAsia="ja-JP"/>
        </w:rPr>
        <w:t>(b)</w:t>
      </w:r>
      <w:r w:rsidRPr="004F5E59">
        <w:rPr>
          <w:lang w:eastAsia="ja-JP"/>
        </w:rPr>
        <w:tab/>
      </w:r>
      <w:r w:rsidR="00A149F6" w:rsidRPr="00DF5C23">
        <w:rPr>
          <w:noProof/>
          <w:lang w:val="en-IE" w:eastAsia="fr-BE"/>
        </w:rPr>
        <w:t>経済事業者に</w:t>
      </w:r>
      <w:r w:rsidR="00DD7EC1" w:rsidRPr="00DF5C23">
        <w:rPr>
          <w:noProof/>
          <w:lang w:val="en-IE" w:eastAsia="fr-BE"/>
        </w:rPr>
        <w:t>不釣り合いな行政</w:t>
      </w:r>
      <w:r w:rsidR="00A149F6" w:rsidRPr="00DF5C23">
        <w:rPr>
          <w:noProof/>
          <w:lang w:val="en-IE" w:eastAsia="fr-BE"/>
        </w:rPr>
        <w:t>負担を</w:t>
      </w:r>
      <w:r w:rsidR="00DD7EC1" w:rsidRPr="00DF5C23">
        <w:rPr>
          <w:noProof/>
          <w:lang w:val="en-IE" w:eastAsia="fr-BE"/>
        </w:rPr>
        <w:t>与えないようにする</w:t>
      </w:r>
      <w:r w:rsidR="00A149F6" w:rsidRPr="00DF5C23">
        <w:rPr>
          <w:noProof/>
          <w:lang w:val="en-IE" w:eastAsia="fr-BE"/>
        </w:rPr>
        <w:t>必要があること</w:t>
      </w:r>
      <w:r w:rsidR="00F140AB" w:rsidRPr="00DF5C23">
        <w:rPr>
          <w:noProof/>
          <w:lang w:val="en-IE" w:eastAsia="fr-BE"/>
        </w:rPr>
        <w:t>。</w:t>
      </w:r>
      <w:r w:rsidR="00A149F6" w:rsidRPr="00DF5C23">
        <w:rPr>
          <w:noProof/>
          <w:lang w:val="en-IE" w:eastAsia="fr-BE"/>
        </w:rPr>
        <w:t xml:space="preserve">  </w:t>
      </w:r>
    </w:p>
    <w:p w14:paraId="0F5A249D" w14:textId="77777777" w:rsidR="0038775E" w:rsidRDefault="00877B9C" w:rsidP="002041D4">
      <w:pPr>
        <w:pStyle w:val="Text1"/>
        <w:wordWrap w:val="0"/>
        <w:rPr>
          <w:noProof/>
          <w:lang w:val="en-IE" w:eastAsia="fr-BE"/>
        </w:rPr>
      </w:pPr>
      <w:r w:rsidRPr="00DF5C23">
        <w:rPr>
          <w:noProof/>
          <w:lang w:val="en-IE" w:eastAsia="fr-BE"/>
        </w:rPr>
        <w:t>欧州委員会は、</w:t>
      </w:r>
      <w:r w:rsidR="00DD7EC1" w:rsidRPr="00DF5C23">
        <w:rPr>
          <w:noProof/>
          <w:lang w:val="en-IE" w:eastAsia="fr-BE"/>
        </w:rPr>
        <w:t>第</w:t>
      </w:r>
      <w:r w:rsidR="00DD7EC1" w:rsidRPr="00DF5C23">
        <w:rPr>
          <w:noProof/>
          <w:lang w:val="en-IE" w:eastAsia="fr-BE"/>
        </w:rPr>
        <w:t>1</w:t>
      </w:r>
      <w:r w:rsidR="00DD7EC1" w:rsidRPr="00DF5C23">
        <w:rPr>
          <w:noProof/>
          <w:lang w:val="en-IE" w:eastAsia="fr-BE"/>
        </w:rPr>
        <w:t>項にいう</w:t>
      </w:r>
      <w:r w:rsidRPr="00DF5C23">
        <w:rPr>
          <w:noProof/>
          <w:lang w:val="en-IE" w:eastAsia="fr-BE"/>
        </w:rPr>
        <w:t>情報が関連する</w:t>
      </w:r>
      <w:r w:rsidR="00CE6ECE" w:rsidRPr="00DF5C23">
        <w:rPr>
          <w:noProof/>
          <w:lang w:val="en-IE" w:eastAsia="fr-BE"/>
        </w:rPr>
        <w:t>期間を</w:t>
      </w:r>
      <w:r w:rsidRPr="00DF5C23">
        <w:rPr>
          <w:noProof/>
          <w:lang w:val="en-IE" w:eastAsia="fr-BE"/>
        </w:rPr>
        <w:t>指定する。</w:t>
      </w:r>
      <w:r w:rsidR="00DD7EC1" w:rsidRPr="00DF5C23">
        <w:rPr>
          <w:noProof/>
          <w:lang w:val="en-IE" w:eastAsia="fr-BE"/>
        </w:rPr>
        <w:t>その情報は、</w:t>
      </w:r>
      <w:r w:rsidR="00CE6ECE" w:rsidRPr="00DF5C23">
        <w:rPr>
          <w:noProof/>
          <w:lang w:val="en-IE" w:eastAsia="fr-BE"/>
        </w:rPr>
        <w:t>製品モデルごとに区別される</w:t>
      </w:r>
      <w:r w:rsidRPr="00DF5C23">
        <w:rPr>
          <w:noProof/>
          <w:lang w:val="en-IE" w:eastAsia="fr-BE"/>
        </w:rPr>
        <w:t>ものとする。</w:t>
      </w:r>
    </w:p>
    <w:p w14:paraId="103B51BC" w14:textId="77777777" w:rsidR="0038775E" w:rsidRDefault="00877B9C" w:rsidP="002041D4">
      <w:pPr>
        <w:pStyle w:val="Text1"/>
        <w:wordWrap w:val="0"/>
        <w:rPr>
          <w:noProof/>
          <w:lang w:val="en-IE" w:eastAsia="fr-BE"/>
        </w:rPr>
      </w:pPr>
      <w:r w:rsidRPr="00DF5C23">
        <w:rPr>
          <w:noProof/>
          <w:lang w:val="en-IE" w:eastAsia="fr-BE"/>
        </w:rPr>
        <w:t>欧州委員会は、結果として得られたデータが、安全かつ</w:t>
      </w:r>
      <w:r w:rsidRPr="00DF5C23">
        <w:rPr>
          <w:noProof/>
          <w:lang w:val="en-IE" w:eastAsia="fr-BE"/>
        </w:rPr>
        <w:t>EU</w:t>
      </w:r>
      <w:r w:rsidRPr="00DF5C23">
        <w:rPr>
          <w:noProof/>
          <w:lang w:val="en-IE" w:eastAsia="fr-BE"/>
        </w:rPr>
        <w:t>法に準拠して処理されることを保証するものとする。</w:t>
      </w:r>
    </w:p>
    <w:p w14:paraId="4EBB63B3" w14:textId="77777777" w:rsidR="0038775E" w:rsidRDefault="00877B9C" w:rsidP="002041D4">
      <w:pPr>
        <w:pStyle w:val="Text1"/>
        <w:wordWrap w:val="0"/>
        <w:rPr>
          <w:noProof/>
          <w:lang w:val="en-IE" w:eastAsia="fr-BE"/>
        </w:rPr>
      </w:pPr>
      <w:r w:rsidRPr="00DF5C23">
        <w:rPr>
          <w:noProof/>
          <w:lang w:val="en-IE" w:eastAsia="fr-BE"/>
        </w:rPr>
        <w:t>欧州委員会は、これらの</w:t>
      </w:r>
      <w:r w:rsidR="0681B866" w:rsidRPr="00DF5C23">
        <w:rPr>
          <w:noProof/>
          <w:lang w:val="en-IE" w:eastAsia="fr-BE"/>
        </w:rPr>
        <w:t>委任行為において、関連情報を利用可能にする手段</w:t>
      </w:r>
      <w:r w:rsidR="00C1031B" w:rsidRPr="00DF5C23">
        <w:rPr>
          <w:noProof/>
          <w:lang w:val="en-IE" w:eastAsia="fr-BE"/>
        </w:rPr>
        <w:t>およびその定期性を</w:t>
      </w:r>
      <w:r w:rsidRPr="00DF5C23">
        <w:rPr>
          <w:noProof/>
          <w:lang w:val="en-IE" w:eastAsia="fr-BE"/>
        </w:rPr>
        <w:t>指定する</w:t>
      </w:r>
      <w:r w:rsidR="0681B866" w:rsidRPr="00DF5C23">
        <w:rPr>
          <w:noProof/>
          <w:lang w:val="en-IE" w:eastAsia="fr-BE"/>
        </w:rPr>
        <w:t>。</w:t>
      </w:r>
    </w:p>
    <w:p w14:paraId="05ECB208" w14:textId="77777777" w:rsidR="0038775E" w:rsidRDefault="00877B9C" w:rsidP="002041D4">
      <w:pPr>
        <w:pStyle w:val="ManualNumPar1"/>
        <w:wordWrap w:val="0"/>
        <w:rPr>
          <w:noProof/>
          <w:lang w:val="en-IE" w:eastAsia="fr-BE"/>
        </w:rPr>
      </w:pPr>
      <w:r w:rsidRPr="004F5E59">
        <w:rPr>
          <w:lang w:eastAsia="ja-JP"/>
        </w:rPr>
        <w:t>2.</w:t>
      </w:r>
      <w:r w:rsidRPr="004F5E59">
        <w:rPr>
          <w:lang w:eastAsia="ja-JP"/>
        </w:rPr>
        <w:tab/>
      </w:r>
      <w:r w:rsidR="00A149F6" w:rsidRPr="00DF5C23">
        <w:rPr>
          <w:noProof/>
          <w:lang w:val="en-IE" w:eastAsia="fr-BE"/>
        </w:rPr>
        <w:t>第</w:t>
      </w:r>
      <w:r w:rsidR="00A149F6" w:rsidRPr="00DF5C23">
        <w:rPr>
          <w:noProof/>
          <w:lang w:val="en-IE" w:eastAsia="fr-BE"/>
        </w:rPr>
        <w:t>4</w:t>
      </w:r>
      <w:r w:rsidR="00A149F6" w:rsidRPr="00DF5C23">
        <w:rPr>
          <w:noProof/>
          <w:lang w:val="en-IE" w:eastAsia="fr-BE"/>
        </w:rPr>
        <w:t>条</w:t>
      </w:r>
      <w:r w:rsidR="002438E5" w:rsidRPr="00DF5C23">
        <w:rPr>
          <w:noProof/>
          <w:lang w:val="en-IE" w:eastAsia="fr-BE"/>
        </w:rPr>
        <w:t>第</w:t>
      </w:r>
      <w:r w:rsidR="002438E5" w:rsidRPr="00DF5C23">
        <w:rPr>
          <w:noProof/>
          <w:lang w:val="en-IE" w:eastAsia="fr-BE"/>
        </w:rPr>
        <w:t>3</w:t>
      </w:r>
      <w:r w:rsidR="002438E5" w:rsidRPr="00DF5C23">
        <w:rPr>
          <w:noProof/>
          <w:lang w:val="en-IE" w:eastAsia="fr-BE"/>
        </w:rPr>
        <w:t>項第</w:t>
      </w:r>
      <w:r w:rsidR="002438E5" w:rsidRPr="00DF5C23">
        <w:rPr>
          <w:noProof/>
          <w:lang w:val="en-IE" w:eastAsia="fr-BE"/>
        </w:rPr>
        <w:t>(c</w:t>
      </w:r>
      <w:r w:rsidR="00A149F6" w:rsidRPr="00DF5C23">
        <w:rPr>
          <w:noProof/>
          <w:lang w:val="en-IE" w:eastAsia="fr-BE"/>
        </w:rPr>
        <w:t>)</w:t>
      </w:r>
      <w:r w:rsidR="00A149F6" w:rsidRPr="00DF5C23">
        <w:rPr>
          <w:noProof/>
          <w:lang w:val="en-IE" w:eastAsia="fr-BE"/>
        </w:rPr>
        <w:t>号に従って</w:t>
      </w:r>
      <w:r w:rsidR="00C728A2" w:rsidRPr="00DF5C23">
        <w:rPr>
          <w:noProof/>
          <w:lang w:val="en-IE" w:eastAsia="fr-BE"/>
        </w:rPr>
        <w:t>、</w:t>
      </w:r>
      <w:r w:rsidR="00F551EB" w:rsidRPr="00DF5C23">
        <w:rPr>
          <w:noProof/>
          <w:lang w:val="en-IE" w:eastAsia="fr-BE"/>
        </w:rPr>
        <w:t>使用</w:t>
      </w:r>
      <w:r w:rsidR="00797F64" w:rsidRPr="00DF5C23">
        <w:rPr>
          <w:noProof/>
          <w:lang w:val="en-IE" w:eastAsia="fr-BE"/>
        </w:rPr>
        <w:t>中に</w:t>
      </w:r>
      <w:r w:rsidR="00A149F6" w:rsidRPr="00DF5C23">
        <w:rPr>
          <w:noProof/>
          <w:lang w:val="en-IE" w:eastAsia="fr-BE"/>
        </w:rPr>
        <w:t>消費</w:t>
      </w:r>
      <w:r w:rsidR="00F551EB" w:rsidRPr="00DF5C23">
        <w:rPr>
          <w:noProof/>
          <w:lang w:val="en-IE" w:eastAsia="fr-BE"/>
        </w:rPr>
        <w:t>するエネルギー</w:t>
      </w:r>
      <w:r w:rsidR="00797F64" w:rsidRPr="00DF5C23">
        <w:rPr>
          <w:noProof/>
          <w:lang w:val="en-IE" w:eastAsia="fr-BE"/>
        </w:rPr>
        <w:t>又は</w:t>
      </w:r>
      <w:r w:rsidR="00FE176D" w:rsidRPr="00DF5C23">
        <w:rPr>
          <w:noProof/>
          <w:lang w:val="en-IE" w:eastAsia="fr-BE"/>
        </w:rPr>
        <w:t>附属書</w:t>
      </w:r>
      <w:r w:rsidR="00444F89" w:rsidRPr="00DF5C23">
        <w:rPr>
          <w:noProof/>
          <w:lang w:val="en-IE" w:eastAsia="fr-BE"/>
        </w:rPr>
        <w:t>Ⅰ</w:t>
      </w:r>
      <w:r w:rsidR="00444F89" w:rsidRPr="00DF5C23">
        <w:rPr>
          <w:noProof/>
          <w:lang w:val="en-IE" w:eastAsia="fr-BE"/>
        </w:rPr>
        <w:t>に</w:t>
      </w:r>
      <w:r w:rsidR="00244960" w:rsidRPr="00DF5C23">
        <w:rPr>
          <w:noProof/>
          <w:lang w:val="en-IE" w:eastAsia="fr-BE"/>
        </w:rPr>
        <w:t>いう</w:t>
      </w:r>
      <w:r w:rsidR="00797F64" w:rsidRPr="00DF5C23">
        <w:rPr>
          <w:noProof/>
          <w:lang w:val="en-IE" w:eastAsia="fr-BE"/>
        </w:rPr>
        <w:t>他の関連</w:t>
      </w:r>
      <w:r w:rsidR="00214C38" w:rsidRPr="00DF5C23">
        <w:rPr>
          <w:noProof/>
          <w:lang w:eastAsia="ja-JP"/>
        </w:rPr>
        <w:t>製品</w:t>
      </w:r>
      <w:r w:rsidR="00C81962" w:rsidRPr="00DF5C23">
        <w:rPr>
          <w:noProof/>
          <w:lang w:val="en-IE" w:eastAsia="fr-BE"/>
        </w:rPr>
        <w:t>パラメータに</w:t>
      </w:r>
      <w:r w:rsidR="00F551EB" w:rsidRPr="00DF5C23">
        <w:rPr>
          <w:noProof/>
          <w:lang w:val="en-IE" w:eastAsia="fr-BE"/>
        </w:rPr>
        <w:t>関連する性能を測定</w:t>
      </w:r>
      <w:r w:rsidR="00C81962" w:rsidRPr="00DF5C23">
        <w:rPr>
          <w:noProof/>
          <w:lang w:val="en-IE" w:eastAsia="fr-BE"/>
        </w:rPr>
        <w:t>できることを製品に</w:t>
      </w:r>
      <w:r w:rsidR="00A149F6" w:rsidRPr="00DF5C23">
        <w:rPr>
          <w:noProof/>
          <w:lang w:val="en-IE" w:eastAsia="fr-BE"/>
        </w:rPr>
        <w:t>要求する場合、委員会は、以下の基準を考慮するものとする：</w:t>
      </w:r>
    </w:p>
    <w:p w14:paraId="647694E0" w14:textId="77777777" w:rsidR="0038775E" w:rsidRDefault="00877B9C" w:rsidP="002041D4">
      <w:pPr>
        <w:pStyle w:val="Point1"/>
        <w:wordWrap w:val="0"/>
        <w:rPr>
          <w:noProof/>
          <w:lang w:val="en-IE" w:eastAsia="fr-BE"/>
        </w:rPr>
      </w:pPr>
      <w:r w:rsidRPr="004F5E59">
        <w:rPr>
          <w:lang w:eastAsia="ja-JP"/>
        </w:rPr>
        <w:lastRenderedPageBreak/>
        <w:t>(a)</w:t>
      </w:r>
      <w:r w:rsidRPr="004F5E59">
        <w:rPr>
          <w:lang w:eastAsia="ja-JP"/>
        </w:rPr>
        <w:tab/>
      </w:r>
      <w:r w:rsidR="00D024D6" w:rsidRPr="00DF5C23">
        <w:rPr>
          <w:noProof/>
          <w:lang w:val="en-IE" w:eastAsia="fr-BE"/>
        </w:rPr>
        <w:t>エンドユーザーが</w:t>
      </w:r>
      <w:r w:rsidR="00CD6667" w:rsidRPr="00DF5C23">
        <w:rPr>
          <w:noProof/>
          <w:lang w:val="en-IE" w:eastAsia="fr-BE"/>
        </w:rPr>
        <w:t>製品の</w:t>
      </w:r>
      <w:r w:rsidR="00D024D6" w:rsidRPr="00DF5C23">
        <w:rPr>
          <w:noProof/>
          <w:lang w:val="en-IE" w:eastAsia="fr-BE"/>
        </w:rPr>
        <w:t>エネルギー使用または性能を理解し管理する</w:t>
      </w:r>
      <w:r w:rsidR="00CD6667" w:rsidRPr="00DF5C23">
        <w:rPr>
          <w:noProof/>
          <w:lang w:val="en-IE" w:eastAsia="fr-BE"/>
        </w:rPr>
        <w:t>ための</w:t>
      </w:r>
      <w:r w:rsidR="00D024D6" w:rsidRPr="00DF5C23">
        <w:rPr>
          <w:noProof/>
          <w:lang w:val="en-IE" w:eastAsia="fr-BE"/>
        </w:rPr>
        <w:t>使用中データの</w:t>
      </w:r>
      <w:r w:rsidR="00C306EB" w:rsidRPr="00DF5C23">
        <w:rPr>
          <w:noProof/>
          <w:lang w:val="en-IE" w:eastAsia="fr-BE"/>
        </w:rPr>
        <w:t>有用性</w:t>
      </w:r>
      <w:r w:rsidR="00DD7EC1" w:rsidRPr="00DF5C23">
        <w:rPr>
          <w:noProof/>
          <w:lang w:val="en-IE" w:eastAsia="fr-BE"/>
        </w:rPr>
        <w:t>；</w:t>
      </w:r>
    </w:p>
    <w:p w14:paraId="343A4984" w14:textId="77777777" w:rsidR="0038775E" w:rsidRDefault="00877B9C" w:rsidP="002041D4">
      <w:pPr>
        <w:pStyle w:val="Point1"/>
        <w:wordWrap w:val="0"/>
        <w:rPr>
          <w:noProof/>
          <w:lang w:val="en-IE" w:eastAsia="fr-BE"/>
        </w:rPr>
      </w:pPr>
      <w:r w:rsidRPr="004F5E59">
        <w:rPr>
          <w:lang w:eastAsia="ja-JP"/>
        </w:rPr>
        <w:t>(b)</w:t>
      </w:r>
      <w:r w:rsidRPr="004F5E59">
        <w:rPr>
          <w:lang w:eastAsia="ja-JP"/>
        </w:rPr>
        <w:tab/>
      </w:r>
      <w:r w:rsidR="00CD6667" w:rsidRPr="00DF5C23">
        <w:rPr>
          <w:noProof/>
          <w:lang w:val="en-IE" w:eastAsia="fr-BE"/>
        </w:rPr>
        <w:t>使用中のデータを記録することの</w:t>
      </w:r>
      <w:r w:rsidR="00D024D6" w:rsidRPr="00DF5C23">
        <w:rPr>
          <w:noProof/>
          <w:lang w:val="en-IE" w:eastAsia="fr-BE"/>
        </w:rPr>
        <w:t>技術的な実現可能性；</w:t>
      </w:r>
    </w:p>
    <w:p w14:paraId="3B231542" w14:textId="77777777" w:rsidR="0038775E" w:rsidRDefault="00877B9C" w:rsidP="002041D4">
      <w:pPr>
        <w:pStyle w:val="Point1"/>
        <w:wordWrap w:val="0"/>
        <w:rPr>
          <w:noProof/>
          <w:lang w:val="en-IE" w:eastAsia="fr-BE"/>
        </w:rPr>
      </w:pPr>
      <w:r w:rsidRPr="004F5E59">
        <w:rPr>
          <w:lang w:eastAsia="ja-JP"/>
        </w:rPr>
        <w:t>(c)</w:t>
      </w:r>
      <w:r w:rsidRPr="004F5E59">
        <w:rPr>
          <w:lang w:eastAsia="ja-JP"/>
        </w:rPr>
        <w:tab/>
      </w:r>
      <w:r w:rsidR="00CD6667" w:rsidRPr="00DF5C23">
        <w:rPr>
          <w:noProof/>
          <w:lang w:val="en-IE" w:eastAsia="fr-BE"/>
        </w:rPr>
        <w:t>経済事業者に不釣り合いな行政負担を与えないようにする必要があること。</w:t>
      </w:r>
    </w:p>
    <w:p w14:paraId="4BF369AE" w14:textId="77777777" w:rsidR="0038775E" w:rsidRDefault="00877B9C" w:rsidP="002041D4">
      <w:pPr>
        <w:pStyle w:val="Text1"/>
        <w:wordWrap w:val="0"/>
        <w:rPr>
          <w:noProof/>
          <w:lang w:val="en-IE" w:eastAsia="fr-BE"/>
        </w:rPr>
      </w:pPr>
      <w:r w:rsidRPr="00DF5C23">
        <w:rPr>
          <w:noProof/>
          <w:lang w:val="en-IE" w:eastAsia="fr-BE"/>
        </w:rPr>
        <w:t>第</w:t>
      </w:r>
      <w:r w:rsidRPr="00DF5C23">
        <w:rPr>
          <w:noProof/>
          <w:lang w:val="en-IE" w:eastAsia="fr-BE"/>
        </w:rPr>
        <w:t>4</w:t>
      </w:r>
      <w:r w:rsidRPr="00DF5C23">
        <w:rPr>
          <w:noProof/>
          <w:lang w:val="en-IE" w:eastAsia="fr-BE"/>
        </w:rPr>
        <w:t>条</w:t>
      </w:r>
      <w:r w:rsidR="002438E5" w:rsidRPr="00DF5C23">
        <w:rPr>
          <w:noProof/>
          <w:lang w:val="en-IE" w:eastAsia="fr-BE"/>
        </w:rPr>
        <w:t>第</w:t>
      </w:r>
      <w:r w:rsidR="002438E5" w:rsidRPr="00DF5C23">
        <w:rPr>
          <w:noProof/>
          <w:lang w:val="en-IE" w:eastAsia="fr-BE"/>
        </w:rPr>
        <w:t>3</w:t>
      </w:r>
      <w:r w:rsidR="002438E5" w:rsidRPr="00DF5C23">
        <w:rPr>
          <w:noProof/>
          <w:lang w:val="en-IE" w:eastAsia="fr-BE"/>
        </w:rPr>
        <w:t>項</w:t>
      </w:r>
      <w:r w:rsidRPr="00DF5C23">
        <w:rPr>
          <w:noProof/>
          <w:lang w:val="en-IE" w:eastAsia="fr-BE"/>
        </w:rPr>
        <w:t>第</w:t>
      </w:r>
      <w:r w:rsidRPr="00DF5C23">
        <w:rPr>
          <w:noProof/>
          <w:lang w:val="en-IE" w:eastAsia="fr-BE"/>
        </w:rPr>
        <w:t>(</w:t>
      </w:r>
      <w:r w:rsidR="002438E5" w:rsidRPr="00DF5C23">
        <w:rPr>
          <w:noProof/>
          <w:lang w:val="en-IE" w:eastAsia="fr-BE"/>
        </w:rPr>
        <w:t>c</w:t>
      </w:r>
      <w:r w:rsidRPr="00DF5C23">
        <w:rPr>
          <w:noProof/>
          <w:lang w:val="en-IE" w:eastAsia="fr-BE"/>
        </w:rPr>
        <w:t>)</w:t>
      </w:r>
      <w:r w:rsidRPr="00DF5C23">
        <w:rPr>
          <w:noProof/>
          <w:lang w:val="en-IE" w:eastAsia="fr-BE"/>
        </w:rPr>
        <w:t>号に従って設定された要求事項の対象となる</w:t>
      </w:r>
      <w:r w:rsidR="00F551EB" w:rsidRPr="00DF5C23">
        <w:rPr>
          <w:noProof/>
          <w:lang w:val="en-IE" w:eastAsia="fr-BE"/>
        </w:rPr>
        <w:t>製品は、</w:t>
      </w:r>
      <w:r w:rsidR="005F4866" w:rsidRPr="00DF5C23">
        <w:rPr>
          <w:noProof/>
          <w:lang w:val="en-IE" w:eastAsia="fr-BE"/>
        </w:rPr>
        <w:t>結果として生じる</w:t>
      </w:r>
      <w:r w:rsidR="00D90F16" w:rsidRPr="00DF5C23">
        <w:rPr>
          <w:noProof/>
          <w:lang w:val="en-IE" w:eastAsia="fr-BE"/>
        </w:rPr>
        <w:t>使用中の</w:t>
      </w:r>
      <w:r w:rsidR="00654D12" w:rsidRPr="00DF5C23">
        <w:rPr>
          <w:noProof/>
          <w:lang w:eastAsia="fr-BE"/>
        </w:rPr>
        <w:t>データを</w:t>
      </w:r>
      <w:r w:rsidR="005F4866" w:rsidRPr="00DF5C23">
        <w:rPr>
          <w:noProof/>
          <w:lang w:val="en-IE" w:eastAsia="fr-BE"/>
        </w:rPr>
        <w:t>記録し、</w:t>
      </w:r>
      <w:r w:rsidR="00654D12" w:rsidRPr="00DF5C23">
        <w:rPr>
          <w:noProof/>
          <w:lang w:val="en-IE" w:eastAsia="fr-BE"/>
        </w:rPr>
        <w:t>エンド</w:t>
      </w:r>
      <w:r w:rsidR="005F4866" w:rsidRPr="00DF5C23">
        <w:rPr>
          <w:noProof/>
          <w:lang w:val="en-IE" w:eastAsia="fr-BE"/>
        </w:rPr>
        <w:t>ユーザーがそれを閲覧できるようにする</w:t>
      </w:r>
      <w:r w:rsidR="00F551EB" w:rsidRPr="00DF5C23">
        <w:rPr>
          <w:noProof/>
          <w:lang w:val="en-IE" w:eastAsia="fr-BE"/>
        </w:rPr>
        <w:t>ものとする</w:t>
      </w:r>
      <w:r w:rsidR="005F4866" w:rsidRPr="00DF5C23">
        <w:rPr>
          <w:noProof/>
          <w:lang w:val="en-IE" w:eastAsia="fr-BE"/>
        </w:rPr>
        <w:t>。</w:t>
      </w:r>
    </w:p>
    <w:p w14:paraId="542A16D8" w14:textId="77777777" w:rsidR="0038775E" w:rsidRDefault="00877B9C" w:rsidP="002041D4">
      <w:pPr>
        <w:pStyle w:val="ManualNumPar1"/>
        <w:wordWrap w:val="0"/>
        <w:rPr>
          <w:noProof/>
          <w:lang w:val="en-IE" w:eastAsia="fr-BE"/>
        </w:rPr>
      </w:pPr>
      <w:r w:rsidRPr="004F5E59">
        <w:rPr>
          <w:lang w:eastAsia="ja-JP"/>
        </w:rPr>
        <w:t>3.</w:t>
      </w:r>
      <w:r w:rsidRPr="004F5E59">
        <w:rPr>
          <w:lang w:eastAsia="ja-JP"/>
        </w:rPr>
        <w:tab/>
      </w:r>
      <w:r w:rsidR="00CD6667" w:rsidRPr="00DF5C23">
        <w:rPr>
          <w:noProof/>
          <w:lang w:val="en-IE" w:eastAsia="fr-BE"/>
        </w:rPr>
        <w:t>第</w:t>
      </w:r>
      <w:r w:rsidR="00CD6667" w:rsidRPr="00DF5C23">
        <w:rPr>
          <w:noProof/>
          <w:lang w:val="en-IE" w:eastAsia="fr-BE"/>
        </w:rPr>
        <w:t>4</w:t>
      </w:r>
      <w:r w:rsidR="00CD6667" w:rsidRPr="00DF5C23">
        <w:rPr>
          <w:noProof/>
          <w:lang w:val="en-IE" w:eastAsia="fr-BE"/>
        </w:rPr>
        <w:t>条第</w:t>
      </w:r>
      <w:r w:rsidR="00CD6667" w:rsidRPr="00DF5C23">
        <w:rPr>
          <w:noProof/>
          <w:lang w:val="en-IE" w:eastAsia="fr-BE"/>
        </w:rPr>
        <w:t>3</w:t>
      </w:r>
      <w:r w:rsidR="00CD6667" w:rsidRPr="00DF5C23">
        <w:rPr>
          <w:noProof/>
          <w:lang w:val="en-IE" w:eastAsia="fr-BE"/>
        </w:rPr>
        <w:t>項第</w:t>
      </w:r>
      <w:r w:rsidR="00CD6667" w:rsidRPr="00DF5C23">
        <w:rPr>
          <w:noProof/>
          <w:lang w:val="en-IE" w:eastAsia="fr-BE"/>
        </w:rPr>
        <w:t>(d)</w:t>
      </w:r>
      <w:r w:rsidR="00CD6667" w:rsidRPr="00DF5C23">
        <w:rPr>
          <w:noProof/>
          <w:lang w:val="en-IE" w:eastAsia="fr-BE"/>
        </w:rPr>
        <w:t>号に従って、製造業者、その認定代理人又は輸入業者に対して</w:t>
      </w:r>
      <w:r w:rsidR="00185F84" w:rsidRPr="00DF5C23">
        <w:rPr>
          <w:noProof/>
          <w:lang w:val="en-IE" w:eastAsia="fr-BE"/>
        </w:rPr>
        <w:t>、</w:t>
      </w:r>
      <w:r w:rsidR="00CD6667" w:rsidRPr="00DF5C23">
        <w:rPr>
          <w:noProof/>
          <w:lang w:val="en-IE" w:eastAsia="fr-BE"/>
        </w:rPr>
        <w:t>第</w:t>
      </w:r>
      <w:r w:rsidR="00CD6667" w:rsidRPr="00DF5C23">
        <w:rPr>
          <w:noProof/>
          <w:lang w:val="en-IE" w:eastAsia="fr-BE"/>
        </w:rPr>
        <w:t>2</w:t>
      </w:r>
      <w:r w:rsidR="00CD6667" w:rsidRPr="00DF5C23">
        <w:rPr>
          <w:noProof/>
          <w:lang w:val="en-IE" w:eastAsia="fr-BE"/>
        </w:rPr>
        <w:t>項に</w:t>
      </w:r>
      <w:r w:rsidR="004F3DEB" w:rsidRPr="00DF5C23">
        <w:rPr>
          <w:noProof/>
          <w:lang w:val="en-IE" w:eastAsia="fr-BE"/>
        </w:rPr>
        <w:t>いう</w:t>
      </w:r>
      <w:r w:rsidR="00CD6667" w:rsidRPr="00DF5C23">
        <w:rPr>
          <w:noProof/>
          <w:lang w:val="en-IE" w:eastAsia="fr-BE"/>
        </w:rPr>
        <w:t>使用中データの</w:t>
      </w:r>
      <w:r w:rsidR="004F3DEB" w:rsidRPr="00DF5C23">
        <w:rPr>
          <w:noProof/>
          <w:lang w:val="en-IE" w:eastAsia="fr-BE"/>
        </w:rPr>
        <w:t>収集、匿名化又は委員会への報告を</w:t>
      </w:r>
      <w:r w:rsidR="00CD6667" w:rsidRPr="00DF5C23">
        <w:rPr>
          <w:noProof/>
          <w:lang w:val="en-IE" w:eastAsia="fr-BE"/>
        </w:rPr>
        <w:t>求める場合、委員会は、以下の基準を考慮するものとする：</w:t>
      </w:r>
    </w:p>
    <w:p w14:paraId="6DBB461D" w14:textId="77777777" w:rsidR="0038775E" w:rsidRDefault="00877B9C" w:rsidP="002041D4">
      <w:pPr>
        <w:pStyle w:val="Point1"/>
        <w:wordWrap w:val="0"/>
        <w:rPr>
          <w:noProof/>
          <w:lang w:val="en-IE" w:eastAsia="fr-BE"/>
        </w:rPr>
      </w:pPr>
      <w:r w:rsidRPr="004F5E59">
        <w:rPr>
          <w:lang w:eastAsia="ja-JP"/>
        </w:rPr>
        <w:t>(a)</w:t>
      </w:r>
      <w:r w:rsidRPr="004F5E59">
        <w:rPr>
          <w:lang w:eastAsia="ja-JP"/>
        </w:rPr>
        <w:tab/>
      </w:r>
      <w:r w:rsidR="00CD6667" w:rsidRPr="00DF5C23">
        <w:rPr>
          <w:noProof/>
          <w:lang w:val="en-IE" w:eastAsia="fr-BE"/>
        </w:rPr>
        <w:t>欧州委員会がエコデザインの要件を</w:t>
      </w:r>
      <w:r w:rsidR="004F3DEB" w:rsidRPr="00DF5C23">
        <w:rPr>
          <w:noProof/>
          <w:lang w:val="en-IE" w:eastAsia="fr-BE"/>
        </w:rPr>
        <w:t>検討する際や、</w:t>
      </w:r>
      <w:r w:rsidR="00CD6667" w:rsidRPr="00DF5C23">
        <w:rPr>
          <w:noProof/>
          <w:lang w:val="en-IE" w:eastAsia="fr-BE"/>
        </w:rPr>
        <w:t>市場監視当局が</w:t>
      </w:r>
      <w:r w:rsidR="004F3DEB" w:rsidRPr="00DF5C23">
        <w:rPr>
          <w:noProof/>
          <w:lang w:val="en-IE" w:eastAsia="fr-BE"/>
        </w:rPr>
        <w:t>リスクベースの分析を行う際の</w:t>
      </w:r>
      <w:r w:rsidR="00CD6667" w:rsidRPr="00DF5C23">
        <w:rPr>
          <w:noProof/>
          <w:lang w:val="en-IE" w:eastAsia="fr-BE"/>
        </w:rPr>
        <w:t>統計情報を支援する</w:t>
      </w:r>
      <w:r w:rsidR="004F3DEB" w:rsidRPr="00DF5C23">
        <w:rPr>
          <w:noProof/>
          <w:lang w:val="en-IE" w:eastAsia="fr-BE"/>
        </w:rPr>
        <w:t>際に、使用中</w:t>
      </w:r>
      <w:r w:rsidR="00CD6667" w:rsidRPr="00DF5C23">
        <w:rPr>
          <w:noProof/>
          <w:lang w:val="en-IE" w:eastAsia="fr-BE"/>
        </w:rPr>
        <w:t>データの有用性を示す；</w:t>
      </w:r>
      <w:r w:rsidR="00CD6667" w:rsidRPr="00DF5C23">
        <w:rPr>
          <w:noProof/>
          <w:lang w:val="en-IE" w:eastAsia="fr-BE"/>
        </w:rPr>
        <w:t xml:space="preserve"> </w:t>
      </w:r>
    </w:p>
    <w:p w14:paraId="447DCB15" w14:textId="77777777" w:rsidR="0038775E" w:rsidRDefault="00877B9C" w:rsidP="002041D4">
      <w:pPr>
        <w:pStyle w:val="Point1"/>
        <w:wordWrap w:val="0"/>
        <w:rPr>
          <w:noProof/>
          <w:lang w:val="en-IE" w:eastAsia="fr-BE"/>
        </w:rPr>
      </w:pPr>
      <w:r w:rsidRPr="004F5E59">
        <w:rPr>
          <w:lang w:eastAsia="ja-JP"/>
        </w:rPr>
        <w:t>(b)</w:t>
      </w:r>
      <w:r w:rsidRPr="004F5E59">
        <w:rPr>
          <w:lang w:eastAsia="ja-JP"/>
        </w:rPr>
        <w:tab/>
      </w:r>
      <w:r w:rsidR="004F3DEB" w:rsidRPr="00DF5C23">
        <w:rPr>
          <w:noProof/>
          <w:lang w:val="en-IE" w:eastAsia="fr-BE"/>
        </w:rPr>
        <w:t>経済事業者に不釣り合いな行政負担を与えないようにする必要があること</w:t>
      </w:r>
      <w:r w:rsidR="005A5D00" w:rsidRPr="00DF5C23">
        <w:rPr>
          <w:noProof/>
          <w:lang w:val="en-IE" w:eastAsia="fr-BE"/>
        </w:rPr>
        <w:t>。</w:t>
      </w:r>
    </w:p>
    <w:p w14:paraId="28E4CAE8" w14:textId="77777777" w:rsidR="0038775E" w:rsidRDefault="004F3DEB" w:rsidP="002041D4">
      <w:pPr>
        <w:pStyle w:val="Text1"/>
        <w:wordWrap w:val="0"/>
        <w:rPr>
          <w:noProof/>
          <w:lang w:val="en-IE" w:eastAsia="fr-BE"/>
        </w:rPr>
      </w:pPr>
      <w:r w:rsidRPr="00DF5C23">
        <w:rPr>
          <w:noProof/>
          <w:lang w:val="en-IE" w:eastAsia="fr-BE"/>
        </w:rPr>
        <w:t>第</w:t>
      </w:r>
      <w:r w:rsidRPr="00DF5C23">
        <w:rPr>
          <w:noProof/>
          <w:lang w:val="en-IE" w:eastAsia="fr-BE"/>
        </w:rPr>
        <w:t xml:space="preserve"> 1 </w:t>
      </w:r>
      <w:r w:rsidRPr="00DF5C23">
        <w:rPr>
          <w:noProof/>
          <w:lang w:val="en-IE" w:eastAsia="fr-BE"/>
        </w:rPr>
        <w:t>項で言及される</w:t>
      </w:r>
      <w:r w:rsidR="00877B9C" w:rsidRPr="00DF5C23">
        <w:rPr>
          <w:noProof/>
          <w:lang w:val="en-IE" w:eastAsia="fr-BE"/>
        </w:rPr>
        <w:t>当該要求は、</w:t>
      </w:r>
      <w:r w:rsidRPr="00DF5C23">
        <w:rPr>
          <w:noProof/>
          <w:lang w:val="en-IE" w:eastAsia="fr-BE"/>
        </w:rPr>
        <w:t>特に以下の</w:t>
      </w:r>
      <w:r w:rsidR="00877B9C" w:rsidRPr="00DF5C23">
        <w:rPr>
          <w:noProof/>
          <w:lang w:val="en-IE" w:eastAsia="fr-BE"/>
        </w:rPr>
        <w:t>内容から構成される：</w:t>
      </w:r>
      <w:r w:rsidR="00877B9C" w:rsidRPr="00DF5C23">
        <w:rPr>
          <w:noProof/>
          <w:lang w:val="en-IE" w:eastAsia="fr-BE"/>
        </w:rPr>
        <w:t xml:space="preserve"> </w:t>
      </w:r>
    </w:p>
    <w:p w14:paraId="6C48FDCC" w14:textId="77777777" w:rsidR="0038775E" w:rsidRDefault="00877B9C" w:rsidP="002041D4">
      <w:pPr>
        <w:pStyle w:val="Point1"/>
        <w:wordWrap w:val="0"/>
        <w:rPr>
          <w:noProof/>
          <w:lang w:val="en-IE" w:eastAsia="fr-BE"/>
        </w:rPr>
      </w:pPr>
      <w:r w:rsidRPr="004F5E59">
        <w:rPr>
          <w:lang w:eastAsia="ja-JP"/>
        </w:rPr>
        <w:t>(a)</w:t>
      </w:r>
      <w:r w:rsidRPr="004F5E59">
        <w:rPr>
          <w:lang w:eastAsia="ja-JP"/>
        </w:rPr>
        <w:tab/>
      </w:r>
      <w:r w:rsidR="00C81962" w:rsidRPr="00DF5C23">
        <w:rPr>
          <w:noProof/>
          <w:lang w:val="en-IE" w:eastAsia="fr-BE"/>
        </w:rPr>
        <w:t>エンドユーザーがデータの</w:t>
      </w:r>
      <w:r w:rsidR="00C60909" w:rsidRPr="00DF5C23">
        <w:rPr>
          <w:noProof/>
          <w:lang w:val="en-IE" w:eastAsia="fr-BE"/>
        </w:rPr>
        <w:t>提供を</w:t>
      </w:r>
      <w:r w:rsidR="00C81962" w:rsidRPr="00DF5C23">
        <w:rPr>
          <w:noProof/>
          <w:lang w:val="en-IE" w:eastAsia="fr-BE"/>
        </w:rPr>
        <w:t>明確に拒否しない限り、インターネットを介してリモートアクセスできる</w:t>
      </w:r>
      <w:r w:rsidR="00AA3D26" w:rsidRPr="00DF5C23">
        <w:rPr>
          <w:noProof/>
          <w:lang w:val="en-IE" w:eastAsia="fr-BE"/>
        </w:rPr>
        <w:t>場合は、</w:t>
      </w:r>
      <w:r w:rsidR="00D90F16" w:rsidRPr="00DF5C23">
        <w:rPr>
          <w:noProof/>
          <w:lang w:val="en-IE" w:eastAsia="fr-BE"/>
        </w:rPr>
        <w:t>使用</w:t>
      </w:r>
      <w:r w:rsidR="005F4866" w:rsidRPr="00DF5C23">
        <w:rPr>
          <w:noProof/>
          <w:lang w:val="en-IE" w:eastAsia="fr-BE"/>
        </w:rPr>
        <w:t>中の</w:t>
      </w:r>
      <w:r w:rsidR="00C60909" w:rsidRPr="00DF5C23">
        <w:rPr>
          <w:noProof/>
          <w:lang w:val="en-IE" w:eastAsia="fr-BE"/>
        </w:rPr>
        <w:t>データを</w:t>
      </w:r>
      <w:r w:rsidR="004F3DEB" w:rsidRPr="00DF5C23">
        <w:rPr>
          <w:noProof/>
          <w:lang w:val="en-IE" w:eastAsia="fr-BE"/>
        </w:rPr>
        <w:t>収集する</w:t>
      </w:r>
      <w:r w:rsidR="00C81962" w:rsidRPr="00DF5C23">
        <w:rPr>
          <w:noProof/>
          <w:lang w:val="en-IE" w:eastAsia="fr-BE"/>
        </w:rPr>
        <w:t>こと；</w:t>
      </w:r>
      <w:r w:rsidR="00C81962" w:rsidRPr="00DF5C23">
        <w:rPr>
          <w:noProof/>
          <w:lang w:val="en-IE" w:eastAsia="fr-BE"/>
        </w:rPr>
        <w:t xml:space="preserve"> </w:t>
      </w:r>
    </w:p>
    <w:p w14:paraId="473D5AF1" w14:textId="77777777" w:rsidR="0038775E" w:rsidRDefault="00877B9C" w:rsidP="002041D4">
      <w:pPr>
        <w:pStyle w:val="Point1"/>
        <w:wordWrap w:val="0"/>
        <w:rPr>
          <w:noProof/>
          <w:lang w:val="en-IE" w:eastAsia="fr-BE"/>
        </w:rPr>
      </w:pPr>
      <w:r w:rsidRPr="004F5E59">
        <w:rPr>
          <w:lang w:eastAsia="ja-JP"/>
        </w:rPr>
        <w:t>(b)</w:t>
      </w:r>
      <w:r w:rsidRPr="004F5E59">
        <w:rPr>
          <w:lang w:eastAsia="ja-JP"/>
        </w:rPr>
        <w:tab/>
      </w:r>
      <w:r w:rsidR="00C60909" w:rsidRPr="00DF5C23">
        <w:rPr>
          <w:noProof/>
          <w:lang w:val="en-IE" w:eastAsia="fr-BE"/>
        </w:rPr>
        <w:t>ポイント</w:t>
      </w:r>
      <w:r w:rsidR="00C60909" w:rsidRPr="00DF5C23">
        <w:rPr>
          <w:noProof/>
          <w:lang w:val="en-IE" w:eastAsia="fr-BE"/>
        </w:rPr>
        <w:t>(a)</w:t>
      </w:r>
      <w:r w:rsidR="00C60909" w:rsidRPr="00DF5C23">
        <w:rPr>
          <w:noProof/>
          <w:lang w:val="en-IE" w:eastAsia="fr-BE"/>
        </w:rPr>
        <w:t>に基づいて</w:t>
      </w:r>
      <w:r w:rsidR="00C81962" w:rsidRPr="00DF5C23">
        <w:rPr>
          <w:noProof/>
          <w:lang w:val="en-IE" w:eastAsia="fr-BE"/>
        </w:rPr>
        <w:t>収集されたデータを</w:t>
      </w:r>
      <w:r w:rsidR="004F3DEB" w:rsidRPr="00DF5C23">
        <w:rPr>
          <w:noProof/>
          <w:lang w:val="en-IE" w:eastAsia="fr-BE"/>
        </w:rPr>
        <w:t>匿名</w:t>
      </w:r>
      <w:r w:rsidR="00C81962" w:rsidRPr="00DF5C23">
        <w:rPr>
          <w:noProof/>
          <w:lang w:val="en-IE" w:eastAsia="fr-BE"/>
        </w:rPr>
        <w:t>化し、</w:t>
      </w:r>
      <w:r w:rsidR="00D024D6" w:rsidRPr="00DF5C23">
        <w:rPr>
          <w:noProof/>
          <w:lang w:val="en-IE" w:eastAsia="fr-BE"/>
        </w:rPr>
        <w:t>少なくとも年に</w:t>
      </w:r>
      <w:r w:rsidR="00D024D6" w:rsidRPr="00DF5C23">
        <w:rPr>
          <w:noProof/>
          <w:lang w:val="en-IE" w:eastAsia="fr-BE"/>
        </w:rPr>
        <w:t>1</w:t>
      </w:r>
      <w:r w:rsidR="00D024D6" w:rsidRPr="00DF5C23">
        <w:rPr>
          <w:noProof/>
          <w:lang w:val="en-IE" w:eastAsia="fr-BE"/>
        </w:rPr>
        <w:t>回、</w:t>
      </w:r>
      <w:r w:rsidR="00C81962" w:rsidRPr="00DF5C23">
        <w:rPr>
          <w:noProof/>
          <w:lang w:val="en-IE" w:eastAsia="fr-BE"/>
        </w:rPr>
        <w:t>欧州委員会に報告すること。</w:t>
      </w:r>
      <w:r w:rsidR="003F0F2A" w:rsidRPr="00DF5C23">
        <w:rPr>
          <w:noProof/>
          <w:lang w:val="en-IE" w:eastAsia="fr-BE"/>
        </w:rPr>
        <w:t>経済事業</w:t>
      </w:r>
      <w:r w:rsidR="005F4866" w:rsidRPr="00DF5C23">
        <w:rPr>
          <w:noProof/>
          <w:lang w:val="en-IE" w:eastAsia="fr-BE"/>
        </w:rPr>
        <w:t>者は、規則（</w:t>
      </w:r>
      <w:r w:rsidR="005F4866" w:rsidRPr="00DF5C23">
        <w:rPr>
          <w:noProof/>
          <w:lang w:val="en-IE" w:eastAsia="fr-BE"/>
        </w:rPr>
        <w:t>EU</w:t>
      </w:r>
      <w:r w:rsidR="005F4866" w:rsidRPr="00DF5C23">
        <w:rPr>
          <w:noProof/>
          <w:lang w:val="en-IE" w:eastAsia="fr-BE"/>
        </w:rPr>
        <w:t>）</w:t>
      </w:r>
      <w:r w:rsidR="005F4866" w:rsidRPr="00DF5C23">
        <w:rPr>
          <w:noProof/>
          <w:lang w:val="en-IE" w:eastAsia="fr-BE"/>
        </w:rPr>
        <w:t>No 2017/1369</w:t>
      </w:r>
      <w:r w:rsidR="005F4866" w:rsidRPr="00DF5C23">
        <w:rPr>
          <w:noProof/>
          <w:lang w:val="en-IE" w:eastAsia="fr-BE"/>
        </w:rPr>
        <w:t>の第</w:t>
      </w:r>
      <w:r w:rsidR="005F4866" w:rsidRPr="00DF5C23">
        <w:rPr>
          <w:noProof/>
          <w:lang w:val="en-IE" w:eastAsia="fr-BE"/>
        </w:rPr>
        <w:t>12</w:t>
      </w:r>
      <w:r w:rsidR="005F4866" w:rsidRPr="00DF5C23">
        <w:rPr>
          <w:noProof/>
          <w:lang w:val="en-IE" w:eastAsia="fr-BE"/>
        </w:rPr>
        <w:t>条（</w:t>
      </w:r>
      <w:r w:rsidR="005F4866" w:rsidRPr="00DF5C23">
        <w:rPr>
          <w:noProof/>
          <w:lang w:val="en-IE" w:eastAsia="fr-BE"/>
        </w:rPr>
        <w:t>5</w:t>
      </w:r>
      <w:r w:rsidR="005F4866" w:rsidRPr="00DF5C23">
        <w:rPr>
          <w:noProof/>
          <w:lang w:val="en-IE" w:eastAsia="fr-BE"/>
        </w:rPr>
        <w:t>）にいうモデルの</w:t>
      </w:r>
      <w:r w:rsidR="00C81962" w:rsidRPr="00DF5C23">
        <w:rPr>
          <w:noProof/>
          <w:lang w:val="en-IE" w:eastAsia="fr-BE"/>
        </w:rPr>
        <w:t>製品データベース識別番号と、</w:t>
      </w:r>
      <w:r w:rsidR="005F4866" w:rsidRPr="00DF5C23">
        <w:rPr>
          <w:noProof/>
          <w:lang w:val="en-IE" w:eastAsia="fr-BE"/>
        </w:rPr>
        <w:t>性能に関連する場合、</w:t>
      </w:r>
      <w:r w:rsidR="00063E2F" w:rsidRPr="00DF5C23">
        <w:rPr>
          <w:noProof/>
          <w:lang w:val="en-IE" w:eastAsia="fr-BE"/>
        </w:rPr>
        <w:t>製品の</w:t>
      </w:r>
      <w:r w:rsidR="491984A0" w:rsidRPr="00DF5C23">
        <w:rPr>
          <w:noProof/>
          <w:lang w:val="en-IE" w:eastAsia="fr-BE"/>
        </w:rPr>
        <w:t>地理的</w:t>
      </w:r>
      <w:r w:rsidR="00C60909" w:rsidRPr="00DF5C23">
        <w:rPr>
          <w:noProof/>
          <w:lang w:val="en-IE" w:eastAsia="fr-BE"/>
        </w:rPr>
        <w:t>情報を</w:t>
      </w:r>
      <w:r w:rsidR="00C81962" w:rsidRPr="00DF5C23">
        <w:rPr>
          <w:noProof/>
          <w:lang w:val="en-IE" w:eastAsia="fr-BE"/>
        </w:rPr>
        <w:t>含めるものとする。</w:t>
      </w:r>
      <w:r w:rsidR="00C81962" w:rsidRPr="00DF5C23">
        <w:rPr>
          <w:noProof/>
          <w:lang w:val="en-IE" w:eastAsia="fr-BE"/>
        </w:rPr>
        <w:t xml:space="preserve"> </w:t>
      </w:r>
    </w:p>
    <w:p w14:paraId="17D6B5AE" w14:textId="77777777" w:rsidR="0038775E" w:rsidRDefault="00AA3D26" w:rsidP="002041D4">
      <w:pPr>
        <w:pStyle w:val="Text1"/>
        <w:wordWrap w:val="0"/>
        <w:rPr>
          <w:noProof/>
          <w:lang w:val="en-IE" w:eastAsia="fr-BE"/>
        </w:rPr>
      </w:pPr>
      <w:r w:rsidRPr="00DF5C23">
        <w:rPr>
          <w:noProof/>
          <w:lang w:val="en-IE" w:eastAsia="fr-BE"/>
        </w:rPr>
        <w:t>欧州委員会は、</w:t>
      </w:r>
      <w:r w:rsidR="00185F84" w:rsidRPr="00DF5C23">
        <w:rPr>
          <w:noProof/>
          <w:lang w:val="en-IE" w:eastAsia="fr-BE"/>
        </w:rPr>
        <w:t>第</w:t>
      </w:r>
      <w:r w:rsidR="00185F84" w:rsidRPr="00DF5C23">
        <w:rPr>
          <w:noProof/>
          <w:lang w:val="en-IE" w:eastAsia="fr-BE"/>
        </w:rPr>
        <w:t>2</w:t>
      </w:r>
      <w:r w:rsidR="00185F84" w:rsidRPr="00DF5C23">
        <w:rPr>
          <w:noProof/>
          <w:lang w:val="en-IE" w:eastAsia="fr-BE"/>
        </w:rPr>
        <w:t>号</w:t>
      </w:r>
      <w:r w:rsidR="00063E2F" w:rsidRPr="00DF5C23">
        <w:rPr>
          <w:noProof/>
          <w:lang w:val="en-IE" w:eastAsia="fr-BE"/>
        </w:rPr>
        <w:t>ポイント</w:t>
      </w:r>
      <w:r w:rsidR="00063E2F" w:rsidRPr="00DF5C23">
        <w:rPr>
          <w:noProof/>
          <w:lang w:val="en-IE" w:eastAsia="fr-BE"/>
        </w:rPr>
        <w:t>(b)</w:t>
      </w:r>
      <w:r w:rsidR="00063E2F" w:rsidRPr="00DF5C23">
        <w:rPr>
          <w:noProof/>
          <w:lang w:val="en-IE" w:eastAsia="fr-BE"/>
        </w:rPr>
        <w:t>にいう</w:t>
      </w:r>
      <w:r w:rsidR="00D90F16" w:rsidRPr="00DF5C23">
        <w:rPr>
          <w:noProof/>
          <w:lang w:val="en-IE" w:eastAsia="fr-BE"/>
        </w:rPr>
        <w:t>使用中</w:t>
      </w:r>
      <w:r w:rsidR="00063E2F" w:rsidRPr="00DF5C23">
        <w:rPr>
          <w:noProof/>
          <w:lang w:val="en-IE" w:eastAsia="fr-BE"/>
        </w:rPr>
        <w:t>データの報告の詳細および形式を</w:t>
      </w:r>
      <w:r w:rsidR="004705FB" w:rsidRPr="00DF5C23">
        <w:rPr>
          <w:noProof/>
          <w:lang w:val="en-IE" w:eastAsia="fr-BE"/>
        </w:rPr>
        <w:t>規定するものとする。</w:t>
      </w:r>
      <w:r w:rsidR="004705FB" w:rsidRPr="00DF5C23">
        <w:rPr>
          <w:noProof/>
          <w:lang w:val="en-IE" w:eastAsia="fr-BE"/>
        </w:rPr>
        <w:t xml:space="preserve"> </w:t>
      </w:r>
    </w:p>
    <w:p w14:paraId="23049DCB" w14:textId="77777777" w:rsidR="0038775E" w:rsidRDefault="00877B9C" w:rsidP="002041D4">
      <w:pPr>
        <w:pStyle w:val="ManualNumPar1"/>
        <w:wordWrap w:val="0"/>
        <w:rPr>
          <w:noProof/>
          <w:lang w:val="en-IE" w:eastAsia="fr-BE"/>
        </w:rPr>
      </w:pPr>
      <w:r w:rsidRPr="004F5E59">
        <w:rPr>
          <w:lang w:eastAsia="ja-JP"/>
        </w:rPr>
        <w:t>4.</w:t>
      </w:r>
      <w:r w:rsidRPr="004F5E59">
        <w:rPr>
          <w:lang w:eastAsia="ja-JP"/>
        </w:rPr>
        <w:tab/>
      </w:r>
      <w:r w:rsidR="00797F64" w:rsidRPr="00DF5C23">
        <w:rPr>
          <w:noProof/>
          <w:lang w:val="en-IE" w:eastAsia="fr-BE"/>
        </w:rPr>
        <w:t>委員会は、</w:t>
      </w:r>
      <w:r w:rsidR="00070BD5" w:rsidRPr="00DF5C23">
        <w:rPr>
          <w:noProof/>
          <w:lang w:val="en-IE" w:eastAsia="fr-BE"/>
        </w:rPr>
        <w:t>第</w:t>
      </w:r>
      <w:r w:rsidR="00070BD5" w:rsidRPr="00DF5C23">
        <w:rPr>
          <w:noProof/>
          <w:lang w:val="en-IE" w:eastAsia="fr-BE"/>
        </w:rPr>
        <w:t>3</w:t>
      </w:r>
      <w:r w:rsidR="00797F64" w:rsidRPr="00DF5C23">
        <w:rPr>
          <w:noProof/>
          <w:lang w:val="en-IE" w:eastAsia="fr-BE"/>
        </w:rPr>
        <w:t>項に従って受領した</w:t>
      </w:r>
      <w:r w:rsidR="00D90F16" w:rsidRPr="00DF5C23">
        <w:rPr>
          <w:noProof/>
          <w:lang w:val="en-IE" w:eastAsia="fr-BE"/>
        </w:rPr>
        <w:t>使用</w:t>
      </w:r>
      <w:r w:rsidR="00070BD5" w:rsidRPr="00DF5C23">
        <w:rPr>
          <w:noProof/>
          <w:lang w:val="en-IE" w:eastAsia="fr-BE"/>
        </w:rPr>
        <w:t>中データを</w:t>
      </w:r>
      <w:r w:rsidR="00ED1E00" w:rsidRPr="00DF5C23">
        <w:rPr>
          <w:noProof/>
          <w:lang w:val="en-IE" w:eastAsia="fr-BE"/>
        </w:rPr>
        <w:t>定期的に</w:t>
      </w:r>
      <w:r w:rsidR="00797F64" w:rsidRPr="00DF5C23">
        <w:rPr>
          <w:noProof/>
          <w:lang w:val="en-IE" w:eastAsia="fr-BE"/>
        </w:rPr>
        <w:t>評価し、</w:t>
      </w:r>
      <w:r w:rsidR="00070BD5" w:rsidRPr="00DF5C23">
        <w:rPr>
          <w:noProof/>
          <w:lang w:val="en-IE" w:eastAsia="fr-BE"/>
        </w:rPr>
        <w:t>適切な場合には、</w:t>
      </w:r>
      <w:r w:rsidR="00797F64" w:rsidRPr="00DF5C23">
        <w:rPr>
          <w:noProof/>
          <w:lang w:val="en-IE" w:eastAsia="fr-BE"/>
        </w:rPr>
        <w:t>集計したデータセットを</w:t>
      </w:r>
      <w:r w:rsidR="00070BD5" w:rsidRPr="00DF5C23">
        <w:rPr>
          <w:noProof/>
          <w:lang w:val="en-IE" w:eastAsia="fr-BE"/>
        </w:rPr>
        <w:t>公表するものとする</w:t>
      </w:r>
      <w:r w:rsidR="00797F64" w:rsidRPr="00DF5C23">
        <w:rPr>
          <w:noProof/>
          <w:lang w:val="en-IE" w:eastAsia="fr-BE"/>
        </w:rPr>
        <w:t>。</w:t>
      </w:r>
      <w:r w:rsidR="00797F64" w:rsidRPr="00DF5C23">
        <w:rPr>
          <w:noProof/>
          <w:lang w:val="en-IE" w:eastAsia="fr-BE"/>
        </w:rPr>
        <w:t xml:space="preserve"> </w:t>
      </w:r>
    </w:p>
    <w:p w14:paraId="03263676" w14:textId="77777777" w:rsidR="0038775E" w:rsidRDefault="00A625AD" w:rsidP="002041D4">
      <w:pPr>
        <w:pStyle w:val="ManualHeading1"/>
        <w:wordWrap w:val="0"/>
        <w:jc w:val="center"/>
        <w:rPr>
          <w:noProof/>
          <w:lang w:eastAsia="ja-JP"/>
        </w:rPr>
      </w:pPr>
      <w:r w:rsidRPr="00DF5C23">
        <w:rPr>
          <w:noProof/>
          <w:lang w:eastAsia="ja-JP"/>
        </w:rPr>
        <w:t>第</w:t>
      </w:r>
      <w:r w:rsidRPr="00DF5C23">
        <w:rPr>
          <w:noProof/>
          <w:lang w:eastAsia="ja-JP"/>
        </w:rPr>
        <w:t>8</w:t>
      </w:r>
      <w:r w:rsidR="00BA4E97" w:rsidRPr="00DF5C23">
        <w:rPr>
          <w:noProof/>
          <w:lang w:eastAsia="ja-JP"/>
        </w:rPr>
        <w:t>章</w:t>
      </w:r>
      <w:r w:rsidR="00BA4E97" w:rsidRPr="00DF5C23">
        <w:rPr>
          <w:noProof/>
          <w:lang w:eastAsia="ja-JP"/>
        </w:rPr>
        <w:t xml:space="preserve"> </w:t>
      </w:r>
      <w:r w:rsidR="00877B9C" w:rsidRPr="00DF5C23">
        <w:rPr>
          <w:noProof/>
          <w:lang w:eastAsia="ja-JP"/>
        </w:rPr>
        <w:t>製品の適合性</w:t>
      </w:r>
    </w:p>
    <w:p w14:paraId="6C040BCE" w14:textId="77777777" w:rsidR="0038775E" w:rsidRDefault="001A4BE8" w:rsidP="002041D4">
      <w:pPr>
        <w:pStyle w:val="Titrearticle"/>
        <w:wordWrap w:val="0"/>
        <w:rPr>
          <w:noProof/>
          <w:lang w:val="en-IE" w:eastAsia="fr-BE"/>
        </w:rPr>
      </w:pPr>
      <w:r w:rsidRPr="00DF5C23">
        <w:rPr>
          <w:noProof/>
          <w:lang w:val="en-IE" w:eastAsia="fr-BE"/>
        </w:rPr>
        <w:t>第</w:t>
      </w:r>
      <w:r w:rsidRPr="00DF5C23">
        <w:rPr>
          <w:noProof/>
          <w:lang w:val="en-IE" w:eastAsia="fr-BE"/>
        </w:rPr>
        <w:t>32</w:t>
      </w:r>
      <w:r w:rsidR="00877B9C" w:rsidRPr="00DF5C23">
        <w:rPr>
          <w:noProof/>
          <w:lang w:val="en-IE" w:eastAsia="fr-BE"/>
        </w:rPr>
        <w:t>条</w:t>
      </w:r>
      <w:r w:rsidR="00877B9C" w:rsidRPr="00DF5C23">
        <w:rPr>
          <w:noProof/>
          <w:lang w:eastAsia="ja-JP"/>
        </w:rPr>
        <w:br/>
      </w:r>
      <w:r w:rsidR="00877B9C" w:rsidRPr="00DF5C23">
        <w:rPr>
          <w:rFonts w:eastAsia="Times New Roman"/>
          <w:noProof/>
          <w:lang w:val="en-IE" w:eastAsia="fr-BE"/>
        </w:rPr>
        <w:t>テスト、測定、計算方法</w:t>
      </w:r>
    </w:p>
    <w:p w14:paraId="7245CDDA" w14:textId="77777777" w:rsidR="0038775E" w:rsidRDefault="00877B9C" w:rsidP="002041D4">
      <w:pPr>
        <w:pStyle w:val="ManualNumPar1"/>
        <w:wordWrap w:val="0"/>
        <w:rPr>
          <w:noProof/>
          <w:lang w:eastAsia="fr-BE"/>
        </w:rPr>
      </w:pPr>
      <w:r w:rsidRPr="004F5E59">
        <w:rPr>
          <w:lang w:eastAsia="ja-JP"/>
        </w:rPr>
        <w:t>1.</w:t>
      </w:r>
      <w:r w:rsidRPr="004F5E59">
        <w:rPr>
          <w:lang w:eastAsia="ja-JP"/>
        </w:rPr>
        <w:tab/>
      </w:r>
      <w:r w:rsidR="00092811" w:rsidRPr="00DF5C23">
        <w:rPr>
          <w:noProof/>
          <w:lang w:eastAsia="fr-BE"/>
        </w:rPr>
        <w:t>エコデザイン</w:t>
      </w:r>
      <w:r w:rsidR="0681B866" w:rsidRPr="00DF5C23">
        <w:rPr>
          <w:noProof/>
          <w:lang w:eastAsia="fr-BE"/>
        </w:rPr>
        <w:t>要求事項への適合及び検証のために、試験、測定及び計算は、一般に認められた最先端の方法を考慮した、信頼性が高く、正確で再現性のある方法を用いて行われるものとする。当該方法は、</w:t>
      </w:r>
      <w:r w:rsidR="00E3422A" w:rsidRPr="00DF5C23">
        <w:rPr>
          <w:noProof/>
          <w:lang w:eastAsia="fr-BE"/>
        </w:rPr>
        <w:t>第</w:t>
      </w:r>
      <w:r w:rsidR="00E3422A" w:rsidRPr="00DF5C23">
        <w:rPr>
          <w:noProof/>
          <w:lang w:eastAsia="fr-BE"/>
        </w:rPr>
        <w:t>4</w:t>
      </w:r>
      <w:r w:rsidR="00E3422A" w:rsidRPr="00DF5C23">
        <w:rPr>
          <w:noProof/>
          <w:lang w:eastAsia="fr-BE"/>
        </w:rPr>
        <w:t>条に従って採択された</w:t>
      </w:r>
      <w:r w:rsidR="0681B866" w:rsidRPr="00DF5C23">
        <w:rPr>
          <w:noProof/>
          <w:lang w:eastAsia="fr-BE"/>
        </w:rPr>
        <w:t>関連する委任法に定められた試験、測定および計算の要件を</w:t>
      </w:r>
      <w:r w:rsidR="00E3422A" w:rsidRPr="00DF5C23">
        <w:rPr>
          <w:noProof/>
          <w:lang w:eastAsia="fr-BE"/>
        </w:rPr>
        <w:t>満たすものとする。</w:t>
      </w:r>
    </w:p>
    <w:p w14:paraId="7AF72A3D" w14:textId="77777777" w:rsidR="0038775E" w:rsidRDefault="00877B9C" w:rsidP="002041D4">
      <w:pPr>
        <w:pStyle w:val="ManualNumPar1"/>
        <w:wordWrap w:val="0"/>
        <w:rPr>
          <w:noProof/>
          <w:lang w:eastAsia="fr-BE"/>
        </w:rPr>
      </w:pPr>
      <w:r w:rsidRPr="004F5E59">
        <w:rPr>
          <w:lang w:eastAsia="ja-JP"/>
        </w:rPr>
        <w:lastRenderedPageBreak/>
        <w:t>2.</w:t>
      </w:r>
      <w:r w:rsidRPr="004F5E59">
        <w:rPr>
          <w:lang w:eastAsia="ja-JP"/>
        </w:rPr>
        <w:tab/>
      </w:r>
      <w:r w:rsidR="00791238" w:rsidRPr="00DF5C23">
        <w:rPr>
          <w:noProof/>
          <w:lang w:eastAsia="fr-BE"/>
        </w:rPr>
        <w:t>第</w:t>
      </w:r>
      <w:r w:rsidR="00791238" w:rsidRPr="00DF5C23">
        <w:rPr>
          <w:noProof/>
          <w:lang w:eastAsia="fr-BE"/>
        </w:rPr>
        <w:t>4</w:t>
      </w:r>
      <w:r w:rsidR="00791238" w:rsidRPr="00DF5C23">
        <w:rPr>
          <w:noProof/>
          <w:lang w:eastAsia="fr-BE"/>
        </w:rPr>
        <w:t>条</w:t>
      </w:r>
      <w:r w:rsidR="002438E5" w:rsidRPr="00DF5C23">
        <w:rPr>
          <w:noProof/>
          <w:lang w:val="en-IE" w:eastAsia="fr-BE"/>
        </w:rPr>
        <w:t>第</w:t>
      </w:r>
      <w:r w:rsidR="002438E5" w:rsidRPr="00DF5C23">
        <w:rPr>
          <w:noProof/>
          <w:lang w:val="en-IE" w:eastAsia="fr-BE"/>
        </w:rPr>
        <w:t>3</w:t>
      </w:r>
      <w:r w:rsidR="002438E5" w:rsidRPr="00DF5C23">
        <w:rPr>
          <w:noProof/>
          <w:lang w:val="en-IE" w:eastAsia="fr-BE"/>
        </w:rPr>
        <w:t>項第</w:t>
      </w:r>
      <w:r w:rsidR="002438E5" w:rsidRPr="00DF5C23">
        <w:rPr>
          <w:noProof/>
          <w:lang w:val="en-IE" w:eastAsia="fr-BE"/>
        </w:rPr>
        <w:t>(</w:t>
      </w:r>
      <w:r w:rsidR="003201E9" w:rsidRPr="00DF5C23">
        <w:rPr>
          <w:noProof/>
          <w:lang w:val="en-IE" w:eastAsia="fr-BE"/>
        </w:rPr>
        <w:t>e</w:t>
      </w:r>
      <w:r w:rsidR="002438E5" w:rsidRPr="00DF5C23">
        <w:rPr>
          <w:noProof/>
          <w:lang w:val="en-IE" w:eastAsia="fr-BE"/>
        </w:rPr>
        <w:t>)</w:t>
      </w:r>
      <w:r w:rsidR="00791238" w:rsidRPr="00DF5C23">
        <w:rPr>
          <w:noProof/>
          <w:lang w:eastAsia="fr-BE"/>
        </w:rPr>
        <w:t>号に従って採択された委任法に定める</w:t>
      </w:r>
      <w:r w:rsidR="003C342A" w:rsidRPr="00DF5C23">
        <w:rPr>
          <w:noProof/>
          <w:lang w:eastAsia="fr-BE"/>
        </w:rPr>
        <w:t>エコデザイン要件の遵守を</w:t>
      </w:r>
      <w:r w:rsidR="00791238" w:rsidRPr="00DF5C23">
        <w:rPr>
          <w:noProof/>
          <w:lang w:eastAsia="fr-BE"/>
        </w:rPr>
        <w:t>確保するために必要な場合、欧州委員会は、</w:t>
      </w:r>
      <w:r w:rsidR="003C342A" w:rsidRPr="00DF5C23">
        <w:rPr>
          <w:noProof/>
          <w:lang w:eastAsia="fr-BE"/>
        </w:rPr>
        <w:t>適用される計算要件を反映した付属書</w:t>
      </w:r>
      <w:r w:rsidR="003C342A" w:rsidRPr="00DF5C23">
        <w:rPr>
          <w:noProof/>
          <w:lang w:eastAsia="fr-BE"/>
        </w:rPr>
        <w:t>I</w:t>
      </w:r>
      <w:r w:rsidR="003C342A" w:rsidRPr="00DF5C23">
        <w:rPr>
          <w:noProof/>
          <w:lang w:eastAsia="fr-BE"/>
        </w:rPr>
        <w:t>に言及する関連</w:t>
      </w:r>
      <w:r w:rsidR="00214C38" w:rsidRPr="00DF5C23">
        <w:rPr>
          <w:noProof/>
          <w:lang w:eastAsia="ja-JP"/>
        </w:rPr>
        <w:t>製品</w:t>
      </w:r>
      <w:r w:rsidR="003C342A" w:rsidRPr="00DF5C23">
        <w:rPr>
          <w:noProof/>
          <w:lang w:eastAsia="fr-BE"/>
        </w:rPr>
        <w:t>パラメータに関する製品の性能計算の</w:t>
      </w:r>
      <w:r w:rsidR="00383953" w:rsidRPr="00DF5C23">
        <w:rPr>
          <w:noProof/>
          <w:lang w:eastAsia="fr-BE"/>
        </w:rPr>
        <w:t>ための</w:t>
      </w:r>
      <w:r w:rsidR="005B3066" w:rsidRPr="00DF5C23">
        <w:rPr>
          <w:noProof/>
          <w:lang w:eastAsia="fr-BE"/>
        </w:rPr>
        <w:t>オンラインツールの使用を要求できる</w:t>
      </w:r>
      <w:r w:rsidR="00791238" w:rsidRPr="00DF5C23">
        <w:rPr>
          <w:noProof/>
          <w:lang w:eastAsia="fr-BE"/>
        </w:rPr>
        <w:t>。</w:t>
      </w:r>
    </w:p>
    <w:p w14:paraId="771C64B6" w14:textId="77777777" w:rsidR="0038775E" w:rsidRDefault="00877B9C" w:rsidP="002041D4">
      <w:pPr>
        <w:pStyle w:val="Text1"/>
        <w:wordWrap w:val="0"/>
        <w:rPr>
          <w:noProof/>
          <w:lang w:eastAsia="fr-BE"/>
        </w:rPr>
      </w:pPr>
      <w:r w:rsidRPr="00DF5C23">
        <w:rPr>
          <w:noProof/>
          <w:lang w:eastAsia="fr-BE"/>
        </w:rPr>
        <w:t>オンラインツールの使用に関する当該要件を設定する場合</w:t>
      </w:r>
      <w:r w:rsidR="003C342A" w:rsidRPr="00DF5C23">
        <w:rPr>
          <w:noProof/>
          <w:lang w:eastAsia="fr-BE"/>
        </w:rPr>
        <w:t>、欧州委員会は、以下の基準を考慮するものとする：</w:t>
      </w:r>
    </w:p>
    <w:p w14:paraId="17509261" w14:textId="77777777" w:rsidR="0038775E" w:rsidRDefault="00877B9C" w:rsidP="002041D4">
      <w:pPr>
        <w:pStyle w:val="Point1"/>
        <w:wordWrap w:val="0"/>
        <w:rPr>
          <w:rFonts w:eastAsia="Times New Roman"/>
          <w:noProof/>
          <w:lang w:val="en-IE" w:eastAsia="fr-BE"/>
        </w:rPr>
      </w:pPr>
      <w:r w:rsidRPr="004F5E59">
        <w:rPr>
          <w:lang w:eastAsia="ja-JP"/>
        </w:rPr>
        <w:t>(a)</w:t>
      </w:r>
      <w:r w:rsidRPr="004F5E59">
        <w:rPr>
          <w:lang w:eastAsia="ja-JP"/>
        </w:rPr>
        <w:tab/>
      </w:r>
      <w:r w:rsidR="003C342A" w:rsidRPr="00DF5C23">
        <w:rPr>
          <w:noProof/>
          <w:lang w:eastAsia="fr-BE"/>
        </w:rPr>
        <w:t>計算要件の調和された適用を</w:t>
      </w:r>
      <w:r w:rsidR="003C342A" w:rsidRPr="00DF5C23">
        <w:rPr>
          <w:rFonts w:eastAsia="Times New Roman"/>
          <w:noProof/>
          <w:lang w:val="en-IE" w:eastAsia="fr-BE"/>
        </w:rPr>
        <w:t>確保する必要性</w:t>
      </w:r>
      <w:r w:rsidR="003C342A" w:rsidRPr="00DF5C23">
        <w:rPr>
          <w:rFonts w:eastAsia="Times New Roman"/>
          <w:noProof/>
          <w:lang w:eastAsia="fr-BE"/>
        </w:rPr>
        <w:t>；</w:t>
      </w:r>
    </w:p>
    <w:p w14:paraId="090C5B40" w14:textId="77777777" w:rsidR="0038775E" w:rsidRDefault="00877B9C" w:rsidP="002041D4">
      <w:pPr>
        <w:pStyle w:val="Point1"/>
        <w:wordWrap w:val="0"/>
        <w:rPr>
          <w:noProof/>
          <w:lang w:val="en-IE" w:eastAsia="fr-BE"/>
        </w:rPr>
      </w:pPr>
      <w:r w:rsidRPr="004F5E59">
        <w:rPr>
          <w:lang w:eastAsia="ja-JP"/>
        </w:rPr>
        <w:t>(b)</w:t>
      </w:r>
      <w:r w:rsidRPr="004F5E59">
        <w:rPr>
          <w:lang w:eastAsia="ja-JP"/>
        </w:rPr>
        <w:tab/>
      </w:r>
      <w:r w:rsidR="003E688B" w:rsidRPr="00DF5C23">
        <w:rPr>
          <w:noProof/>
          <w:lang w:val="en-IE" w:eastAsia="fr-BE"/>
        </w:rPr>
        <w:t>関連する要求事項を遵守する経済事業</w:t>
      </w:r>
      <w:r w:rsidR="003C342A" w:rsidRPr="00DF5C23">
        <w:rPr>
          <w:noProof/>
          <w:lang w:val="en-IE" w:eastAsia="fr-BE"/>
        </w:rPr>
        <w:t>者に課される管理上の負担を最小限にする必要がある</w:t>
      </w:r>
      <w:r w:rsidR="003C342A" w:rsidRPr="00DF5C23">
        <w:rPr>
          <w:noProof/>
          <w:lang w:eastAsia="fr-BE"/>
        </w:rPr>
        <w:t>こと</w:t>
      </w:r>
      <w:r w:rsidR="0065275B" w:rsidRPr="00DF5C23">
        <w:rPr>
          <w:noProof/>
          <w:lang w:val="en-IE" w:eastAsia="fr-BE"/>
        </w:rPr>
        <w:t>。</w:t>
      </w:r>
    </w:p>
    <w:p w14:paraId="3A1548B8" w14:textId="77777777" w:rsidR="0038775E" w:rsidRDefault="00877B9C" w:rsidP="002041D4">
      <w:pPr>
        <w:pStyle w:val="Text1"/>
        <w:wordWrap w:val="0"/>
        <w:rPr>
          <w:noProof/>
          <w:lang w:eastAsia="fr-BE"/>
        </w:rPr>
      </w:pPr>
      <w:r w:rsidRPr="00DF5C23">
        <w:rPr>
          <w:noProof/>
          <w:lang w:eastAsia="fr-BE"/>
        </w:rPr>
        <w:t>オンラインツールは、</w:t>
      </w:r>
      <w:r w:rsidR="00791238" w:rsidRPr="00DF5C23">
        <w:rPr>
          <w:noProof/>
          <w:lang w:eastAsia="fr-BE"/>
        </w:rPr>
        <w:t>関連する要件に準拠する経済事業者が</w:t>
      </w:r>
      <w:r w:rsidR="003C342A" w:rsidRPr="00DF5C23">
        <w:rPr>
          <w:noProof/>
          <w:lang w:eastAsia="fr-BE"/>
        </w:rPr>
        <w:t>自由にアクセスできる</w:t>
      </w:r>
      <w:r w:rsidRPr="00DF5C23">
        <w:rPr>
          <w:noProof/>
          <w:lang w:eastAsia="fr-BE"/>
        </w:rPr>
        <w:t>ものとする</w:t>
      </w:r>
      <w:r w:rsidR="0065275B" w:rsidRPr="00DF5C23">
        <w:rPr>
          <w:noProof/>
          <w:lang w:eastAsia="fr-BE"/>
        </w:rPr>
        <w:t>。</w:t>
      </w:r>
    </w:p>
    <w:p w14:paraId="5D938399" w14:textId="77777777" w:rsidR="0038775E" w:rsidRDefault="00807659" w:rsidP="002041D4">
      <w:pPr>
        <w:pStyle w:val="Titrearticle"/>
        <w:wordWrap w:val="0"/>
        <w:rPr>
          <w:noProof/>
          <w:lang w:val="en-IE" w:eastAsia="fr-BE"/>
        </w:rPr>
      </w:pPr>
      <w:r w:rsidRPr="00DF5C23">
        <w:rPr>
          <w:noProof/>
          <w:lang w:val="en-IE" w:eastAsia="fr-BE"/>
        </w:rPr>
        <w:t>第</w:t>
      </w:r>
      <w:r w:rsidRPr="00DF5C23">
        <w:rPr>
          <w:noProof/>
          <w:lang w:val="en-IE" w:eastAsia="fr-BE"/>
        </w:rPr>
        <w:t>33</w:t>
      </w:r>
      <w:r w:rsidR="00877B9C" w:rsidRPr="00DF5C23">
        <w:rPr>
          <w:noProof/>
          <w:lang w:val="en-IE" w:eastAsia="fr-BE"/>
        </w:rPr>
        <w:t>条</w:t>
      </w:r>
      <w:r w:rsidR="00877B9C" w:rsidRPr="00DF5C23">
        <w:rPr>
          <w:noProof/>
          <w:lang w:eastAsia="ja-JP"/>
        </w:rPr>
        <w:br/>
      </w:r>
      <w:r w:rsidR="00877B9C" w:rsidRPr="00DF5C23">
        <w:rPr>
          <w:noProof/>
          <w:lang w:val="en-IE" w:eastAsia="fr-BE"/>
        </w:rPr>
        <w:t>サーキュエーション</w:t>
      </w:r>
    </w:p>
    <w:p w14:paraId="7F2C6CBB" w14:textId="77777777" w:rsidR="0038775E" w:rsidRDefault="00877B9C" w:rsidP="002041D4">
      <w:pPr>
        <w:pStyle w:val="ManualNumPar1"/>
        <w:wordWrap w:val="0"/>
        <w:rPr>
          <w:noProof/>
          <w:lang w:eastAsia="ja-JP"/>
        </w:rPr>
      </w:pPr>
      <w:r w:rsidRPr="004F5E59">
        <w:rPr>
          <w:lang w:eastAsia="ja-JP"/>
        </w:rPr>
        <w:t>1.</w:t>
      </w:r>
      <w:r w:rsidRPr="004F5E59">
        <w:rPr>
          <w:lang w:eastAsia="ja-JP"/>
        </w:rPr>
        <w:tab/>
      </w:r>
      <w:r w:rsidR="003E688B" w:rsidRPr="00DF5C23">
        <w:rPr>
          <w:noProof/>
          <w:lang w:val="en-US" w:eastAsia="ja-JP"/>
        </w:rPr>
        <w:t>第</w:t>
      </w:r>
      <w:r w:rsidR="003E688B" w:rsidRPr="00DF5C23">
        <w:rPr>
          <w:noProof/>
          <w:lang w:val="en-US" w:eastAsia="ja-JP"/>
        </w:rPr>
        <w:t>4</w:t>
      </w:r>
      <w:r w:rsidR="003E688B" w:rsidRPr="00DF5C23">
        <w:rPr>
          <w:noProof/>
          <w:lang w:val="en-US" w:eastAsia="ja-JP"/>
        </w:rPr>
        <w:t>条に従って採択された委任法の範囲に属する製品は、</w:t>
      </w:r>
      <w:r w:rsidR="00122F7D" w:rsidRPr="00DF5C23">
        <w:rPr>
          <w:noProof/>
          <w:lang w:eastAsia="ja-JP"/>
        </w:rPr>
        <w:t>製品が対象となる</w:t>
      </w:r>
      <w:r w:rsidR="003E688B" w:rsidRPr="00DF5C23">
        <w:rPr>
          <w:noProof/>
          <w:lang w:val="en-US" w:eastAsia="ja-JP"/>
        </w:rPr>
        <w:t>第</w:t>
      </w:r>
      <w:r w:rsidR="003E688B" w:rsidRPr="00DF5C23">
        <w:rPr>
          <w:noProof/>
          <w:lang w:val="en-US" w:eastAsia="ja-JP"/>
        </w:rPr>
        <w:t>4</w:t>
      </w:r>
      <w:r w:rsidR="003E688B" w:rsidRPr="00DF5C23">
        <w:rPr>
          <w:noProof/>
          <w:lang w:val="en-US" w:eastAsia="ja-JP"/>
        </w:rPr>
        <w:t>条に従って採択された</w:t>
      </w:r>
      <w:r w:rsidR="00DE6272" w:rsidRPr="00DF5C23">
        <w:rPr>
          <w:noProof/>
          <w:lang w:eastAsia="ja-JP"/>
        </w:rPr>
        <w:t>委任</w:t>
      </w:r>
      <w:r w:rsidR="00122F7D" w:rsidRPr="00DF5C23">
        <w:rPr>
          <w:noProof/>
          <w:lang w:eastAsia="ja-JP"/>
        </w:rPr>
        <w:t>法で</w:t>
      </w:r>
      <w:r w:rsidR="00DE6272" w:rsidRPr="00DF5C23">
        <w:rPr>
          <w:noProof/>
          <w:lang w:eastAsia="ja-JP"/>
        </w:rPr>
        <w:t>規制された</w:t>
      </w:r>
      <w:r w:rsidR="00214C38" w:rsidRPr="00DF5C23">
        <w:rPr>
          <w:noProof/>
          <w:lang w:eastAsia="ja-JP"/>
        </w:rPr>
        <w:t>製品</w:t>
      </w:r>
      <w:r w:rsidR="00DE6272" w:rsidRPr="00DF5C23">
        <w:rPr>
          <w:noProof/>
          <w:lang w:eastAsia="ja-JP"/>
        </w:rPr>
        <w:t>パラメータのいずれかについて、より好ましい結果を得るために、試験</w:t>
      </w:r>
      <w:r w:rsidR="00DF3C8E" w:rsidRPr="00DF5C23">
        <w:rPr>
          <w:noProof/>
          <w:lang w:eastAsia="ja-JP"/>
        </w:rPr>
        <w:t>された</w:t>
      </w:r>
      <w:r w:rsidR="00DE6272" w:rsidRPr="00DF5C23">
        <w:rPr>
          <w:noProof/>
          <w:lang w:eastAsia="ja-JP"/>
        </w:rPr>
        <w:t>ときの</w:t>
      </w:r>
      <w:r w:rsidR="00DF3C8E" w:rsidRPr="00DF5C23">
        <w:rPr>
          <w:noProof/>
          <w:lang w:eastAsia="ja-JP"/>
        </w:rPr>
        <w:t>挙動又は</w:t>
      </w:r>
      <w:r w:rsidR="00DF3C8E" w:rsidRPr="00DF5C23">
        <w:rPr>
          <w:noProof/>
          <w:lang w:eastAsia="fr-BE"/>
        </w:rPr>
        <w:t>特性を</w:t>
      </w:r>
      <w:r w:rsidR="00DE6272" w:rsidRPr="00DF5C23">
        <w:rPr>
          <w:noProof/>
          <w:lang w:eastAsia="fr-BE"/>
        </w:rPr>
        <w:t>変更するように</w:t>
      </w:r>
      <w:r w:rsidR="009072B2" w:rsidRPr="00DF5C23">
        <w:rPr>
          <w:noProof/>
          <w:lang w:eastAsia="fr-BE"/>
        </w:rPr>
        <w:t>設計されている</w:t>
      </w:r>
      <w:r w:rsidR="003E688B" w:rsidRPr="00DF5C23">
        <w:rPr>
          <w:noProof/>
          <w:lang w:val="en-US" w:eastAsia="ja-JP"/>
        </w:rPr>
        <w:t>場合、上市又は使用開始されてはならない</w:t>
      </w:r>
      <w:r w:rsidR="00C53DA3" w:rsidRPr="00DF5C23">
        <w:rPr>
          <w:noProof/>
          <w:lang w:eastAsia="ja-JP"/>
        </w:rPr>
        <w:t>。</w:t>
      </w:r>
      <w:r w:rsidR="00C53DA3" w:rsidRPr="00DF5C23">
        <w:rPr>
          <w:noProof/>
          <w:lang w:eastAsia="ja-JP"/>
        </w:rPr>
        <w:t xml:space="preserve"> </w:t>
      </w:r>
    </w:p>
    <w:p w14:paraId="66542E34" w14:textId="77777777" w:rsidR="0038775E" w:rsidRDefault="00877B9C" w:rsidP="002041D4">
      <w:pPr>
        <w:pStyle w:val="Text1"/>
        <w:wordWrap w:val="0"/>
        <w:rPr>
          <w:noProof/>
          <w:lang w:eastAsia="ja-JP"/>
        </w:rPr>
      </w:pPr>
      <w:r w:rsidRPr="00DF5C23">
        <w:rPr>
          <w:noProof/>
          <w:lang w:eastAsia="ja-JP"/>
        </w:rPr>
        <w:t>本項において、</w:t>
      </w:r>
      <w:r w:rsidR="00BE7784" w:rsidRPr="00DF5C23">
        <w:rPr>
          <w:noProof/>
          <w:lang w:eastAsia="ja-JP"/>
        </w:rPr>
        <w:t>試験を受けていることを検知し、それに応じて自動的に性能を変化させることができるように設計された製品、および</w:t>
      </w:r>
      <w:r w:rsidR="00F842BA" w:rsidRPr="00DF5C23">
        <w:rPr>
          <w:noProof/>
          <w:lang w:eastAsia="ja-JP"/>
        </w:rPr>
        <w:t>試験時に性能を変化させるように予め設定された製品は、</w:t>
      </w:r>
      <w:r w:rsidRPr="00DF5C23">
        <w:rPr>
          <w:noProof/>
          <w:lang w:eastAsia="ja-JP"/>
        </w:rPr>
        <w:t>試験時にその挙動または特性を変化させるように設計された製品に該当するものとする。</w:t>
      </w:r>
      <w:r w:rsidRPr="00DF5C23">
        <w:rPr>
          <w:noProof/>
          <w:lang w:eastAsia="ja-JP"/>
        </w:rPr>
        <w:t xml:space="preserve"> </w:t>
      </w:r>
      <w:r w:rsidR="00BE7784" w:rsidRPr="00DF5C23">
        <w:rPr>
          <w:noProof/>
          <w:lang w:eastAsia="ja-JP"/>
        </w:rPr>
        <w:t xml:space="preserve"> </w:t>
      </w:r>
    </w:p>
    <w:p w14:paraId="467D6CDD" w14:textId="77777777" w:rsidR="0038775E" w:rsidRDefault="00877B9C" w:rsidP="002041D4">
      <w:pPr>
        <w:pStyle w:val="ManualNumPar1"/>
        <w:wordWrap w:val="0"/>
        <w:rPr>
          <w:noProof/>
          <w:lang w:eastAsia="ja-JP"/>
        </w:rPr>
      </w:pPr>
      <w:r w:rsidRPr="004F5E59">
        <w:rPr>
          <w:lang w:eastAsia="ja-JP"/>
        </w:rPr>
        <w:t>2.</w:t>
      </w:r>
      <w:r w:rsidRPr="004F5E59">
        <w:rPr>
          <w:lang w:eastAsia="ja-JP"/>
        </w:rPr>
        <w:tab/>
      </w:r>
      <w:r w:rsidR="0008494F" w:rsidRPr="00DF5C23">
        <w:rPr>
          <w:noProof/>
          <w:lang w:val="en-US" w:eastAsia="ja-JP"/>
        </w:rPr>
        <w:t>第</w:t>
      </w:r>
      <w:r w:rsidR="0008494F" w:rsidRPr="00DF5C23">
        <w:rPr>
          <w:noProof/>
          <w:lang w:val="en-US" w:eastAsia="ja-JP"/>
        </w:rPr>
        <w:t>4</w:t>
      </w:r>
      <w:r w:rsidR="0008494F" w:rsidRPr="00DF5C23">
        <w:rPr>
          <w:noProof/>
          <w:lang w:val="en-US" w:eastAsia="ja-JP"/>
        </w:rPr>
        <w:t>条に従って採択された</w:t>
      </w:r>
      <w:r w:rsidR="0008494F" w:rsidRPr="00DF5C23">
        <w:rPr>
          <w:noProof/>
          <w:lang w:eastAsia="ja-JP"/>
        </w:rPr>
        <w:t>委任法の</w:t>
      </w:r>
      <w:r w:rsidR="0008494F" w:rsidRPr="00DF5C23">
        <w:rPr>
          <w:noProof/>
          <w:lang w:eastAsia="fr-BE"/>
        </w:rPr>
        <w:t>対象となる製品を配置する</w:t>
      </w:r>
      <w:r w:rsidR="00AC1A8A" w:rsidRPr="00DF5C23">
        <w:rPr>
          <w:noProof/>
          <w:lang w:eastAsia="fr-BE"/>
        </w:rPr>
        <w:t>経済事業者は、</w:t>
      </w:r>
      <w:r w:rsidR="00122F7D" w:rsidRPr="00DF5C23">
        <w:rPr>
          <w:noProof/>
          <w:lang w:eastAsia="ja-JP"/>
        </w:rPr>
        <w:t>製品が対象となる</w:t>
      </w:r>
      <w:r w:rsidR="0008494F" w:rsidRPr="00DF5C23">
        <w:rPr>
          <w:noProof/>
          <w:lang w:val="en-US" w:eastAsia="ja-JP"/>
        </w:rPr>
        <w:t>第</w:t>
      </w:r>
      <w:r w:rsidR="0008494F" w:rsidRPr="00DF5C23">
        <w:rPr>
          <w:noProof/>
          <w:lang w:val="en-US" w:eastAsia="ja-JP"/>
        </w:rPr>
        <w:t>4</w:t>
      </w:r>
      <w:r w:rsidR="0008494F" w:rsidRPr="00DF5C23">
        <w:rPr>
          <w:noProof/>
          <w:lang w:val="en-US" w:eastAsia="ja-JP"/>
        </w:rPr>
        <w:t>条に従って採択された</w:t>
      </w:r>
      <w:r w:rsidR="00697E72" w:rsidRPr="00DF5C23">
        <w:rPr>
          <w:noProof/>
          <w:lang w:eastAsia="ja-JP"/>
        </w:rPr>
        <w:t>委任</w:t>
      </w:r>
      <w:r w:rsidR="00122F7D" w:rsidRPr="00DF5C23">
        <w:rPr>
          <w:noProof/>
          <w:lang w:eastAsia="ja-JP"/>
        </w:rPr>
        <w:t>法で</w:t>
      </w:r>
      <w:r w:rsidR="00697E72" w:rsidRPr="00DF5C23">
        <w:rPr>
          <w:noProof/>
          <w:lang w:eastAsia="ja-JP"/>
        </w:rPr>
        <w:t>規制される</w:t>
      </w:r>
      <w:r w:rsidR="00214C38" w:rsidRPr="00DF5C23">
        <w:rPr>
          <w:noProof/>
          <w:lang w:eastAsia="ja-JP"/>
        </w:rPr>
        <w:t>製品</w:t>
      </w:r>
      <w:r w:rsidR="00697E72" w:rsidRPr="00DF5C23">
        <w:rPr>
          <w:noProof/>
          <w:lang w:eastAsia="ja-JP"/>
        </w:rPr>
        <w:t>パラメータのいずれかについてより好ましい結果を得るために、</w:t>
      </w:r>
      <w:r w:rsidR="00DF3C8E" w:rsidRPr="00DF5C23">
        <w:rPr>
          <w:noProof/>
          <w:lang w:eastAsia="ja-JP"/>
        </w:rPr>
        <w:t>製品の</w:t>
      </w:r>
      <w:r w:rsidR="00697E72" w:rsidRPr="00DF5C23">
        <w:rPr>
          <w:noProof/>
          <w:lang w:eastAsia="ja-JP"/>
        </w:rPr>
        <w:t>挙動または特性を</w:t>
      </w:r>
      <w:r w:rsidR="00697E72" w:rsidRPr="00DF5C23">
        <w:rPr>
          <w:noProof/>
          <w:lang w:eastAsia="fr-BE"/>
        </w:rPr>
        <w:t>変更する</w:t>
      </w:r>
      <w:r w:rsidR="006D071F" w:rsidRPr="00DF5C23">
        <w:rPr>
          <w:noProof/>
          <w:lang w:eastAsia="fr-BE"/>
        </w:rPr>
        <w:t>試験に特有の</w:t>
      </w:r>
      <w:r w:rsidR="00697E72" w:rsidRPr="00DF5C23">
        <w:rPr>
          <w:noProof/>
          <w:lang w:eastAsia="fr-BE"/>
        </w:rPr>
        <w:t>指示を規定してならない</w:t>
      </w:r>
      <w:r w:rsidR="00BE7784" w:rsidRPr="00DF5C23">
        <w:rPr>
          <w:noProof/>
          <w:lang w:eastAsia="ja-JP"/>
        </w:rPr>
        <w:t>。</w:t>
      </w:r>
      <w:r w:rsidR="00BE7784" w:rsidRPr="00DF5C23">
        <w:rPr>
          <w:noProof/>
          <w:lang w:eastAsia="ja-JP"/>
        </w:rPr>
        <w:t xml:space="preserve"> </w:t>
      </w:r>
    </w:p>
    <w:p w14:paraId="54C62A4F" w14:textId="77777777" w:rsidR="0038775E" w:rsidRDefault="00877B9C" w:rsidP="002041D4">
      <w:pPr>
        <w:pStyle w:val="Text1"/>
        <w:wordWrap w:val="0"/>
        <w:rPr>
          <w:noProof/>
          <w:lang w:eastAsia="ja-JP"/>
        </w:rPr>
      </w:pPr>
      <w:r w:rsidRPr="00DF5C23">
        <w:rPr>
          <w:noProof/>
          <w:lang w:eastAsia="ja-JP"/>
        </w:rPr>
        <w:t>本項において、</w:t>
      </w:r>
      <w:r w:rsidR="001910D3" w:rsidRPr="00DF5C23">
        <w:rPr>
          <w:noProof/>
          <w:lang w:eastAsia="ja-JP"/>
        </w:rPr>
        <w:t>製品の性能を変更する試験の</w:t>
      </w:r>
      <w:r w:rsidR="00F842BA" w:rsidRPr="00DF5C23">
        <w:rPr>
          <w:noProof/>
          <w:lang w:eastAsia="ja-JP"/>
        </w:rPr>
        <w:t>前に、製品の手動による変更を</w:t>
      </w:r>
      <w:r w:rsidR="00C53DA3" w:rsidRPr="00DF5C23">
        <w:rPr>
          <w:noProof/>
          <w:lang w:eastAsia="ja-JP"/>
        </w:rPr>
        <w:t>導く指示は、製品の挙動又は特性を</w:t>
      </w:r>
      <w:r w:rsidR="00C53DA3" w:rsidRPr="00DF5C23">
        <w:rPr>
          <w:noProof/>
          <w:lang w:eastAsia="fr-BE"/>
        </w:rPr>
        <w:t>変更する試験に特有の指示に</w:t>
      </w:r>
      <w:r w:rsidR="00C53DA3" w:rsidRPr="00DF5C23">
        <w:rPr>
          <w:noProof/>
          <w:lang w:eastAsia="ja-JP"/>
        </w:rPr>
        <w:t>該当するものとする</w:t>
      </w:r>
      <w:r w:rsidR="001910D3" w:rsidRPr="00DF5C23">
        <w:rPr>
          <w:noProof/>
          <w:lang w:eastAsia="ja-JP"/>
        </w:rPr>
        <w:t>。</w:t>
      </w:r>
      <w:r w:rsidR="001910D3" w:rsidRPr="00DF5C23">
        <w:rPr>
          <w:noProof/>
          <w:lang w:eastAsia="ja-JP"/>
        </w:rPr>
        <w:t xml:space="preserve">  </w:t>
      </w:r>
      <w:r w:rsidR="00F842BA" w:rsidRPr="00DF5C23">
        <w:rPr>
          <w:noProof/>
          <w:lang w:eastAsia="ja-JP"/>
        </w:rPr>
        <w:t xml:space="preserve">  </w:t>
      </w:r>
    </w:p>
    <w:p w14:paraId="5151F23D" w14:textId="77777777" w:rsidR="0038775E" w:rsidRDefault="00877B9C" w:rsidP="002041D4">
      <w:pPr>
        <w:pStyle w:val="ManualNumPar1"/>
        <w:wordWrap w:val="0"/>
        <w:rPr>
          <w:noProof/>
          <w:lang w:eastAsia="fr-BE"/>
        </w:rPr>
      </w:pPr>
      <w:r w:rsidRPr="004F5E59">
        <w:rPr>
          <w:lang w:eastAsia="ja-JP"/>
        </w:rPr>
        <w:t>3.</w:t>
      </w:r>
      <w:r w:rsidRPr="004F5E59">
        <w:rPr>
          <w:lang w:eastAsia="ja-JP"/>
        </w:rPr>
        <w:tab/>
      </w:r>
      <w:r w:rsidR="0008494F" w:rsidRPr="00DF5C23">
        <w:rPr>
          <w:noProof/>
          <w:lang w:val="en-US" w:eastAsia="ja-JP"/>
        </w:rPr>
        <w:t>第</w:t>
      </w:r>
      <w:r w:rsidR="0008494F" w:rsidRPr="00DF5C23">
        <w:rPr>
          <w:noProof/>
          <w:lang w:val="en-US" w:eastAsia="ja-JP"/>
        </w:rPr>
        <w:t>4</w:t>
      </w:r>
      <w:r w:rsidR="0008494F" w:rsidRPr="00DF5C23">
        <w:rPr>
          <w:noProof/>
          <w:lang w:val="en-US" w:eastAsia="ja-JP"/>
        </w:rPr>
        <w:t>条に従って採択された委任法の範囲に属する製品は、製品が</w:t>
      </w:r>
      <w:r w:rsidR="00122F7D" w:rsidRPr="00DF5C23">
        <w:rPr>
          <w:noProof/>
          <w:lang w:eastAsia="ja-JP"/>
        </w:rPr>
        <w:t>対象となる</w:t>
      </w:r>
      <w:r w:rsidR="0008494F" w:rsidRPr="00DF5C23">
        <w:rPr>
          <w:noProof/>
          <w:lang w:val="en-US" w:eastAsia="ja-JP"/>
        </w:rPr>
        <w:t>第</w:t>
      </w:r>
      <w:r w:rsidR="0008494F" w:rsidRPr="00DF5C23">
        <w:rPr>
          <w:noProof/>
          <w:lang w:val="en-US" w:eastAsia="ja-JP"/>
        </w:rPr>
        <w:t>4</w:t>
      </w:r>
      <w:r w:rsidR="0008494F" w:rsidRPr="00DF5C23">
        <w:rPr>
          <w:noProof/>
          <w:lang w:val="en-US" w:eastAsia="ja-JP"/>
        </w:rPr>
        <w:t>条に従って採択された</w:t>
      </w:r>
      <w:r w:rsidR="00442771" w:rsidRPr="00DF5C23">
        <w:rPr>
          <w:noProof/>
          <w:lang w:eastAsia="fr-BE"/>
        </w:rPr>
        <w:t>委任</w:t>
      </w:r>
      <w:r w:rsidR="00122F7D" w:rsidRPr="00DF5C23">
        <w:rPr>
          <w:noProof/>
          <w:lang w:eastAsia="fr-BE"/>
        </w:rPr>
        <w:t>法で</w:t>
      </w:r>
      <w:r w:rsidR="00442771" w:rsidRPr="00DF5C23">
        <w:rPr>
          <w:noProof/>
          <w:lang w:eastAsia="fr-BE"/>
        </w:rPr>
        <w:t>規制される</w:t>
      </w:r>
      <w:r w:rsidR="00214C38" w:rsidRPr="00DF5C23">
        <w:rPr>
          <w:noProof/>
          <w:lang w:eastAsia="ja-JP"/>
        </w:rPr>
        <w:t>製品</w:t>
      </w:r>
      <w:r w:rsidR="00442771" w:rsidRPr="00DF5C23">
        <w:rPr>
          <w:noProof/>
          <w:lang w:eastAsia="fr-BE"/>
        </w:rPr>
        <w:t>パラメータのいずれか、または使用者の観点から見た機能性能の悪化につながる</w:t>
      </w:r>
      <w:r w:rsidR="001910D3" w:rsidRPr="00DF5C23">
        <w:rPr>
          <w:noProof/>
          <w:lang w:eastAsia="fr-BE"/>
        </w:rPr>
        <w:t>製品を使用開始後短期間で</w:t>
      </w:r>
      <w:r w:rsidR="00442771" w:rsidRPr="00DF5C23">
        <w:rPr>
          <w:noProof/>
          <w:lang w:eastAsia="fr-BE"/>
        </w:rPr>
        <w:t>その挙動または特性を変更するよう設計されている</w:t>
      </w:r>
      <w:r w:rsidR="0008494F" w:rsidRPr="00DF5C23">
        <w:rPr>
          <w:noProof/>
          <w:lang w:val="en-US" w:eastAsia="ja-JP"/>
        </w:rPr>
        <w:t>場合、市場に投入または使用開始されてはならないものとする</w:t>
      </w:r>
      <w:r w:rsidR="001910D3" w:rsidRPr="00DF5C23">
        <w:rPr>
          <w:noProof/>
          <w:lang w:eastAsia="fr-BE"/>
        </w:rPr>
        <w:t>。</w:t>
      </w:r>
    </w:p>
    <w:p w14:paraId="4FC6EA52" w14:textId="77777777" w:rsidR="0038775E" w:rsidRDefault="00877B9C" w:rsidP="002041D4">
      <w:pPr>
        <w:pStyle w:val="ManualNumPar1"/>
        <w:wordWrap w:val="0"/>
        <w:rPr>
          <w:noProof/>
          <w:lang w:eastAsia="fr-BE"/>
        </w:rPr>
      </w:pPr>
      <w:r w:rsidRPr="004F5E59">
        <w:rPr>
          <w:lang w:eastAsia="ja-JP"/>
        </w:rPr>
        <w:t>4.</w:t>
      </w:r>
      <w:r w:rsidRPr="004F5E59">
        <w:rPr>
          <w:lang w:eastAsia="ja-JP"/>
        </w:rPr>
        <w:tab/>
      </w:r>
      <w:r w:rsidR="0681B866" w:rsidRPr="00DF5C23">
        <w:rPr>
          <w:noProof/>
          <w:lang w:eastAsia="fr-BE"/>
        </w:rPr>
        <w:t>ソフトウェアまたはファームウェアの更新は、更新前にエンドユーザーの明示的な同意がある場合を除き、</w:t>
      </w:r>
      <w:r w:rsidR="00122F7D" w:rsidRPr="00DF5C23">
        <w:rPr>
          <w:noProof/>
          <w:lang w:eastAsia="ja-JP"/>
        </w:rPr>
        <w:t>製品が対象となる</w:t>
      </w:r>
      <w:r w:rsidR="00122F7D" w:rsidRPr="00DF5C23">
        <w:rPr>
          <w:noProof/>
          <w:lang w:val="en-US" w:eastAsia="ja-JP"/>
        </w:rPr>
        <w:t>第</w:t>
      </w:r>
      <w:r w:rsidR="00122F7D" w:rsidRPr="00DF5C23">
        <w:rPr>
          <w:noProof/>
          <w:lang w:val="en-US" w:eastAsia="ja-JP"/>
        </w:rPr>
        <w:t>4</w:t>
      </w:r>
      <w:r w:rsidR="00122F7D" w:rsidRPr="00DF5C23">
        <w:rPr>
          <w:noProof/>
          <w:lang w:val="en-US" w:eastAsia="ja-JP"/>
        </w:rPr>
        <w:t>条に従って採択された</w:t>
      </w:r>
      <w:r w:rsidR="00122F7D" w:rsidRPr="00DF5C23">
        <w:rPr>
          <w:noProof/>
          <w:lang w:eastAsia="fr-BE"/>
        </w:rPr>
        <w:t>委任</w:t>
      </w:r>
      <w:r w:rsidR="0681B866" w:rsidRPr="00DF5C23">
        <w:rPr>
          <w:noProof/>
          <w:lang w:eastAsia="fr-BE"/>
        </w:rPr>
        <w:t>法で規制された</w:t>
      </w:r>
      <w:r w:rsidR="00214C38" w:rsidRPr="00DF5C23">
        <w:rPr>
          <w:noProof/>
          <w:lang w:eastAsia="ja-JP"/>
        </w:rPr>
        <w:t>製品</w:t>
      </w:r>
      <w:r w:rsidR="0681B866" w:rsidRPr="00DF5C23">
        <w:rPr>
          <w:noProof/>
          <w:lang w:eastAsia="fr-BE"/>
        </w:rPr>
        <w:t>パラメータまたは</w:t>
      </w:r>
      <w:r w:rsidR="00122F7D" w:rsidRPr="00DF5C23">
        <w:rPr>
          <w:noProof/>
          <w:lang w:eastAsia="fr-BE"/>
        </w:rPr>
        <w:t>適合性評価に用いられた試験方法で測定した</w:t>
      </w:r>
      <w:r w:rsidR="0681B866" w:rsidRPr="00DF5C23">
        <w:rPr>
          <w:noProof/>
          <w:lang w:eastAsia="fr-BE"/>
        </w:rPr>
        <w:t>ときのユーザーの観点からの機能性能に関連して、製品の性能を悪化させないものとする。更新を拒否した結果、性能の変化が生じることはないものとする。</w:t>
      </w:r>
    </w:p>
    <w:p w14:paraId="1D1835AA" w14:textId="7D5C3399" w:rsidR="0038775E" w:rsidRDefault="00DF54B0" w:rsidP="002041D4">
      <w:pPr>
        <w:pStyle w:val="Text1"/>
        <w:wordWrap w:val="0"/>
        <w:rPr>
          <w:noProof/>
          <w:lang w:eastAsia="fr-BE"/>
        </w:rPr>
      </w:pPr>
      <w:r w:rsidRPr="00DF5C23">
        <w:rPr>
          <w:noProof/>
          <w:lang w:eastAsia="fr-BE"/>
        </w:rPr>
        <w:lastRenderedPageBreak/>
        <w:t>ソフトウェア</w:t>
      </w:r>
      <w:r w:rsidR="00442771" w:rsidRPr="00DF5C23">
        <w:rPr>
          <w:noProof/>
          <w:lang w:eastAsia="fr-BE"/>
        </w:rPr>
        <w:t>またはファームウェアの</w:t>
      </w:r>
      <w:r w:rsidR="00877B9C" w:rsidRPr="00DF5C23">
        <w:rPr>
          <w:noProof/>
          <w:lang w:eastAsia="fr-BE"/>
        </w:rPr>
        <w:t>更新は、</w:t>
      </w:r>
      <w:r w:rsidR="003849AD" w:rsidRPr="00DF5C23">
        <w:rPr>
          <w:noProof/>
          <w:lang w:eastAsia="fr-BE"/>
        </w:rPr>
        <w:t>当該</w:t>
      </w:r>
      <w:r w:rsidR="00877B9C" w:rsidRPr="00DF5C23">
        <w:rPr>
          <w:noProof/>
          <w:lang w:eastAsia="fr-BE"/>
        </w:rPr>
        <w:t>製品の</w:t>
      </w:r>
      <w:r w:rsidR="001910D3" w:rsidRPr="00DF5C23">
        <w:rPr>
          <w:noProof/>
          <w:lang w:eastAsia="fr-BE"/>
        </w:rPr>
        <w:t>上市時</w:t>
      </w:r>
      <w:r w:rsidR="001C1948" w:rsidRPr="00DF5C23">
        <w:rPr>
          <w:noProof/>
          <w:lang w:eastAsia="fr-BE"/>
        </w:rPr>
        <w:t>または使用開始</w:t>
      </w:r>
      <w:r w:rsidR="00877B9C" w:rsidRPr="00DF5C23">
        <w:rPr>
          <w:noProof/>
          <w:lang w:eastAsia="fr-BE"/>
        </w:rPr>
        <w:t>時に</w:t>
      </w:r>
      <w:r w:rsidRPr="00DF5C23">
        <w:rPr>
          <w:noProof/>
          <w:lang w:eastAsia="fr-BE"/>
        </w:rPr>
        <w:t>適用</w:t>
      </w:r>
      <w:r w:rsidR="00877B9C" w:rsidRPr="00DF5C23">
        <w:rPr>
          <w:noProof/>
          <w:lang w:eastAsia="fr-BE"/>
        </w:rPr>
        <w:t>される</w:t>
      </w:r>
      <w:r w:rsidR="00122F7D" w:rsidRPr="00DF5C23">
        <w:rPr>
          <w:noProof/>
          <w:lang w:eastAsia="fr-BE"/>
        </w:rPr>
        <w:t>第</w:t>
      </w:r>
      <w:r w:rsidR="00122F7D" w:rsidRPr="00DF5C23">
        <w:rPr>
          <w:noProof/>
          <w:lang w:eastAsia="fr-BE"/>
        </w:rPr>
        <w:t>4</w:t>
      </w:r>
      <w:r w:rsidR="00122F7D" w:rsidRPr="00DF5C23">
        <w:rPr>
          <w:noProof/>
          <w:lang w:eastAsia="fr-BE"/>
        </w:rPr>
        <w:t>条に従って採択された</w:t>
      </w:r>
      <w:r w:rsidR="00877B9C" w:rsidRPr="00DF5C23">
        <w:rPr>
          <w:noProof/>
          <w:lang w:eastAsia="fr-BE"/>
        </w:rPr>
        <w:t>委任法に定める</w:t>
      </w:r>
      <w:r w:rsidRPr="00DF5C23">
        <w:rPr>
          <w:noProof/>
          <w:lang w:eastAsia="fr-BE"/>
        </w:rPr>
        <w:t>要件に</w:t>
      </w:r>
      <w:r w:rsidR="003849AD" w:rsidRPr="00DF5C23">
        <w:rPr>
          <w:noProof/>
          <w:lang w:eastAsia="fr-BE"/>
        </w:rPr>
        <w:t>当該製品が</w:t>
      </w:r>
      <w:r w:rsidR="00877B9C" w:rsidRPr="00DF5C23">
        <w:rPr>
          <w:noProof/>
          <w:lang w:eastAsia="fr-BE"/>
        </w:rPr>
        <w:t>適合しなく</w:t>
      </w:r>
      <w:r w:rsidR="003849AD" w:rsidRPr="00DF5C23">
        <w:rPr>
          <w:noProof/>
          <w:lang w:eastAsia="fr-BE"/>
        </w:rPr>
        <w:t>なる</w:t>
      </w:r>
      <w:r w:rsidR="00877B9C" w:rsidRPr="00DF5C23">
        <w:rPr>
          <w:noProof/>
          <w:lang w:eastAsia="fr-BE"/>
        </w:rPr>
        <w:t>程度に、</w:t>
      </w:r>
      <w:r w:rsidR="00442771" w:rsidRPr="00DF5C23">
        <w:rPr>
          <w:noProof/>
          <w:lang w:eastAsia="fr-BE"/>
        </w:rPr>
        <w:t>第</w:t>
      </w:r>
      <w:r w:rsidR="00442771" w:rsidRPr="00DF5C23">
        <w:rPr>
          <w:noProof/>
          <w:lang w:eastAsia="fr-BE"/>
        </w:rPr>
        <w:t>1</w:t>
      </w:r>
      <w:r w:rsidR="00442771" w:rsidRPr="00DF5C23">
        <w:rPr>
          <w:noProof/>
          <w:lang w:eastAsia="fr-BE"/>
        </w:rPr>
        <w:t>項にいう性能を</w:t>
      </w:r>
      <w:r w:rsidR="003849AD" w:rsidRPr="00DF5C23">
        <w:rPr>
          <w:noProof/>
          <w:lang w:eastAsia="fr-BE"/>
        </w:rPr>
        <w:t>悪化させない</w:t>
      </w:r>
      <w:r w:rsidR="00877B9C" w:rsidRPr="00DF5C23">
        <w:rPr>
          <w:noProof/>
          <w:lang w:eastAsia="fr-BE"/>
        </w:rPr>
        <w:t>ものと</w:t>
      </w:r>
      <w:r w:rsidR="002041D4">
        <w:rPr>
          <w:noProof/>
          <w:lang w:eastAsia="fr-BE"/>
        </w:rPr>
        <w:t>する</w:t>
      </w:r>
      <w:r w:rsidRPr="00DF5C23">
        <w:rPr>
          <w:noProof/>
          <w:lang w:eastAsia="fr-BE"/>
        </w:rPr>
        <w:t>。</w:t>
      </w:r>
    </w:p>
    <w:p w14:paraId="44CF877C" w14:textId="77777777" w:rsidR="0038775E" w:rsidRDefault="00807659" w:rsidP="002041D4">
      <w:pPr>
        <w:pStyle w:val="Titrearticle"/>
        <w:wordWrap w:val="0"/>
        <w:rPr>
          <w:noProof/>
          <w:color w:val="000000" w:themeColor="text1"/>
          <w:lang w:val="en-IE" w:eastAsia="fr-BE"/>
        </w:rPr>
      </w:pPr>
      <w:r w:rsidRPr="00DF5C23">
        <w:rPr>
          <w:noProof/>
          <w:lang w:val="en-IE" w:eastAsia="fr-BE"/>
        </w:rPr>
        <w:t>第</w:t>
      </w:r>
      <w:r w:rsidRPr="00DF5C23">
        <w:rPr>
          <w:noProof/>
          <w:lang w:val="en-IE" w:eastAsia="fr-BE"/>
        </w:rPr>
        <w:t>34</w:t>
      </w:r>
      <w:r w:rsidR="00877B9C" w:rsidRPr="00DF5C23">
        <w:rPr>
          <w:noProof/>
          <w:lang w:val="en-IE" w:eastAsia="fr-BE"/>
        </w:rPr>
        <w:t>条</w:t>
      </w:r>
      <w:r w:rsidR="00014A6A" w:rsidRPr="00DF5C23">
        <w:rPr>
          <w:noProof/>
          <w:lang w:eastAsia="ja-JP"/>
        </w:rPr>
        <w:br/>
      </w:r>
      <w:r w:rsidR="00775814" w:rsidRPr="00DF5C23">
        <w:rPr>
          <w:noProof/>
          <w:lang w:val="en-IE" w:eastAsia="fr-BE"/>
        </w:rPr>
        <w:t>適合性の推定</w:t>
      </w:r>
    </w:p>
    <w:p w14:paraId="688D79E2" w14:textId="77777777" w:rsidR="0038775E" w:rsidRDefault="00877B9C" w:rsidP="002041D4">
      <w:pPr>
        <w:pStyle w:val="ManualNumPar1"/>
        <w:wordWrap w:val="0"/>
        <w:rPr>
          <w:noProof/>
          <w:lang w:val="en-IE" w:eastAsia="fr-BE"/>
        </w:rPr>
      </w:pPr>
      <w:r w:rsidRPr="004F5E59">
        <w:rPr>
          <w:lang w:eastAsia="ja-JP"/>
        </w:rPr>
        <w:t>1.</w:t>
      </w:r>
      <w:r w:rsidRPr="004F5E59">
        <w:rPr>
          <w:lang w:eastAsia="ja-JP"/>
        </w:rPr>
        <w:tab/>
      </w:r>
      <w:r w:rsidR="00A404BE" w:rsidRPr="00DF5C23">
        <w:rPr>
          <w:noProof/>
          <w:lang w:val="en-IE" w:eastAsia="fr-BE"/>
        </w:rPr>
        <w:t>第</w:t>
      </w:r>
      <w:r w:rsidR="00A404BE" w:rsidRPr="00DF5C23">
        <w:rPr>
          <w:noProof/>
          <w:lang w:val="en-IE" w:eastAsia="fr-BE"/>
        </w:rPr>
        <w:t>32</w:t>
      </w:r>
      <w:r w:rsidR="002E7904" w:rsidRPr="00DF5C23">
        <w:rPr>
          <w:noProof/>
          <w:lang w:val="en-IE" w:eastAsia="fr-BE"/>
        </w:rPr>
        <w:t>条にいう</w:t>
      </w:r>
      <w:r w:rsidR="0681B866" w:rsidRPr="00DF5C23">
        <w:rPr>
          <w:noProof/>
          <w:lang w:val="en-IE" w:eastAsia="fr-BE"/>
        </w:rPr>
        <w:t>試験、測定又は計算方法で、</w:t>
      </w:r>
      <w:r w:rsidR="0681B866" w:rsidRPr="00DF5C23">
        <w:rPr>
          <w:i/>
          <w:iCs/>
          <w:noProof/>
          <w:lang w:val="en-IE" w:eastAsia="fr-BE"/>
        </w:rPr>
        <w:t>欧州連合官報に</w:t>
      </w:r>
      <w:r w:rsidR="0681B866" w:rsidRPr="00DF5C23">
        <w:rPr>
          <w:noProof/>
          <w:lang w:val="en-IE" w:eastAsia="fr-BE"/>
        </w:rPr>
        <w:t>引用文献が掲載されている整合規格又はその一部に適合するものは、</w:t>
      </w:r>
      <w:r w:rsidR="002E7904" w:rsidRPr="00DF5C23">
        <w:rPr>
          <w:noProof/>
          <w:lang w:val="en-IE" w:eastAsia="fr-BE"/>
        </w:rPr>
        <w:t>当該</w:t>
      </w:r>
      <w:r w:rsidR="0681B866" w:rsidRPr="00DF5C23">
        <w:rPr>
          <w:noProof/>
          <w:lang w:val="en-IE" w:eastAsia="fr-BE"/>
        </w:rPr>
        <w:t>整合規格又はその一部によってその要求が網羅されている限りにおいて、</w:t>
      </w:r>
      <w:r w:rsidR="002E7904" w:rsidRPr="00DF5C23">
        <w:rPr>
          <w:noProof/>
          <w:lang w:val="en-IE" w:eastAsia="fr-BE"/>
        </w:rPr>
        <w:t>同条に定める要求並びに第</w:t>
      </w:r>
      <w:r w:rsidR="002E7904" w:rsidRPr="00DF5C23">
        <w:rPr>
          <w:noProof/>
          <w:lang w:val="en-IE" w:eastAsia="fr-BE"/>
        </w:rPr>
        <w:t>4</w:t>
      </w:r>
      <w:r w:rsidR="002E7904" w:rsidRPr="00DF5C23">
        <w:rPr>
          <w:noProof/>
          <w:lang w:val="en-IE" w:eastAsia="fr-BE"/>
        </w:rPr>
        <w:t>条に従って採択された</w:t>
      </w:r>
      <w:r w:rsidR="0681B866" w:rsidRPr="00DF5C23">
        <w:rPr>
          <w:noProof/>
          <w:lang w:val="en-IE" w:eastAsia="fr-BE"/>
        </w:rPr>
        <w:t>委任行為に定める試験、測定及び計算要求と</w:t>
      </w:r>
      <w:r w:rsidR="002E7904" w:rsidRPr="00DF5C23">
        <w:rPr>
          <w:noProof/>
          <w:lang w:val="en-IE" w:eastAsia="fr-BE"/>
        </w:rPr>
        <w:t>適合するものと</w:t>
      </w:r>
      <w:r w:rsidR="0681B866" w:rsidRPr="00DF5C23">
        <w:rPr>
          <w:noProof/>
          <w:lang w:val="en-IE" w:eastAsia="fr-BE"/>
        </w:rPr>
        <w:t>推定されるものとする。</w:t>
      </w:r>
      <w:r w:rsidR="0681B866" w:rsidRPr="00DF5C23">
        <w:rPr>
          <w:noProof/>
          <w:lang w:val="en-IE" w:eastAsia="fr-BE"/>
        </w:rPr>
        <w:t xml:space="preserve"> </w:t>
      </w:r>
    </w:p>
    <w:p w14:paraId="1689CB24" w14:textId="77777777" w:rsidR="0038775E" w:rsidRDefault="00877B9C" w:rsidP="002041D4">
      <w:pPr>
        <w:pStyle w:val="ManualNumPar1"/>
        <w:wordWrap w:val="0"/>
        <w:rPr>
          <w:noProof/>
          <w:lang w:val="en-IE" w:eastAsia="fr-BE"/>
        </w:rPr>
      </w:pPr>
      <w:r w:rsidRPr="004F5E59">
        <w:rPr>
          <w:lang w:eastAsia="ja-JP"/>
        </w:rPr>
        <w:t>2.</w:t>
      </w:r>
      <w:r w:rsidRPr="004F5E59">
        <w:rPr>
          <w:lang w:eastAsia="ja-JP"/>
        </w:rPr>
        <w:tab/>
      </w:r>
      <w:r w:rsidR="00646885" w:rsidRPr="00DF5C23">
        <w:rPr>
          <w:i/>
          <w:noProof/>
          <w:lang w:val="en-IE" w:eastAsia="fr-BE"/>
        </w:rPr>
        <w:t>欧州連合官報に</w:t>
      </w:r>
      <w:r w:rsidR="00646885" w:rsidRPr="00DF5C23">
        <w:rPr>
          <w:noProof/>
          <w:lang w:val="en-IE" w:eastAsia="fr-BE"/>
        </w:rPr>
        <w:t>引用文献が掲載さ</w:t>
      </w:r>
      <w:r w:rsidR="0046368C" w:rsidRPr="00DF5C23">
        <w:rPr>
          <w:noProof/>
          <w:lang w:val="en-IE" w:eastAsia="fr-BE"/>
        </w:rPr>
        <w:t>れた</w:t>
      </w:r>
      <w:r w:rsidR="00646885" w:rsidRPr="00DF5C23">
        <w:rPr>
          <w:noProof/>
          <w:lang w:val="en-IE" w:eastAsia="fr-BE"/>
        </w:rPr>
        <w:t>整合規格またはその一部に適合する製品は、当該整合規格またはその一部によってカバーされる限りにおいて、</w:t>
      </w:r>
      <w:r w:rsidR="002E7904" w:rsidRPr="00DF5C23">
        <w:rPr>
          <w:noProof/>
          <w:lang w:val="en-IE" w:eastAsia="fr-BE"/>
        </w:rPr>
        <w:t>第</w:t>
      </w:r>
      <w:r w:rsidR="002E7904" w:rsidRPr="00DF5C23">
        <w:rPr>
          <w:noProof/>
          <w:lang w:val="en-IE" w:eastAsia="fr-BE"/>
        </w:rPr>
        <w:t>4</w:t>
      </w:r>
      <w:r w:rsidR="002E7904" w:rsidRPr="00DF5C23">
        <w:rPr>
          <w:noProof/>
          <w:lang w:val="en-IE" w:eastAsia="fr-BE"/>
        </w:rPr>
        <w:t>条に従って採択された</w:t>
      </w:r>
      <w:r w:rsidR="00095F2D" w:rsidRPr="00DF5C23">
        <w:rPr>
          <w:noProof/>
          <w:lang w:val="en-IE" w:eastAsia="fr-BE"/>
        </w:rPr>
        <w:t>委任</w:t>
      </w:r>
      <w:r w:rsidR="00646885" w:rsidRPr="00DF5C23">
        <w:rPr>
          <w:noProof/>
          <w:lang w:val="en-IE" w:eastAsia="fr-BE"/>
        </w:rPr>
        <w:t>法に定められた</w:t>
      </w:r>
      <w:r w:rsidR="002E7904" w:rsidRPr="00DF5C23">
        <w:rPr>
          <w:noProof/>
          <w:lang w:val="en-IE" w:eastAsia="fr-BE"/>
        </w:rPr>
        <w:t>エコデザイン</w:t>
      </w:r>
      <w:r w:rsidR="00646885" w:rsidRPr="00DF5C23">
        <w:rPr>
          <w:noProof/>
          <w:lang w:val="en-IE" w:eastAsia="fr-BE"/>
        </w:rPr>
        <w:t>要件に適合していると推定されるものとする。</w:t>
      </w:r>
    </w:p>
    <w:p w14:paraId="3F42D71B" w14:textId="05F6BFBA" w:rsidR="0038775E" w:rsidRDefault="00877B9C" w:rsidP="002041D4">
      <w:pPr>
        <w:pStyle w:val="ManualNumPar1"/>
        <w:wordWrap w:val="0"/>
        <w:rPr>
          <w:noProof/>
          <w:lang w:val="en-IE" w:eastAsia="fr-BE"/>
        </w:rPr>
      </w:pPr>
      <w:r w:rsidRPr="004F5E59">
        <w:rPr>
          <w:lang w:eastAsia="ja-JP"/>
        </w:rPr>
        <w:t>3.</w:t>
      </w:r>
      <w:r w:rsidRPr="004F5E59">
        <w:rPr>
          <w:lang w:eastAsia="ja-JP"/>
        </w:rPr>
        <w:tab/>
      </w:r>
      <w:r w:rsidR="002E7904" w:rsidRPr="00DF5C23">
        <w:rPr>
          <w:noProof/>
          <w:lang w:val="en-IE" w:eastAsia="fr-BE"/>
        </w:rPr>
        <w:t>第</w:t>
      </w:r>
      <w:r w:rsidR="002E7904" w:rsidRPr="00DF5C23">
        <w:rPr>
          <w:noProof/>
          <w:lang w:val="en-IE" w:eastAsia="fr-BE"/>
        </w:rPr>
        <w:t xml:space="preserve"> 4 </w:t>
      </w:r>
      <w:r w:rsidR="002E7904" w:rsidRPr="00DF5C23">
        <w:rPr>
          <w:noProof/>
          <w:lang w:val="en-IE" w:eastAsia="fr-BE"/>
        </w:rPr>
        <w:t>条に従って採択された</w:t>
      </w:r>
      <w:r w:rsidR="00715D90" w:rsidRPr="00DF5C23">
        <w:rPr>
          <w:noProof/>
          <w:lang w:val="en-IE" w:eastAsia="fr-BE"/>
        </w:rPr>
        <w:t>委任法の</w:t>
      </w:r>
      <w:r w:rsidR="00646885" w:rsidRPr="00DF5C23">
        <w:rPr>
          <w:noProof/>
          <w:lang w:val="en-IE" w:eastAsia="fr-BE"/>
        </w:rPr>
        <w:t>対象となる</w:t>
      </w:r>
      <w:r w:rsidR="0065275B" w:rsidRPr="00DF5C23">
        <w:rPr>
          <w:noProof/>
          <w:lang w:val="en-IE" w:eastAsia="fr-BE"/>
        </w:rPr>
        <w:t>製品で、</w:t>
      </w:r>
      <w:r w:rsidR="00646885" w:rsidRPr="00DF5C23">
        <w:rPr>
          <w:noProof/>
          <w:lang w:val="en-IE" w:eastAsia="fr-BE"/>
        </w:rPr>
        <w:t>規則（</w:t>
      </w:r>
      <w:r w:rsidR="00646885" w:rsidRPr="00DF5C23">
        <w:rPr>
          <w:noProof/>
          <w:lang w:val="en-IE" w:eastAsia="fr-BE"/>
        </w:rPr>
        <w:t>EC</w:t>
      </w:r>
      <w:r w:rsidR="00646885" w:rsidRPr="00DF5C23">
        <w:rPr>
          <w:noProof/>
          <w:lang w:val="en-IE" w:eastAsia="fr-BE"/>
        </w:rPr>
        <w:t>）</w:t>
      </w:r>
      <w:r w:rsidR="00646885" w:rsidRPr="00DF5C23">
        <w:rPr>
          <w:noProof/>
          <w:lang w:val="en-IE" w:eastAsia="fr-BE"/>
        </w:rPr>
        <w:t xml:space="preserve">No 66/2010 </w:t>
      </w:r>
      <w:r w:rsidR="00646885" w:rsidRPr="00DF5C23">
        <w:rPr>
          <w:noProof/>
          <w:lang w:val="en-IE" w:eastAsia="fr-BE"/>
        </w:rPr>
        <w:t>に従って</w:t>
      </w:r>
      <w:r w:rsidR="00646885" w:rsidRPr="00DF5C23">
        <w:rPr>
          <w:noProof/>
          <w:lang w:val="en-IE" w:eastAsia="fr-BE"/>
        </w:rPr>
        <w:t xml:space="preserve"> </w:t>
      </w:r>
      <w:r w:rsidR="006559DF" w:rsidRPr="00DF5C23">
        <w:rPr>
          <w:noProof/>
          <w:lang w:val="en-IE" w:eastAsia="fr-BE"/>
        </w:rPr>
        <w:t xml:space="preserve">EU </w:t>
      </w:r>
      <w:r w:rsidR="00646885" w:rsidRPr="00DF5C23">
        <w:rPr>
          <w:noProof/>
          <w:lang w:val="en-IE" w:eastAsia="fr-BE"/>
        </w:rPr>
        <w:t>エコラベルを授与されたものは、</w:t>
      </w:r>
      <w:r w:rsidR="00DD392C" w:rsidRPr="00DF5C23">
        <w:rPr>
          <w:noProof/>
          <w:lang w:val="en-IE" w:eastAsia="fr-BE"/>
        </w:rPr>
        <w:t>規則（</w:t>
      </w:r>
      <w:r w:rsidR="00DD392C" w:rsidRPr="00DF5C23">
        <w:rPr>
          <w:noProof/>
          <w:lang w:val="en-IE" w:eastAsia="fr-BE"/>
        </w:rPr>
        <w:t>EC</w:t>
      </w:r>
      <w:r w:rsidR="00DD392C" w:rsidRPr="00DF5C23">
        <w:rPr>
          <w:noProof/>
          <w:lang w:val="en-IE" w:eastAsia="fr-BE"/>
        </w:rPr>
        <w:t>）</w:t>
      </w:r>
      <w:r w:rsidR="00DD392C" w:rsidRPr="00DF5C23">
        <w:rPr>
          <w:noProof/>
          <w:lang w:val="en-IE" w:eastAsia="fr-BE"/>
        </w:rPr>
        <w:t xml:space="preserve">No 66/2010 </w:t>
      </w:r>
      <w:r w:rsidR="00DD392C" w:rsidRPr="00DF5C23">
        <w:rPr>
          <w:noProof/>
          <w:lang w:val="en-IE" w:eastAsia="fr-BE"/>
        </w:rPr>
        <w:t>の</w:t>
      </w:r>
      <w:r w:rsidR="0065275B" w:rsidRPr="00DF5C23">
        <w:rPr>
          <w:noProof/>
          <w:lang w:val="en-IE" w:eastAsia="ja-JP"/>
        </w:rPr>
        <w:t>第</w:t>
      </w:r>
      <w:r w:rsidR="0065275B" w:rsidRPr="00DF5C23">
        <w:rPr>
          <w:noProof/>
          <w:lang w:val="en-IE" w:eastAsia="ja-JP"/>
        </w:rPr>
        <w:t xml:space="preserve"> 16 </w:t>
      </w:r>
      <w:r w:rsidR="0065275B" w:rsidRPr="00DF5C23">
        <w:rPr>
          <w:noProof/>
          <w:lang w:val="en-IE" w:eastAsia="ja-JP"/>
        </w:rPr>
        <w:t>条</w:t>
      </w:r>
      <w:r w:rsidR="00DD392C" w:rsidRPr="00DF5C23">
        <w:rPr>
          <w:noProof/>
          <w:lang w:val="en-IE" w:eastAsia="ja-JP"/>
        </w:rPr>
        <w:t>（</w:t>
      </w:r>
      <w:r w:rsidR="00DD392C" w:rsidRPr="00DF5C23">
        <w:rPr>
          <w:noProof/>
          <w:lang w:val="en-IE" w:eastAsia="ja-JP"/>
        </w:rPr>
        <w:t>2</w:t>
      </w:r>
      <w:r w:rsidR="0065275B" w:rsidRPr="00DF5C23">
        <w:rPr>
          <w:noProof/>
          <w:lang w:val="en-IE" w:eastAsia="ja-JP"/>
        </w:rPr>
        <w:t>）に従って設定された</w:t>
      </w:r>
      <w:r w:rsidR="0065275B" w:rsidRPr="00DF5C23">
        <w:rPr>
          <w:noProof/>
          <w:lang w:val="en-IE" w:eastAsia="ja-JP"/>
        </w:rPr>
        <w:t xml:space="preserve"> </w:t>
      </w:r>
      <w:r w:rsidR="00043DBB" w:rsidRPr="00DF5C23">
        <w:rPr>
          <w:noProof/>
          <w:lang w:val="en-IE" w:eastAsia="fr-BE"/>
        </w:rPr>
        <w:t xml:space="preserve">EU </w:t>
      </w:r>
      <w:r w:rsidR="00646885" w:rsidRPr="00DF5C23">
        <w:rPr>
          <w:noProof/>
          <w:lang w:val="en-IE" w:eastAsia="fr-BE"/>
        </w:rPr>
        <w:t>エコラベル</w:t>
      </w:r>
      <w:r w:rsidR="00775814" w:rsidRPr="00DF5C23">
        <w:rPr>
          <w:noProof/>
          <w:lang w:val="en-IE" w:eastAsia="fr-BE"/>
        </w:rPr>
        <w:t>基準により、その</w:t>
      </w:r>
      <w:r w:rsidR="00646885" w:rsidRPr="00DF5C23">
        <w:rPr>
          <w:noProof/>
          <w:lang w:val="en-IE" w:eastAsia="fr-BE"/>
        </w:rPr>
        <w:t>要件が</w:t>
      </w:r>
      <w:r w:rsidR="00775814" w:rsidRPr="00DF5C23">
        <w:rPr>
          <w:noProof/>
          <w:lang w:val="en-IE" w:eastAsia="fr-BE"/>
        </w:rPr>
        <w:t>カバーされている</w:t>
      </w:r>
      <w:r w:rsidR="00646885" w:rsidRPr="00DF5C23">
        <w:rPr>
          <w:noProof/>
          <w:lang w:val="en-IE" w:eastAsia="fr-BE"/>
        </w:rPr>
        <w:t>限りにおいて、</w:t>
      </w:r>
      <w:r w:rsidR="002E7904" w:rsidRPr="00DF5C23">
        <w:rPr>
          <w:noProof/>
          <w:lang w:val="en-IE" w:eastAsia="fr-BE"/>
        </w:rPr>
        <w:t>当該委任法に定められた</w:t>
      </w:r>
      <w:r w:rsidR="00092811" w:rsidRPr="00DF5C23">
        <w:rPr>
          <w:noProof/>
          <w:lang w:val="en-IE" w:eastAsia="fr-BE"/>
        </w:rPr>
        <w:t>エコデザイン</w:t>
      </w:r>
      <w:r w:rsidR="00646885" w:rsidRPr="00DF5C23">
        <w:rPr>
          <w:noProof/>
          <w:lang w:val="en-IE" w:eastAsia="fr-BE"/>
        </w:rPr>
        <w:t>要件に準拠しているものと推定さ</w:t>
      </w:r>
      <w:r w:rsidR="002041D4">
        <w:rPr>
          <w:noProof/>
          <w:lang w:val="en-IE" w:eastAsia="fr-BE"/>
        </w:rPr>
        <w:t>れる</w:t>
      </w:r>
      <w:r w:rsidR="00646885" w:rsidRPr="00DF5C23">
        <w:rPr>
          <w:noProof/>
          <w:lang w:val="en-IE" w:eastAsia="fr-BE"/>
        </w:rPr>
        <w:t>。</w:t>
      </w:r>
    </w:p>
    <w:p w14:paraId="0242F50A" w14:textId="77777777" w:rsidR="0038775E" w:rsidRDefault="00807659" w:rsidP="002041D4">
      <w:pPr>
        <w:pStyle w:val="Titrearticle"/>
        <w:wordWrap w:val="0"/>
        <w:rPr>
          <w:noProof/>
          <w:lang w:val="en-IE" w:eastAsia="ja-JP"/>
        </w:rPr>
      </w:pPr>
      <w:r w:rsidRPr="00DF5C23">
        <w:rPr>
          <w:noProof/>
          <w:lang w:val="en-IE" w:eastAsia="ja-JP"/>
        </w:rPr>
        <w:t>第</w:t>
      </w:r>
      <w:r w:rsidRPr="00DF5C23">
        <w:rPr>
          <w:noProof/>
          <w:lang w:val="en-IE" w:eastAsia="ja-JP"/>
        </w:rPr>
        <w:t>35</w:t>
      </w:r>
      <w:r w:rsidR="00877B9C" w:rsidRPr="00DF5C23">
        <w:rPr>
          <w:noProof/>
          <w:lang w:val="en-IE" w:eastAsia="ja-JP"/>
        </w:rPr>
        <w:t>条</w:t>
      </w:r>
      <w:r w:rsidR="00877B9C" w:rsidRPr="00DF5C23">
        <w:rPr>
          <w:noProof/>
          <w:lang w:val="en-IE" w:eastAsia="ja-JP"/>
        </w:rPr>
        <w:t xml:space="preserve"> </w:t>
      </w:r>
      <w:r w:rsidR="00014A6A" w:rsidRPr="00DF5C23">
        <w:rPr>
          <w:noProof/>
          <w:lang w:eastAsia="ja-JP"/>
        </w:rPr>
        <w:br/>
      </w:r>
      <w:r w:rsidR="00877B9C" w:rsidRPr="00DF5C23">
        <w:rPr>
          <w:noProof/>
          <w:lang w:val="en-IE" w:eastAsia="ja-JP"/>
        </w:rPr>
        <w:t>共通仕様</w:t>
      </w:r>
    </w:p>
    <w:p w14:paraId="5DBF2605" w14:textId="77777777" w:rsidR="0038775E" w:rsidRDefault="00877B9C" w:rsidP="002041D4">
      <w:pPr>
        <w:pStyle w:val="ManualNumPar1"/>
        <w:wordWrap w:val="0"/>
        <w:rPr>
          <w:noProof/>
          <w:lang w:val="en-IE" w:eastAsia="fr-BE"/>
        </w:rPr>
      </w:pPr>
      <w:r w:rsidRPr="004F5E59">
        <w:rPr>
          <w:lang w:eastAsia="ja-JP"/>
        </w:rPr>
        <w:t>1.</w:t>
      </w:r>
      <w:r w:rsidRPr="004F5E59">
        <w:rPr>
          <w:lang w:eastAsia="ja-JP"/>
        </w:rPr>
        <w:tab/>
      </w:r>
      <w:r w:rsidR="0681B866" w:rsidRPr="00DF5C23">
        <w:rPr>
          <w:noProof/>
          <w:lang w:val="en-IE" w:eastAsia="fr-BE"/>
        </w:rPr>
        <w:t>欧州委員会は、</w:t>
      </w:r>
      <w:r w:rsidR="00C3098B" w:rsidRPr="00DF5C23">
        <w:rPr>
          <w:noProof/>
          <w:lang w:val="en-IE" w:eastAsia="fr-BE"/>
        </w:rPr>
        <w:t>以下の状況において</w:t>
      </w:r>
      <w:r w:rsidR="0681B866" w:rsidRPr="00DF5C23">
        <w:rPr>
          <w:noProof/>
          <w:lang w:val="en-IE" w:eastAsia="fr-BE"/>
        </w:rPr>
        <w:t>、</w:t>
      </w:r>
      <w:r w:rsidR="00092811" w:rsidRPr="00DF5C23">
        <w:rPr>
          <w:noProof/>
          <w:lang w:val="en-IE" w:eastAsia="fr-BE"/>
        </w:rPr>
        <w:t>エコデザイン</w:t>
      </w:r>
      <w:r w:rsidR="0681B866" w:rsidRPr="00DF5C23">
        <w:rPr>
          <w:noProof/>
          <w:lang w:val="en-IE" w:eastAsia="fr-BE"/>
        </w:rPr>
        <w:t>要求事項</w:t>
      </w:r>
      <w:r w:rsidR="00F27B9C" w:rsidRPr="00DF5C23">
        <w:rPr>
          <w:noProof/>
          <w:lang w:val="en-IE" w:eastAsia="fr-BE"/>
        </w:rPr>
        <w:t>、</w:t>
      </w:r>
      <w:r w:rsidR="002C78D8" w:rsidRPr="00DF5C23">
        <w:rPr>
          <w:noProof/>
          <w:lang w:val="en-IE" w:eastAsia="fr-BE"/>
        </w:rPr>
        <w:t>第</w:t>
      </w:r>
      <w:r w:rsidR="002C78D8" w:rsidRPr="00DF5C23">
        <w:rPr>
          <w:noProof/>
          <w:lang w:val="en-IE" w:eastAsia="fr-BE"/>
        </w:rPr>
        <w:t>10</w:t>
      </w:r>
      <w:r w:rsidR="00F27B9C" w:rsidRPr="00DF5C23">
        <w:rPr>
          <w:noProof/>
          <w:lang w:val="en-IE" w:eastAsia="fr-BE"/>
        </w:rPr>
        <w:t>条にいう</w:t>
      </w:r>
      <w:r w:rsidR="00AD4D52" w:rsidRPr="00DF5C23">
        <w:rPr>
          <w:noProof/>
          <w:lang w:val="en-IE" w:eastAsia="fr-BE"/>
        </w:rPr>
        <w:t>製品パスポートの</w:t>
      </w:r>
      <w:r w:rsidR="00F27B9C" w:rsidRPr="00DF5C23">
        <w:rPr>
          <w:noProof/>
          <w:lang w:val="en-IE" w:eastAsia="fr-BE"/>
        </w:rPr>
        <w:t>必須</w:t>
      </w:r>
      <w:r w:rsidR="0031447E" w:rsidRPr="00DF5C23">
        <w:rPr>
          <w:noProof/>
          <w:lang w:val="en-IE" w:eastAsia="fr-BE"/>
        </w:rPr>
        <w:t>要件</w:t>
      </w:r>
      <w:r w:rsidR="00C3098B" w:rsidRPr="00DF5C23">
        <w:rPr>
          <w:noProof/>
          <w:lang w:val="en-IE" w:eastAsia="fr-BE"/>
        </w:rPr>
        <w:t>、または</w:t>
      </w:r>
      <w:r w:rsidR="00A404BE" w:rsidRPr="00DF5C23">
        <w:rPr>
          <w:noProof/>
          <w:lang w:val="en-IE" w:eastAsia="fr-BE"/>
        </w:rPr>
        <w:t>第</w:t>
      </w:r>
      <w:r w:rsidR="00A404BE" w:rsidRPr="00DF5C23">
        <w:rPr>
          <w:noProof/>
          <w:lang w:val="en-IE" w:eastAsia="fr-BE"/>
        </w:rPr>
        <w:t>32</w:t>
      </w:r>
      <w:r w:rsidR="00A404BE" w:rsidRPr="00DF5C23">
        <w:rPr>
          <w:noProof/>
          <w:lang w:val="en-IE" w:eastAsia="fr-BE"/>
        </w:rPr>
        <w:t>条に</w:t>
      </w:r>
      <w:r w:rsidR="00C3098B" w:rsidRPr="00DF5C23">
        <w:rPr>
          <w:noProof/>
          <w:lang w:val="en-IE" w:eastAsia="fr-BE"/>
        </w:rPr>
        <w:t>いう</w:t>
      </w:r>
      <w:r w:rsidR="0681B866" w:rsidRPr="00DF5C23">
        <w:rPr>
          <w:noProof/>
          <w:lang w:val="en-IE" w:eastAsia="fr-BE"/>
        </w:rPr>
        <w:t>試験、測定もしくは計算</w:t>
      </w:r>
      <w:r w:rsidR="00C3098B" w:rsidRPr="00DF5C23">
        <w:rPr>
          <w:noProof/>
          <w:lang w:val="en-IE" w:eastAsia="fr-BE"/>
        </w:rPr>
        <w:t>方法に関する</w:t>
      </w:r>
      <w:r w:rsidR="0681B866" w:rsidRPr="00DF5C23">
        <w:rPr>
          <w:noProof/>
          <w:lang w:val="en-IE" w:eastAsia="fr-BE"/>
        </w:rPr>
        <w:t>共通仕様を定めた実施法を採択することができる：</w:t>
      </w:r>
    </w:p>
    <w:p w14:paraId="0922802A" w14:textId="77777777" w:rsidR="0038775E" w:rsidRDefault="00877B9C" w:rsidP="002041D4">
      <w:pPr>
        <w:pStyle w:val="Point1"/>
        <w:wordWrap w:val="0"/>
        <w:rPr>
          <w:noProof/>
          <w:lang w:val="en-IE" w:eastAsia="fr-BE"/>
        </w:rPr>
      </w:pPr>
      <w:r w:rsidRPr="004F5E59">
        <w:rPr>
          <w:lang w:eastAsia="ja-JP"/>
        </w:rPr>
        <w:t>(a)</w:t>
      </w:r>
      <w:r w:rsidRPr="004F5E59">
        <w:rPr>
          <w:lang w:eastAsia="ja-JP"/>
        </w:rPr>
        <w:tab/>
      </w:r>
      <w:r w:rsidR="00506E86" w:rsidRPr="00DF5C23">
        <w:rPr>
          <w:i/>
          <w:iCs/>
          <w:noProof/>
          <w:lang w:val="en-IE" w:eastAsia="fr-BE"/>
        </w:rPr>
        <w:t>欧州連合官報に</w:t>
      </w:r>
      <w:r w:rsidR="00506E86" w:rsidRPr="00DF5C23">
        <w:rPr>
          <w:noProof/>
          <w:lang w:val="en-IE" w:eastAsia="fr-BE"/>
        </w:rPr>
        <w:t>引用文献が掲載されている整合規格またはその一部でカバーされていない</w:t>
      </w:r>
      <w:r w:rsidR="00C3098B" w:rsidRPr="00DF5C23">
        <w:rPr>
          <w:noProof/>
          <w:lang w:val="en-IE" w:eastAsia="fr-BE"/>
        </w:rPr>
        <w:t>エコデザイン</w:t>
      </w:r>
      <w:r w:rsidR="00506E86" w:rsidRPr="00DF5C23">
        <w:rPr>
          <w:noProof/>
          <w:lang w:val="en-IE" w:eastAsia="fr-BE"/>
        </w:rPr>
        <w:t>要件または方法に関して、整合規格を起草するよう</w:t>
      </w:r>
      <w:r w:rsidR="00506E86" w:rsidRPr="00DF5C23">
        <w:rPr>
          <w:noProof/>
          <w:lang w:val="en-IE" w:eastAsia="fr-BE"/>
        </w:rPr>
        <w:t>1</w:t>
      </w:r>
      <w:r w:rsidR="00506E86" w:rsidRPr="00DF5C23">
        <w:rPr>
          <w:noProof/>
          <w:lang w:val="en-IE" w:eastAsia="fr-BE"/>
        </w:rPr>
        <w:t>つまたは複数の欧州標準化機関に要請し、標準化手続きに不当な遅延があるか、その要請がいずれの欧州標準化機関によっても受理</w:t>
      </w:r>
      <w:r w:rsidR="0046368C" w:rsidRPr="00DF5C23">
        <w:rPr>
          <w:noProof/>
          <w:lang w:val="en-IE" w:eastAsia="fr-BE"/>
        </w:rPr>
        <w:t>されていない場合；</w:t>
      </w:r>
      <w:r w:rsidR="0046368C" w:rsidRPr="00DF5C23">
        <w:rPr>
          <w:noProof/>
          <w:lang w:val="en-IE" w:eastAsia="fr-BE"/>
        </w:rPr>
        <w:t xml:space="preserve"> </w:t>
      </w:r>
    </w:p>
    <w:p w14:paraId="0B9B766C" w14:textId="77777777" w:rsidR="0038775E" w:rsidRDefault="00877B9C" w:rsidP="002041D4">
      <w:pPr>
        <w:pStyle w:val="Point1"/>
        <w:wordWrap w:val="0"/>
        <w:rPr>
          <w:noProof/>
          <w:lang w:val="en-IE" w:eastAsia="fr-BE"/>
        </w:rPr>
      </w:pPr>
      <w:r w:rsidRPr="004F5E59">
        <w:rPr>
          <w:lang w:eastAsia="ja-JP"/>
        </w:rPr>
        <w:t>(b)</w:t>
      </w:r>
      <w:r w:rsidRPr="004F5E59">
        <w:rPr>
          <w:lang w:eastAsia="ja-JP"/>
        </w:rPr>
        <w:tab/>
      </w:r>
      <w:r w:rsidR="00DC7401" w:rsidRPr="00DF5C23">
        <w:rPr>
          <w:noProof/>
          <w:lang w:val="en-IE" w:eastAsia="fr-BE"/>
        </w:rPr>
        <w:t>欧州委員会が、規則（</w:t>
      </w:r>
      <w:r w:rsidR="00DC7401" w:rsidRPr="00DF5C23">
        <w:rPr>
          <w:noProof/>
          <w:lang w:val="en-IE" w:eastAsia="fr-BE"/>
        </w:rPr>
        <w:t>EU</w:t>
      </w:r>
      <w:r w:rsidR="00DC7401" w:rsidRPr="00DF5C23">
        <w:rPr>
          <w:noProof/>
          <w:lang w:val="en-IE" w:eastAsia="fr-BE"/>
        </w:rPr>
        <w:t>）</w:t>
      </w:r>
      <w:r w:rsidR="00DC7401" w:rsidRPr="00DF5C23">
        <w:rPr>
          <w:noProof/>
          <w:lang w:val="en-IE" w:eastAsia="fr-BE"/>
        </w:rPr>
        <w:t xml:space="preserve">No 1025/2012 </w:t>
      </w:r>
      <w:r w:rsidR="00DC7401" w:rsidRPr="00DF5C23">
        <w:rPr>
          <w:noProof/>
          <w:lang w:val="en-IE" w:eastAsia="fr-BE"/>
        </w:rPr>
        <w:t>の第</w:t>
      </w:r>
      <w:r w:rsidR="00DC7401" w:rsidRPr="00DF5C23">
        <w:rPr>
          <w:noProof/>
          <w:lang w:val="en-IE" w:eastAsia="fr-BE"/>
        </w:rPr>
        <w:t xml:space="preserve"> 11 </w:t>
      </w:r>
      <w:r w:rsidR="00DC7401" w:rsidRPr="00DF5C23">
        <w:rPr>
          <w:noProof/>
          <w:lang w:val="en-IE" w:eastAsia="fr-BE"/>
        </w:rPr>
        <w:t>条（</w:t>
      </w:r>
      <w:r w:rsidR="00DC7401" w:rsidRPr="00DF5C23">
        <w:rPr>
          <w:noProof/>
          <w:lang w:val="en-IE" w:eastAsia="fr-BE"/>
        </w:rPr>
        <w:t>5</w:t>
      </w:r>
      <w:r w:rsidR="00DC7401" w:rsidRPr="00DF5C23">
        <w:rPr>
          <w:noProof/>
          <w:lang w:val="en-IE" w:eastAsia="fr-BE"/>
        </w:rPr>
        <w:t>）に定める手続に従い、</w:t>
      </w:r>
      <w:r w:rsidR="00C3098B" w:rsidRPr="00DF5C23">
        <w:rPr>
          <w:noProof/>
          <w:lang w:val="en-IE" w:eastAsia="fr-BE"/>
        </w:rPr>
        <w:t>エコデザイン</w:t>
      </w:r>
      <w:r w:rsidR="00DC7401" w:rsidRPr="00DF5C23">
        <w:rPr>
          <w:noProof/>
          <w:lang w:val="en-IE" w:eastAsia="fr-BE"/>
        </w:rPr>
        <w:t>要件または方法が適用</w:t>
      </w:r>
      <w:r w:rsidR="00C3098B" w:rsidRPr="00DF5C23">
        <w:rPr>
          <w:noProof/>
          <w:lang w:val="en-IE" w:eastAsia="fr-BE"/>
        </w:rPr>
        <w:t>さ</w:t>
      </w:r>
      <w:r w:rsidR="00DC7401" w:rsidRPr="00DF5C23">
        <w:rPr>
          <w:noProof/>
          <w:lang w:val="en-IE" w:eastAsia="fr-BE"/>
        </w:rPr>
        <w:t>れる整合規格またはその一部への参照を制限付きで維持または撤回することを決定した</w:t>
      </w:r>
      <w:r w:rsidR="002B664A" w:rsidRPr="00DF5C23">
        <w:rPr>
          <w:noProof/>
          <w:lang w:val="en-IE" w:eastAsia="fr-BE"/>
        </w:rPr>
        <w:t>。</w:t>
      </w:r>
    </w:p>
    <w:p w14:paraId="661AB252" w14:textId="77777777" w:rsidR="0038775E" w:rsidRDefault="00877B9C" w:rsidP="002041D4">
      <w:pPr>
        <w:pStyle w:val="Text1"/>
        <w:wordWrap w:val="0"/>
        <w:rPr>
          <w:noProof/>
          <w:lang w:val="en-IE" w:eastAsia="fr-BE"/>
        </w:rPr>
      </w:pPr>
      <w:r w:rsidRPr="00DF5C23">
        <w:rPr>
          <w:noProof/>
          <w:lang w:val="en-IE" w:eastAsia="fr-BE"/>
        </w:rPr>
        <w:t>これらの実施法は、</w:t>
      </w:r>
      <w:r w:rsidR="00A404BE" w:rsidRPr="00DF5C23">
        <w:rPr>
          <w:noProof/>
          <w:lang w:val="en-IE" w:eastAsia="fr-BE"/>
        </w:rPr>
        <w:t>第</w:t>
      </w:r>
      <w:r w:rsidR="00A404BE" w:rsidRPr="00DF5C23">
        <w:rPr>
          <w:noProof/>
          <w:lang w:val="en-IE" w:eastAsia="fr-BE"/>
        </w:rPr>
        <w:t>67</w:t>
      </w:r>
      <w:r w:rsidR="00A404BE" w:rsidRPr="00DF5C23">
        <w:rPr>
          <w:noProof/>
          <w:lang w:val="en-IE" w:eastAsia="fr-BE"/>
        </w:rPr>
        <w:t>条</w:t>
      </w:r>
      <w:r w:rsidR="00E7338F" w:rsidRPr="00DF5C23">
        <w:rPr>
          <w:noProof/>
          <w:lang w:val="en-IE" w:eastAsia="fr-BE"/>
        </w:rPr>
        <w:t>(3)</w:t>
      </w:r>
      <w:r w:rsidRPr="00DF5C23">
        <w:rPr>
          <w:noProof/>
          <w:lang w:val="en-IE" w:eastAsia="fr-BE"/>
        </w:rPr>
        <w:t>にいう審査手続きに基づいて採択されるものとする。</w:t>
      </w:r>
    </w:p>
    <w:p w14:paraId="2937F09F" w14:textId="77777777" w:rsidR="0038775E" w:rsidRDefault="00877B9C" w:rsidP="002041D4">
      <w:pPr>
        <w:pStyle w:val="ManualNumPar1"/>
        <w:wordWrap w:val="0"/>
        <w:rPr>
          <w:noProof/>
          <w:lang w:val="en-IE" w:eastAsia="fr-BE"/>
        </w:rPr>
      </w:pPr>
      <w:r w:rsidRPr="004F5E59">
        <w:rPr>
          <w:lang w:eastAsia="ja-JP"/>
        </w:rPr>
        <w:t>2.</w:t>
      </w:r>
      <w:r w:rsidRPr="004F5E59">
        <w:rPr>
          <w:lang w:eastAsia="ja-JP"/>
        </w:rPr>
        <w:tab/>
      </w:r>
      <w:r w:rsidR="0681B866" w:rsidRPr="00DF5C23">
        <w:rPr>
          <w:noProof/>
          <w:lang w:val="en-IE" w:eastAsia="fr-BE"/>
        </w:rPr>
        <w:t>共通仕様又はその一部に適合する</w:t>
      </w:r>
      <w:r w:rsidR="00A404BE" w:rsidRPr="00DF5C23">
        <w:rPr>
          <w:noProof/>
          <w:lang w:val="en-IE" w:eastAsia="fr-BE"/>
        </w:rPr>
        <w:t>第</w:t>
      </w:r>
      <w:r w:rsidR="00A404BE" w:rsidRPr="00DF5C23">
        <w:rPr>
          <w:noProof/>
          <w:lang w:val="en-IE" w:eastAsia="fr-BE"/>
        </w:rPr>
        <w:t>32</w:t>
      </w:r>
      <w:r w:rsidR="00A404BE" w:rsidRPr="00DF5C23">
        <w:rPr>
          <w:noProof/>
          <w:lang w:val="en-IE" w:eastAsia="fr-BE"/>
        </w:rPr>
        <w:t>条の</w:t>
      </w:r>
      <w:r w:rsidR="00C3098B" w:rsidRPr="00DF5C23">
        <w:rPr>
          <w:noProof/>
          <w:lang w:val="en-IE" w:eastAsia="fr-BE"/>
        </w:rPr>
        <w:t>試験方法、測定方法及び計算方法は、同条に定める要件並びに第</w:t>
      </w:r>
      <w:r w:rsidR="00C3098B" w:rsidRPr="00DF5C23">
        <w:rPr>
          <w:noProof/>
          <w:lang w:val="en-IE" w:eastAsia="fr-BE"/>
        </w:rPr>
        <w:t>4</w:t>
      </w:r>
      <w:r w:rsidR="00C3098B" w:rsidRPr="00DF5C23">
        <w:rPr>
          <w:noProof/>
          <w:lang w:val="en-IE" w:eastAsia="fr-BE"/>
        </w:rPr>
        <w:t>条に従って採択された委任行為に定める試験、測定及び計算要件が</w:t>
      </w:r>
      <w:r w:rsidR="0681B866" w:rsidRPr="00DF5C23">
        <w:rPr>
          <w:noProof/>
          <w:lang w:val="en-IE" w:eastAsia="fr-BE"/>
        </w:rPr>
        <w:t>当該共通仕様又はその一部によってカバーされている限りにおいて、当該</w:t>
      </w:r>
      <w:r w:rsidR="00C3098B" w:rsidRPr="00DF5C23">
        <w:rPr>
          <w:noProof/>
          <w:lang w:val="en-IE" w:eastAsia="fr-BE"/>
        </w:rPr>
        <w:t>要件に適合するものと</w:t>
      </w:r>
      <w:r w:rsidR="0681B866" w:rsidRPr="00DF5C23">
        <w:rPr>
          <w:noProof/>
          <w:lang w:val="en-IE" w:eastAsia="fr-BE"/>
        </w:rPr>
        <w:t>推定されるものとする。</w:t>
      </w:r>
    </w:p>
    <w:p w14:paraId="6216CEC3" w14:textId="77777777" w:rsidR="0038775E" w:rsidRDefault="00877B9C" w:rsidP="002041D4">
      <w:pPr>
        <w:pStyle w:val="ManualNumPar1"/>
        <w:wordWrap w:val="0"/>
        <w:rPr>
          <w:noProof/>
          <w:lang w:val="en-IE" w:eastAsia="fr-BE"/>
        </w:rPr>
      </w:pPr>
      <w:r w:rsidRPr="004F5E59">
        <w:rPr>
          <w:lang w:eastAsia="ja-JP"/>
        </w:rPr>
        <w:lastRenderedPageBreak/>
        <w:t>3.</w:t>
      </w:r>
      <w:r w:rsidRPr="004F5E59">
        <w:rPr>
          <w:lang w:eastAsia="ja-JP"/>
        </w:rPr>
        <w:tab/>
      </w:r>
      <w:r w:rsidR="0681B866" w:rsidRPr="00DF5C23">
        <w:rPr>
          <w:noProof/>
          <w:lang w:val="en-IE" w:eastAsia="fr-BE"/>
        </w:rPr>
        <w:t>共通仕様またはその一部に適合する製品は、共通仕様またはその一部に含まれる限りにおいて、</w:t>
      </w:r>
      <w:r w:rsidR="00C3098B" w:rsidRPr="00DF5C23">
        <w:rPr>
          <w:noProof/>
          <w:lang w:val="en-IE" w:eastAsia="fr-BE"/>
        </w:rPr>
        <w:t>当該製品が対象となる第</w:t>
      </w:r>
      <w:r w:rsidR="00C3098B" w:rsidRPr="00DF5C23">
        <w:rPr>
          <w:noProof/>
          <w:lang w:val="en-IE" w:eastAsia="fr-BE"/>
        </w:rPr>
        <w:t>4</w:t>
      </w:r>
      <w:r w:rsidR="00C3098B" w:rsidRPr="00DF5C23">
        <w:rPr>
          <w:noProof/>
          <w:lang w:val="en-IE" w:eastAsia="fr-BE"/>
        </w:rPr>
        <w:t>条に従って採択された委任法に定められたエコデザイン</w:t>
      </w:r>
      <w:r w:rsidR="0681B866" w:rsidRPr="00DF5C23">
        <w:rPr>
          <w:noProof/>
          <w:lang w:val="en-IE" w:eastAsia="fr-BE"/>
        </w:rPr>
        <w:t>要件に適合していると推定される。</w:t>
      </w:r>
    </w:p>
    <w:p w14:paraId="2007083A" w14:textId="77777777" w:rsidR="0038775E" w:rsidRDefault="00807659" w:rsidP="002041D4">
      <w:pPr>
        <w:pStyle w:val="Titrearticle"/>
        <w:wordWrap w:val="0"/>
        <w:rPr>
          <w:noProof/>
          <w:lang w:val="en-IE" w:eastAsia="fr-BE"/>
        </w:rPr>
      </w:pPr>
      <w:r w:rsidRPr="00DF5C23">
        <w:rPr>
          <w:noProof/>
          <w:color w:val="000000" w:themeColor="text1"/>
          <w:lang w:val="en-IE" w:eastAsia="fr-BE"/>
        </w:rPr>
        <w:t>第</w:t>
      </w:r>
      <w:r w:rsidRPr="00DF5C23">
        <w:rPr>
          <w:noProof/>
          <w:color w:val="000000" w:themeColor="text1"/>
          <w:lang w:val="en-IE" w:eastAsia="fr-BE"/>
        </w:rPr>
        <w:t>36</w:t>
      </w:r>
      <w:r w:rsidR="00877B9C" w:rsidRPr="00DF5C23">
        <w:rPr>
          <w:noProof/>
          <w:color w:val="000000" w:themeColor="text1"/>
          <w:lang w:val="en-IE" w:eastAsia="fr-BE"/>
        </w:rPr>
        <w:t>条</w:t>
      </w:r>
      <w:r w:rsidR="00014A6A" w:rsidRPr="00DF5C23">
        <w:rPr>
          <w:noProof/>
          <w:lang w:eastAsia="ja-JP"/>
        </w:rPr>
        <w:br/>
      </w:r>
      <w:r w:rsidR="00877B9C" w:rsidRPr="00DF5C23">
        <w:rPr>
          <w:noProof/>
          <w:lang w:val="en-IE" w:eastAsia="fr-BE"/>
        </w:rPr>
        <w:t>適合性評価</w:t>
      </w:r>
    </w:p>
    <w:p w14:paraId="48D35670" w14:textId="77777777" w:rsidR="0038775E" w:rsidRDefault="00877B9C" w:rsidP="002041D4">
      <w:pPr>
        <w:pStyle w:val="ManualNumPar1"/>
        <w:wordWrap w:val="0"/>
        <w:rPr>
          <w:noProof/>
          <w:lang w:val="en-IE" w:eastAsia="fr-BE"/>
        </w:rPr>
      </w:pPr>
      <w:r w:rsidRPr="004F5E59">
        <w:rPr>
          <w:lang w:eastAsia="ja-JP"/>
        </w:rPr>
        <w:t>1.</w:t>
      </w:r>
      <w:r w:rsidRPr="004F5E59">
        <w:rPr>
          <w:lang w:eastAsia="ja-JP"/>
        </w:rPr>
        <w:tab/>
      </w:r>
      <w:r w:rsidR="00721189" w:rsidRPr="00DF5C23">
        <w:rPr>
          <w:noProof/>
          <w:lang w:val="en-IE" w:eastAsia="fr-BE"/>
        </w:rPr>
        <w:t>第</w:t>
      </w:r>
      <w:r w:rsidR="00721189" w:rsidRPr="00DF5C23">
        <w:rPr>
          <w:noProof/>
          <w:lang w:val="en-IE" w:eastAsia="fr-BE"/>
        </w:rPr>
        <w:t>4</w:t>
      </w:r>
      <w:r w:rsidR="00721189" w:rsidRPr="00DF5C23">
        <w:rPr>
          <w:noProof/>
          <w:lang w:val="en-IE" w:eastAsia="fr-BE"/>
        </w:rPr>
        <w:t>条</w:t>
      </w:r>
      <w:r w:rsidR="002438E5" w:rsidRPr="00DF5C23">
        <w:rPr>
          <w:noProof/>
          <w:lang w:val="en-IE" w:eastAsia="fr-BE"/>
        </w:rPr>
        <w:t>第</w:t>
      </w:r>
      <w:r w:rsidR="002438E5" w:rsidRPr="00DF5C23">
        <w:rPr>
          <w:noProof/>
          <w:lang w:val="en-IE" w:eastAsia="fr-BE"/>
        </w:rPr>
        <w:t>2</w:t>
      </w:r>
      <w:r w:rsidR="002438E5" w:rsidRPr="00DF5C23">
        <w:rPr>
          <w:noProof/>
          <w:lang w:val="en-IE" w:eastAsia="fr-BE"/>
        </w:rPr>
        <w:t>号の</w:t>
      </w:r>
      <w:r w:rsidR="00721189" w:rsidRPr="00DF5C23">
        <w:rPr>
          <w:noProof/>
          <w:lang w:val="en-IE" w:eastAsia="fr-BE"/>
        </w:rPr>
        <w:t>規定により適用される適合性評価手続を特定する場合、委員会は、以下の基準を</w:t>
      </w:r>
      <w:r w:rsidR="00283506" w:rsidRPr="00DF5C23">
        <w:rPr>
          <w:noProof/>
          <w:lang w:val="en-IE" w:eastAsia="fr-BE"/>
        </w:rPr>
        <w:t>考慮するものとする：</w:t>
      </w:r>
    </w:p>
    <w:p w14:paraId="6EA7D775" w14:textId="77777777" w:rsidR="0038775E" w:rsidRDefault="00877B9C" w:rsidP="002041D4">
      <w:pPr>
        <w:pStyle w:val="Point1"/>
        <w:wordWrap w:val="0"/>
        <w:rPr>
          <w:noProof/>
          <w:lang w:val="en-IE" w:eastAsia="fr-BE"/>
        </w:rPr>
      </w:pPr>
      <w:r w:rsidRPr="004F5E59">
        <w:rPr>
          <w:lang w:eastAsia="ja-JP"/>
        </w:rPr>
        <w:t>(a)</w:t>
      </w:r>
      <w:r w:rsidRPr="004F5E59">
        <w:rPr>
          <w:lang w:eastAsia="ja-JP"/>
        </w:rPr>
        <w:tab/>
      </w:r>
      <w:r w:rsidR="00721189" w:rsidRPr="00DF5C23">
        <w:rPr>
          <w:noProof/>
          <w:lang w:val="en-IE" w:eastAsia="fr-BE"/>
        </w:rPr>
        <w:t>当該モジュールが製品の種類に適切で</w:t>
      </w:r>
      <w:r w:rsidR="00ED7A83" w:rsidRPr="00DF5C23">
        <w:rPr>
          <w:noProof/>
          <w:lang w:val="en-IE" w:eastAsia="fr-BE"/>
        </w:rPr>
        <w:t>あり、追求される公共の利益に比例して</w:t>
      </w:r>
      <w:r w:rsidR="00721189" w:rsidRPr="00DF5C23">
        <w:rPr>
          <w:noProof/>
          <w:lang w:val="en-IE" w:eastAsia="fr-BE"/>
        </w:rPr>
        <w:t>いるかどうか；</w:t>
      </w:r>
    </w:p>
    <w:p w14:paraId="38019C5D" w14:textId="77777777" w:rsidR="0038775E" w:rsidRDefault="00877B9C" w:rsidP="002041D4">
      <w:pPr>
        <w:pStyle w:val="Point1"/>
        <w:wordWrap w:val="0"/>
        <w:rPr>
          <w:noProof/>
          <w:lang w:val="en-IE" w:eastAsia="fr-BE"/>
        </w:rPr>
      </w:pPr>
      <w:r w:rsidRPr="004F5E59">
        <w:rPr>
          <w:lang w:eastAsia="ja-JP"/>
        </w:rPr>
        <w:t>(b)</w:t>
      </w:r>
      <w:r w:rsidRPr="004F5E59">
        <w:rPr>
          <w:lang w:eastAsia="ja-JP"/>
        </w:rPr>
        <w:tab/>
      </w:r>
      <w:r w:rsidR="000E71D4" w:rsidRPr="00DF5C23">
        <w:rPr>
          <w:noProof/>
          <w:lang w:val="en-IE" w:eastAsia="fr-BE"/>
        </w:rPr>
        <w:t>関連するエコデザイン要求の</w:t>
      </w:r>
      <w:r w:rsidR="00F461EF" w:rsidRPr="00DF5C23">
        <w:rPr>
          <w:noProof/>
          <w:lang w:val="en-IE" w:eastAsia="fr-BE"/>
        </w:rPr>
        <w:t>根拠となる附属書</w:t>
      </w:r>
      <w:r w:rsidR="00F461EF" w:rsidRPr="00DF5C23">
        <w:rPr>
          <w:noProof/>
          <w:lang w:val="en-IE" w:eastAsia="fr-BE"/>
        </w:rPr>
        <w:t xml:space="preserve"> I </w:t>
      </w:r>
      <w:r w:rsidR="00F461EF" w:rsidRPr="00DF5C23">
        <w:rPr>
          <w:noProof/>
          <w:lang w:val="en-IE" w:eastAsia="fr-BE"/>
        </w:rPr>
        <w:t>で言及される製品パラメータの</w:t>
      </w:r>
      <w:r w:rsidR="00721189" w:rsidRPr="00DF5C23">
        <w:rPr>
          <w:noProof/>
          <w:lang w:val="en-IE" w:eastAsia="fr-BE"/>
        </w:rPr>
        <w:t>性質</w:t>
      </w:r>
      <w:r w:rsidR="000E71D4" w:rsidRPr="00DF5C23">
        <w:rPr>
          <w:noProof/>
          <w:lang w:val="en-IE" w:eastAsia="fr-BE"/>
        </w:rPr>
        <w:t>、特に、これらの製品パラメータに関連する性能が製品自体で検証できるかどうか、である</w:t>
      </w:r>
      <w:r w:rsidR="00721189" w:rsidRPr="00DF5C23">
        <w:rPr>
          <w:noProof/>
          <w:lang w:val="en-IE" w:eastAsia="fr-BE"/>
        </w:rPr>
        <w:t>；</w:t>
      </w:r>
    </w:p>
    <w:p w14:paraId="30D8752D" w14:textId="77777777" w:rsidR="0038775E" w:rsidRDefault="00877B9C" w:rsidP="002041D4">
      <w:pPr>
        <w:pStyle w:val="Point1"/>
        <w:wordWrap w:val="0"/>
        <w:rPr>
          <w:noProof/>
          <w:lang w:val="en-IE" w:eastAsia="fr-BE"/>
        </w:rPr>
      </w:pPr>
      <w:r w:rsidRPr="004F5E59">
        <w:rPr>
          <w:lang w:eastAsia="ja-JP"/>
        </w:rPr>
        <w:t>(c)</w:t>
      </w:r>
      <w:r w:rsidRPr="004F5E59">
        <w:rPr>
          <w:lang w:eastAsia="ja-JP"/>
        </w:rPr>
        <w:tab/>
      </w:r>
      <w:r w:rsidR="00721189" w:rsidRPr="00DF5C23">
        <w:rPr>
          <w:noProof/>
          <w:lang w:val="en-IE" w:eastAsia="fr-BE"/>
        </w:rPr>
        <w:t>第三者の関与が必須である場合、製造者は、</w:t>
      </w:r>
      <w:r w:rsidR="00F461EF" w:rsidRPr="00DF5C23">
        <w:rPr>
          <w:noProof/>
          <w:lang w:val="en-IE" w:eastAsia="fr-BE"/>
        </w:rPr>
        <w:t>決定番号</w:t>
      </w:r>
      <w:r w:rsidR="00F461EF" w:rsidRPr="00DF5C23">
        <w:rPr>
          <w:noProof/>
          <w:lang w:val="en-IE" w:eastAsia="fr-BE"/>
        </w:rPr>
        <w:t>768/2008/EC</w:t>
      </w:r>
      <w:r w:rsidR="00F461EF" w:rsidRPr="00DF5C23">
        <w:rPr>
          <w:noProof/>
          <w:lang w:val="en-IE" w:eastAsia="fr-BE"/>
        </w:rPr>
        <w:t>の</w:t>
      </w:r>
      <w:r w:rsidR="00721189" w:rsidRPr="00DF5C23">
        <w:rPr>
          <w:noProof/>
          <w:lang w:val="en-IE" w:eastAsia="fr-BE"/>
        </w:rPr>
        <w:t>付属書</w:t>
      </w:r>
      <w:r w:rsidR="00721189" w:rsidRPr="00DF5C23">
        <w:rPr>
          <w:noProof/>
          <w:lang w:val="en-IE" w:eastAsia="fr-BE"/>
        </w:rPr>
        <w:t>II</w:t>
      </w:r>
      <w:r w:rsidR="00721189" w:rsidRPr="00DF5C23">
        <w:rPr>
          <w:noProof/>
          <w:lang w:val="en-IE" w:eastAsia="fr-BE"/>
        </w:rPr>
        <w:t>に規定された品質保証と製品認証モジュールのいずれかを選択する必要性がある</w:t>
      </w:r>
      <w:r w:rsidR="00ED7A83" w:rsidRPr="00DF5C23">
        <w:rPr>
          <w:noProof/>
          <w:lang w:val="en-IE" w:eastAsia="fr-BE"/>
        </w:rPr>
        <w:t>。</w:t>
      </w:r>
    </w:p>
    <w:p w14:paraId="7B140D92" w14:textId="77777777" w:rsidR="0038775E" w:rsidRDefault="00877B9C" w:rsidP="002041D4">
      <w:pPr>
        <w:pStyle w:val="ManualNumPar1"/>
        <w:wordWrap w:val="0"/>
        <w:rPr>
          <w:noProof/>
          <w:lang w:val="en-IE" w:eastAsia="fr-BE"/>
        </w:rPr>
      </w:pPr>
      <w:r w:rsidRPr="004F5E59">
        <w:rPr>
          <w:lang w:eastAsia="ja-JP"/>
        </w:rPr>
        <w:t>2.</w:t>
      </w:r>
      <w:r w:rsidRPr="004F5E59">
        <w:rPr>
          <w:lang w:eastAsia="ja-JP"/>
        </w:rPr>
        <w:tab/>
      </w:r>
      <w:r w:rsidR="00AF5DA2" w:rsidRPr="00DF5C23">
        <w:rPr>
          <w:noProof/>
          <w:lang w:val="en-IE" w:eastAsia="fr-BE"/>
        </w:rPr>
        <w:t>関連する場合、</w:t>
      </w:r>
      <w:r w:rsidR="0681B866" w:rsidRPr="00DF5C23">
        <w:rPr>
          <w:noProof/>
          <w:lang w:val="en-IE" w:eastAsia="fr-BE"/>
        </w:rPr>
        <w:t>適合性評価に関連する記録及び通信は、第</w:t>
      </w:r>
      <w:r w:rsidR="0681B866" w:rsidRPr="00DF5C23">
        <w:rPr>
          <w:noProof/>
          <w:lang w:val="en-IE" w:eastAsia="fr-BE"/>
        </w:rPr>
        <w:t>1</w:t>
      </w:r>
      <w:r w:rsidR="0681B866" w:rsidRPr="00DF5C23">
        <w:rPr>
          <w:noProof/>
          <w:lang w:val="en-IE" w:eastAsia="fr-BE"/>
        </w:rPr>
        <w:t>項にいう適合性評価</w:t>
      </w:r>
      <w:r w:rsidR="00AF5DA2" w:rsidRPr="00DF5C23">
        <w:rPr>
          <w:noProof/>
          <w:lang w:val="en-IE" w:eastAsia="fr-BE"/>
        </w:rPr>
        <w:t>手続に関与する</w:t>
      </w:r>
      <w:r w:rsidR="0681B866" w:rsidRPr="00DF5C23">
        <w:rPr>
          <w:noProof/>
          <w:lang w:val="en-IE" w:eastAsia="fr-BE"/>
        </w:rPr>
        <w:t>通知</w:t>
      </w:r>
      <w:r w:rsidR="00AF5DA2" w:rsidRPr="00DF5C23">
        <w:rPr>
          <w:noProof/>
          <w:lang w:val="en-IE" w:eastAsia="fr-BE"/>
        </w:rPr>
        <w:t>機関が</w:t>
      </w:r>
      <w:r w:rsidR="0681B866" w:rsidRPr="00DF5C23">
        <w:rPr>
          <w:noProof/>
          <w:lang w:val="en-IE" w:eastAsia="fr-BE"/>
        </w:rPr>
        <w:t>設立されている加盟国の公用語又は当該機関が認める言語で作成されるものとする。</w:t>
      </w:r>
    </w:p>
    <w:p w14:paraId="4B598C28" w14:textId="77777777" w:rsidR="0038775E" w:rsidRDefault="00807659" w:rsidP="002041D4">
      <w:pPr>
        <w:pStyle w:val="Titrearticle"/>
        <w:wordWrap w:val="0"/>
        <w:rPr>
          <w:noProof/>
          <w:lang w:val="en-IE" w:eastAsia="ja-JP"/>
        </w:rPr>
      </w:pPr>
      <w:r w:rsidRPr="00DF5C23">
        <w:rPr>
          <w:noProof/>
          <w:lang w:val="en-IE" w:eastAsia="ja-JP"/>
        </w:rPr>
        <w:t>第</w:t>
      </w:r>
      <w:r w:rsidRPr="00DF5C23">
        <w:rPr>
          <w:noProof/>
          <w:lang w:val="en-IE" w:eastAsia="ja-JP"/>
        </w:rPr>
        <w:t>37</w:t>
      </w:r>
      <w:r w:rsidR="00877B9C" w:rsidRPr="00DF5C23">
        <w:rPr>
          <w:noProof/>
          <w:lang w:val="en-IE" w:eastAsia="ja-JP"/>
        </w:rPr>
        <w:t>条</w:t>
      </w:r>
      <w:r w:rsidR="00014A6A" w:rsidRPr="00DF5C23">
        <w:rPr>
          <w:noProof/>
          <w:lang w:eastAsia="ja-JP"/>
        </w:rPr>
        <w:br/>
      </w:r>
      <w:r w:rsidR="00877B9C" w:rsidRPr="00DF5C23">
        <w:rPr>
          <w:noProof/>
          <w:lang w:val="en-IE" w:eastAsia="ja-JP"/>
        </w:rPr>
        <w:t xml:space="preserve">EU </w:t>
      </w:r>
      <w:r w:rsidR="00877B9C" w:rsidRPr="00DF5C23">
        <w:rPr>
          <w:noProof/>
          <w:lang w:val="en-IE" w:eastAsia="ja-JP"/>
        </w:rPr>
        <w:t>適合性宣言</w:t>
      </w:r>
    </w:p>
    <w:p w14:paraId="4562A695" w14:textId="77777777" w:rsidR="0038775E" w:rsidRDefault="00877B9C" w:rsidP="002041D4">
      <w:pPr>
        <w:pStyle w:val="ManualNumPar1"/>
        <w:wordWrap w:val="0"/>
        <w:rPr>
          <w:noProof/>
          <w:lang w:val="en-IE" w:eastAsia="ja-JP"/>
        </w:rPr>
      </w:pPr>
      <w:r w:rsidRPr="004F5E59">
        <w:rPr>
          <w:lang w:eastAsia="ja-JP"/>
        </w:rPr>
        <w:t>1.</w:t>
      </w:r>
      <w:r w:rsidRPr="004F5E59">
        <w:rPr>
          <w:lang w:eastAsia="ja-JP"/>
        </w:rPr>
        <w:tab/>
      </w:r>
      <w:r w:rsidR="0681B866" w:rsidRPr="00DF5C23">
        <w:rPr>
          <w:noProof/>
          <w:lang w:val="en-IE" w:eastAsia="ja-JP"/>
        </w:rPr>
        <w:t>EU</w:t>
      </w:r>
      <w:r w:rsidR="0681B866" w:rsidRPr="00DF5C23">
        <w:rPr>
          <w:noProof/>
          <w:lang w:val="en-IE" w:eastAsia="ja-JP"/>
        </w:rPr>
        <w:t>適合宣言は、</w:t>
      </w:r>
      <w:r w:rsidR="000F0A02" w:rsidRPr="00DF5C23">
        <w:rPr>
          <w:noProof/>
          <w:lang w:val="en-IE" w:eastAsia="fr-BE"/>
        </w:rPr>
        <w:t>第</w:t>
      </w:r>
      <w:r w:rsidR="000F0A02" w:rsidRPr="00DF5C23">
        <w:rPr>
          <w:noProof/>
          <w:lang w:val="en-IE" w:eastAsia="fr-BE"/>
        </w:rPr>
        <w:t>4</w:t>
      </w:r>
      <w:r w:rsidR="000F0A02" w:rsidRPr="00DF5C23">
        <w:rPr>
          <w:noProof/>
          <w:lang w:val="en-IE" w:eastAsia="fr-BE"/>
        </w:rPr>
        <w:t>条に従って採択された</w:t>
      </w:r>
      <w:r w:rsidR="0681B866" w:rsidRPr="00DF5C23">
        <w:rPr>
          <w:noProof/>
          <w:lang w:val="en-IE" w:eastAsia="ja-JP"/>
        </w:rPr>
        <w:t>該当する</w:t>
      </w:r>
      <w:r w:rsidR="0681B866" w:rsidRPr="00DF5C23">
        <w:rPr>
          <w:noProof/>
          <w:lang w:val="en-IE" w:eastAsia="fr-BE"/>
        </w:rPr>
        <w:t>委任</w:t>
      </w:r>
      <w:r w:rsidR="0681B866" w:rsidRPr="00DF5C23">
        <w:rPr>
          <w:noProof/>
          <w:lang w:val="en-IE" w:eastAsia="ja-JP"/>
        </w:rPr>
        <w:t>法に規定された</w:t>
      </w:r>
      <w:r w:rsidR="000F0A02" w:rsidRPr="00DF5C23">
        <w:rPr>
          <w:noProof/>
          <w:lang w:val="en-IE" w:eastAsia="ja-JP"/>
        </w:rPr>
        <w:t>エコデザイン</w:t>
      </w:r>
      <w:r w:rsidR="0681B866" w:rsidRPr="00DF5C23">
        <w:rPr>
          <w:noProof/>
          <w:lang w:val="en-IE" w:eastAsia="ja-JP"/>
        </w:rPr>
        <w:t>要求事項の充足が証明されたことを記載しなければならない。</w:t>
      </w:r>
    </w:p>
    <w:p w14:paraId="749D89FA" w14:textId="77777777" w:rsidR="0038775E" w:rsidRDefault="00877B9C" w:rsidP="002041D4">
      <w:pPr>
        <w:pStyle w:val="ManualNumPar1"/>
        <w:wordWrap w:val="0"/>
        <w:rPr>
          <w:noProof/>
          <w:lang w:val="en-IE" w:eastAsia="ja-JP"/>
        </w:rPr>
      </w:pPr>
      <w:r w:rsidRPr="004F5E59">
        <w:rPr>
          <w:lang w:eastAsia="ja-JP"/>
        </w:rPr>
        <w:t>2.</w:t>
      </w:r>
      <w:r w:rsidRPr="004F5E59">
        <w:rPr>
          <w:lang w:eastAsia="ja-JP"/>
        </w:rPr>
        <w:tab/>
      </w:r>
      <w:r w:rsidR="0681B866" w:rsidRPr="00DF5C23">
        <w:rPr>
          <w:noProof/>
          <w:lang w:val="en-IE" w:eastAsia="ja-JP"/>
        </w:rPr>
        <w:t>EU</w:t>
      </w:r>
      <w:r w:rsidR="0681B866" w:rsidRPr="00DF5C23">
        <w:rPr>
          <w:noProof/>
          <w:lang w:val="en-IE" w:eastAsia="ja-JP"/>
        </w:rPr>
        <w:t>適合宣言は、付属書</w:t>
      </w:r>
      <w:r w:rsidR="0681B866" w:rsidRPr="00DF5C23">
        <w:rPr>
          <w:noProof/>
          <w:lang w:val="en-IE" w:eastAsia="ja-JP"/>
        </w:rPr>
        <w:t>V</w:t>
      </w:r>
      <w:r w:rsidR="0681B866" w:rsidRPr="00DF5C23">
        <w:rPr>
          <w:noProof/>
          <w:lang w:val="en-IE" w:eastAsia="ja-JP"/>
        </w:rPr>
        <w:t>に定めるモデル構造を有し、適用される適合性評価手順で規定される要素及び</w:t>
      </w:r>
      <w:r w:rsidR="00850318" w:rsidRPr="00DF5C23">
        <w:rPr>
          <w:noProof/>
          <w:lang w:val="en-IE" w:eastAsia="fr-BE"/>
        </w:rPr>
        <w:t>第</w:t>
      </w:r>
      <w:r w:rsidR="00850318" w:rsidRPr="00DF5C23">
        <w:rPr>
          <w:noProof/>
          <w:lang w:val="en-IE" w:eastAsia="fr-BE"/>
        </w:rPr>
        <w:t>4</w:t>
      </w:r>
      <w:r w:rsidR="00850318" w:rsidRPr="00DF5C23">
        <w:rPr>
          <w:noProof/>
          <w:lang w:val="en-IE" w:eastAsia="fr-BE"/>
        </w:rPr>
        <w:t>条に従って採択された</w:t>
      </w:r>
      <w:r w:rsidR="0681B866" w:rsidRPr="00DF5C23">
        <w:rPr>
          <w:noProof/>
          <w:lang w:val="en-IE" w:eastAsia="ja-JP"/>
        </w:rPr>
        <w:t>適用される</w:t>
      </w:r>
      <w:r w:rsidR="0681B866" w:rsidRPr="00DF5C23">
        <w:rPr>
          <w:noProof/>
          <w:lang w:val="en-IE" w:eastAsia="fr-BE"/>
        </w:rPr>
        <w:t>委任法への</w:t>
      </w:r>
      <w:r w:rsidR="0681B866" w:rsidRPr="00DF5C23">
        <w:rPr>
          <w:noProof/>
          <w:lang w:val="en-IE" w:eastAsia="ja-JP"/>
        </w:rPr>
        <w:t>参照を含まなければならない。また、継続的に更新されなければならない。また、製品が設置され又は利用可能となる加盟国が要求する言語又は言語に翻訳されなければならない。</w:t>
      </w:r>
    </w:p>
    <w:p w14:paraId="5AC33295" w14:textId="77777777" w:rsidR="0038775E" w:rsidRDefault="00877B9C" w:rsidP="002041D4">
      <w:pPr>
        <w:pStyle w:val="ManualNumPar1"/>
        <w:wordWrap w:val="0"/>
        <w:rPr>
          <w:noProof/>
          <w:lang w:val="en-IE" w:eastAsia="ja-JP"/>
        </w:rPr>
      </w:pPr>
      <w:r w:rsidRPr="004F5E59">
        <w:rPr>
          <w:lang w:eastAsia="ja-JP"/>
        </w:rPr>
        <w:t>3.</w:t>
      </w:r>
      <w:r w:rsidRPr="004F5E59">
        <w:rPr>
          <w:lang w:eastAsia="ja-JP"/>
        </w:rPr>
        <w:tab/>
      </w:r>
      <w:r w:rsidR="000F0A02" w:rsidRPr="00DF5C23">
        <w:rPr>
          <w:noProof/>
          <w:lang w:val="en-IE" w:eastAsia="ja-JP"/>
        </w:rPr>
        <w:t>第</w:t>
      </w:r>
      <w:r w:rsidR="000F0A02" w:rsidRPr="00DF5C23">
        <w:rPr>
          <w:noProof/>
          <w:lang w:val="en-IE" w:eastAsia="ja-JP"/>
        </w:rPr>
        <w:t>4</w:t>
      </w:r>
      <w:r w:rsidR="000F0A02" w:rsidRPr="00DF5C23">
        <w:rPr>
          <w:noProof/>
          <w:lang w:val="en-IE" w:eastAsia="ja-JP"/>
        </w:rPr>
        <w:t>条に従って採択された</w:t>
      </w:r>
      <w:r w:rsidR="00715D90" w:rsidRPr="00DF5C23">
        <w:rPr>
          <w:noProof/>
          <w:lang w:val="en-IE" w:eastAsia="ja-JP"/>
        </w:rPr>
        <w:t>委任法の</w:t>
      </w:r>
      <w:r w:rsidR="00646885" w:rsidRPr="00DF5C23">
        <w:rPr>
          <w:noProof/>
          <w:lang w:val="en-IE" w:eastAsia="ja-JP"/>
        </w:rPr>
        <w:t>対象となる製品が、</w:t>
      </w:r>
      <w:r w:rsidR="00646885" w:rsidRPr="00DF5C23">
        <w:rPr>
          <w:noProof/>
          <w:lang w:val="en-IE" w:eastAsia="ja-JP"/>
        </w:rPr>
        <w:t>EU</w:t>
      </w:r>
      <w:r w:rsidR="00646885" w:rsidRPr="00DF5C23">
        <w:rPr>
          <w:noProof/>
          <w:lang w:val="en-IE" w:eastAsia="ja-JP"/>
        </w:rPr>
        <w:t>適合性宣言を必要とする複数の連合法の対象となる場合、当該連合法すべてに関して単一の</w:t>
      </w:r>
      <w:r w:rsidR="00646885" w:rsidRPr="00DF5C23">
        <w:rPr>
          <w:noProof/>
          <w:lang w:val="en-IE" w:eastAsia="ja-JP"/>
        </w:rPr>
        <w:t>EU</w:t>
      </w:r>
      <w:r w:rsidR="00646885" w:rsidRPr="00DF5C23">
        <w:rPr>
          <w:noProof/>
          <w:lang w:val="en-IE" w:eastAsia="ja-JP"/>
        </w:rPr>
        <w:t>適合性宣言を作成しなければならない。当該宣言には、関係する</w:t>
      </w:r>
      <w:r w:rsidR="00646885" w:rsidRPr="00DF5C23">
        <w:rPr>
          <w:noProof/>
          <w:lang w:val="en-IE" w:eastAsia="ja-JP"/>
        </w:rPr>
        <w:t>EU</w:t>
      </w:r>
      <w:r w:rsidR="00646885" w:rsidRPr="00DF5C23">
        <w:rPr>
          <w:noProof/>
          <w:lang w:val="en-IE" w:eastAsia="ja-JP"/>
        </w:rPr>
        <w:t>行為及びその公表文献を記載しなければならない。</w:t>
      </w:r>
      <w:r w:rsidR="0020340B" w:rsidRPr="00DF5C23">
        <w:rPr>
          <w:noProof/>
          <w:lang w:val="en-IE" w:eastAsia="ja-JP"/>
        </w:rPr>
        <w:t>この宣言は、関連する個々の</w:t>
      </w:r>
      <w:r w:rsidR="0020340B" w:rsidRPr="00DF5C23">
        <w:rPr>
          <w:noProof/>
          <w:lang w:val="en-IE" w:eastAsia="ja-JP"/>
        </w:rPr>
        <w:t>EU</w:t>
      </w:r>
      <w:r w:rsidR="0020340B" w:rsidRPr="00DF5C23">
        <w:rPr>
          <w:noProof/>
          <w:lang w:val="en-IE" w:eastAsia="ja-JP"/>
        </w:rPr>
        <w:t>適合宣言から構成される書類であってもよい。</w:t>
      </w:r>
    </w:p>
    <w:p w14:paraId="0D78543A" w14:textId="77777777" w:rsidR="0038775E" w:rsidRDefault="00877B9C" w:rsidP="002041D4">
      <w:pPr>
        <w:pStyle w:val="ManualNumPar1"/>
        <w:wordWrap w:val="0"/>
        <w:rPr>
          <w:noProof/>
          <w:lang w:val="en-IE" w:eastAsia="ja-JP"/>
        </w:rPr>
      </w:pPr>
      <w:r w:rsidRPr="004F5E59">
        <w:rPr>
          <w:lang w:eastAsia="ja-JP"/>
        </w:rPr>
        <w:t>4.</w:t>
      </w:r>
      <w:r w:rsidRPr="004F5E59">
        <w:rPr>
          <w:lang w:eastAsia="ja-JP"/>
        </w:rPr>
        <w:tab/>
      </w:r>
      <w:r w:rsidR="0681B866" w:rsidRPr="00DF5C23">
        <w:rPr>
          <w:noProof/>
          <w:lang w:val="en-IE" w:eastAsia="ja-JP"/>
        </w:rPr>
        <w:t>EU</w:t>
      </w:r>
      <w:r w:rsidR="0681B866" w:rsidRPr="00DF5C23">
        <w:rPr>
          <w:noProof/>
          <w:lang w:val="en-IE" w:eastAsia="ja-JP"/>
        </w:rPr>
        <w:t>適合宣言書を作成することにより、製造者は製品の適合に責任を持つものとする。</w:t>
      </w:r>
    </w:p>
    <w:p w14:paraId="5C43DD3B" w14:textId="77777777" w:rsidR="0038775E" w:rsidRDefault="00807659" w:rsidP="002041D4">
      <w:pPr>
        <w:pStyle w:val="Titrearticle"/>
        <w:wordWrap w:val="0"/>
        <w:rPr>
          <w:noProof/>
          <w:lang w:val="en-IE" w:eastAsia="ja-JP"/>
        </w:rPr>
      </w:pPr>
      <w:r w:rsidRPr="00DF5C23">
        <w:rPr>
          <w:noProof/>
          <w:lang w:val="en-IE" w:eastAsia="ja-JP"/>
        </w:rPr>
        <w:lastRenderedPageBreak/>
        <w:t>第</w:t>
      </w:r>
      <w:r w:rsidRPr="00DF5C23">
        <w:rPr>
          <w:noProof/>
          <w:lang w:val="en-IE" w:eastAsia="ja-JP"/>
        </w:rPr>
        <w:t>38</w:t>
      </w:r>
      <w:r w:rsidR="00877B9C" w:rsidRPr="00DF5C23">
        <w:rPr>
          <w:noProof/>
          <w:lang w:val="en-IE" w:eastAsia="ja-JP"/>
        </w:rPr>
        <w:t>条</w:t>
      </w:r>
      <w:r w:rsidR="00877B9C" w:rsidRPr="00DF5C23">
        <w:rPr>
          <w:noProof/>
          <w:lang w:val="en-IE" w:eastAsia="ja-JP"/>
        </w:rPr>
        <w:t xml:space="preserve"> </w:t>
      </w:r>
      <w:r w:rsidR="00014A6A" w:rsidRPr="00DF5C23">
        <w:rPr>
          <w:noProof/>
          <w:lang w:eastAsia="ja-JP"/>
        </w:rPr>
        <w:br/>
      </w:r>
      <w:r w:rsidR="00877B9C" w:rsidRPr="00DF5C23">
        <w:rPr>
          <w:noProof/>
          <w:lang w:val="en-IE" w:eastAsia="ja-JP"/>
        </w:rPr>
        <w:t>CE</w:t>
      </w:r>
      <w:r w:rsidR="00877B9C" w:rsidRPr="00DF5C23">
        <w:rPr>
          <w:noProof/>
          <w:lang w:val="en-IE" w:eastAsia="ja-JP"/>
        </w:rPr>
        <w:t>マーキングの一般原則</w:t>
      </w:r>
    </w:p>
    <w:p w14:paraId="328B0810" w14:textId="77777777" w:rsidR="0038775E" w:rsidRDefault="00877B9C" w:rsidP="002041D4">
      <w:pPr>
        <w:wordWrap w:val="0"/>
        <w:rPr>
          <w:noProof/>
          <w:lang w:val="en-IE" w:eastAsia="ja-JP"/>
        </w:rPr>
      </w:pPr>
      <w:r w:rsidRPr="00DF5C23">
        <w:rPr>
          <w:noProof/>
          <w:lang w:val="en-IE" w:eastAsia="ja-JP"/>
        </w:rPr>
        <w:t xml:space="preserve">CE </w:t>
      </w:r>
      <w:r w:rsidRPr="00DF5C23">
        <w:rPr>
          <w:noProof/>
          <w:lang w:val="en-IE" w:eastAsia="ja-JP"/>
        </w:rPr>
        <w:t>マーキングは、規則</w:t>
      </w:r>
      <w:r w:rsidRPr="00DF5C23">
        <w:rPr>
          <w:noProof/>
          <w:lang w:val="en-IE" w:eastAsia="ja-JP"/>
        </w:rPr>
        <w:t xml:space="preserve"> (EC) No 765/2008 </w:t>
      </w:r>
      <w:r w:rsidRPr="00DF5C23">
        <w:rPr>
          <w:noProof/>
          <w:lang w:val="en-IE" w:eastAsia="ja-JP"/>
        </w:rPr>
        <w:t>の第</w:t>
      </w:r>
      <w:r w:rsidRPr="00DF5C23">
        <w:rPr>
          <w:noProof/>
          <w:lang w:val="en-IE" w:eastAsia="ja-JP"/>
        </w:rPr>
        <w:t xml:space="preserve"> 30 </w:t>
      </w:r>
      <w:r w:rsidRPr="00DF5C23">
        <w:rPr>
          <w:noProof/>
          <w:lang w:val="en-IE" w:eastAsia="ja-JP"/>
        </w:rPr>
        <w:t>条に規定される一般原則に従うものとする。</w:t>
      </w:r>
    </w:p>
    <w:p w14:paraId="1AC1094F" w14:textId="77777777" w:rsidR="0038775E" w:rsidRDefault="00807659" w:rsidP="002041D4">
      <w:pPr>
        <w:pStyle w:val="Titrearticle"/>
        <w:wordWrap w:val="0"/>
        <w:rPr>
          <w:noProof/>
          <w:lang w:val="en-IE" w:eastAsia="ja-JP"/>
        </w:rPr>
      </w:pPr>
      <w:r w:rsidRPr="00DF5C23">
        <w:rPr>
          <w:noProof/>
          <w:lang w:val="en-IE" w:eastAsia="ja-JP"/>
        </w:rPr>
        <w:t>第</w:t>
      </w:r>
      <w:r w:rsidRPr="00DF5C23">
        <w:rPr>
          <w:noProof/>
          <w:lang w:val="en-IE" w:eastAsia="ja-JP"/>
        </w:rPr>
        <w:t>39</w:t>
      </w:r>
      <w:r w:rsidR="00877B9C" w:rsidRPr="00DF5C23">
        <w:rPr>
          <w:noProof/>
          <w:lang w:val="en-IE" w:eastAsia="ja-JP"/>
        </w:rPr>
        <w:t>条</w:t>
      </w:r>
      <w:r w:rsidR="00877B9C" w:rsidRPr="00DF5C23">
        <w:rPr>
          <w:noProof/>
          <w:lang w:val="en-IE" w:eastAsia="ja-JP"/>
        </w:rPr>
        <w:t xml:space="preserve"> </w:t>
      </w:r>
      <w:r w:rsidR="00014A6A" w:rsidRPr="00DF5C23">
        <w:rPr>
          <w:noProof/>
          <w:lang w:eastAsia="ja-JP"/>
        </w:rPr>
        <w:br/>
      </w:r>
      <w:r w:rsidR="00877B9C" w:rsidRPr="00DF5C23">
        <w:rPr>
          <w:noProof/>
          <w:lang w:val="en-IE" w:eastAsia="ja-JP"/>
        </w:rPr>
        <w:t>CE</w:t>
      </w:r>
      <w:r w:rsidR="00877B9C" w:rsidRPr="00DF5C23">
        <w:rPr>
          <w:noProof/>
          <w:lang w:val="en-IE" w:eastAsia="ja-JP"/>
        </w:rPr>
        <w:t>マーキング貼付のルールと条件</w:t>
      </w:r>
    </w:p>
    <w:p w14:paraId="7A8ED7B7" w14:textId="77777777" w:rsidR="0038775E" w:rsidRDefault="00877B9C" w:rsidP="002041D4">
      <w:pPr>
        <w:pStyle w:val="ManualNumPar1"/>
        <w:wordWrap w:val="0"/>
        <w:rPr>
          <w:noProof/>
          <w:lang w:val="en-IE" w:eastAsia="ja-JP"/>
        </w:rPr>
      </w:pPr>
      <w:r w:rsidRPr="004F5E59">
        <w:rPr>
          <w:lang w:eastAsia="ja-JP"/>
        </w:rPr>
        <w:t>1.</w:t>
      </w:r>
      <w:r w:rsidRPr="004F5E59">
        <w:rPr>
          <w:lang w:eastAsia="ja-JP"/>
        </w:rPr>
        <w:tab/>
      </w:r>
      <w:r w:rsidR="0681B866" w:rsidRPr="00DF5C23">
        <w:rPr>
          <w:noProof/>
          <w:lang w:val="en-IE" w:eastAsia="ja-JP"/>
        </w:rPr>
        <w:t>CE</w:t>
      </w:r>
      <w:r w:rsidR="0681B866" w:rsidRPr="00DF5C23">
        <w:rPr>
          <w:noProof/>
          <w:lang w:val="en-IE" w:eastAsia="ja-JP"/>
        </w:rPr>
        <w:t>マーキングは、製品に見やすく、読みやすく、消えないように貼付しなければならない。製品の性質上、それが不可能な場合又は保証されない場合は、包装及び付属文書に貼付しなければならない。</w:t>
      </w:r>
    </w:p>
    <w:p w14:paraId="54F67447" w14:textId="77777777" w:rsidR="0038775E" w:rsidRDefault="00877B9C" w:rsidP="002041D4">
      <w:pPr>
        <w:pStyle w:val="ManualNumPar1"/>
        <w:wordWrap w:val="0"/>
        <w:rPr>
          <w:noProof/>
          <w:lang w:val="en-IE" w:eastAsia="ja-JP"/>
        </w:rPr>
      </w:pPr>
      <w:r w:rsidRPr="004F5E59">
        <w:rPr>
          <w:lang w:eastAsia="ja-JP"/>
        </w:rPr>
        <w:t>2.</w:t>
      </w:r>
      <w:r w:rsidRPr="004F5E59">
        <w:rPr>
          <w:lang w:eastAsia="ja-JP"/>
        </w:rPr>
        <w:tab/>
      </w:r>
      <w:r w:rsidR="0681B866" w:rsidRPr="00DF5C23">
        <w:rPr>
          <w:noProof/>
          <w:lang w:val="en-IE" w:eastAsia="ja-JP"/>
        </w:rPr>
        <w:t>CE</w:t>
      </w:r>
      <w:r w:rsidR="0681B866" w:rsidRPr="00DF5C23">
        <w:rPr>
          <w:noProof/>
          <w:lang w:val="en-IE" w:eastAsia="ja-JP"/>
        </w:rPr>
        <w:t>マーキングは、製品を市場に出す前に貼付すること。</w:t>
      </w:r>
      <w:r w:rsidR="0681B866" w:rsidRPr="00DF5C23">
        <w:rPr>
          <w:noProof/>
          <w:lang w:val="en-IE" w:eastAsia="ja-JP"/>
        </w:rPr>
        <w:t xml:space="preserve"> </w:t>
      </w:r>
    </w:p>
    <w:p w14:paraId="0DD797BF" w14:textId="77777777" w:rsidR="0038775E" w:rsidRDefault="00877B9C" w:rsidP="002041D4">
      <w:pPr>
        <w:pStyle w:val="ManualNumPar1"/>
        <w:wordWrap w:val="0"/>
        <w:rPr>
          <w:noProof/>
          <w:lang w:val="en-IE" w:eastAsia="ja-JP"/>
        </w:rPr>
      </w:pPr>
      <w:r w:rsidRPr="004F5E59">
        <w:rPr>
          <w:lang w:eastAsia="ja-JP"/>
        </w:rPr>
        <w:t>3.</w:t>
      </w:r>
      <w:r w:rsidRPr="004F5E59">
        <w:rPr>
          <w:lang w:eastAsia="ja-JP"/>
        </w:rPr>
        <w:tab/>
      </w:r>
      <w:r w:rsidR="0681B866" w:rsidRPr="00DF5C23">
        <w:rPr>
          <w:noProof/>
          <w:lang w:val="en-IE" w:eastAsia="ja-JP"/>
        </w:rPr>
        <w:t>通知機関が参加する適合性評価の製品については、</w:t>
      </w:r>
      <w:r w:rsidR="0681B866" w:rsidRPr="00DF5C23">
        <w:rPr>
          <w:noProof/>
          <w:lang w:val="en-IE" w:eastAsia="ja-JP"/>
        </w:rPr>
        <w:t xml:space="preserve">CE </w:t>
      </w:r>
      <w:r w:rsidR="0681B866" w:rsidRPr="00DF5C23">
        <w:rPr>
          <w:noProof/>
          <w:lang w:val="en-IE" w:eastAsia="ja-JP"/>
        </w:rPr>
        <w:t>マーキングに続いて、その通知機関の識別番号を付すものとする。</w:t>
      </w:r>
    </w:p>
    <w:p w14:paraId="22E52699" w14:textId="77777777" w:rsidR="0038775E" w:rsidRDefault="00877B9C" w:rsidP="002041D4">
      <w:pPr>
        <w:pStyle w:val="Text1"/>
        <w:wordWrap w:val="0"/>
        <w:rPr>
          <w:noProof/>
          <w:lang w:val="en-IE" w:eastAsia="ja-JP"/>
        </w:rPr>
      </w:pPr>
      <w:r w:rsidRPr="00DF5C23">
        <w:rPr>
          <w:noProof/>
          <w:lang w:val="en-IE" w:eastAsia="ja-JP"/>
        </w:rPr>
        <w:t>通知された機関の識別番号は、その機関自身によって、またはその指示に基づき、製造者またはその認定代理人によって貼付されるものとする。</w:t>
      </w:r>
    </w:p>
    <w:p w14:paraId="4C067580" w14:textId="77777777" w:rsidR="0038775E" w:rsidRDefault="00877B9C" w:rsidP="002041D4">
      <w:pPr>
        <w:pStyle w:val="ManualNumPar1"/>
        <w:wordWrap w:val="0"/>
        <w:rPr>
          <w:noProof/>
          <w:lang w:val="en-IE" w:eastAsia="fr-BE"/>
        </w:rPr>
      </w:pPr>
      <w:r w:rsidRPr="004F5E59">
        <w:rPr>
          <w:lang w:eastAsia="ja-JP"/>
        </w:rPr>
        <w:t>4.</w:t>
      </w:r>
      <w:r w:rsidRPr="004F5E59">
        <w:rPr>
          <w:lang w:eastAsia="ja-JP"/>
        </w:rPr>
        <w:tab/>
      </w:r>
      <w:r w:rsidR="0681B866" w:rsidRPr="00DF5C23">
        <w:rPr>
          <w:noProof/>
          <w:lang w:val="en-IE" w:eastAsia="fr-BE"/>
        </w:rPr>
        <w:t>CE</w:t>
      </w:r>
      <w:r w:rsidR="0681B866" w:rsidRPr="00DF5C23">
        <w:rPr>
          <w:noProof/>
          <w:lang w:val="en-IE" w:eastAsia="fr-BE"/>
        </w:rPr>
        <w:t>マーキング及び該当する場合、通知機関の識別番号の後に、特別なリスク又は用途を示すピクトグラム又はその他のマーキングを付すことができる。</w:t>
      </w:r>
    </w:p>
    <w:p w14:paraId="2ED69900" w14:textId="77777777" w:rsidR="0038775E" w:rsidRDefault="00877B9C" w:rsidP="002041D4">
      <w:pPr>
        <w:pStyle w:val="ManualNumPar1"/>
        <w:wordWrap w:val="0"/>
        <w:rPr>
          <w:noProof/>
          <w:lang w:val="en-IE" w:eastAsia="fr-BE"/>
        </w:rPr>
      </w:pPr>
      <w:r w:rsidRPr="004F5E59">
        <w:rPr>
          <w:lang w:eastAsia="ja-JP"/>
        </w:rPr>
        <w:t>5.</w:t>
      </w:r>
      <w:r w:rsidRPr="004F5E59">
        <w:rPr>
          <w:lang w:eastAsia="ja-JP"/>
        </w:rPr>
        <w:tab/>
      </w:r>
      <w:r w:rsidR="0681B866" w:rsidRPr="00DF5C23">
        <w:rPr>
          <w:noProof/>
          <w:lang w:val="en-IE" w:eastAsia="fr-BE"/>
        </w:rPr>
        <w:t>加盟国は、</w:t>
      </w:r>
      <w:r w:rsidR="0681B866" w:rsidRPr="00DF5C23">
        <w:rPr>
          <w:noProof/>
          <w:lang w:val="en-IE" w:eastAsia="fr-BE"/>
        </w:rPr>
        <w:t>CE</w:t>
      </w:r>
      <w:r w:rsidR="0681B866" w:rsidRPr="00DF5C23">
        <w:rPr>
          <w:noProof/>
          <w:lang w:val="en-IE" w:eastAsia="fr-BE"/>
        </w:rPr>
        <w:t>マーキングを管理する制度の正しい適用を確保し、マーキングの不適切な使用があった場合には適切な措置を講じるために、既存のメカニズムを構築するものとする。</w:t>
      </w:r>
      <w:r w:rsidR="0681B866" w:rsidRPr="00DF5C23">
        <w:rPr>
          <w:noProof/>
          <w:lang w:val="en-IE" w:eastAsia="fr-BE"/>
        </w:rPr>
        <w:t xml:space="preserve"> </w:t>
      </w:r>
    </w:p>
    <w:p w14:paraId="79B8653F" w14:textId="77777777" w:rsidR="0038775E" w:rsidRDefault="00877B9C" w:rsidP="002041D4">
      <w:pPr>
        <w:pStyle w:val="Titrearticle"/>
        <w:wordWrap w:val="0"/>
        <w:rPr>
          <w:noProof/>
          <w:lang w:val="en-IE" w:eastAsia="ja-JP"/>
        </w:rPr>
      </w:pPr>
      <w:r w:rsidRPr="00DF5C23">
        <w:rPr>
          <w:noProof/>
          <w:lang w:val="en-IE" w:eastAsia="ja-JP"/>
        </w:rPr>
        <w:t>第</w:t>
      </w:r>
      <w:r w:rsidRPr="00DF5C23">
        <w:rPr>
          <w:noProof/>
          <w:lang w:val="en-IE" w:eastAsia="ja-JP"/>
        </w:rPr>
        <w:t>40</w:t>
      </w:r>
      <w:r w:rsidRPr="00DF5C23">
        <w:rPr>
          <w:noProof/>
          <w:lang w:val="en-IE" w:eastAsia="ja-JP"/>
        </w:rPr>
        <w:t>条</w:t>
      </w:r>
      <w:r w:rsidRPr="00DF5C23">
        <w:rPr>
          <w:noProof/>
          <w:lang w:val="en-IE" w:eastAsia="ja-JP"/>
        </w:rPr>
        <w:t xml:space="preserve"> </w:t>
      </w:r>
      <w:r w:rsidRPr="00DF5C23">
        <w:rPr>
          <w:noProof/>
          <w:lang w:eastAsia="ja-JP"/>
        </w:rPr>
        <w:br/>
      </w:r>
      <w:r w:rsidRPr="00DF5C23">
        <w:rPr>
          <w:noProof/>
          <w:lang w:val="en-IE" w:eastAsia="ja-JP"/>
        </w:rPr>
        <w:t>代替適合宣言およびマーキング</w:t>
      </w:r>
    </w:p>
    <w:p w14:paraId="32111055" w14:textId="77777777" w:rsidR="0038775E" w:rsidRDefault="00121761" w:rsidP="002041D4">
      <w:pPr>
        <w:wordWrap w:val="0"/>
        <w:rPr>
          <w:noProof/>
          <w:lang w:val="en-IE" w:eastAsia="ja-JP"/>
        </w:rPr>
      </w:pPr>
      <w:r w:rsidRPr="00DF5C23">
        <w:rPr>
          <w:noProof/>
          <w:lang w:val="en-IE" w:eastAsia="ja-JP"/>
        </w:rPr>
        <w:t>第</w:t>
      </w:r>
      <w:r w:rsidRPr="00DF5C23">
        <w:rPr>
          <w:noProof/>
          <w:lang w:val="en-IE" w:eastAsia="ja-JP"/>
        </w:rPr>
        <w:t>4</w:t>
      </w:r>
      <w:r w:rsidRPr="00DF5C23">
        <w:rPr>
          <w:noProof/>
          <w:lang w:val="en-IE" w:eastAsia="ja-JP"/>
        </w:rPr>
        <w:t>条</w:t>
      </w:r>
      <w:r w:rsidR="002438E5" w:rsidRPr="00DF5C23">
        <w:rPr>
          <w:noProof/>
          <w:lang w:val="en-IE" w:eastAsia="fr-BE"/>
        </w:rPr>
        <w:t>第</w:t>
      </w:r>
      <w:r w:rsidR="002438E5" w:rsidRPr="00DF5C23">
        <w:rPr>
          <w:noProof/>
          <w:lang w:val="en-IE" w:eastAsia="fr-BE"/>
        </w:rPr>
        <w:t>3</w:t>
      </w:r>
      <w:r w:rsidR="002438E5" w:rsidRPr="00DF5C23">
        <w:rPr>
          <w:noProof/>
          <w:lang w:val="en-IE" w:eastAsia="fr-BE"/>
        </w:rPr>
        <w:t>項第</w:t>
      </w:r>
      <w:r w:rsidR="002438E5" w:rsidRPr="00DF5C23">
        <w:rPr>
          <w:noProof/>
          <w:lang w:val="en-IE" w:eastAsia="fr-BE"/>
        </w:rPr>
        <w:t>(</w:t>
      </w:r>
      <w:r w:rsidR="00AF404D" w:rsidRPr="00DF5C23">
        <w:rPr>
          <w:noProof/>
          <w:lang w:val="en-IE" w:eastAsia="fr-BE"/>
        </w:rPr>
        <w:t>f)</w:t>
      </w:r>
      <w:r w:rsidR="00AF404D" w:rsidRPr="00DF5C23">
        <w:rPr>
          <w:noProof/>
          <w:lang w:val="en-IE" w:eastAsia="fr-BE"/>
        </w:rPr>
        <w:t>号に</w:t>
      </w:r>
      <w:r w:rsidRPr="00DF5C23">
        <w:rPr>
          <w:noProof/>
          <w:lang w:val="en-IE" w:eastAsia="ja-JP"/>
        </w:rPr>
        <w:t>基づき、連合法に基づく適用要件に適合することを示す適合宣言又は表示に関する代替規則を</w:t>
      </w:r>
      <w:r w:rsidR="00877B9C" w:rsidRPr="00DF5C23">
        <w:rPr>
          <w:noProof/>
          <w:lang w:val="en-IE" w:eastAsia="fr-BE"/>
        </w:rPr>
        <w:t>規定する場合</w:t>
      </w:r>
      <w:r w:rsidRPr="00DF5C23">
        <w:rPr>
          <w:noProof/>
          <w:lang w:val="en-IE" w:eastAsia="ja-JP"/>
        </w:rPr>
        <w:t>、</w:t>
      </w:r>
      <w:r w:rsidR="00877B9C" w:rsidRPr="00DF5C23">
        <w:rPr>
          <w:noProof/>
          <w:lang w:val="en-IE" w:eastAsia="ja-JP"/>
        </w:rPr>
        <w:t>委員会は、</w:t>
      </w:r>
      <w:r w:rsidRPr="00DF5C23">
        <w:rPr>
          <w:noProof/>
          <w:lang w:val="en-IE" w:eastAsia="ja-JP"/>
        </w:rPr>
        <w:t>以下の基準を考慮するものとする：</w:t>
      </w:r>
    </w:p>
    <w:p w14:paraId="53AC5CD4" w14:textId="77777777" w:rsidR="0038775E" w:rsidRDefault="00877B9C" w:rsidP="002041D4">
      <w:pPr>
        <w:pStyle w:val="Point0"/>
        <w:wordWrap w:val="0"/>
        <w:rPr>
          <w:noProof/>
          <w:lang w:val="en-IE" w:eastAsia="ja-JP"/>
        </w:rPr>
      </w:pPr>
      <w:r w:rsidRPr="00DF5C23">
        <w:rPr>
          <w:noProof/>
          <w:lang w:val="en-IE" w:eastAsia="fr-BE"/>
        </w:rPr>
        <w:t>(a)</w:t>
      </w:r>
      <w:r w:rsidRPr="00DF5C23">
        <w:rPr>
          <w:noProof/>
          <w:lang w:val="en-IE" w:eastAsia="fr-BE"/>
        </w:rPr>
        <w:tab/>
      </w:r>
      <w:r w:rsidR="00121761" w:rsidRPr="00DF5C23">
        <w:rPr>
          <w:noProof/>
          <w:lang w:val="en-IE" w:eastAsia="fr-BE"/>
        </w:rPr>
        <w:t>経済事業者の行政負担を最小限にする必要があること；</w:t>
      </w:r>
      <w:r w:rsidR="00121761" w:rsidRPr="00DF5C23">
        <w:rPr>
          <w:noProof/>
          <w:lang w:val="en-IE" w:eastAsia="fr-BE"/>
        </w:rPr>
        <w:t xml:space="preserve">  </w:t>
      </w:r>
    </w:p>
    <w:p w14:paraId="16720397" w14:textId="77777777" w:rsidR="0038775E" w:rsidRDefault="00877B9C" w:rsidP="002041D4">
      <w:pPr>
        <w:pStyle w:val="Point0"/>
        <w:wordWrap w:val="0"/>
        <w:rPr>
          <w:noProof/>
          <w:lang w:val="en-IE" w:eastAsia="ja-JP"/>
        </w:rPr>
      </w:pPr>
      <w:r w:rsidRPr="00DF5C23">
        <w:rPr>
          <w:noProof/>
          <w:lang w:val="en-IE" w:eastAsia="fr-BE"/>
        </w:rPr>
        <w:t>(b)</w:t>
      </w:r>
      <w:r w:rsidRPr="00DF5C23">
        <w:rPr>
          <w:noProof/>
          <w:lang w:val="en-IE" w:eastAsia="fr-BE"/>
        </w:rPr>
        <w:tab/>
      </w:r>
      <w:r w:rsidR="00121761" w:rsidRPr="00DF5C23">
        <w:rPr>
          <w:noProof/>
          <w:lang w:val="en-IE" w:eastAsia="fr-BE"/>
        </w:rPr>
        <w:t>特定の製品に適用される他の適合性宣言やマーキングとの一貫性を確保する必要性；</w:t>
      </w:r>
      <w:r w:rsidR="00121761" w:rsidRPr="00DF5C23">
        <w:rPr>
          <w:noProof/>
          <w:lang w:val="en-IE" w:eastAsia="fr-BE"/>
        </w:rPr>
        <w:t xml:space="preserve"> </w:t>
      </w:r>
    </w:p>
    <w:p w14:paraId="2F0071C7" w14:textId="77777777" w:rsidR="0038775E" w:rsidRDefault="00877B9C" w:rsidP="002041D4">
      <w:pPr>
        <w:pStyle w:val="Point0"/>
        <w:wordWrap w:val="0"/>
        <w:rPr>
          <w:noProof/>
          <w:lang w:val="en-IE" w:eastAsia="ja-JP"/>
        </w:rPr>
      </w:pPr>
      <w:r w:rsidRPr="00DF5C23">
        <w:rPr>
          <w:noProof/>
          <w:lang w:val="en-IE" w:eastAsia="fr-BE"/>
        </w:rPr>
        <w:t>(c)</w:t>
      </w:r>
      <w:r w:rsidRPr="00DF5C23">
        <w:rPr>
          <w:noProof/>
          <w:lang w:val="en-IE" w:eastAsia="fr-BE"/>
        </w:rPr>
        <w:tab/>
      </w:r>
      <w:r w:rsidR="00121761" w:rsidRPr="00DF5C23">
        <w:rPr>
          <w:noProof/>
          <w:lang w:val="en-IE" w:eastAsia="fr-BE"/>
        </w:rPr>
        <w:t>他の</w:t>
      </w:r>
      <w:r w:rsidR="00121761" w:rsidRPr="00DF5C23">
        <w:rPr>
          <w:noProof/>
          <w:lang w:val="en-IE" w:eastAsia="fr-BE"/>
        </w:rPr>
        <w:t>EU</w:t>
      </w:r>
      <w:r w:rsidR="00121761" w:rsidRPr="00DF5C23">
        <w:rPr>
          <w:noProof/>
          <w:lang w:val="en-IE" w:eastAsia="fr-BE"/>
        </w:rPr>
        <w:t>法における適合性宣言やマーキングの意味についての混乱を防ぐ必要性</w:t>
      </w:r>
      <w:r w:rsidR="00121761" w:rsidRPr="00DF5C23">
        <w:rPr>
          <w:noProof/>
          <w:lang w:val="en-IE" w:eastAsia="ja-JP"/>
        </w:rPr>
        <w:t>。</w:t>
      </w:r>
      <w:r w:rsidR="00121761" w:rsidRPr="00DF5C23">
        <w:rPr>
          <w:noProof/>
          <w:lang w:val="en-IE" w:eastAsia="ja-JP"/>
        </w:rPr>
        <w:t xml:space="preserve"> </w:t>
      </w:r>
    </w:p>
    <w:p w14:paraId="3F19A26E" w14:textId="77777777" w:rsidR="0038775E" w:rsidRDefault="00D531F0" w:rsidP="002041D4">
      <w:pPr>
        <w:pStyle w:val="ManualHeading1"/>
        <w:wordWrap w:val="0"/>
        <w:jc w:val="center"/>
        <w:rPr>
          <w:noProof/>
          <w:lang w:eastAsia="ja-JP"/>
        </w:rPr>
      </w:pPr>
      <w:r w:rsidRPr="00DF5C23">
        <w:rPr>
          <w:noProof/>
          <w:lang w:eastAsia="ja-JP"/>
        </w:rPr>
        <w:t>第</w:t>
      </w:r>
      <w:r w:rsidRPr="00DF5C23">
        <w:rPr>
          <w:noProof/>
          <w:lang w:eastAsia="ja-JP"/>
        </w:rPr>
        <w:t>IX</w:t>
      </w:r>
      <w:r w:rsidR="00F77587" w:rsidRPr="00DF5C23">
        <w:rPr>
          <w:noProof/>
          <w:lang w:eastAsia="ja-JP"/>
        </w:rPr>
        <w:t>章</w:t>
      </w:r>
      <w:r w:rsidR="00F77587" w:rsidRPr="00DF5C23">
        <w:rPr>
          <w:noProof/>
          <w:lang w:eastAsia="ja-JP"/>
        </w:rPr>
        <w:t xml:space="preserve"> </w:t>
      </w:r>
      <w:r w:rsidR="00877B9C" w:rsidRPr="00DF5C23">
        <w:rPr>
          <w:noProof/>
          <w:lang w:eastAsia="ja-JP"/>
        </w:rPr>
        <w:t>適合性評価機関の届出</w:t>
      </w:r>
    </w:p>
    <w:p w14:paraId="55792635" w14:textId="77777777" w:rsidR="0038775E" w:rsidRDefault="00807659" w:rsidP="002041D4">
      <w:pPr>
        <w:pStyle w:val="Titrearticle"/>
        <w:wordWrap w:val="0"/>
        <w:rPr>
          <w:noProof/>
          <w:lang w:val="en-IE" w:eastAsia="fr-BE"/>
        </w:rPr>
      </w:pPr>
      <w:r w:rsidRPr="00DF5C23">
        <w:rPr>
          <w:noProof/>
          <w:lang w:val="en-IE" w:eastAsia="fr-BE"/>
        </w:rPr>
        <w:t>第</w:t>
      </w:r>
      <w:r w:rsidRPr="00DF5C23">
        <w:rPr>
          <w:noProof/>
          <w:lang w:val="en-IE" w:eastAsia="fr-BE"/>
        </w:rPr>
        <w:t>41</w:t>
      </w:r>
      <w:r w:rsidR="00877B9C" w:rsidRPr="00DF5C23">
        <w:rPr>
          <w:noProof/>
          <w:lang w:val="en-IE" w:eastAsia="fr-BE"/>
        </w:rPr>
        <w:t>条</w:t>
      </w:r>
      <w:r w:rsidR="00014A6A" w:rsidRPr="00DF5C23">
        <w:rPr>
          <w:noProof/>
          <w:lang w:eastAsia="ja-JP"/>
        </w:rPr>
        <w:br/>
      </w:r>
      <w:r w:rsidR="00877B9C" w:rsidRPr="00DF5C23">
        <w:rPr>
          <w:noProof/>
          <w:lang w:val="en-IE" w:eastAsia="fr-BE"/>
        </w:rPr>
        <w:t>お知らせ</w:t>
      </w:r>
    </w:p>
    <w:p w14:paraId="23BBADB3" w14:textId="77777777" w:rsidR="0038775E" w:rsidRDefault="00877B9C" w:rsidP="002041D4">
      <w:pPr>
        <w:wordWrap w:val="0"/>
        <w:rPr>
          <w:noProof/>
          <w:lang w:val="en-IE" w:eastAsia="fr-BE"/>
        </w:rPr>
      </w:pPr>
      <w:r w:rsidRPr="00DF5C23">
        <w:rPr>
          <w:noProof/>
          <w:lang w:val="en-IE" w:eastAsia="fr-BE"/>
        </w:rPr>
        <w:t>加盟国は、</w:t>
      </w:r>
      <w:r w:rsidR="000F0A02" w:rsidRPr="00DF5C23">
        <w:rPr>
          <w:noProof/>
          <w:lang w:val="en-IE" w:eastAsia="ja-JP"/>
        </w:rPr>
        <w:t>第</w:t>
      </w:r>
      <w:r w:rsidR="000F0A02" w:rsidRPr="00DF5C23">
        <w:rPr>
          <w:noProof/>
          <w:lang w:val="en-IE" w:eastAsia="ja-JP"/>
        </w:rPr>
        <w:t>4</w:t>
      </w:r>
      <w:r w:rsidR="000F0A02" w:rsidRPr="00DF5C23">
        <w:rPr>
          <w:noProof/>
          <w:lang w:val="en-IE" w:eastAsia="ja-JP"/>
        </w:rPr>
        <w:t>条に従って採択された</w:t>
      </w:r>
      <w:r w:rsidRPr="00DF5C23">
        <w:rPr>
          <w:noProof/>
          <w:lang w:val="en-IE" w:eastAsia="ja-JP"/>
        </w:rPr>
        <w:t>委任法の</w:t>
      </w:r>
      <w:r w:rsidRPr="00DF5C23">
        <w:rPr>
          <w:noProof/>
          <w:lang w:val="en-IE" w:eastAsia="fr-BE"/>
        </w:rPr>
        <w:t>下で規定された第三者適合性評価業務を実施する権限を有する団体を欧州委員会及び他の加盟国に通知するものとする。</w:t>
      </w:r>
    </w:p>
    <w:p w14:paraId="72037BD3" w14:textId="77777777" w:rsidR="0038775E" w:rsidRDefault="00807659" w:rsidP="002041D4">
      <w:pPr>
        <w:pStyle w:val="Titrearticle"/>
        <w:wordWrap w:val="0"/>
        <w:rPr>
          <w:noProof/>
          <w:lang w:val="en-IE" w:eastAsia="fr-BE"/>
        </w:rPr>
      </w:pPr>
      <w:r w:rsidRPr="00DF5C23">
        <w:rPr>
          <w:noProof/>
          <w:lang w:val="en-IE" w:eastAsia="fr-BE"/>
        </w:rPr>
        <w:lastRenderedPageBreak/>
        <w:t>第</w:t>
      </w:r>
      <w:r w:rsidRPr="00DF5C23">
        <w:rPr>
          <w:noProof/>
          <w:lang w:val="en-IE" w:eastAsia="fr-BE"/>
        </w:rPr>
        <w:t>42</w:t>
      </w:r>
      <w:r w:rsidR="00877B9C" w:rsidRPr="00DF5C23">
        <w:rPr>
          <w:noProof/>
          <w:lang w:val="en-IE" w:eastAsia="fr-BE"/>
        </w:rPr>
        <w:t>条</w:t>
      </w:r>
      <w:r w:rsidR="00014A6A" w:rsidRPr="00DF5C23">
        <w:rPr>
          <w:noProof/>
          <w:lang w:eastAsia="ja-JP"/>
        </w:rPr>
        <w:br/>
      </w:r>
      <w:r w:rsidR="00877B9C" w:rsidRPr="00DF5C23">
        <w:rPr>
          <w:noProof/>
          <w:lang w:val="en-IE" w:eastAsia="fr-BE"/>
        </w:rPr>
        <w:t>当局への通知</w:t>
      </w:r>
    </w:p>
    <w:p w14:paraId="0AB238A7" w14:textId="77777777" w:rsidR="0038775E" w:rsidRDefault="00877B9C" w:rsidP="002041D4">
      <w:pPr>
        <w:pStyle w:val="ManualNumPar1"/>
        <w:wordWrap w:val="0"/>
        <w:rPr>
          <w:noProof/>
          <w:lang w:val="en-IE" w:eastAsia="fr-BE"/>
        </w:rPr>
      </w:pPr>
      <w:r w:rsidRPr="004F5E59">
        <w:rPr>
          <w:lang w:eastAsia="ja-JP"/>
        </w:rPr>
        <w:t>1.</w:t>
      </w:r>
      <w:r w:rsidRPr="004F5E59">
        <w:rPr>
          <w:lang w:eastAsia="ja-JP"/>
        </w:rPr>
        <w:tab/>
      </w:r>
      <w:r w:rsidR="00646885" w:rsidRPr="00DF5C23">
        <w:rPr>
          <w:noProof/>
          <w:lang w:val="en-IE" w:eastAsia="fr-BE"/>
        </w:rPr>
        <w:t>加盟国は、</w:t>
      </w:r>
      <w:r w:rsidR="00A404BE" w:rsidRPr="00DF5C23">
        <w:rPr>
          <w:noProof/>
          <w:lang w:val="en-IE" w:eastAsia="fr-BE"/>
        </w:rPr>
        <w:t>第</w:t>
      </w:r>
      <w:r w:rsidR="00A404BE" w:rsidRPr="00DF5C23">
        <w:rPr>
          <w:noProof/>
          <w:lang w:val="en-IE" w:eastAsia="fr-BE"/>
        </w:rPr>
        <w:t>47</w:t>
      </w:r>
      <w:r w:rsidR="00A404BE" w:rsidRPr="00DF5C23">
        <w:rPr>
          <w:noProof/>
          <w:lang w:val="en-IE" w:eastAsia="fr-BE"/>
        </w:rPr>
        <w:t>条の</w:t>
      </w:r>
      <w:r w:rsidR="00646885" w:rsidRPr="00DF5C23">
        <w:rPr>
          <w:noProof/>
          <w:lang w:val="en-IE" w:eastAsia="fr-BE"/>
        </w:rPr>
        <w:t>規定の遵守を含め、適合性評価機関の評価及び届出並びに届出機関の監視のために必要な手続の設定及び実施に責任を有する届出機関を指定するものとする。</w:t>
      </w:r>
    </w:p>
    <w:p w14:paraId="723420D4" w14:textId="77777777" w:rsidR="0038775E" w:rsidRDefault="00877B9C" w:rsidP="002041D4">
      <w:pPr>
        <w:pStyle w:val="ManualNumPar1"/>
        <w:wordWrap w:val="0"/>
        <w:rPr>
          <w:noProof/>
          <w:lang w:val="en-IE" w:eastAsia="fr-BE"/>
        </w:rPr>
      </w:pPr>
      <w:r w:rsidRPr="004F5E59">
        <w:rPr>
          <w:lang w:eastAsia="ja-JP"/>
        </w:rPr>
        <w:t>2.</w:t>
      </w:r>
      <w:r w:rsidRPr="004F5E59">
        <w:rPr>
          <w:lang w:eastAsia="ja-JP"/>
        </w:rPr>
        <w:tab/>
      </w:r>
      <w:r w:rsidR="0681B866" w:rsidRPr="00DF5C23">
        <w:rPr>
          <w:noProof/>
          <w:lang w:val="en-IE" w:eastAsia="fr-BE"/>
        </w:rPr>
        <w:t>加盟国は、第</w:t>
      </w:r>
      <w:r w:rsidR="0681B866" w:rsidRPr="00DF5C23">
        <w:rPr>
          <w:noProof/>
          <w:lang w:val="en-IE" w:eastAsia="fr-BE"/>
        </w:rPr>
        <w:t>1</w:t>
      </w:r>
      <w:r w:rsidR="0681B866" w:rsidRPr="00DF5C23">
        <w:rPr>
          <w:noProof/>
          <w:lang w:val="en-IE" w:eastAsia="fr-BE"/>
        </w:rPr>
        <w:t>項にいう評価及び監視を、規則（</w:t>
      </w:r>
      <w:r w:rsidR="0681B866" w:rsidRPr="00DF5C23">
        <w:rPr>
          <w:noProof/>
          <w:lang w:val="en-IE" w:eastAsia="fr-BE"/>
        </w:rPr>
        <w:t>EC</w:t>
      </w:r>
      <w:r w:rsidR="0681B866" w:rsidRPr="00DF5C23">
        <w:rPr>
          <w:noProof/>
          <w:lang w:val="en-IE" w:eastAsia="fr-BE"/>
        </w:rPr>
        <w:t>）</w:t>
      </w:r>
      <w:r w:rsidR="0681B866" w:rsidRPr="00DF5C23">
        <w:rPr>
          <w:noProof/>
          <w:lang w:val="en-IE" w:eastAsia="fr-BE"/>
        </w:rPr>
        <w:t>No 765/2008</w:t>
      </w:r>
      <w:r w:rsidR="0681B866" w:rsidRPr="00DF5C23">
        <w:rPr>
          <w:noProof/>
          <w:lang w:val="en-IE" w:eastAsia="fr-BE"/>
        </w:rPr>
        <w:t>の意味するところに従い、国家認定機関によって実施することを決定できる。</w:t>
      </w:r>
      <w:r w:rsidR="0681B866" w:rsidRPr="00DF5C23">
        <w:rPr>
          <w:noProof/>
          <w:lang w:val="en-IE" w:eastAsia="fr-BE"/>
        </w:rPr>
        <w:t xml:space="preserve"> </w:t>
      </w:r>
    </w:p>
    <w:p w14:paraId="54DC4DC4" w14:textId="77777777" w:rsidR="0038775E" w:rsidRDefault="00877B9C" w:rsidP="002041D4">
      <w:pPr>
        <w:pStyle w:val="ManualNumPar1"/>
        <w:wordWrap w:val="0"/>
        <w:rPr>
          <w:noProof/>
          <w:lang w:val="en-IE" w:eastAsia="fr-BE"/>
        </w:rPr>
      </w:pPr>
      <w:r w:rsidRPr="004F5E59">
        <w:rPr>
          <w:lang w:eastAsia="ja-JP"/>
        </w:rPr>
        <w:t>3.</w:t>
      </w:r>
      <w:r w:rsidRPr="004F5E59">
        <w:rPr>
          <w:lang w:eastAsia="ja-JP"/>
        </w:rPr>
        <w:tab/>
      </w:r>
      <w:r w:rsidR="00646885" w:rsidRPr="00DF5C23">
        <w:rPr>
          <w:noProof/>
          <w:lang w:val="en-IE" w:eastAsia="fr-BE"/>
        </w:rPr>
        <w:t>通知機関が、第</w:t>
      </w:r>
      <w:r w:rsidR="00646885" w:rsidRPr="00DF5C23">
        <w:rPr>
          <w:noProof/>
          <w:lang w:val="en-IE" w:eastAsia="fr-BE"/>
        </w:rPr>
        <w:t>1</w:t>
      </w:r>
      <w:r w:rsidR="00646885" w:rsidRPr="00DF5C23">
        <w:rPr>
          <w:noProof/>
          <w:lang w:val="en-IE" w:eastAsia="fr-BE"/>
        </w:rPr>
        <w:t>項の評価、通知又は監視を政府機関でない機関に委任又は委託する場合、当該機関は法人でなければ</w:t>
      </w:r>
      <w:r w:rsidR="00654D12" w:rsidRPr="00DF5C23">
        <w:rPr>
          <w:noProof/>
          <w:lang w:eastAsia="fr-BE"/>
        </w:rPr>
        <w:t>ならず、</w:t>
      </w:r>
      <w:r w:rsidR="00A404BE" w:rsidRPr="00DF5C23">
        <w:rPr>
          <w:noProof/>
          <w:lang w:eastAsia="fr-BE"/>
        </w:rPr>
        <w:t>第</w:t>
      </w:r>
      <w:r w:rsidR="00A404BE" w:rsidRPr="00DF5C23">
        <w:rPr>
          <w:noProof/>
          <w:lang w:eastAsia="fr-BE"/>
        </w:rPr>
        <w:t>43</w:t>
      </w:r>
      <w:r w:rsidR="00A404BE" w:rsidRPr="00DF5C23">
        <w:rPr>
          <w:noProof/>
          <w:lang w:eastAsia="fr-BE"/>
        </w:rPr>
        <w:t>条に</w:t>
      </w:r>
      <w:r w:rsidR="00654D12" w:rsidRPr="00DF5C23">
        <w:rPr>
          <w:noProof/>
          <w:lang w:eastAsia="fr-BE"/>
        </w:rPr>
        <w:t>定める要件に</w:t>
      </w:r>
      <w:r w:rsidR="00654D12" w:rsidRPr="00DF5C23">
        <w:rPr>
          <w:i/>
          <w:noProof/>
          <w:lang w:eastAsia="fr-BE"/>
        </w:rPr>
        <w:t>準ずるものとする</w:t>
      </w:r>
      <w:r w:rsidR="00654D12" w:rsidRPr="00DF5C23">
        <w:rPr>
          <w:noProof/>
          <w:lang w:eastAsia="fr-BE"/>
        </w:rPr>
        <w:t>。</w:t>
      </w:r>
      <w:r w:rsidR="00654D12" w:rsidRPr="00DF5C23">
        <w:rPr>
          <w:noProof/>
          <w:lang w:eastAsia="fr-BE"/>
        </w:rPr>
        <w:t xml:space="preserve"> </w:t>
      </w:r>
      <w:r w:rsidR="00646885" w:rsidRPr="00DF5C23">
        <w:rPr>
          <w:noProof/>
          <w:lang w:val="en-IE" w:eastAsia="fr-BE"/>
        </w:rPr>
        <w:t xml:space="preserve"> </w:t>
      </w:r>
      <w:r w:rsidR="00646885" w:rsidRPr="00DF5C23">
        <w:rPr>
          <w:noProof/>
          <w:lang w:val="en-IE" w:eastAsia="fr-BE"/>
        </w:rPr>
        <w:t>また、当該団体は、その活動から生じる負債をカバーするための取り決めをしなければならない。</w:t>
      </w:r>
    </w:p>
    <w:p w14:paraId="22A02FA6" w14:textId="77777777" w:rsidR="0038775E" w:rsidRDefault="00877B9C" w:rsidP="002041D4">
      <w:pPr>
        <w:pStyle w:val="ManualNumPar1"/>
        <w:wordWrap w:val="0"/>
        <w:rPr>
          <w:noProof/>
          <w:lang w:val="en-IE" w:eastAsia="fr-BE"/>
        </w:rPr>
      </w:pPr>
      <w:r w:rsidRPr="004F5E59">
        <w:rPr>
          <w:lang w:eastAsia="ja-JP"/>
        </w:rPr>
        <w:t>4.</w:t>
      </w:r>
      <w:r w:rsidRPr="004F5E59">
        <w:rPr>
          <w:lang w:eastAsia="ja-JP"/>
        </w:rPr>
        <w:tab/>
      </w:r>
      <w:r w:rsidR="0681B866" w:rsidRPr="00DF5C23">
        <w:rPr>
          <w:noProof/>
          <w:lang w:val="en-IE" w:eastAsia="fr-BE"/>
        </w:rPr>
        <w:t>通知機関は、第</w:t>
      </w:r>
      <w:r w:rsidR="0681B866" w:rsidRPr="00DF5C23">
        <w:rPr>
          <w:noProof/>
          <w:lang w:val="en-IE" w:eastAsia="fr-BE"/>
        </w:rPr>
        <w:t>3</w:t>
      </w:r>
      <w:r w:rsidR="0681B866" w:rsidRPr="00DF5C23">
        <w:rPr>
          <w:noProof/>
          <w:lang w:val="en-IE" w:eastAsia="fr-BE"/>
        </w:rPr>
        <w:t>項の機関が行う業務について、全責任を負うものとする。</w:t>
      </w:r>
    </w:p>
    <w:p w14:paraId="7650A5CE" w14:textId="77777777" w:rsidR="0038775E" w:rsidRDefault="00807659" w:rsidP="002041D4">
      <w:pPr>
        <w:pStyle w:val="Titrearticle"/>
        <w:wordWrap w:val="0"/>
        <w:rPr>
          <w:noProof/>
          <w:lang w:val="en-IE" w:eastAsia="fr-BE"/>
        </w:rPr>
      </w:pPr>
      <w:r w:rsidRPr="00DF5C23">
        <w:rPr>
          <w:noProof/>
          <w:lang w:val="en-IE" w:eastAsia="fr-BE"/>
        </w:rPr>
        <w:t>第</w:t>
      </w:r>
      <w:r w:rsidRPr="00DF5C23">
        <w:rPr>
          <w:noProof/>
          <w:lang w:val="en-IE" w:eastAsia="fr-BE"/>
        </w:rPr>
        <w:t>43</w:t>
      </w:r>
      <w:r w:rsidR="00877B9C" w:rsidRPr="00DF5C23">
        <w:rPr>
          <w:noProof/>
          <w:lang w:val="en-IE" w:eastAsia="fr-BE"/>
        </w:rPr>
        <w:t>条</w:t>
      </w:r>
      <w:r w:rsidR="00014A6A" w:rsidRPr="00DF5C23">
        <w:rPr>
          <w:noProof/>
          <w:lang w:eastAsia="ja-JP"/>
        </w:rPr>
        <w:br/>
      </w:r>
      <w:r w:rsidR="00877B9C" w:rsidRPr="00DF5C23">
        <w:rPr>
          <w:noProof/>
          <w:lang w:val="en-IE" w:eastAsia="fr-BE"/>
        </w:rPr>
        <w:t>通知先に関する要求事項</w:t>
      </w:r>
    </w:p>
    <w:p w14:paraId="0EF5BA03" w14:textId="77777777" w:rsidR="0038775E" w:rsidRDefault="00877B9C" w:rsidP="002041D4">
      <w:pPr>
        <w:pStyle w:val="ManualNumPar1"/>
        <w:wordWrap w:val="0"/>
        <w:rPr>
          <w:noProof/>
          <w:lang w:val="en-IE" w:eastAsia="fr-BE"/>
        </w:rPr>
      </w:pPr>
      <w:r w:rsidRPr="004F5E59">
        <w:rPr>
          <w:lang w:eastAsia="ja-JP"/>
        </w:rPr>
        <w:t>1.</w:t>
      </w:r>
      <w:r w:rsidRPr="004F5E59">
        <w:rPr>
          <w:lang w:eastAsia="ja-JP"/>
        </w:rPr>
        <w:tab/>
      </w:r>
      <w:r w:rsidR="0681B866" w:rsidRPr="00DF5C23">
        <w:rPr>
          <w:noProof/>
          <w:lang w:val="en-IE" w:eastAsia="fr-BE"/>
        </w:rPr>
        <w:t>通知機関は、適合性評価機関又は通知機関との利益相反が生じないように設置されなければならない。</w:t>
      </w:r>
    </w:p>
    <w:p w14:paraId="03EDC768" w14:textId="77777777" w:rsidR="0038775E" w:rsidRDefault="00877B9C" w:rsidP="002041D4">
      <w:pPr>
        <w:pStyle w:val="ManualNumPar1"/>
        <w:wordWrap w:val="0"/>
        <w:rPr>
          <w:noProof/>
          <w:lang w:val="en-IE" w:eastAsia="fr-BE"/>
        </w:rPr>
      </w:pPr>
      <w:r w:rsidRPr="004F5E59">
        <w:rPr>
          <w:lang w:eastAsia="ja-JP"/>
        </w:rPr>
        <w:t>2.</w:t>
      </w:r>
      <w:r w:rsidRPr="004F5E59">
        <w:rPr>
          <w:lang w:eastAsia="ja-JP"/>
        </w:rPr>
        <w:tab/>
      </w:r>
      <w:r w:rsidR="0681B866" w:rsidRPr="00DF5C23">
        <w:rPr>
          <w:noProof/>
          <w:lang w:val="en-IE" w:eastAsia="fr-BE"/>
        </w:rPr>
        <w:t>通知機関は、その活動の客観性及び公平性を保護するように組織され、運営されるものとする。</w:t>
      </w:r>
    </w:p>
    <w:p w14:paraId="54078ABD" w14:textId="77777777" w:rsidR="0038775E" w:rsidRDefault="00877B9C" w:rsidP="002041D4">
      <w:pPr>
        <w:pStyle w:val="ManualNumPar1"/>
        <w:wordWrap w:val="0"/>
        <w:rPr>
          <w:noProof/>
          <w:lang w:val="en-IE" w:eastAsia="fr-BE"/>
        </w:rPr>
      </w:pPr>
      <w:r w:rsidRPr="004F5E59">
        <w:rPr>
          <w:lang w:eastAsia="ja-JP"/>
        </w:rPr>
        <w:t>3.</w:t>
      </w:r>
      <w:r w:rsidRPr="004F5E59">
        <w:rPr>
          <w:lang w:eastAsia="ja-JP"/>
        </w:rPr>
        <w:tab/>
      </w:r>
      <w:r w:rsidR="0681B866" w:rsidRPr="00DF5C23">
        <w:rPr>
          <w:noProof/>
          <w:lang w:val="en-IE" w:eastAsia="fr-BE"/>
        </w:rPr>
        <w:t>通知機関は，適合性評価機関の通知に関する各決定が，評価を実施した者とは異なる能力者によって行われるように組織されなければならない。</w:t>
      </w:r>
    </w:p>
    <w:p w14:paraId="40626A13" w14:textId="77777777" w:rsidR="0038775E" w:rsidRDefault="00877B9C" w:rsidP="002041D4">
      <w:pPr>
        <w:pStyle w:val="ManualNumPar1"/>
        <w:wordWrap w:val="0"/>
        <w:rPr>
          <w:noProof/>
          <w:lang w:val="en-IE" w:eastAsia="fr-BE"/>
        </w:rPr>
      </w:pPr>
      <w:r w:rsidRPr="004F5E59">
        <w:rPr>
          <w:lang w:eastAsia="ja-JP"/>
        </w:rPr>
        <w:t>4.</w:t>
      </w:r>
      <w:r w:rsidRPr="004F5E59">
        <w:rPr>
          <w:lang w:eastAsia="ja-JP"/>
        </w:rPr>
        <w:tab/>
      </w:r>
      <w:r w:rsidR="0681B866" w:rsidRPr="00DF5C23">
        <w:rPr>
          <w:noProof/>
          <w:lang w:val="en-IE" w:eastAsia="fr-BE"/>
        </w:rPr>
        <w:t>届出機関は，適合性評価機関が行う活動</w:t>
      </w:r>
      <w:r w:rsidR="00410434" w:rsidRPr="00DF5C23">
        <w:rPr>
          <w:noProof/>
          <w:lang w:val="en-IE" w:eastAsia="fr-BE"/>
        </w:rPr>
        <w:t>，</w:t>
      </w:r>
      <w:r w:rsidR="0681B866" w:rsidRPr="00DF5C23">
        <w:rPr>
          <w:noProof/>
          <w:lang w:val="en-IE" w:eastAsia="fr-BE"/>
        </w:rPr>
        <w:t>又はコンサルタント業務を，商業ベース又は競争ベースで提供又は提供してはならない。</w:t>
      </w:r>
    </w:p>
    <w:p w14:paraId="1A8C2695" w14:textId="77777777" w:rsidR="0038775E" w:rsidRDefault="00877B9C" w:rsidP="002041D4">
      <w:pPr>
        <w:pStyle w:val="ManualNumPar1"/>
        <w:wordWrap w:val="0"/>
        <w:rPr>
          <w:noProof/>
          <w:lang w:val="en-IE" w:eastAsia="fr-BE"/>
        </w:rPr>
      </w:pPr>
      <w:r w:rsidRPr="004F5E59">
        <w:rPr>
          <w:lang w:eastAsia="ja-JP"/>
        </w:rPr>
        <w:t>5.</w:t>
      </w:r>
      <w:r w:rsidRPr="004F5E59">
        <w:rPr>
          <w:lang w:eastAsia="ja-JP"/>
        </w:rPr>
        <w:tab/>
      </w:r>
      <w:r w:rsidR="0681B866" w:rsidRPr="00DF5C23">
        <w:rPr>
          <w:noProof/>
          <w:lang w:val="en-IE" w:eastAsia="fr-BE"/>
        </w:rPr>
        <w:t>届出機関は、取得した情報の機密を保護しなければならない。ただし、要求に応じて、欧州委員会、他の加盟国の届出機関及び他の関連する国内当局と、届出機関に関する情報を交換するものとする。</w:t>
      </w:r>
    </w:p>
    <w:p w14:paraId="0DB0E724" w14:textId="77777777" w:rsidR="0038775E" w:rsidRDefault="00877B9C" w:rsidP="002041D4">
      <w:pPr>
        <w:pStyle w:val="ManualNumPar1"/>
        <w:wordWrap w:val="0"/>
        <w:rPr>
          <w:noProof/>
          <w:lang w:val="en-IE" w:eastAsia="fr-BE"/>
        </w:rPr>
      </w:pPr>
      <w:r w:rsidRPr="004F5E59">
        <w:rPr>
          <w:lang w:eastAsia="ja-JP"/>
        </w:rPr>
        <w:t>6.</w:t>
      </w:r>
      <w:r w:rsidRPr="004F5E59">
        <w:rPr>
          <w:lang w:eastAsia="ja-JP"/>
        </w:rPr>
        <w:tab/>
      </w:r>
      <w:r w:rsidR="00705684" w:rsidRPr="00DF5C23">
        <w:rPr>
          <w:noProof/>
          <w:lang w:val="en-IE" w:eastAsia="fr-BE"/>
        </w:rPr>
        <w:t>届出機関は，</w:t>
      </w:r>
      <w:r w:rsidR="000F0A02" w:rsidRPr="00DF5C23">
        <w:rPr>
          <w:noProof/>
          <w:lang w:val="en-IE" w:eastAsia="fr-BE"/>
        </w:rPr>
        <w:t>届出を</w:t>
      </w:r>
      <w:r w:rsidR="00410434" w:rsidRPr="00DF5C23">
        <w:rPr>
          <w:noProof/>
          <w:lang w:val="en-IE" w:eastAsia="fr-BE"/>
        </w:rPr>
        <w:t>申請した</w:t>
      </w:r>
      <w:r w:rsidR="000F0A02" w:rsidRPr="00DF5C23">
        <w:rPr>
          <w:noProof/>
          <w:lang w:val="en-IE" w:eastAsia="fr-BE"/>
        </w:rPr>
        <w:t>特定の適合性評価</w:t>
      </w:r>
      <w:r w:rsidR="00410434" w:rsidRPr="00DF5C23">
        <w:rPr>
          <w:noProof/>
          <w:lang w:val="en-IE" w:eastAsia="fr-BE"/>
        </w:rPr>
        <w:t>機関のみを</w:t>
      </w:r>
      <w:r w:rsidR="00705684" w:rsidRPr="00DF5C23">
        <w:rPr>
          <w:noProof/>
          <w:lang w:val="en-IE" w:eastAsia="fr-BE"/>
        </w:rPr>
        <w:t>届出の基礎とし，</w:t>
      </w:r>
      <w:r w:rsidR="0001617E" w:rsidRPr="00DF5C23">
        <w:rPr>
          <w:noProof/>
          <w:lang w:val="en-IE" w:eastAsia="fr-BE"/>
        </w:rPr>
        <w:t>親会社又は姉妹会社の</w:t>
      </w:r>
      <w:r w:rsidR="000F0A02" w:rsidRPr="00DF5C23">
        <w:rPr>
          <w:rFonts w:eastAsia="Times New Roman"/>
          <w:noProof/>
          <w:lang w:val="en-IE" w:eastAsia="fr-BE"/>
        </w:rPr>
        <w:t>能力</w:t>
      </w:r>
      <w:r w:rsidR="0001617E" w:rsidRPr="00DF5C23">
        <w:rPr>
          <w:rFonts w:eastAsia="Times New Roman"/>
          <w:noProof/>
          <w:lang w:val="en-IE" w:eastAsia="fr-BE"/>
        </w:rPr>
        <w:t>又は</w:t>
      </w:r>
      <w:r w:rsidR="000F0A02" w:rsidRPr="00DF5C23">
        <w:rPr>
          <w:rFonts w:eastAsia="Times New Roman"/>
          <w:noProof/>
          <w:lang w:val="en-IE" w:eastAsia="fr-BE"/>
        </w:rPr>
        <w:t>要員を考慮してはならない。  当局は，</w:t>
      </w:r>
      <w:r w:rsidR="00705684" w:rsidRPr="00DF5C23">
        <w:rPr>
          <w:noProof/>
          <w:lang w:val="en-IE" w:eastAsia="fr-BE"/>
        </w:rPr>
        <w:t>すべての関連する要求事項及び適合性評価業務に対して，その機関を評価</w:t>
      </w:r>
      <w:r w:rsidR="00410434" w:rsidRPr="00DF5C23">
        <w:rPr>
          <w:rFonts w:eastAsia="Times New Roman"/>
          <w:noProof/>
          <w:lang w:val="en-IE" w:eastAsia="fr-BE"/>
        </w:rPr>
        <w:t>しなければならない。</w:t>
      </w:r>
    </w:p>
    <w:p w14:paraId="56A00EB8" w14:textId="77777777" w:rsidR="0038775E" w:rsidRDefault="00877B9C" w:rsidP="002041D4">
      <w:pPr>
        <w:pStyle w:val="ManualNumPar1"/>
        <w:wordWrap w:val="0"/>
        <w:rPr>
          <w:noProof/>
          <w:lang w:val="en-IE" w:eastAsia="fr-BE"/>
        </w:rPr>
      </w:pPr>
      <w:r w:rsidRPr="004F5E59">
        <w:rPr>
          <w:lang w:eastAsia="ja-JP"/>
        </w:rPr>
        <w:t>7.</w:t>
      </w:r>
      <w:r w:rsidRPr="004F5E59">
        <w:rPr>
          <w:lang w:eastAsia="ja-JP"/>
        </w:rPr>
        <w:tab/>
      </w:r>
      <w:r w:rsidR="0681B866" w:rsidRPr="00DF5C23">
        <w:rPr>
          <w:noProof/>
          <w:lang w:val="en-IE" w:eastAsia="fr-BE"/>
        </w:rPr>
        <w:t>届出機関は、その任務を適切に遂行するために、十分な数の有能な職員及び十分な資金を自由に利用できるようにしなければならない。</w:t>
      </w:r>
    </w:p>
    <w:p w14:paraId="55617CFD" w14:textId="77777777" w:rsidR="0038775E" w:rsidRDefault="00877B9C" w:rsidP="002041D4">
      <w:pPr>
        <w:pStyle w:val="Text1"/>
        <w:wordWrap w:val="0"/>
        <w:rPr>
          <w:noProof/>
          <w:lang w:val="en-IE" w:eastAsia="fr-BE"/>
        </w:rPr>
      </w:pPr>
      <w:r w:rsidRPr="00DF5C23">
        <w:rPr>
          <w:noProof/>
          <w:lang w:val="en-IE" w:eastAsia="fr-BE"/>
        </w:rPr>
        <w:t>欧州委員会は、</w:t>
      </w:r>
      <w:r w:rsidRPr="00DF5C23">
        <w:rPr>
          <w:noProof/>
          <w:lang w:val="en-IE" w:eastAsia="fr-BE"/>
        </w:rPr>
        <w:t>特定の適合性評価業務に関連して適切な場合には、届出機関の適切な監視のために十分と考えられる常勤の同等者の最低人数を</w:t>
      </w:r>
      <w:r w:rsidR="00DC7401" w:rsidRPr="00DF5C23">
        <w:rPr>
          <w:noProof/>
          <w:lang w:val="en-IE" w:eastAsia="fr-BE"/>
        </w:rPr>
        <w:t>定めた実施法を採択する</w:t>
      </w:r>
      <w:r w:rsidRPr="00DF5C23">
        <w:rPr>
          <w:noProof/>
          <w:lang w:val="en-IE" w:eastAsia="fr-BE"/>
        </w:rPr>
        <w:t>ことができる。監視が国家認定機関又は</w:t>
      </w:r>
      <w:r w:rsidR="00A404BE" w:rsidRPr="00DF5C23">
        <w:rPr>
          <w:noProof/>
          <w:lang w:val="en-IE" w:eastAsia="fr-BE"/>
        </w:rPr>
        <w:t>第</w:t>
      </w:r>
      <w:r w:rsidR="00A404BE" w:rsidRPr="00DF5C23">
        <w:rPr>
          <w:noProof/>
          <w:lang w:val="en-IE" w:eastAsia="fr-BE"/>
        </w:rPr>
        <w:t>42</w:t>
      </w:r>
      <w:r w:rsidRPr="00DF5C23">
        <w:rPr>
          <w:noProof/>
          <w:lang w:val="en-IE" w:eastAsia="fr-BE"/>
        </w:rPr>
        <w:t>条</w:t>
      </w:r>
      <w:r w:rsidRPr="00DF5C23">
        <w:rPr>
          <w:noProof/>
          <w:lang w:val="en-IE" w:eastAsia="fr-BE"/>
        </w:rPr>
        <w:t>(3)</w:t>
      </w:r>
      <w:r w:rsidRPr="00DF5C23">
        <w:rPr>
          <w:noProof/>
          <w:lang w:val="en-IE" w:eastAsia="fr-BE"/>
        </w:rPr>
        <w:t>にいう機関によって行われる場合、この最低人数は、当該機関に適用されるものとする。</w:t>
      </w:r>
    </w:p>
    <w:p w14:paraId="1804CF14" w14:textId="77777777" w:rsidR="0038775E" w:rsidRDefault="00877B9C" w:rsidP="002041D4">
      <w:pPr>
        <w:pStyle w:val="Text1"/>
        <w:wordWrap w:val="0"/>
        <w:rPr>
          <w:noProof/>
          <w:lang w:val="en-IE" w:eastAsia="fr-BE"/>
        </w:rPr>
      </w:pPr>
      <w:r w:rsidRPr="00DF5C23">
        <w:rPr>
          <w:noProof/>
          <w:lang w:val="en-IE" w:eastAsia="fr-BE"/>
        </w:rPr>
        <w:t>これらの実施法は、</w:t>
      </w:r>
      <w:r w:rsidR="00A404BE" w:rsidRPr="00DF5C23">
        <w:rPr>
          <w:noProof/>
          <w:lang w:val="en-IE" w:eastAsia="fr-BE"/>
        </w:rPr>
        <w:t>第</w:t>
      </w:r>
      <w:r w:rsidR="00A404BE" w:rsidRPr="00DF5C23">
        <w:rPr>
          <w:noProof/>
          <w:lang w:val="en-IE" w:eastAsia="fr-BE"/>
        </w:rPr>
        <w:t>67</w:t>
      </w:r>
      <w:r w:rsidR="00A404BE" w:rsidRPr="00DF5C23">
        <w:rPr>
          <w:noProof/>
          <w:lang w:val="en-IE" w:eastAsia="fr-BE"/>
        </w:rPr>
        <w:t>条</w:t>
      </w:r>
      <w:r w:rsidR="00E7338F" w:rsidRPr="00DF5C23">
        <w:rPr>
          <w:noProof/>
          <w:lang w:val="en-IE" w:eastAsia="fr-BE"/>
        </w:rPr>
        <w:t>(3)</w:t>
      </w:r>
      <w:r w:rsidRPr="00DF5C23">
        <w:rPr>
          <w:noProof/>
          <w:lang w:val="en-IE" w:eastAsia="fr-BE"/>
        </w:rPr>
        <w:t>にいう審査手続きに基づいて採択されるものとする。</w:t>
      </w:r>
    </w:p>
    <w:p w14:paraId="0B88EB97" w14:textId="77777777" w:rsidR="0038775E" w:rsidRDefault="00807659" w:rsidP="002041D4">
      <w:pPr>
        <w:pStyle w:val="Titrearticle"/>
        <w:wordWrap w:val="0"/>
        <w:rPr>
          <w:noProof/>
          <w:lang w:val="en-IE" w:eastAsia="fr-BE"/>
        </w:rPr>
      </w:pPr>
      <w:r w:rsidRPr="00DF5C23">
        <w:rPr>
          <w:noProof/>
          <w:lang w:val="en-IE" w:eastAsia="fr-BE"/>
        </w:rPr>
        <w:lastRenderedPageBreak/>
        <w:t>第</w:t>
      </w:r>
      <w:r w:rsidRPr="00DF5C23">
        <w:rPr>
          <w:noProof/>
          <w:lang w:val="en-IE" w:eastAsia="fr-BE"/>
        </w:rPr>
        <w:t>44</w:t>
      </w:r>
      <w:r w:rsidR="00877B9C" w:rsidRPr="00DF5C23">
        <w:rPr>
          <w:noProof/>
          <w:lang w:val="en-IE" w:eastAsia="fr-BE"/>
        </w:rPr>
        <w:t>条</w:t>
      </w:r>
      <w:r w:rsidR="00014A6A" w:rsidRPr="00DF5C23">
        <w:rPr>
          <w:noProof/>
          <w:lang w:eastAsia="ja-JP"/>
        </w:rPr>
        <w:br/>
      </w:r>
      <w:r w:rsidR="00877B9C" w:rsidRPr="00DF5C23">
        <w:rPr>
          <w:noProof/>
          <w:lang w:val="en-IE" w:eastAsia="fr-BE"/>
        </w:rPr>
        <w:t>通知先への情報提供義務</w:t>
      </w:r>
    </w:p>
    <w:p w14:paraId="1EC2B19C" w14:textId="77777777" w:rsidR="0038775E" w:rsidRDefault="00877B9C" w:rsidP="002041D4">
      <w:pPr>
        <w:wordWrap w:val="0"/>
        <w:rPr>
          <w:noProof/>
          <w:lang w:eastAsia="ja-JP"/>
        </w:rPr>
      </w:pPr>
      <w:r w:rsidRPr="00DF5C23">
        <w:rPr>
          <w:noProof/>
          <w:lang w:val="en-IE" w:eastAsia="fr-BE"/>
        </w:rPr>
        <w:t>加盟国は、適合性評価機関の評価及び届出並びに届出機関の監視に関する手続並びにその変更について、欧州委員会に報告するものとする。</w:t>
      </w:r>
    </w:p>
    <w:p w14:paraId="2E247887" w14:textId="77777777" w:rsidR="0038775E" w:rsidRDefault="00877B9C" w:rsidP="002041D4">
      <w:pPr>
        <w:wordWrap w:val="0"/>
        <w:rPr>
          <w:noProof/>
          <w:lang w:eastAsia="ja-JP"/>
        </w:rPr>
      </w:pPr>
      <w:r w:rsidRPr="00DF5C23">
        <w:rPr>
          <w:noProof/>
          <w:lang w:val="en-IE" w:eastAsia="fr-BE"/>
        </w:rPr>
        <w:t>委員会は、その情報を一般に公開するものとする。</w:t>
      </w:r>
    </w:p>
    <w:p w14:paraId="48309820" w14:textId="77777777" w:rsidR="0038775E" w:rsidRDefault="00807659" w:rsidP="002041D4">
      <w:pPr>
        <w:pStyle w:val="Titrearticle"/>
        <w:wordWrap w:val="0"/>
        <w:rPr>
          <w:noProof/>
          <w:lang w:eastAsia="ja-JP"/>
        </w:rPr>
      </w:pPr>
      <w:r w:rsidRPr="00DF5C23">
        <w:rPr>
          <w:noProof/>
          <w:lang w:val="en-IE" w:eastAsia="fr-BE"/>
        </w:rPr>
        <w:t>第</w:t>
      </w:r>
      <w:r w:rsidRPr="00DF5C23">
        <w:rPr>
          <w:noProof/>
          <w:lang w:val="en-IE" w:eastAsia="fr-BE"/>
        </w:rPr>
        <w:t>45</w:t>
      </w:r>
      <w:r w:rsidR="00877B9C" w:rsidRPr="00DF5C23">
        <w:rPr>
          <w:rFonts w:eastAsia="Times New Roman"/>
          <w:noProof/>
          <w:lang w:val="en-IE" w:eastAsia="fr-BE"/>
        </w:rPr>
        <w:t>条</w:t>
      </w:r>
      <w:r w:rsidR="00C63638" w:rsidRPr="00DF5C23">
        <w:rPr>
          <w:noProof/>
          <w:lang w:eastAsia="ja-JP"/>
        </w:rPr>
        <w:br/>
      </w:r>
      <w:r w:rsidR="00877B9C" w:rsidRPr="00DF5C23">
        <w:rPr>
          <w:noProof/>
          <w:lang w:val="en-IE" w:eastAsia="fr-BE"/>
        </w:rPr>
        <w:t>ノーティファイドボディに関連する要求事項</w:t>
      </w:r>
    </w:p>
    <w:p w14:paraId="0B48EF9A" w14:textId="77777777" w:rsidR="0038775E" w:rsidRDefault="00877B9C" w:rsidP="002041D4">
      <w:pPr>
        <w:pStyle w:val="ManualNumPar1"/>
        <w:wordWrap w:val="0"/>
        <w:rPr>
          <w:noProof/>
          <w:lang w:val="en-IE" w:eastAsia="fr-BE"/>
        </w:rPr>
      </w:pPr>
      <w:r w:rsidRPr="004F5E59">
        <w:rPr>
          <w:lang w:eastAsia="ja-JP"/>
        </w:rPr>
        <w:t>1.</w:t>
      </w:r>
      <w:r w:rsidRPr="004F5E59">
        <w:rPr>
          <w:lang w:eastAsia="ja-JP"/>
        </w:rPr>
        <w:tab/>
      </w:r>
      <w:r w:rsidR="0681B866" w:rsidRPr="00DF5C23">
        <w:rPr>
          <w:noProof/>
          <w:lang w:val="en-IE" w:eastAsia="fr-BE"/>
        </w:rPr>
        <w:t>届出のために、適合性評価機関は、第</w:t>
      </w:r>
      <w:r w:rsidR="0681B866" w:rsidRPr="00DF5C23">
        <w:rPr>
          <w:noProof/>
          <w:lang w:val="en-IE" w:eastAsia="fr-BE"/>
        </w:rPr>
        <w:t>2</w:t>
      </w:r>
      <w:r w:rsidR="0681B866" w:rsidRPr="00DF5C23">
        <w:rPr>
          <w:noProof/>
          <w:lang w:val="en-IE" w:eastAsia="fr-BE"/>
        </w:rPr>
        <w:t>項から第</w:t>
      </w:r>
      <w:r w:rsidR="0681B866" w:rsidRPr="00DF5C23">
        <w:rPr>
          <w:noProof/>
          <w:lang w:val="en-IE" w:eastAsia="fr-BE"/>
        </w:rPr>
        <w:t>11</w:t>
      </w:r>
      <w:r w:rsidR="0681B866" w:rsidRPr="00DF5C23">
        <w:rPr>
          <w:noProof/>
          <w:lang w:val="en-IE" w:eastAsia="fr-BE"/>
        </w:rPr>
        <w:t>項までに定める要件を満たさなければならない。</w:t>
      </w:r>
    </w:p>
    <w:p w14:paraId="081C909C" w14:textId="77777777" w:rsidR="0038775E" w:rsidRDefault="00877B9C" w:rsidP="002041D4">
      <w:pPr>
        <w:pStyle w:val="ManualNumPar1"/>
        <w:wordWrap w:val="0"/>
        <w:rPr>
          <w:noProof/>
          <w:lang w:val="en-IE" w:eastAsia="fr-BE"/>
        </w:rPr>
      </w:pPr>
      <w:r w:rsidRPr="004F5E59">
        <w:rPr>
          <w:lang w:eastAsia="ja-JP"/>
        </w:rPr>
        <w:t>2.</w:t>
      </w:r>
      <w:r w:rsidRPr="004F5E59">
        <w:rPr>
          <w:lang w:eastAsia="ja-JP"/>
        </w:rPr>
        <w:tab/>
      </w:r>
      <w:r w:rsidR="0681B866" w:rsidRPr="00DF5C23">
        <w:rPr>
          <w:noProof/>
          <w:lang w:val="en-IE" w:eastAsia="fr-BE"/>
        </w:rPr>
        <w:t>適合性評価機関は、</w:t>
      </w:r>
      <w:r w:rsidR="0001617E" w:rsidRPr="00DF5C23">
        <w:rPr>
          <w:noProof/>
          <w:lang w:val="en-IE" w:eastAsia="fr-BE"/>
        </w:rPr>
        <w:t>加盟国の</w:t>
      </w:r>
      <w:r w:rsidR="0681B866" w:rsidRPr="00DF5C23">
        <w:rPr>
          <w:noProof/>
          <w:lang w:val="en-IE" w:eastAsia="fr-BE"/>
        </w:rPr>
        <w:t>国内法に基づいて設立され、法人格を有するものと</w:t>
      </w:r>
      <w:r w:rsidR="0001617E" w:rsidRPr="00DF5C23">
        <w:rPr>
          <w:noProof/>
          <w:lang w:val="en-IE" w:eastAsia="fr-BE"/>
        </w:rPr>
        <w:t>する。</w:t>
      </w:r>
    </w:p>
    <w:p w14:paraId="4AE463D9" w14:textId="77777777" w:rsidR="0038775E" w:rsidRDefault="00877B9C" w:rsidP="002041D4">
      <w:pPr>
        <w:pStyle w:val="ManualNumPar1"/>
        <w:wordWrap w:val="0"/>
        <w:rPr>
          <w:noProof/>
          <w:lang w:val="en-IE" w:eastAsia="fr-BE"/>
        </w:rPr>
      </w:pPr>
      <w:r w:rsidRPr="004F5E59">
        <w:rPr>
          <w:lang w:eastAsia="ja-JP"/>
        </w:rPr>
        <w:t>3.</w:t>
      </w:r>
      <w:r w:rsidRPr="004F5E59">
        <w:rPr>
          <w:lang w:eastAsia="ja-JP"/>
        </w:rPr>
        <w:tab/>
      </w:r>
      <w:r w:rsidR="00646885" w:rsidRPr="00DF5C23">
        <w:rPr>
          <w:noProof/>
          <w:lang w:val="en-IE" w:eastAsia="fr-BE"/>
        </w:rPr>
        <w:t>適合性評価機関は、評価する組織又は製品から独立した第三者機関でなければならない。適合性評価機関は、評価する製品と利害関係の</w:t>
      </w:r>
      <w:r w:rsidR="00EC000E" w:rsidRPr="00DF5C23">
        <w:rPr>
          <w:noProof/>
          <w:lang w:val="en-IE" w:eastAsia="fr-BE"/>
        </w:rPr>
        <w:t>ある</w:t>
      </w:r>
      <w:r w:rsidR="0001617E" w:rsidRPr="00DF5C23">
        <w:rPr>
          <w:noProof/>
          <w:lang w:val="en-US" w:eastAsia="ja-JP"/>
        </w:rPr>
        <w:t>組織</w:t>
      </w:r>
      <w:r w:rsidR="00646885" w:rsidRPr="00DF5C23">
        <w:rPr>
          <w:noProof/>
          <w:lang w:val="en-IE" w:eastAsia="fr-BE"/>
        </w:rPr>
        <w:t>、特に製造者、その取引先</w:t>
      </w:r>
      <w:r w:rsidR="0001617E" w:rsidRPr="00DF5C23">
        <w:rPr>
          <w:noProof/>
          <w:lang w:val="en-IE" w:eastAsia="fr-BE"/>
        </w:rPr>
        <w:t>及び</w:t>
      </w:r>
      <w:r w:rsidR="00646885" w:rsidRPr="00DF5C23">
        <w:rPr>
          <w:noProof/>
          <w:lang w:val="en-IE" w:eastAsia="fr-BE"/>
        </w:rPr>
        <w:t>その株式保有投資</w:t>
      </w:r>
      <w:r w:rsidR="0001617E" w:rsidRPr="00DF5C23">
        <w:rPr>
          <w:noProof/>
          <w:lang w:val="en-US" w:eastAsia="ja-JP"/>
        </w:rPr>
        <w:t>家と、いかなるビジネス関係も持ってはならない。ただし</w:t>
      </w:r>
      <w:r w:rsidR="00646885" w:rsidRPr="00DF5C23">
        <w:rPr>
          <w:noProof/>
          <w:lang w:val="en-IE" w:eastAsia="fr-BE"/>
        </w:rPr>
        <w:t>、</w:t>
      </w:r>
      <w:r w:rsidR="00821A9A" w:rsidRPr="00DF5C23">
        <w:rPr>
          <w:noProof/>
          <w:lang w:val="en-IE" w:eastAsia="fr-BE"/>
        </w:rPr>
        <w:t>適合性評価機関が</w:t>
      </w:r>
      <w:r w:rsidR="00646885" w:rsidRPr="00DF5C23">
        <w:rPr>
          <w:noProof/>
          <w:lang w:val="en-IE" w:eastAsia="fr-BE"/>
        </w:rPr>
        <w:t>競合する製造業者のために適合性評価活動を実施することを妨げるもので</w:t>
      </w:r>
      <w:r w:rsidR="00821A9A" w:rsidRPr="00DF5C23">
        <w:rPr>
          <w:noProof/>
          <w:lang w:val="en-IE" w:eastAsia="fr-BE"/>
        </w:rPr>
        <w:t>あってはならない。</w:t>
      </w:r>
    </w:p>
    <w:p w14:paraId="36D757FF" w14:textId="77777777" w:rsidR="0038775E" w:rsidRDefault="00877B9C" w:rsidP="002041D4">
      <w:pPr>
        <w:pStyle w:val="ManualNumPar1"/>
        <w:wordWrap w:val="0"/>
        <w:rPr>
          <w:noProof/>
          <w:lang w:val="en-IE" w:eastAsia="fr-BE"/>
        </w:rPr>
      </w:pPr>
      <w:r w:rsidRPr="004F5E59">
        <w:rPr>
          <w:lang w:eastAsia="ja-JP"/>
        </w:rPr>
        <w:t>4.</w:t>
      </w:r>
      <w:r w:rsidRPr="004F5E59">
        <w:rPr>
          <w:lang w:eastAsia="ja-JP"/>
        </w:rPr>
        <w:tab/>
      </w:r>
      <w:r w:rsidR="0681B866" w:rsidRPr="00DF5C23">
        <w:rPr>
          <w:noProof/>
          <w:lang w:val="en-IE" w:eastAsia="fr-BE"/>
        </w:rPr>
        <w:t>適合性評価機関、その</w:t>
      </w:r>
      <w:r w:rsidR="0681B866" w:rsidRPr="00DF5C23">
        <w:rPr>
          <w:noProof/>
          <w:lang w:eastAsia="fr-BE"/>
        </w:rPr>
        <w:t>トップレベルの</w:t>
      </w:r>
      <w:r w:rsidR="0681B866" w:rsidRPr="00DF5C23">
        <w:rPr>
          <w:noProof/>
          <w:lang w:val="en-IE" w:eastAsia="fr-BE"/>
        </w:rPr>
        <w:t>管理者及び適合性評価業務の遂行に責任を持つ要員は、評価する製品の設計者、製造者、供給者、輸入者、流通業者、設置者、購入者、所有者、ユーザー又は保守者、又はこれらの者の代表者であってはならない。ただし、適合性評価機関の業務に必要な評価対象製品の使用や、個人的な目的での使用を妨げるものではないものとする。</w:t>
      </w:r>
    </w:p>
    <w:p w14:paraId="7E579525" w14:textId="77777777" w:rsidR="0038775E" w:rsidRDefault="00877B9C" w:rsidP="002041D4">
      <w:pPr>
        <w:pStyle w:val="Text1"/>
        <w:wordWrap w:val="0"/>
        <w:rPr>
          <w:noProof/>
          <w:lang w:val="en-IE" w:eastAsia="fr-BE"/>
        </w:rPr>
      </w:pPr>
      <w:r w:rsidRPr="00DF5C23">
        <w:rPr>
          <w:noProof/>
          <w:lang w:val="en-IE" w:eastAsia="fr-BE"/>
        </w:rPr>
        <w:t>適合性評価機関、その</w:t>
      </w:r>
      <w:r w:rsidRPr="00DF5C23">
        <w:rPr>
          <w:noProof/>
          <w:lang w:eastAsia="fr-BE"/>
        </w:rPr>
        <w:t>トップレベルの</w:t>
      </w:r>
      <w:r w:rsidRPr="00DF5C23">
        <w:rPr>
          <w:noProof/>
          <w:lang w:val="en-IE" w:eastAsia="fr-BE"/>
        </w:rPr>
        <w:t>管理者及び適合性評価業務の遂行に責任を有する要員は、製品の設計、製造又は建設、販売、設置、使用又は保守に直接関与してはならず、又はこれらの活動に従事する当事者を代表してはならない。</w:t>
      </w:r>
      <w:r w:rsidRPr="00DF5C23">
        <w:rPr>
          <w:noProof/>
          <w:lang w:val="en-IE" w:eastAsia="fr-BE"/>
        </w:rPr>
        <w:t>また、通知された適合性評価業務に関して、判断の独立性又は完全性に抵触する可能性のある活動に従事してはならない。これは</w:t>
      </w:r>
      <w:r w:rsidR="00EC000E" w:rsidRPr="00DF5C23">
        <w:rPr>
          <w:noProof/>
          <w:lang w:eastAsia="fr-BE"/>
        </w:rPr>
        <w:t>特に</w:t>
      </w:r>
      <w:r w:rsidRPr="00DF5C23">
        <w:rPr>
          <w:noProof/>
          <w:lang w:val="en-IE" w:eastAsia="fr-BE"/>
        </w:rPr>
        <w:t>コンサルタント業務に</w:t>
      </w:r>
      <w:r w:rsidRPr="00DF5C23">
        <w:rPr>
          <w:noProof/>
          <w:lang w:eastAsia="fr-BE"/>
        </w:rPr>
        <w:t>適用されるものとする。</w:t>
      </w:r>
    </w:p>
    <w:p w14:paraId="01019F89" w14:textId="77777777" w:rsidR="0038775E" w:rsidRDefault="00877B9C" w:rsidP="002041D4">
      <w:pPr>
        <w:pStyle w:val="Text1"/>
        <w:wordWrap w:val="0"/>
        <w:rPr>
          <w:noProof/>
          <w:lang w:val="en-IE" w:eastAsia="fr-BE"/>
        </w:rPr>
      </w:pPr>
      <w:r w:rsidRPr="00DF5C23">
        <w:rPr>
          <w:noProof/>
          <w:lang w:val="en-IE" w:eastAsia="fr-BE"/>
        </w:rPr>
        <w:t>適合性評価機関は、その親会社または姉妹会社、子会社または下請業者の活動が、適合性評価活動の機密性、客観性または公平性に影響を及ぼさないようにしなければならない。</w:t>
      </w:r>
    </w:p>
    <w:p w14:paraId="3651FE3F" w14:textId="77777777" w:rsidR="0038775E" w:rsidRDefault="00877B9C" w:rsidP="002041D4">
      <w:pPr>
        <w:pStyle w:val="Text1"/>
        <w:wordWrap w:val="0"/>
        <w:rPr>
          <w:noProof/>
          <w:lang w:val="en-IE" w:eastAsia="fr-BE"/>
        </w:rPr>
      </w:pPr>
      <w:r w:rsidRPr="00DF5C23">
        <w:rPr>
          <w:noProof/>
          <w:lang w:val="en-IE" w:eastAsia="fr-BE"/>
        </w:rPr>
        <w:t>社内手続き、一般方針、行動規範またはその他の社内規則の制定および監督、特定の業務への人員の割り当て、適合性評価の決定は、下請業者または子会社に委任することはできない。</w:t>
      </w:r>
    </w:p>
    <w:p w14:paraId="02938890" w14:textId="77777777" w:rsidR="0038775E" w:rsidRDefault="00877B9C" w:rsidP="002041D4">
      <w:pPr>
        <w:pStyle w:val="ManualNumPar1"/>
        <w:wordWrap w:val="0"/>
        <w:rPr>
          <w:noProof/>
          <w:lang w:val="en-IE" w:eastAsia="fr-BE"/>
        </w:rPr>
      </w:pPr>
      <w:r w:rsidRPr="004F5E59">
        <w:rPr>
          <w:lang w:eastAsia="ja-JP"/>
        </w:rPr>
        <w:t>5.</w:t>
      </w:r>
      <w:r w:rsidRPr="004F5E59">
        <w:rPr>
          <w:lang w:eastAsia="ja-JP"/>
        </w:rPr>
        <w:tab/>
      </w:r>
      <w:r w:rsidR="0681B866" w:rsidRPr="00DF5C23">
        <w:rPr>
          <w:noProof/>
          <w:lang w:val="en-IE" w:eastAsia="fr-BE"/>
        </w:rPr>
        <w:t>適合性評価機関及びその職員は、最高度の専門的誠実さ及び特定の分野における必要な技術的能力をもって、適合性評価活動を実施しなければならない</w:t>
      </w:r>
      <w:r w:rsidR="00EC000E" w:rsidRPr="00DF5C23">
        <w:rPr>
          <w:noProof/>
          <w:lang w:eastAsia="fr-BE"/>
        </w:rPr>
        <w:t>。審査機関は、</w:t>
      </w:r>
      <w:r w:rsidR="0681B866" w:rsidRPr="00DF5C23">
        <w:rPr>
          <w:noProof/>
          <w:lang w:val="en-IE" w:eastAsia="fr-BE"/>
        </w:rPr>
        <w:t>審査機関の判断又は適合性評価活動の結果に影響を及ぼす可能性のあるあらゆる圧力及び誘因（特に金銭的なもの）から、特に、これらの活動の結果に利害関係を有する者又は集団に関して、自由でなければならない。</w:t>
      </w:r>
    </w:p>
    <w:p w14:paraId="70EABACD" w14:textId="77777777" w:rsidR="0038775E" w:rsidRDefault="00877B9C" w:rsidP="002041D4">
      <w:pPr>
        <w:pStyle w:val="ManualNumPar1"/>
        <w:wordWrap w:val="0"/>
        <w:rPr>
          <w:noProof/>
          <w:lang w:val="en-IE" w:eastAsia="fr-BE"/>
        </w:rPr>
      </w:pPr>
      <w:r w:rsidRPr="004F5E59">
        <w:rPr>
          <w:lang w:eastAsia="ja-JP"/>
        </w:rPr>
        <w:lastRenderedPageBreak/>
        <w:t>6.</w:t>
      </w:r>
      <w:r w:rsidRPr="004F5E59">
        <w:rPr>
          <w:lang w:eastAsia="ja-JP"/>
        </w:rPr>
        <w:tab/>
      </w:r>
      <w:r w:rsidR="0681B866" w:rsidRPr="00DF5C23">
        <w:rPr>
          <w:noProof/>
          <w:lang w:val="en-IE" w:eastAsia="fr-BE"/>
        </w:rPr>
        <w:t>適合性評価機関は、</w:t>
      </w:r>
      <w:r w:rsidR="00850318" w:rsidRPr="00DF5C23">
        <w:rPr>
          <w:noProof/>
          <w:lang w:val="en-IE" w:eastAsia="fr-BE"/>
        </w:rPr>
        <w:t>第</w:t>
      </w:r>
      <w:r w:rsidR="00850318" w:rsidRPr="00DF5C23">
        <w:rPr>
          <w:noProof/>
          <w:lang w:val="en-IE" w:eastAsia="fr-BE"/>
        </w:rPr>
        <w:t>4</w:t>
      </w:r>
      <w:r w:rsidR="00850318" w:rsidRPr="00DF5C23">
        <w:rPr>
          <w:noProof/>
          <w:lang w:val="en-IE" w:eastAsia="fr-BE"/>
        </w:rPr>
        <w:t>条に従って採択された</w:t>
      </w:r>
      <w:r w:rsidR="0681B866" w:rsidRPr="00DF5C23">
        <w:rPr>
          <w:noProof/>
          <w:lang w:val="en-IE" w:eastAsia="fr-BE"/>
        </w:rPr>
        <w:t>関連する委任法の</w:t>
      </w:r>
      <w:r w:rsidR="00EC000E" w:rsidRPr="00DF5C23">
        <w:rPr>
          <w:noProof/>
          <w:lang w:eastAsia="fr-BE"/>
        </w:rPr>
        <w:t>下で</w:t>
      </w:r>
      <w:r w:rsidR="0681B866" w:rsidRPr="00DF5C23">
        <w:rPr>
          <w:noProof/>
          <w:lang w:val="en-IE" w:eastAsia="fr-BE"/>
        </w:rPr>
        <w:t>、通知された関連する適合性評価機関に割り当てられたすべての適合性評価業務を、その業務が適合性評価機関自身によって実施されるか、又はその機関に代わり、その責任の下で実施されるかどうかにかかわらず、実施する能力を有するものとする。</w:t>
      </w:r>
    </w:p>
    <w:p w14:paraId="780D370B" w14:textId="77777777" w:rsidR="0038775E" w:rsidRDefault="00877B9C" w:rsidP="002041D4">
      <w:pPr>
        <w:pStyle w:val="Text1"/>
        <w:wordWrap w:val="0"/>
        <w:rPr>
          <w:noProof/>
          <w:lang w:val="en-IE" w:eastAsia="fr-BE"/>
        </w:rPr>
      </w:pPr>
      <w:r w:rsidRPr="00DF5C23">
        <w:rPr>
          <w:noProof/>
          <w:lang w:val="en-IE" w:eastAsia="fr-BE"/>
        </w:rPr>
        <w:t>適合性評価機関は、常に、各適合性評価手順について</w:t>
      </w:r>
      <w:r w:rsidR="00EC000E" w:rsidRPr="00DF5C23">
        <w:rPr>
          <w:noProof/>
          <w:lang w:val="en-IE" w:eastAsia="fr-BE"/>
        </w:rPr>
        <w:t>、</w:t>
      </w:r>
      <w:r w:rsidRPr="00DF5C23">
        <w:rPr>
          <w:noProof/>
          <w:lang w:val="en-IE" w:eastAsia="fr-BE"/>
        </w:rPr>
        <w:t>また、通知された製品の種類又はカテゴリーごとに、必要なものを自由に使用できるようにしなければならない：</w:t>
      </w:r>
    </w:p>
    <w:p w14:paraId="2E059968" w14:textId="77777777" w:rsidR="0038775E" w:rsidRDefault="00877B9C" w:rsidP="002041D4">
      <w:pPr>
        <w:pStyle w:val="Point1"/>
        <w:wordWrap w:val="0"/>
        <w:rPr>
          <w:noProof/>
          <w:lang w:val="en-IE" w:eastAsia="fr-BE"/>
        </w:rPr>
      </w:pPr>
      <w:r w:rsidRPr="004F5E59">
        <w:rPr>
          <w:lang w:eastAsia="ja-JP"/>
        </w:rPr>
        <w:t>(a)</w:t>
      </w:r>
      <w:r w:rsidRPr="004F5E59">
        <w:rPr>
          <w:lang w:eastAsia="ja-JP"/>
        </w:rPr>
        <w:tab/>
      </w:r>
      <w:r w:rsidR="00C63638" w:rsidRPr="00DF5C23">
        <w:rPr>
          <w:noProof/>
          <w:lang w:val="en-IE" w:eastAsia="fr-BE"/>
        </w:rPr>
        <w:t>適合性評価業務を実施するための技術的知識及び十分かつ適切な経験を有する要員。評価の決定に責任を有する要員は、通知加盟国の国内法に基づき</w:t>
      </w:r>
      <w:r w:rsidR="00821A9A" w:rsidRPr="00DF5C23">
        <w:rPr>
          <w:noProof/>
          <w:lang w:val="en-IE" w:eastAsia="fr-BE"/>
        </w:rPr>
        <w:t>適合性評価</w:t>
      </w:r>
      <w:r w:rsidR="00C63638" w:rsidRPr="00DF5C23">
        <w:rPr>
          <w:noProof/>
          <w:lang w:val="en-IE" w:eastAsia="fr-BE"/>
        </w:rPr>
        <w:t>機関に雇用され、他の潜在的な</w:t>
      </w:r>
      <w:r w:rsidR="00850318" w:rsidRPr="00DF5C23">
        <w:rPr>
          <w:noProof/>
          <w:lang w:val="en-US" w:eastAsia="ja-JP"/>
        </w:rPr>
        <w:t>利益相反があってはならず、</w:t>
      </w:r>
      <w:r w:rsidR="00C63638" w:rsidRPr="00DF5C23">
        <w:rPr>
          <w:noProof/>
          <w:lang w:val="en-IE" w:eastAsia="fr-BE"/>
        </w:rPr>
        <w:t>他の職員、外部専門家又は下請け業者が行った評価を検証する能力を有するものでなければならない</w:t>
      </w:r>
      <w:r w:rsidR="00EC000E" w:rsidRPr="00DF5C23">
        <w:rPr>
          <w:noProof/>
          <w:lang w:eastAsia="fr-BE"/>
        </w:rPr>
        <w:t>。このような人員の</w:t>
      </w:r>
      <w:r w:rsidR="00C63638" w:rsidRPr="00DF5C23">
        <w:rPr>
          <w:noProof/>
          <w:lang w:eastAsia="fr-BE"/>
        </w:rPr>
        <w:t>数は、</w:t>
      </w:r>
      <w:r w:rsidR="00C63638" w:rsidRPr="00DF5C23">
        <w:rPr>
          <w:noProof/>
          <w:lang w:val="en-IE" w:eastAsia="fr-BE"/>
        </w:rPr>
        <w:t>事業の継続性及び</w:t>
      </w:r>
      <w:r w:rsidR="00850318" w:rsidRPr="00DF5C23">
        <w:rPr>
          <w:noProof/>
          <w:lang w:val="en-IE" w:eastAsia="fr-BE"/>
        </w:rPr>
        <w:t>適合性評価への一貫したアプローチを</w:t>
      </w:r>
      <w:r w:rsidR="00C63638" w:rsidRPr="00DF5C23">
        <w:rPr>
          <w:noProof/>
          <w:lang w:val="en-IE" w:eastAsia="fr-BE"/>
        </w:rPr>
        <w:t>確保するために十分なものでなければならない；</w:t>
      </w:r>
    </w:p>
    <w:p w14:paraId="27DB00BA" w14:textId="77777777" w:rsidR="0038775E" w:rsidRDefault="00877B9C" w:rsidP="002041D4">
      <w:pPr>
        <w:pStyle w:val="Point1"/>
        <w:wordWrap w:val="0"/>
        <w:rPr>
          <w:noProof/>
          <w:lang w:val="en-IE" w:eastAsia="fr-BE"/>
        </w:rPr>
      </w:pPr>
      <w:r w:rsidRPr="004F5E59">
        <w:rPr>
          <w:lang w:eastAsia="ja-JP"/>
        </w:rPr>
        <w:t>(b)</w:t>
      </w:r>
      <w:r w:rsidRPr="004F5E59">
        <w:rPr>
          <w:lang w:eastAsia="ja-JP"/>
        </w:rPr>
        <w:tab/>
      </w:r>
      <w:r w:rsidR="0681B866" w:rsidRPr="00DF5C23">
        <w:rPr>
          <w:noProof/>
          <w:lang w:val="en-IE" w:eastAsia="fr-BE"/>
        </w:rPr>
        <w:t>適合性評価が実施される手順の記述、</w:t>
      </w:r>
      <w:r w:rsidR="00EC000E" w:rsidRPr="00DF5C23">
        <w:rPr>
          <w:noProof/>
          <w:lang w:eastAsia="fr-BE"/>
        </w:rPr>
        <w:t>これらの手順</w:t>
      </w:r>
      <w:r w:rsidR="0681B866" w:rsidRPr="00DF5C23">
        <w:rPr>
          <w:noProof/>
          <w:lang w:eastAsia="fr-BE"/>
        </w:rPr>
        <w:t>及び</w:t>
      </w:r>
      <w:r w:rsidR="00EC000E" w:rsidRPr="00DF5C23">
        <w:rPr>
          <w:noProof/>
          <w:lang w:eastAsia="fr-BE"/>
        </w:rPr>
        <w:t>それを再現する能力を</w:t>
      </w:r>
      <w:r w:rsidR="0681B866" w:rsidRPr="00DF5C23">
        <w:rPr>
          <w:noProof/>
          <w:lang w:val="en-IE" w:eastAsia="fr-BE"/>
        </w:rPr>
        <w:t>確保すること。これには、適合性評価機関内の関連する要員、それぞれの地位及び業務を、その機関が通知を受けることを意図している適合性評価業務と</w:t>
      </w:r>
      <w:r w:rsidR="00EC000E" w:rsidRPr="00DF5C23">
        <w:rPr>
          <w:noProof/>
          <w:lang w:eastAsia="fr-BE"/>
        </w:rPr>
        <w:t>一致させる</w:t>
      </w:r>
      <w:r w:rsidR="0681B866" w:rsidRPr="00DF5C23">
        <w:rPr>
          <w:noProof/>
          <w:lang w:val="en-IE" w:eastAsia="fr-BE"/>
        </w:rPr>
        <w:t>資格マトリックスを含まなければならない；</w:t>
      </w:r>
    </w:p>
    <w:p w14:paraId="17B7A029" w14:textId="77777777" w:rsidR="0038775E" w:rsidRDefault="00877B9C" w:rsidP="002041D4">
      <w:pPr>
        <w:pStyle w:val="Point1"/>
        <w:wordWrap w:val="0"/>
        <w:rPr>
          <w:noProof/>
          <w:lang w:val="en-IE" w:eastAsia="fr-BE"/>
        </w:rPr>
      </w:pPr>
      <w:r w:rsidRPr="004F5E59">
        <w:rPr>
          <w:lang w:eastAsia="ja-JP"/>
        </w:rPr>
        <w:t>(c)</w:t>
      </w:r>
      <w:r w:rsidRPr="004F5E59">
        <w:rPr>
          <w:lang w:eastAsia="ja-JP"/>
        </w:rPr>
        <w:tab/>
      </w:r>
      <w:r w:rsidR="0681B866" w:rsidRPr="00DF5C23">
        <w:rPr>
          <w:noProof/>
          <w:lang w:eastAsia="fr-BE"/>
        </w:rPr>
        <w:t>通知機関として行う業務を</w:t>
      </w:r>
      <w:r w:rsidR="0681B866" w:rsidRPr="00DF5C23">
        <w:rPr>
          <w:noProof/>
          <w:lang w:val="en-IE" w:eastAsia="fr-BE"/>
        </w:rPr>
        <w:t>他の</w:t>
      </w:r>
      <w:r w:rsidR="00EC000E" w:rsidRPr="00DF5C23">
        <w:rPr>
          <w:noProof/>
          <w:lang w:eastAsia="fr-BE"/>
        </w:rPr>
        <w:t>活動と</w:t>
      </w:r>
      <w:r w:rsidR="0681B866" w:rsidRPr="00DF5C23">
        <w:rPr>
          <w:noProof/>
          <w:lang w:val="en-IE" w:eastAsia="fr-BE"/>
        </w:rPr>
        <w:t>区別するための適切な方針および手続き；</w:t>
      </w:r>
    </w:p>
    <w:p w14:paraId="7A880E65" w14:textId="77777777" w:rsidR="0038775E" w:rsidRDefault="00877B9C" w:rsidP="002041D4">
      <w:pPr>
        <w:pStyle w:val="Point1"/>
        <w:wordWrap w:val="0"/>
        <w:rPr>
          <w:noProof/>
          <w:lang w:val="en-IE" w:eastAsia="fr-BE"/>
        </w:rPr>
      </w:pPr>
      <w:r w:rsidRPr="004F5E59">
        <w:rPr>
          <w:lang w:eastAsia="ja-JP"/>
        </w:rPr>
        <w:t>(d)</w:t>
      </w:r>
      <w:r w:rsidRPr="004F5E59">
        <w:rPr>
          <w:lang w:eastAsia="ja-JP"/>
        </w:rPr>
        <w:tab/>
      </w:r>
      <w:r w:rsidR="0681B866" w:rsidRPr="00DF5C23">
        <w:rPr>
          <w:noProof/>
          <w:lang w:val="en-IE" w:eastAsia="fr-BE"/>
        </w:rPr>
        <w:t>事業規模、事業分野、事業構造、製品技術の複雑さ、生産工程の大量生産または連続生産の性質を十分に考慮した</w:t>
      </w:r>
      <w:r w:rsidR="00EC000E" w:rsidRPr="00DF5C23">
        <w:rPr>
          <w:noProof/>
          <w:lang w:val="en-IE" w:eastAsia="fr-BE"/>
        </w:rPr>
        <w:t>、</w:t>
      </w:r>
      <w:r w:rsidR="0681B866" w:rsidRPr="00DF5C23">
        <w:rPr>
          <w:noProof/>
          <w:lang w:val="en-IE" w:eastAsia="fr-BE"/>
        </w:rPr>
        <w:t>活動遂行のための手順。</w:t>
      </w:r>
    </w:p>
    <w:p w14:paraId="509D4029" w14:textId="77777777" w:rsidR="0038775E" w:rsidRDefault="00877B9C" w:rsidP="002041D4">
      <w:pPr>
        <w:pStyle w:val="Text1"/>
        <w:wordWrap w:val="0"/>
        <w:rPr>
          <w:noProof/>
          <w:lang w:val="en-IE" w:eastAsia="fr-BE"/>
        </w:rPr>
      </w:pPr>
      <w:r w:rsidRPr="00DF5C23">
        <w:rPr>
          <w:noProof/>
          <w:lang w:val="en-IE" w:eastAsia="fr-BE"/>
        </w:rPr>
        <w:t>適合性評価活動に関連する技術的及び管理的な業務を適切に遂行するために必要な手段を有し、必要なすべての機器又は設備にアクセスすることができるものとする。</w:t>
      </w:r>
    </w:p>
    <w:p w14:paraId="3BB34E52" w14:textId="77777777" w:rsidR="0038775E" w:rsidRDefault="00877B9C" w:rsidP="002041D4">
      <w:pPr>
        <w:pStyle w:val="ManualNumPar1"/>
        <w:wordWrap w:val="0"/>
        <w:rPr>
          <w:noProof/>
          <w:lang w:val="en-IE" w:eastAsia="fr-BE"/>
        </w:rPr>
      </w:pPr>
      <w:r w:rsidRPr="004F5E59">
        <w:rPr>
          <w:lang w:eastAsia="ja-JP"/>
        </w:rPr>
        <w:t>7.</w:t>
      </w:r>
      <w:r w:rsidRPr="004F5E59">
        <w:rPr>
          <w:lang w:eastAsia="ja-JP"/>
        </w:rPr>
        <w:tab/>
      </w:r>
      <w:r w:rsidR="0681B866" w:rsidRPr="00DF5C23">
        <w:rPr>
          <w:noProof/>
          <w:lang w:val="en-IE" w:eastAsia="fr-BE"/>
        </w:rPr>
        <w:t>適合性評価活動の実施に責任を持つ要員は、以下のものを持たなければならない：</w:t>
      </w:r>
    </w:p>
    <w:p w14:paraId="68D06911" w14:textId="77777777" w:rsidR="0038775E" w:rsidRDefault="00877B9C" w:rsidP="002041D4">
      <w:pPr>
        <w:pStyle w:val="Point1"/>
        <w:wordWrap w:val="0"/>
        <w:rPr>
          <w:noProof/>
          <w:lang w:val="en-IE" w:eastAsia="fr-BE"/>
        </w:rPr>
      </w:pPr>
      <w:r w:rsidRPr="004F5E59">
        <w:rPr>
          <w:lang w:eastAsia="ja-JP"/>
        </w:rPr>
        <w:t>(a)</w:t>
      </w:r>
      <w:r w:rsidRPr="004F5E59">
        <w:rPr>
          <w:lang w:eastAsia="ja-JP"/>
        </w:rPr>
        <w:tab/>
      </w:r>
      <w:r w:rsidR="0681B866" w:rsidRPr="00DF5C23">
        <w:rPr>
          <w:noProof/>
          <w:lang w:val="en-IE" w:eastAsia="fr-BE"/>
        </w:rPr>
        <w:t>適合性評価機関が通知されたすべての適合性評価活動を網羅する、健全な技術及び職業訓練；</w:t>
      </w:r>
    </w:p>
    <w:p w14:paraId="1E5BA3BE" w14:textId="77777777" w:rsidR="0038775E" w:rsidRDefault="00877B9C" w:rsidP="002041D4">
      <w:pPr>
        <w:pStyle w:val="Point1"/>
        <w:wordWrap w:val="0"/>
        <w:rPr>
          <w:noProof/>
          <w:lang w:val="en-IE" w:eastAsia="fr-BE"/>
        </w:rPr>
      </w:pPr>
      <w:r w:rsidRPr="004F5E59">
        <w:rPr>
          <w:lang w:eastAsia="ja-JP"/>
        </w:rPr>
        <w:t>(b)</w:t>
      </w:r>
      <w:r w:rsidRPr="004F5E59">
        <w:rPr>
          <w:lang w:eastAsia="ja-JP"/>
        </w:rPr>
        <w:tab/>
      </w:r>
      <w:r w:rsidR="0681B866" w:rsidRPr="00DF5C23">
        <w:rPr>
          <w:noProof/>
          <w:lang w:val="en-IE" w:eastAsia="fr-BE"/>
        </w:rPr>
        <w:t>関連法規、</w:t>
      </w:r>
      <w:r w:rsidR="0681B866" w:rsidRPr="00DF5C23">
        <w:rPr>
          <w:noProof/>
          <w:color w:val="000000" w:themeColor="text1"/>
          <w:lang w:val="en-IE" w:eastAsia="fr-BE"/>
        </w:rPr>
        <w:t>試験、測定及び計算の要求事項、</w:t>
      </w:r>
      <w:r w:rsidR="0681B866" w:rsidRPr="00DF5C23">
        <w:rPr>
          <w:noProof/>
          <w:lang w:val="en-IE" w:eastAsia="fr-BE"/>
        </w:rPr>
        <w:t>適用される整合規格又は共通仕様、本規則の関連規定、並びに</w:t>
      </w:r>
      <w:r w:rsidR="00850318" w:rsidRPr="00DF5C23">
        <w:rPr>
          <w:noProof/>
          <w:lang w:val="en-IE" w:eastAsia="fr-BE"/>
        </w:rPr>
        <w:t>第</w:t>
      </w:r>
      <w:r w:rsidR="00850318" w:rsidRPr="00DF5C23">
        <w:rPr>
          <w:noProof/>
          <w:lang w:val="en-IE" w:eastAsia="fr-BE"/>
        </w:rPr>
        <w:t>4</w:t>
      </w:r>
      <w:r w:rsidR="00850318" w:rsidRPr="00DF5C23">
        <w:rPr>
          <w:noProof/>
          <w:lang w:val="en-IE" w:eastAsia="fr-BE"/>
        </w:rPr>
        <w:t>条に従って採択された</w:t>
      </w:r>
      <w:r w:rsidR="0681B866" w:rsidRPr="00DF5C23">
        <w:rPr>
          <w:noProof/>
          <w:lang w:val="en-IE" w:eastAsia="fr-BE"/>
        </w:rPr>
        <w:t>委任法の適切な知識及び理解を含む、自らが実施する評価の要求事項に関する十分な知識及びこれらの評価を実施するための適切な権限を持っていること；</w:t>
      </w:r>
    </w:p>
    <w:p w14:paraId="3CA57F73" w14:textId="77777777" w:rsidR="0038775E" w:rsidRDefault="00877B9C" w:rsidP="002041D4">
      <w:pPr>
        <w:pStyle w:val="Point1"/>
        <w:wordWrap w:val="0"/>
        <w:rPr>
          <w:noProof/>
          <w:lang w:val="en-IE" w:eastAsia="fr-BE"/>
        </w:rPr>
      </w:pPr>
      <w:r w:rsidRPr="004F5E59">
        <w:rPr>
          <w:lang w:eastAsia="ja-JP"/>
        </w:rPr>
        <w:t>(c)</w:t>
      </w:r>
      <w:r w:rsidRPr="004F5E59">
        <w:rPr>
          <w:lang w:eastAsia="ja-JP"/>
        </w:rPr>
        <w:tab/>
      </w:r>
      <w:r w:rsidR="0681B866" w:rsidRPr="00DF5C23">
        <w:rPr>
          <w:noProof/>
          <w:lang w:val="en-IE" w:eastAsia="fr-BE"/>
        </w:rPr>
        <w:t>アセスメントが実施されたことを証明する証明書、記録、報告書を作成できること。</w:t>
      </w:r>
    </w:p>
    <w:p w14:paraId="341726EF" w14:textId="77777777" w:rsidR="0038775E" w:rsidRDefault="00877B9C" w:rsidP="002041D4">
      <w:pPr>
        <w:pStyle w:val="ManualNumPar1"/>
        <w:wordWrap w:val="0"/>
        <w:rPr>
          <w:noProof/>
          <w:lang w:val="en-IE" w:eastAsia="fr-BE"/>
        </w:rPr>
      </w:pPr>
      <w:r w:rsidRPr="004F5E59">
        <w:rPr>
          <w:lang w:eastAsia="ja-JP"/>
        </w:rPr>
        <w:t>8.</w:t>
      </w:r>
      <w:r w:rsidRPr="004F5E59">
        <w:rPr>
          <w:lang w:eastAsia="ja-JP"/>
        </w:rPr>
        <w:tab/>
      </w:r>
      <w:r w:rsidR="0681B866" w:rsidRPr="00DF5C23">
        <w:rPr>
          <w:noProof/>
          <w:lang w:val="en-IE" w:eastAsia="fr-BE"/>
        </w:rPr>
        <w:t>適合性評価</w:t>
      </w:r>
      <w:r w:rsidR="0681B866" w:rsidRPr="00DF5C23">
        <w:rPr>
          <w:noProof/>
          <w:lang w:eastAsia="fr-BE"/>
        </w:rPr>
        <w:t>機関</w:t>
      </w:r>
      <w:r w:rsidR="00EC000E" w:rsidRPr="00DF5C23">
        <w:rPr>
          <w:noProof/>
          <w:lang w:eastAsia="fr-BE"/>
        </w:rPr>
        <w:t>及び</w:t>
      </w:r>
      <w:r w:rsidR="0681B866" w:rsidRPr="00DF5C23">
        <w:rPr>
          <w:noProof/>
          <w:lang w:eastAsia="fr-BE"/>
        </w:rPr>
        <w:t>そのトップレベルの</w:t>
      </w:r>
      <w:r w:rsidR="0681B866" w:rsidRPr="00DF5C23">
        <w:rPr>
          <w:noProof/>
          <w:lang w:val="en-IE" w:eastAsia="fr-BE"/>
        </w:rPr>
        <w:t>管理者並びに評価担当者の公平性を保証しなければならない。</w:t>
      </w:r>
    </w:p>
    <w:p w14:paraId="773D7597" w14:textId="77777777" w:rsidR="0038775E" w:rsidRDefault="00877B9C" w:rsidP="002041D4">
      <w:pPr>
        <w:pStyle w:val="Text1"/>
        <w:wordWrap w:val="0"/>
        <w:rPr>
          <w:noProof/>
          <w:lang w:val="en-IE" w:eastAsia="fr-BE"/>
        </w:rPr>
      </w:pPr>
      <w:r w:rsidRPr="00DF5C23">
        <w:rPr>
          <w:noProof/>
          <w:lang w:eastAsia="fr-BE"/>
        </w:rPr>
        <w:lastRenderedPageBreak/>
        <w:t>適合性評価機関のトップ</w:t>
      </w:r>
      <w:r w:rsidR="00EC000E" w:rsidRPr="00DF5C23">
        <w:rPr>
          <w:noProof/>
          <w:lang w:eastAsia="fr-BE"/>
        </w:rPr>
        <w:t>レベルの</w:t>
      </w:r>
      <w:r w:rsidRPr="00DF5C23">
        <w:rPr>
          <w:noProof/>
          <w:lang w:eastAsia="fr-BE"/>
        </w:rPr>
        <w:t>管理者及び審査担当者の報酬は、実施</w:t>
      </w:r>
      <w:r w:rsidRPr="00DF5C23">
        <w:rPr>
          <w:noProof/>
          <w:lang w:eastAsia="fr-BE"/>
        </w:rPr>
        <w:t>された審査の数又は</w:t>
      </w:r>
      <w:r w:rsidR="00EC000E" w:rsidRPr="00DF5C23">
        <w:rPr>
          <w:noProof/>
          <w:lang w:eastAsia="fr-BE"/>
        </w:rPr>
        <w:t>その</w:t>
      </w:r>
      <w:r w:rsidRPr="00DF5C23">
        <w:rPr>
          <w:noProof/>
          <w:lang w:eastAsia="fr-BE"/>
        </w:rPr>
        <w:t>結果に依存しないものとする</w:t>
      </w:r>
      <w:r w:rsidRPr="00DF5C23">
        <w:rPr>
          <w:noProof/>
          <w:lang w:val="en-IE" w:eastAsia="fr-BE"/>
        </w:rPr>
        <w:t>。</w:t>
      </w:r>
    </w:p>
    <w:p w14:paraId="0BD508BC" w14:textId="77777777" w:rsidR="0038775E" w:rsidRDefault="00877B9C" w:rsidP="002041D4">
      <w:pPr>
        <w:pStyle w:val="ManualNumPar1"/>
        <w:wordWrap w:val="0"/>
        <w:rPr>
          <w:noProof/>
          <w:lang w:val="en-IE" w:eastAsia="fr-BE"/>
        </w:rPr>
      </w:pPr>
      <w:r w:rsidRPr="004F5E59">
        <w:rPr>
          <w:lang w:eastAsia="ja-JP"/>
        </w:rPr>
        <w:t>9.</w:t>
      </w:r>
      <w:r w:rsidRPr="004F5E59">
        <w:rPr>
          <w:lang w:eastAsia="ja-JP"/>
        </w:rPr>
        <w:tab/>
      </w:r>
      <w:r w:rsidR="0681B866" w:rsidRPr="00DF5C23">
        <w:rPr>
          <w:noProof/>
          <w:lang w:val="en-IE" w:eastAsia="fr-BE"/>
        </w:rPr>
        <w:t>適合性評価機関は、国内法に従って国が責任を負う場合、又は加盟国自体が適合性評価に直接責任を負う場合を除き、賠償責任保険に加入するものとする。</w:t>
      </w:r>
    </w:p>
    <w:p w14:paraId="06BCD6E9" w14:textId="77777777" w:rsidR="0038775E" w:rsidRDefault="00877B9C" w:rsidP="002041D4">
      <w:pPr>
        <w:pStyle w:val="ManualNumPar1"/>
        <w:wordWrap w:val="0"/>
        <w:rPr>
          <w:noProof/>
          <w:lang w:val="en-IE" w:eastAsia="fr-BE"/>
        </w:rPr>
      </w:pPr>
      <w:r w:rsidRPr="004F5E59">
        <w:rPr>
          <w:lang w:eastAsia="ja-JP"/>
        </w:rPr>
        <w:t>10.</w:t>
      </w:r>
      <w:r w:rsidRPr="004F5E59">
        <w:rPr>
          <w:lang w:eastAsia="ja-JP"/>
        </w:rPr>
        <w:tab/>
      </w:r>
      <w:r w:rsidR="0681B866" w:rsidRPr="00DF5C23">
        <w:rPr>
          <w:noProof/>
          <w:lang w:val="en-IE" w:eastAsia="fr-BE"/>
        </w:rPr>
        <w:t>適合性評価機関の職員は、その活動が実施される加盟国の通知当局及びその他の国家当局との関係を除き、</w:t>
      </w:r>
      <w:r w:rsidR="00850318" w:rsidRPr="00DF5C23">
        <w:rPr>
          <w:noProof/>
          <w:lang w:val="en-IE" w:eastAsia="fr-BE"/>
        </w:rPr>
        <w:t>第</w:t>
      </w:r>
      <w:r w:rsidR="00850318" w:rsidRPr="00DF5C23">
        <w:rPr>
          <w:noProof/>
          <w:lang w:val="en-IE" w:eastAsia="fr-BE"/>
        </w:rPr>
        <w:t>4</w:t>
      </w:r>
      <w:r w:rsidR="00850318" w:rsidRPr="00DF5C23">
        <w:rPr>
          <w:noProof/>
          <w:lang w:val="en-IE" w:eastAsia="fr-BE"/>
        </w:rPr>
        <w:t>条に従って採択された</w:t>
      </w:r>
      <w:r w:rsidR="0681B866" w:rsidRPr="00DF5C23">
        <w:rPr>
          <w:noProof/>
          <w:lang w:val="en-IE" w:eastAsia="fr-BE"/>
        </w:rPr>
        <w:t>関連委任法の下で適合性評価業務を実施する際に得たすべての</w:t>
      </w:r>
      <w:r w:rsidR="00EC000E" w:rsidRPr="00DF5C23">
        <w:rPr>
          <w:noProof/>
          <w:lang w:eastAsia="fr-BE"/>
        </w:rPr>
        <w:t>情報について</w:t>
      </w:r>
      <w:r w:rsidR="0681B866" w:rsidRPr="00DF5C23">
        <w:rPr>
          <w:noProof/>
          <w:lang w:val="en-IE" w:eastAsia="fr-BE"/>
        </w:rPr>
        <w:t>職業上の秘密を守るものとする。所有権は保護されるものとする。</w:t>
      </w:r>
    </w:p>
    <w:p w14:paraId="158D6E7B" w14:textId="77777777" w:rsidR="0038775E" w:rsidRDefault="00877B9C" w:rsidP="002041D4">
      <w:pPr>
        <w:pStyle w:val="ManualNumPar1"/>
        <w:wordWrap w:val="0"/>
        <w:rPr>
          <w:noProof/>
          <w:lang w:val="en-IE" w:eastAsia="fr-BE"/>
        </w:rPr>
      </w:pPr>
      <w:r w:rsidRPr="004F5E59">
        <w:rPr>
          <w:lang w:eastAsia="ja-JP"/>
        </w:rPr>
        <w:t>11.</w:t>
      </w:r>
      <w:r w:rsidRPr="004F5E59">
        <w:rPr>
          <w:lang w:eastAsia="ja-JP"/>
        </w:rPr>
        <w:tab/>
      </w:r>
      <w:r w:rsidR="0681B866" w:rsidRPr="00DF5C23">
        <w:rPr>
          <w:noProof/>
          <w:lang w:val="en-IE" w:eastAsia="fr-BE"/>
        </w:rPr>
        <w:t>適合性評価機関は、関連する標準化活動に参加し、又はその評価担当者に情報を提供</w:t>
      </w:r>
      <w:r w:rsidR="00EC000E" w:rsidRPr="00DF5C23">
        <w:rPr>
          <w:noProof/>
          <w:lang w:eastAsia="fr-BE"/>
        </w:rPr>
        <w:t>する</w:t>
      </w:r>
      <w:r w:rsidR="0681B866" w:rsidRPr="00DF5C23">
        <w:rPr>
          <w:noProof/>
          <w:lang w:val="en-IE" w:eastAsia="fr-BE"/>
        </w:rPr>
        <w:t>ことを保証し、そのグループの作業の結果として作成された行政上の決定及び文書を一般的な指針として適用するものとする。</w:t>
      </w:r>
    </w:p>
    <w:p w14:paraId="6DD4233F" w14:textId="77777777" w:rsidR="0038775E" w:rsidRDefault="00807659" w:rsidP="002041D4">
      <w:pPr>
        <w:pStyle w:val="Titrearticle"/>
        <w:wordWrap w:val="0"/>
        <w:rPr>
          <w:noProof/>
          <w:lang w:val="en-IE" w:eastAsia="fr-BE"/>
        </w:rPr>
      </w:pPr>
      <w:r w:rsidRPr="00DF5C23">
        <w:rPr>
          <w:noProof/>
          <w:lang w:val="en-IE" w:eastAsia="fr-BE"/>
        </w:rPr>
        <w:t>第</w:t>
      </w:r>
      <w:r w:rsidRPr="00DF5C23">
        <w:rPr>
          <w:noProof/>
          <w:lang w:val="en-IE" w:eastAsia="fr-BE"/>
        </w:rPr>
        <w:t>46</w:t>
      </w:r>
      <w:r w:rsidR="00877B9C" w:rsidRPr="00DF5C23">
        <w:rPr>
          <w:noProof/>
          <w:lang w:val="en-IE" w:eastAsia="fr-BE"/>
        </w:rPr>
        <w:t>条</w:t>
      </w:r>
      <w:r w:rsidR="00AD4976" w:rsidRPr="00DF5C23">
        <w:rPr>
          <w:noProof/>
          <w:lang w:eastAsia="ja-JP"/>
        </w:rPr>
        <w:br/>
      </w:r>
      <w:r w:rsidR="00FF4374" w:rsidRPr="00DF5C23">
        <w:rPr>
          <w:noProof/>
          <w:lang w:val="en-IE" w:eastAsia="fr-BE"/>
        </w:rPr>
        <w:t>適合性評価機関の</w:t>
      </w:r>
      <w:r w:rsidR="00877B9C" w:rsidRPr="00DF5C23">
        <w:rPr>
          <w:noProof/>
          <w:lang w:val="en-IE" w:eastAsia="fr-BE"/>
        </w:rPr>
        <w:t>適合性の推定</w:t>
      </w:r>
    </w:p>
    <w:p w14:paraId="7E591B6C" w14:textId="77777777" w:rsidR="0038775E" w:rsidRDefault="00877B9C" w:rsidP="002041D4">
      <w:pPr>
        <w:wordWrap w:val="0"/>
        <w:rPr>
          <w:noProof/>
          <w:lang w:val="en-IE" w:eastAsia="fr-BE"/>
        </w:rPr>
      </w:pPr>
      <w:r w:rsidRPr="00DF5C23">
        <w:rPr>
          <w:noProof/>
          <w:lang w:val="en-IE" w:eastAsia="fr-BE"/>
        </w:rPr>
        <w:t>適合性評価機関が、</w:t>
      </w:r>
      <w:r w:rsidRPr="00DF5C23">
        <w:rPr>
          <w:i/>
          <w:iCs/>
          <w:noProof/>
          <w:lang w:val="en-IE" w:eastAsia="fr-BE"/>
        </w:rPr>
        <w:t>欧州連合官報に</w:t>
      </w:r>
      <w:r w:rsidRPr="00DF5C23">
        <w:rPr>
          <w:noProof/>
          <w:lang w:val="en-IE" w:eastAsia="fr-BE"/>
        </w:rPr>
        <w:t>引用文献が掲載された関連する整合規格又はその一部に規定された基準に適合することを証明する場合、適用される整合規格がこれらの要件を網羅する限りにおいて、</w:t>
      </w:r>
      <w:r w:rsidR="00A404BE" w:rsidRPr="00DF5C23">
        <w:rPr>
          <w:noProof/>
          <w:lang w:val="en-IE" w:eastAsia="fr-BE"/>
        </w:rPr>
        <w:t>第</w:t>
      </w:r>
      <w:r w:rsidR="00A404BE" w:rsidRPr="00DF5C23">
        <w:rPr>
          <w:noProof/>
          <w:lang w:val="en-IE" w:eastAsia="fr-BE"/>
        </w:rPr>
        <w:t>45</w:t>
      </w:r>
      <w:r w:rsidR="00A404BE" w:rsidRPr="00DF5C23">
        <w:rPr>
          <w:noProof/>
          <w:lang w:val="en-IE" w:eastAsia="fr-BE"/>
        </w:rPr>
        <w:t>条に</w:t>
      </w:r>
      <w:r w:rsidRPr="00DF5C23">
        <w:rPr>
          <w:noProof/>
          <w:lang w:val="en-IE" w:eastAsia="fr-BE"/>
        </w:rPr>
        <w:t>規定する要件に適合するものと推定されるものとする。</w:t>
      </w:r>
    </w:p>
    <w:p w14:paraId="3B7E0209" w14:textId="77777777" w:rsidR="0038775E" w:rsidRDefault="00807659" w:rsidP="002041D4">
      <w:pPr>
        <w:pStyle w:val="Titrearticle"/>
        <w:wordWrap w:val="0"/>
        <w:rPr>
          <w:noProof/>
          <w:lang w:val="en-IE" w:eastAsia="fr-BE"/>
        </w:rPr>
      </w:pPr>
      <w:r w:rsidRPr="00DF5C23">
        <w:rPr>
          <w:noProof/>
          <w:lang w:val="en-IE" w:eastAsia="fr-BE"/>
        </w:rPr>
        <w:t>第</w:t>
      </w:r>
      <w:r w:rsidRPr="00DF5C23">
        <w:rPr>
          <w:noProof/>
          <w:lang w:val="en-IE" w:eastAsia="fr-BE"/>
        </w:rPr>
        <w:t>47</w:t>
      </w:r>
      <w:r w:rsidR="00877B9C" w:rsidRPr="00DF5C23">
        <w:rPr>
          <w:noProof/>
          <w:lang w:val="en-IE" w:eastAsia="fr-BE"/>
        </w:rPr>
        <w:t>条</w:t>
      </w:r>
      <w:r w:rsidR="00AD4976" w:rsidRPr="00DF5C23">
        <w:rPr>
          <w:noProof/>
          <w:lang w:eastAsia="ja-JP"/>
        </w:rPr>
        <w:br/>
      </w:r>
      <w:r w:rsidR="00877B9C" w:rsidRPr="00DF5C23">
        <w:rPr>
          <w:noProof/>
          <w:lang w:val="en-IE" w:eastAsia="fr-BE"/>
        </w:rPr>
        <w:t>届出団体の子会社および下請け会社</w:t>
      </w:r>
    </w:p>
    <w:p w14:paraId="6C20DA39" w14:textId="77777777" w:rsidR="0038775E" w:rsidRDefault="00877B9C" w:rsidP="002041D4">
      <w:pPr>
        <w:pStyle w:val="ManualNumPar1"/>
        <w:wordWrap w:val="0"/>
        <w:rPr>
          <w:noProof/>
          <w:lang w:val="en-IE" w:eastAsia="fr-BE"/>
        </w:rPr>
      </w:pPr>
      <w:r w:rsidRPr="004F5E59">
        <w:rPr>
          <w:lang w:eastAsia="ja-JP"/>
        </w:rPr>
        <w:t>1.</w:t>
      </w:r>
      <w:r w:rsidRPr="004F5E59">
        <w:rPr>
          <w:lang w:eastAsia="ja-JP"/>
        </w:rPr>
        <w:tab/>
      </w:r>
      <w:r w:rsidR="00646885" w:rsidRPr="00DF5C23">
        <w:rPr>
          <w:noProof/>
          <w:lang w:val="en-IE" w:eastAsia="fr-BE"/>
        </w:rPr>
        <w:t>届出機関が適合性評価に関連する特定の業務を外注し、又は子会社に依頼する場合、当該外注先又は子会社が</w:t>
      </w:r>
      <w:r w:rsidR="00A404BE" w:rsidRPr="00DF5C23">
        <w:rPr>
          <w:noProof/>
          <w:lang w:val="en-IE" w:eastAsia="fr-BE"/>
        </w:rPr>
        <w:t>第</w:t>
      </w:r>
      <w:r w:rsidR="00A404BE" w:rsidRPr="00DF5C23">
        <w:rPr>
          <w:noProof/>
          <w:lang w:val="en-IE" w:eastAsia="fr-BE"/>
        </w:rPr>
        <w:t>45</w:t>
      </w:r>
      <w:r w:rsidR="00A404BE" w:rsidRPr="00DF5C23">
        <w:rPr>
          <w:noProof/>
          <w:lang w:val="en-IE" w:eastAsia="fr-BE"/>
        </w:rPr>
        <w:t>条に定める要件を満たしている</w:t>
      </w:r>
      <w:r w:rsidR="00646885" w:rsidRPr="00DF5C23">
        <w:rPr>
          <w:noProof/>
          <w:lang w:val="en-IE" w:eastAsia="fr-BE"/>
        </w:rPr>
        <w:t>ことを確認し、それに従って届出機関に通知しなければならない。</w:t>
      </w:r>
    </w:p>
    <w:p w14:paraId="4360BD6F" w14:textId="77777777" w:rsidR="0038775E" w:rsidRDefault="00877B9C" w:rsidP="002041D4">
      <w:pPr>
        <w:pStyle w:val="ManualNumPar1"/>
        <w:wordWrap w:val="0"/>
        <w:rPr>
          <w:noProof/>
          <w:lang w:val="en-IE" w:eastAsia="fr-BE"/>
        </w:rPr>
      </w:pPr>
      <w:r w:rsidRPr="004F5E59">
        <w:rPr>
          <w:lang w:eastAsia="ja-JP"/>
        </w:rPr>
        <w:t>2.</w:t>
      </w:r>
      <w:r w:rsidRPr="004F5E59">
        <w:rPr>
          <w:lang w:eastAsia="ja-JP"/>
        </w:rPr>
        <w:tab/>
      </w:r>
      <w:r w:rsidR="00646885" w:rsidRPr="00DF5C23">
        <w:rPr>
          <w:noProof/>
          <w:lang w:val="en-IE" w:eastAsia="fr-BE"/>
        </w:rPr>
        <w:t>通知機関は，下請業者又は子会社が設立された場合には，それらが行う業務について全責任を負うものとする。関連する届出団体は、</w:t>
      </w:r>
      <w:r w:rsidR="00A404BE" w:rsidRPr="00DF5C23">
        <w:rPr>
          <w:noProof/>
          <w:lang w:val="en-IE" w:eastAsia="fr-BE"/>
        </w:rPr>
        <w:t>第</w:t>
      </w:r>
      <w:r w:rsidR="00A404BE" w:rsidRPr="00DF5C23">
        <w:rPr>
          <w:noProof/>
          <w:lang w:val="en-IE" w:eastAsia="fr-BE"/>
        </w:rPr>
        <w:t>45</w:t>
      </w:r>
      <w:r w:rsidR="00A404BE" w:rsidRPr="00DF5C23">
        <w:rPr>
          <w:noProof/>
          <w:lang w:val="en-IE" w:eastAsia="fr-BE"/>
        </w:rPr>
        <w:t>条</w:t>
      </w:r>
      <w:r w:rsidR="00646885" w:rsidRPr="00DF5C23">
        <w:rPr>
          <w:noProof/>
          <w:lang w:val="en-IE" w:eastAsia="fr-BE"/>
        </w:rPr>
        <w:t>(6)</w:t>
      </w:r>
      <w:r w:rsidR="00646885" w:rsidRPr="00DF5C23">
        <w:rPr>
          <w:noProof/>
          <w:lang w:val="en-IE" w:eastAsia="fr-BE"/>
        </w:rPr>
        <w:t>にいう資格マトリックスを考慮し、その下請業者又は子会社の能力、活動及び実績を継続的に監視するための手順を確立するものとする。</w:t>
      </w:r>
    </w:p>
    <w:p w14:paraId="7150278F" w14:textId="1CD837DE" w:rsidR="0038775E" w:rsidRDefault="00877B9C" w:rsidP="002041D4">
      <w:pPr>
        <w:pStyle w:val="ManualNumPar1"/>
        <w:wordWrap w:val="0"/>
        <w:rPr>
          <w:noProof/>
          <w:lang w:val="en-IE" w:eastAsia="fr-BE"/>
        </w:rPr>
      </w:pPr>
      <w:r w:rsidRPr="004F5E59">
        <w:rPr>
          <w:lang w:eastAsia="ja-JP"/>
        </w:rPr>
        <w:t>3.</w:t>
      </w:r>
      <w:r w:rsidRPr="004F5E59">
        <w:rPr>
          <w:lang w:eastAsia="ja-JP"/>
        </w:rPr>
        <w:tab/>
      </w:r>
      <w:r w:rsidR="0681B866" w:rsidRPr="00DF5C23">
        <w:rPr>
          <w:noProof/>
          <w:lang w:val="en-IE" w:eastAsia="fr-BE"/>
        </w:rPr>
        <w:t>クライアントの同意がある場合に限り、活動の下請けまたは子会社による実行が可能</w:t>
      </w:r>
      <w:r w:rsidR="002041D4">
        <w:rPr>
          <w:noProof/>
          <w:lang w:val="en-IE" w:eastAsia="fr-BE"/>
        </w:rPr>
        <w:t>である</w:t>
      </w:r>
      <w:r w:rsidR="0681B866" w:rsidRPr="00DF5C23">
        <w:rPr>
          <w:noProof/>
          <w:lang w:val="en-IE" w:eastAsia="fr-BE"/>
        </w:rPr>
        <w:t>。</w:t>
      </w:r>
    </w:p>
    <w:p w14:paraId="2B0A89CB" w14:textId="77777777" w:rsidR="0038775E" w:rsidRDefault="00877B9C" w:rsidP="002041D4">
      <w:pPr>
        <w:pStyle w:val="ManualNumPar1"/>
        <w:wordWrap w:val="0"/>
        <w:rPr>
          <w:noProof/>
          <w:lang w:val="en-IE" w:eastAsia="fr-BE"/>
        </w:rPr>
      </w:pPr>
      <w:r w:rsidRPr="004F5E59">
        <w:rPr>
          <w:lang w:eastAsia="ja-JP"/>
        </w:rPr>
        <w:t>4.</w:t>
      </w:r>
      <w:r w:rsidRPr="004F5E59">
        <w:rPr>
          <w:lang w:eastAsia="ja-JP"/>
        </w:rPr>
        <w:tab/>
      </w:r>
      <w:r w:rsidR="0681B866" w:rsidRPr="00DF5C23">
        <w:rPr>
          <w:noProof/>
          <w:lang w:val="en-IE" w:eastAsia="fr-BE"/>
        </w:rPr>
        <w:t>届出機関は、</w:t>
      </w:r>
      <w:r w:rsidR="00850318" w:rsidRPr="00DF5C23">
        <w:rPr>
          <w:noProof/>
          <w:lang w:val="en-IE" w:eastAsia="fr-BE"/>
        </w:rPr>
        <w:t>第</w:t>
      </w:r>
      <w:r w:rsidR="00850318" w:rsidRPr="00DF5C23">
        <w:rPr>
          <w:noProof/>
          <w:lang w:val="en-IE" w:eastAsia="fr-BE"/>
        </w:rPr>
        <w:t>4</w:t>
      </w:r>
      <w:r w:rsidR="00850318" w:rsidRPr="00DF5C23">
        <w:rPr>
          <w:noProof/>
          <w:lang w:val="en-IE" w:eastAsia="fr-BE"/>
        </w:rPr>
        <w:t>条に従って採択された</w:t>
      </w:r>
      <w:r w:rsidR="0681B866" w:rsidRPr="00DF5C23">
        <w:rPr>
          <w:noProof/>
          <w:lang w:val="en-IE" w:eastAsia="fr-BE"/>
        </w:rPr>
        <w:t>関連委任法に基づき、下請業者又は子会社の資格の評価及び監視並びにこれらの者が実施する業務に関する関連文書を届出機関の手元に保管するものとする。</w:t>
      </w:r>
      <w:r w:rsidR="0681B866" w:rsidRPr="00DF5C23">
        <w:rPr>
          <w:noProof/>
          <w:lang w:val="en-IE" w:eastAsia="fr-BE"/>
        </w:rPr>
        <w:t xml:space="preserve"> </w:t>
      </w:r>
    </w:p>
    <w:p w14:paraId="4E54F980" w14:textId="77777777" w:rsidR="0038775E" w:rsidRDefault="00807659" w:rsidP="002041D4">
      <w:pPr>
        <w:pStyle w:val="Titrearticle"/>
        <w:wordWrap w:val="0"/>
        <w:rPr>
          <w:noProof/>
          <w:lang w:val="en-IE" w:eastAsia="fr-BE"/>
        </w:rPr>
      </w:pPr>
      <w:r w:rsidRPr="00DF5C23">
        <w:rPr>
          <w:noProof/>
          <w:lang w:val="en-IE" w:eastAsia="fr-BE"/>
        </w:rPr>
        <w:t>第</w:t>
      </w:r>
      <w:r w:rsidRPr="00DF5C23">
        <w:rPr>
          <w:noProof/>
          <w:lang w:val="en-IE" w:eastAsia="fr-BE"/>
        </w:rPr>
        <w:t>48</w:t>
      </w:r>
      <w:r w:rsidR="00877B9C" w:rsidRPr="00DF5C23">
        <w:rPr>
          <w:noProof/>
          <w:lang w:val="en-IE" w:eastAsia="fr-BE"/>
        </w:rPr>
        <w:t>条</w:t>
      </w:r>
      <w:r w:rsidR="00AD4976" w:rsidRPr="00DF5C23">
        <w:rPr>
          <w:noProof/>
          <w:lang w:eastAsia="ja-JP"/>
        </w:rPr>
        <w:br/>
      </w:r>
      <w:r w:rsidR="00877B9C" w:rsidRPr="00DF5C23">
        <w:rPr>
          <w:noProof/>
          <w:lang w:val="en-IE" w:eastAsia="fr-BE"/>
        </w:rPr>
        <w:t>届出申請</w:t>
      </w:r>
    </w:p>
    <w:p w14:paraId="2CF48BA7" w14:textId="77777777" w:rsidR="0038775E" w:rsidRDefault="00877B9C" w:rsidP="002041D4">
      <w:pPr>
        <w:pStyle w:val="ManualNumPar1"/>
        <w:wordWrap w:val="0"/>
        <w:rPr>
          <w:noProof/>
          <w:lang w:val="en-IE" w:eastAsia="fr-BE"/>
        </w:rPr>
      </w:pPr>
      <w:r w:rsidRPr="004F5E59">
        <w:rPr>
          <w:lang w:eastAsia="ja-JP"/>
        </w:rPr>
        <w:t>1.</w:t>
      </w:r>
      <w:r w:rsidRPr="004F5E59">
        <w:rPr>
          <w:lang w:eastAsia="ja-JP"/>
        </w:rPr>
        <w:tab/>
      </w:r>
      <w:r w:rsidR="0681B866" w:rsidRPr="00DF5C23">
        <w:rPr>
          <w:noProof/>
          <w:lang w:val="en-IE" w:eastAsia="fr-BE"/>
        </w:rPr>
        <w:t>適合性評価機関は、その設立された加盟国の届出機関に届出申請書を提出しなければならない。</w:t>
      </w:r>
    </w:p>
    <w:p w14:paraId="3C9E4B94" w14:textId="77777777" w:rsidR="0038775E" w:rsidRDefault="00877B9C" w:rsidP="002041D4">
      <w:pPr>
        <w:pStyle w:val="ManualNumPar1"/>
        <w:wordWrap w:val="0"/>
        <w:rPr>
          <w:noProof/>
          <w:lang w:val="en-IE" w:eastAsia="fr-BE"/>
        </w:rPr>
      </w:pPr>
      <w:r w:rsidRPr="004F5E59">
        <w:rPr>
          <w:lang w:eastAsia="ja-JP"/>
        </w:rPr>
        <w:lastRenderedPageBreak/>
        <w:t>2.</w:t>
      </w:r>
      <w:r w:rsidRPr="004F5E59">
        <w:rPr>
          <w:lang w:eastAsia="ja-JP"/>
        </w:rPr>
        <w:tab/>
      </w:r>
      <w:r w:rsidR="00646885" w:rsidRPr="00DF5C23">
        <w:rPr>
          <w:noProof/>
          <w:lang w:val="en-IE" w:eastAsia="fr-BE"/>
        </w:rPr>
        <w:t>その申請書には、適合性評価活動、適合性評価モジュール又はモジュール及び当該機関が能力を有すると主張する製品又は製品の説明、</w:t>
      </w:r>
      <w:r w:rsidR="00A404BE" w:rsidRPr="00DF5C23">
        <w:rPr>
          <w:noProof/>
          <w:lang w:val="en-IE" w:eastAsia="fr-BE"/>
        </w:rPr>
        <w:t>第</w:t>
      </w:r>
      <w:r w:rsidR="00A404BE" w:rsidRPr="00DF5C23">
        <w:rPr>
          <w:noProof/>
          <w:lang w:val="en-IE" w:eastAsia="fr-BE"/>
        </w:rPr>
        <w:t>45</w:t>
      </w:r>
      <w:r w:rsidR="00646885" w:rsidRPr="00DF5C23">
        <w:rPr>
          <w:noProof/>
          <w:lang w:val="en-IE" w:eastAsia="fr-BE"/>
        </w:rPr>
        <w:t>条（</w:t>
      </w:r>
      <w:r w:rsidR="00646885" w:rsidRPr="00DF5C23">
        <w:rPr>
          <w:noProof/>
          <w:lang w:val="en-IE" w:eastAsia="fr-BE"/>
        </w:rPr>
        <w:t>6</w:t>
      </w:r>
      <w:r w:rsidR="00646885" w:rsidRPr="00DF5C23">
        <w:rPr>
          <w:noProof/>
          <w:lang w:val="en-IE" w:eastAsia="fr-BE"/>
        </w:rPr>
        <w:t>）にいう資格マトリックス、並びに、適合性評価機関が</w:t>
      </w:r>
      <w:r w:rsidR="00A404BE" w:rsidRPr="00DF5C23">
        <w:rPr>
          <w:noProof/>
          <w:lang w:val="en-IE" w:eastAsia="fr-BE"/>
        </w:rPr>
        <w:t>第</w:t>
      </w:r>
      <w:r w:rsidR="00A404BE" w:rsidRPr="00DF5C23">
        <w:rPr>
          <w:noProof/>
          <w:lang w:val="en-IE" w:eastAsia="fr-BE"/>
        </w:rPr>
        <w:t>45</w:t>
      </w:r>
      <w:r w:rsidR="00A404BE" w:rsidRPr="00DF5C23">
        <w:rPr>
          <w:noProof/>
          <w:lang w:val="en-IE" w:eastAsia="fr-BE"/>
        </w:rPr>
        <w:t>条に</w:t>
      </w:r>
      <w:r w:rsidR="00646885" w:rsidRPr="00DF5C23">
        <w:rPr>
          <w:noProof/>
          <w:lang w:val="en-IE" w:eastAsia="fr-BE"/>
        </w:rPr>
        <w:t>定める要件を満たすことを証明する国家認定機関が発行する認定証明書がある場合は、それを添付しなければならない。認定証明書は、届出を申請する正確な法人にのみ関連し、関連する整合規格に加えて、</w:t>
      </w:r>
      <w:r w:rsidR="00850318" w:rsidRPr="00DF5C23">
        <w:rPr>
          <w:noProof/>
          <w:lang w:val="en-IE" w:eastAsia="fr-BE"/>
        </w:rPr>
        <w:t>第</w:t>
      </w:r>
      <w:r w:rsidR="00850318" w:rsidRPr="00DF5C23">
        <w:rPr>
          <w:noProof/>
          <w:lang w:val="en-IE" w:eastAsia="fr-BE"/>
        </w:rPr>
        <w:t>4</w:t>
      </w:r>
      <w:r w:rsidR="00850318" w:rsidRPr="00DF5C23">
        <w:rPr>
          <w:noProof/>
          <w:lang w:val="en-IE" w:eastAsia="fr-BE"/>
        </w:rPr>
        <w:t>条に従って採択された</w:t>
      </w:r>
      <w:r w:rsidR="00095F2D" w:rsidRPr="00DF5C23">
        <w:rPr>
          <w:noProof/>
          <w:color w:val="000000" w:themeColor="text1"/>
          <w:lang w:val="en-IE" w:eastAsia="fr-BE"/>
        </w:rPr>
        <w:t>関連</w:t>
      </w:r>
      <w:r w:rsidR="00095F2D" w:rsidRPr="00DF5C23">
        <w:rPr>
          <w:noProof/>
          <w:lang w:val="en-IE" w:eastAsia="fr-BE"/>
        </w:rPr>
        <w:t>委任</w:t>
      </w:r>
      <w:r w:rsidR="00646885" w:rsidRPr="00DF5C23">
        <w:rPr>
          <w:noProof/>
          <w:lang w:val="en-IE" w:eastAsia="fr-BE"/>
        </w:rPr>
        <w:t>法に規定された特定の要件及び適合性評価業務に基づくものでなければならない。</w:t>
      </w:r>
    </w:p>
    <w:p w14:paraId="1FC6324D" w14:textId="77777777" w:rsidR="0038775E" w:rsidRDefault="00877B9C" w:rsidP="002041D4">
      <w:pPr>
        <w:pStyle w:val="ManualNumPar1"/>
        <w:wordWrap w:val="0"/>
        <w:rPr>
          <w:noProof/>
          <w:lang w:val="en-IE" w:eastAsia="fr-BE"/>
        </w:rPr>
      </w:pPr>
      <w:r w:rsidRPr="004F5E59">
        <w:rPr>
          <w:lang w:eastAsia="ja-JP"/>
        </w:rPr>
        <w:t>3.</w:t>
      </w:r>
      <w:r w:rsidRPr="004F5E59">
        <w:rPr>
          <w:lang w:eastAsia="ja-JP"/>
        </w:rPr>
        <w:tab/>
      </w:r>
      <w:r w:rsidR="00646885" w:rsidRPr="00DF5C23">
        <w:rPr>
          <w:noProof/>
          <w:lang w:val="en-IE" w:eastAsia="fr-BE"/>
        </w:rPr>
        <w:t>当該適合性評価機関が認定証明書を提供できない場合、当該適合性評価機関は、</w:t>
      </w:r>
      <w:r w:rsidR="00A404BE" w:rsidRPr="00DF5C23">
        <w:rPr>
          <w:noProof/>
          <w:lang w:val="en-IE" w:eastAsia="fr-BE"/>
        </w:rPr>
        <w:t>第</w:t>
      </w:r>
      <w:r w:rsidR="00A404BE" w:rsidRPr="00DF5C23">
        <w:rPr>
          <w:noProof/>
          <w:lang w:val="en-IE" w:eastAsia="fr-BE"/>
        </w:rPr>
        <w:t>45</w:t>
      </w:r>
      <w:r w:rsidR="00A404BE" w:rsidRPr="00DF5C23">
        <w:rPr>
          <w:noProof/>
          <w:lang w:val="en-IE" w:eastAsia="fr-BE"/>
        </w:rPr>
        <w:t>条に</w:t>
      </w:r>
      <w:r w:rsidR="00646885" w:rsidRPr="00DF5C23">
        <w:rPr>
          <w:noProof/>
          <w:lang w:val="en-IE" w:eastAsia="fr-BE"/>
        </w:rPr>
        <w:t>定める要求事項への準拠の検証、承認及び定期的な監視に必要なすべての証拠書類を通知機関に提供するものとする。</w:t>
      </w:r>
    </w:p>
    <w:p w14:paraId="11847D08" w14:textId="77777777" w:rsidR="0038775E" w:rsidRDefault="00565D97" w:rsidP="002041D4">
      <w:pPr>
        <w:pStyle w:val="Titrearticle"/>
        <w:wordWrap w:val="0"/>
        <w:rPr>
          <w:noProof/>
          <w:lang w:val="en-IE" w:eastAsia="fr-BE"/>
        </w:rPr>
      </w:pPr>
      <w:r w:rsidRPr="00DF5C23">
        <w:rPr>
          <w:noProof/>
          <w:lang w:val="en-IE" w:eastAsia="fr-BE"/>
        </w:rPr>
        <w:t>第</w:t>
      </w:r>
      <w:r w:rsidRPr="00DF5C23">
        <w:rPr>
          <w:noProof/>
          <w:lang w:val="en-IE" w:eastAsia="fr-BE"/>
        </w:rPr>
        <w:t>49</w:t>
      </w:r>
      <w:r w:rsidR="00877B9C" w:rsidRPr="00DF5C23">
        <w:rPr>
          <w:noProof/>
          <w:lang w:val="en-IE" w:eastAsia="fr-BE"/>
        </w:rPr>
        <w:t>条</w:t>
      </w:r>
      <w:r w:rsidR="007A4166" w:rsidRPr="00DF5C23">
        <w:rPr>
          <w:noProof/>
          <w:lang w:eastAsia="ja-JP"/>
        </w:rPr>
        <w:br/>
      </w:r>
      <w:r w:rsidR="00877B9C" w:rsidRPr="00DF5C23">
        <w:rPr>
          <w:noProof/>
          <w:lang w:val="en-IE" w:eastAsia="fr-BE"/>
        </w:rPr>
        <w:t>通知手順</w:t>
      </w:r>
    </w:p>
    <w:p w14:paraId="22BD5335" w14:textId="77777777" w:rsidR="0038775E" w:rsidRDefault="00877B9C" w:rsidP="002041D4">
      <w:pPr>
        <w:pStyle w:val="ManualNumPar1"/>
        <w:wordWrap w:val="0"/>
        <w:rPr>
          <w:noProof/>
          <w:lang w:val="en-IE" w:eastAsia="fr-BE"/>
        </w:rPr>
      </w:pPr>
      <w:r w:rsidRPr="004F5E59">
        <w:rPr>
          <w:lang w:eastAsia="ja-JP"/>
        </w:rPr>
        <w:t>1.</w:t>
      </w:r>
      <w:r w:rsidRPr="004F5E59">
        <w:rPr>
          <w:lang w:eastAsia="ja-JP"/>
        </w:rPr>
        <w:tab/>
      </w:r>
      <w:r w:rsidR="00646885" w:rsidRPr="00DF5C23">
        <w:rPr>
          <w:noProof/>
          <w:lang w:val="en-IE" w:eastAsia="fr-BE"/>
        </w:rPr>
        <w:t>通知機関は、第</w:t>
      </w:r>
      <w:r w:rsidR="00646885" w:rsidRPr="00DF5C23">
        <w:rPr>
          <w:noProof/>
          <w:lang w:val="en-IE" w:eastAsia="fr-BE"/>
        </w:rPr>
        <w:t xml:space="preserve"> </w:t>
      </w:r>
      <w:r w:rsidR="00A404BE" w:rsidRPr="00DF5C23">
        <w:rPr>
          <w:noProof/>
          <w:lang w:val="en-IE" w:eastAsia="fr-BE"/>
        </w:rPr>
        <w:t xml:space="preserve">45 </w:t>
      </w:r>
      <w:r w:rsidR="00A404BE" w:rsidRPr="00DF5C23">
        <w:rPr>
          <w:noProof/>
          <w:lang w:val="en-IE" w:eastAsia="fr-BE"/>
        </w:rPr>
        <w:t>条</w:t>
      </w:r>
      <w:r w:rsidR="00646885" w:rsidRPr="00DF5C23">
        <w:rPr>
          <w:noProof/>
          <w:lang w:val="en-IE" w:eastAsia="fr-BE"/>
        </w:rPr>
        <w:t>に定める要件を満たした適合性評価</w:t>
      </w:r>
      <w:r w:rsidR="007715CB" w:rsidRPr="00DF5C23">
        <w:rPr>
          <w:noProof/>
          <w:lang w:eastAsia="fr-BE"/>
        </w:rPr>
        <w:t>機関にのみ</w:t>
      </w:r>
      <w:r w:rsidR="00646885" w:rsidRPr="00DF5C23">
        <w:rPr>
          <w:noProof/>
          <w:lang w:eastAsia="fr-BE"/>
        </w:rPr>
        <w:t>通知する</w:t>
      </w:r>
      <w:r w:rsidR="00646885" w:rsidRPr="00DF5C23">
        <w:rPr>
          <w:noProof/>
          <w:lang w:val="en-IE" w:eastAsia="fr-BE"/>
        </w:rPr>
        <w:t>。</w:t>
      </w:r>
    </w:p>
    <w:p w14:paraId="542DCDAD" w14:textId="77777777" w:rsidR="0038775E" w:rsidRDefault="00877B9C" w:rsidP="002041D4">
      <w:pPr>
        <w:pStyle w:val="ManualNumPar1"/>
        <w:wordWrap w:val="0"/>
        <w:rPr>
          <w:noProof/>
          <w:lang w:val="en-IE" w:eastAsia="fr-BE"/>
        </w:rPr>
      </w:pPr>
      <w:r w:rsidRPr="004F5E59">
        <w:rPr>
          <w:lang w:eastAsia="ja-JP"/>
        </w:rPr>
        <w:t>2.</w:t>
      </w:r>
      <w:r w:rsidRPr="004F5E59">
        <w:rPr>
          <w:lang w:eastAsia="ja-JP"/>
        </w:rPr>
        <w:tab/>
      </w:r>
      <w:r w:rsidR="0681B866" w:rsidRPr="00DF5C23">
        <w:rPr>
          <w:noProof/>
          <w:lang w:val="en-IE" w:eastAsia="fr-BE"/>
        </w:rPr>
        <w:t>欧州委員会及び他の加盟国に対し、欧州委員会が開発・管理する電子通知ツールを用いて通知するものとする。</w:t>
      </w:r>
    </w:p>
    <w:p w14:paraId="7C38533D" w14:textId="77777777" w:rsidR="0038775E" w:rsidRDefault="00877B9C" w:rsidP="002041D4">
      <w:pPr>
        <w:pStyle w:val="ManualNumPar1"/>
        <w:wordWrap w:val="0"/>
        <w:rPr>
          <w:noProof/>
          <w:lang w:val="en-IE" w:eastAsia="fr-BE"/>
        </w:rPr>
      </w:pPr>
      <w:r w:rsidRPr="004F5E59">
        <w:rPr>
          <w:lang w:eastAsia="ja-JP"/>
        </w:rPr>
        <w:t>3.</w:t>
      </w:r>
      <w:r w:rsidRPr="004F5E59">
        <w:rPr>
          <w:lang w:eastAsia="ja-JP"/>
        </w:rPr>
        <w:tab/>
      </w:r>
      <w:r w:rsidR="0681B866" w:rsidRPr="00DF5C23">
        <w:rPr>
          <w:noProof/>
          <w:lang w:val="en-IE" w:eastAsia="fr-BE"/>
        </w:rPr>
        <w:t>通知には、適合性評価活動、適合性評価モジュール及び製品、並びに関連する能力証明の全詳細が含まれるものとする。</w:t>
      </w:r>
    </w:p>
    <w:p w14:paraId="17DE52DC" w14:textId="77777777" w:rsidR="0038775E" w:rsidRDefault="00877B9C" w:rsidP="002041D4">
      <w:pPr>
        <w:pStyle w:val="ManualNumPar1"/>
        <w:wordWrap w:val="0"/>
        <w:rPr>
          <w:noProof/>
          <w:lang w:val="en-IE" w:eastAsia="fr-BE"/>
        </w:rPr>
      </w:pPr>
      <w:r w:rsidRPr="004F5E59">
        <w:rPr>
          <w:lang w:eastAsia="ja-JP"/>
        </w:rPr>
        <w:t>4.</w:t>
      </w:r>
      <w:r w:rsidRPr="004F5E59">
        <w:rPr>
          <w:lang w:eastAsia="ja-JP"/>
        </w:rPr>
        <w:tab/>
      </w:r>
      <w:r w:rsidR="00646885" w:rsidRPr="00DF5C23">
        <w:rPr>
          <w:noProof/>
          <w:lang w:val="en-IE" w:eastAsia="fr-BE"/>
        </w:rPr>
        <w:t>届出が</w:t>
      </w:r>
      <w:r w:rsidR="00A404BE" w:rsidRPr="00DF5C23">
        <w:rPr>
          <w:noProof/>
          <w:lang w:val="en-IE" w:eastAsia="fr-BE"/>
        </w:rPr>
        <w:t>第</w:t>
      </w:r>
      <w:r w:rsidR="00A404BE" w:rsidRPr="00DF5C23">
        <w:rPr>
          <w:noProof/>
          <w:lang w:val="en-IE" w:eastAsia="fr-BE"/>
        </w:rPr>
        <w:t>48</w:t>
      </w:r>
      <w:r w:rsidR="00646885" w:rsidRPr="00DF5C23">
        <w:rPr>
          <w:noProof/>
          <w:lang w:val="en-IE" w:eastAsia="fr-BE"/>
        </w:rPr>
        <w:t>条</w:t>
      </w:r>
      <w:r w:rsidR="00646885" w:rsidRPr="00DF5C23">
        <w:rPr>
          <w:noProof/>
          <w:lang w:val="en-IE" w:eastAsia="fr-BE"/>
        </w:rPr>
        <w:t>(2)</w:t>
      </w:r>
      <w:r w:rsidR="00646885" w:rsidRPr="00DF5C23">
        <w:rPr>
          <w:noProof/>
          <w:lang w:val="en-IE" w:eastAsia="fr-BE"/>
        </w:rPr>
        <w:t>にいう認定証明書に基づかない場合、届出機関は、適合性評価機関の能力及び当該機関が定期的に監視され、</w:t>
      </w:r>
      <w:r w:rsidR="00A404BE" w:rsidRPr="00DF5C23">
        <w:rPr>
          <w:noProof/>
          <w:lang w:val="en-IE" w:eastAsia="fr-BE"/>
        </w:rPr>
        <w:t>第</w:t>
      </w:r>
      <w:r w:rsidR="00A404BE" w:rsidRPr="00DF5C23">
        <w:rPr>
          <w:noProof/>
          <w:lang w:val="en-IE" w:eastAsia="fr-BE"/>
        </w:rPr>
        <w:t>45</w:t>
      </w:r>
      <w:r w:rsidR="00646885" w:rsidRPr="00DF5C23">
        <w:rPr>
          <w:noProof/>
          <w:lang w:val="en-IE" w:eastAsia="fr-BE"/>
        </w:rPr>
        <w:t>条に定める要件を引き続き満たすことを確保するために行われている取り決めを証明する文書証拠を委員会及び他の加盟国に提供するものとする。</w:t>
      </w:r>
    </w:p>
    <w:p w14:paraId="471D7399" w14:textId="77777777" w:rsidR="0038775E" w:rsidRDefault="00877B9C" w:rsidP="002041D4">
      <w:pPr>
        <w:pStyle w:val="ManualNumPar1"/>
        <w:wordWrap w:val="0"/>
        <w:rPr>
          <w:noProof/>
          <w:lang w:val="en-IE" w:eastAsia="fr-BE"/>
        </w:rPr>
      </w:pPr>
      <w:r w:rsidRPr="004F5E59">
        <w:rPr>
          <w:lang w:eastAsia="ja-JP"/>
        </w:rPr>
        <w:t>5.</w:t>
      </w:r>
      <w:r w:rsidRPr="004F5E59">
        <w:rPr>
          <w:lang w:eastAsia="ja-JP"/>
        </w:rPr>
        <w:tab/>
      </w:r>
      <w:r w:rsidR="0681B866" w:rsidRPr="00DF5C23">
        <w:rPr>
          <w:noProof/>
          <w:lang w:val="en-IE" w:eastAsia="fr-BE"/>
        </w:rPr>
        <w:t>認定証を用いる場合は届出から</w:t>
      </w:r>
      <w:r w:rsidR="007715CB" w:rsidRPr="00DF5C23">
        <w:rPr>
          <w:noProof/>
          <w:lang w:eastAsia="fr-BE"/>
        </w:rPr>
        <w:t>2</w:t>
      </w:r>
      <w:r w:rsidR="0681B866" w:rsidRPr="00DF5C23">
        <w:rPr>
          <w:noProof/>
          <w:lang w:eastAsia="fr-BE"/>
        </w:rPr>
        <w:t>週間</w:t>
      </w:r>
      <w:r w:rsidR="007715CB" w:rsidRPr="00DF5C23">
        <w:rPr>
          <w:noProof/>
          <w:lang w:eastAsia="fr-BE"/>
        </w:rPr>
        <w:t>以内に</w:t>
      </w:r>
      <w:r w:rsidR="0681B866" w:rsidRPr="00DF5C23">
        <w:rPr>
          <w:noProof/>
          <w:lang w:eastAsia="fr-BE"/>
        </w:rPr>
        <w:t>、</w:t>
      </w:r>
      <w:r w:rsidR="0681B866" w:rsidRPr="00DF5C23">
        <w:rPr>
          <w:noProof/>
          <w:lang w:val="en-IE" w:eastAsia="fr-BE"/>
        </w:rPr>
        <w:t>認定証を用いない場合は届出から</w:t>
      </w:r>
      <w:r w:rsidR="007715CB" w:rsidRPr="00DF5C23">
        <w:rPr>
          <w:noProof/>
          <w:lang w:eastAsia="fr-BE"/>
        </w:rPr>
        <w:t>2</w:t>
      </w:r>
      <w:r w:rsidR="0681B866" w:rsidRPr="00DF5C23">
        <w:rPr>
          <w:noProof/>
          <w:lang w:eastAsia="fr-BE"/>
        </w:rPr>
        <w:t>ヶ月以内に、欧州委員会又は他の加盟国が</w:t>
      </w:r>
      <w:r w:rsidR="007715CB" w:rsidRPr="00DF5C23">
        <w:rPr>
          <w:noProof/>
          <w:lang w:eastAsia="fr-BE"/>
        </w:rPr>
        <w:t>異議を述べない場合、</w:t>
      </w:r>
      <w:r w:rsidR="0681B866" w:rsidRPr="00DF5C23">
        <w:rPr>
          <w:noProof/>
          <w:lang w:val="en-IE" w:eastAsia="fr-BE"/>
        </w:rPr>
        <w:t>当該機関は、届出機関の活動を行うことができる。</w:t>
      </w:r>
    </w:p>
    <w:p w14:paraId="4FE89ED4" w14:textId="77777777" w:rsidR="0038775E" w:rsidRDefault="00877B9C" w:rsidP="002041D4">
      <w:pPr>
        <w:pStyle w:val="Text1"/>
        <w:wordWrap w:val="0"/>
        <w:rPr>
          <w:noProof/>
          <w:lang w:val="en-IE" w:eastAsia="fr-BE"/>
        </w:rPr>
      </w:pPr>
      <w:r w:rsidRPr="00DF5C23">
        <w:rPr>
          <w:noProof/>
          <w:lang w:val="en-IE" w:eastAsia="fr-BE"/>
        </w:rPr>
        <w:t>このような団体のみが、本規則の目的上、届出団体とみなされる。</w:t>
      </w:r>
    </w:p>
    <w:p w14:paraId="2A221A96" w14:textId="77777777" w:rsidR="0038775E" w:rsidRDefault="00877B9C" w:rsidP="002041D4">
      <w:pPr>
        <w:pStyle w:val="ManualNumPar1"/>
        <w:wordWrap w:val="0"/>
        <w:rPr>
          <w:noProof/>
          <w:lang w:val="en-IE" w:eastAsia="fr-BE"/>
        </w:rPr>
      </w:pPr>
      <w:r w:rsidRPr="004F5E59">
        <w:rPr>
          <w:lang w:eastAsia="ja-JP"/>
        </w:rPr>
        <w:t>6.</w:t>
      </w:r>
      <w:r w:rsidRPr="004F5E59">
        <w:rPr>
          <w:lang w:eastAsia="ja-JP"/>
        </w:rPr>
        <w:tab/>
      </w:r>
      <w:r w:rsidR="00646885" w:rsidRPr="00DF5C23">
        <w:rPr>
          <w:noProof/>
          <w:lang w:val="en-IE" w:eastAsia="fr-BE"/>
        </w:rPr>
        <w:t>届出は、</w:t>
      </w:r>
      <w:r w:rsidR="002E5E7D" w:rsidRPr="00DF5C23">
        <w:rPr>
          <w:noProof/>
          <w:lang w:val="en-IE" w:eastAsia="fr-BE"/>
        </w:rPr>
        <w:t>当該</w:t>
      </w:r>
      <w:r w:rsidR="00646885" w:rsidRPr="00DF5C23">
        <w:rPr>
          <w:noProof/>
          <w:lang w:val="en-IE" w:eastAsia="fr-BE"/>
        </w:rPr>
        <w:t>団体が欧州委員会により</w:t>
      </w:r>
      <w:r w:rsidR="00A404BE" w:rsidRPr="00DF5C23">
        <w:rPr>
          <w:noProof/>
          <w:lang w:val="en-IE" w:eastAsia="fr-BE"/>
        </w:rPr>
        <w:t>第</w:t>
      </w:r>
      <w:r w:rsidR="00A404BE" w:rsidRPr="00DF5C23">
        <w:rPr>
          <w:noProof/>
          <w:lang w:val="en-IE" w:eastAsia="fr-BE"/>
        </w:rPr>
        <w:t>50</w:t>
      </w:r>
      <w:r w:rsidR="00646885" w:rsidRPr="00DF5C23">
        <w:rPr>
          <w:noProof/>
          <w:lang w:val="en-IE" w:eastAsia="fr-BE"/>
        </w:rPr>
        <w:t>条第</w:t>
      </w:r>
      <w:r w:rsidR="00646885" w:rsidRPr="00DF5C23">
        <w:rPr>
          <w:noProof/>
          <w:lang w:val="en-IE" w:eastAsia="fr-BE"/>
        </w:rPr>
        <w:t>2</w:t>
      </w:r>
      <w:r w:rsidR="00646885" w:rsidRPr="00DF5C23">
        <w:rPr>
          <w:noProof/>
          <w:lang w:val="en-IE" w:eastAsia="fr-BE"/>
        </w:rPr>
        <w:t>項にいう届出団体リストに掲載された翌日から有効となる。当該機関は、届出が有効になった後に限り、通知された機関の活動を行うことができる。</w:t>
      </w:r>
      <w:r w:rsidR="00646885" w:rsidRPr="00DF5C23">
        <w:rPr>
          <w:noProof/>
          <w:lang w:val="en-IE" w:eastAsia="fr-BE"/>
        </w:rPr>
        <w:t xml:space="preserve"> </w:t>
      </w:r>
    </w:p>
    <w:p w14:paraId="7962B1B9" w14:textId="77777777" w:rsidR="0038775E" w:rsidRDefault="00877B9C" w:rsidP="002041D4">
      <w:pPr>
        <w:pStyle w:val="Text1"/>
        <w:wordWrap w:val="0"/>
        <w:rPr>
          <w:noProof/>
          <w:lang w:val="en-IE" w:eastAsia="fr-BE"/>
        </w:rPr>
      </w:pPr>
      <w:r w:rsidRPr="00DF5C23">
        <w:rPr>
          <w:noProof/>
          <w:lang w:val="en-IE" w:eastAsia="fr-BE"/>
        </w:rPr>
        <w:t>欧州委員会は、当該届出機関が</w:t>
      </w:r>
      <w:r w:rsidR="00A404BE" w:rsidRPr="00DF5C23">
        <w:rPr>
          <w:noProof/>
          <w:lang w:val="en-IE" w:eastAsia="fr-BE"/>
        </w:rPr>
        <w:t>第</w:t>
      </w:r>
      <w:r w:rsidR="00A404BE" w:rsidRPr="00DF5C23">
        <w:rPr>
          <w:noProof/>
          <w:lang w:val="en-IE" w:eastAsia="fr-BE"/>
        </w:rPr>
        <w:t>45</w:t>
      </w:r>
      <w:r w:rsidR="00A404BE" w:rsidRPr="00DF5C23">
        <w:rPr>
          <w:noProof/>
          <w:lang w:val="en-IE" w:eastAsia="fr-BE"/>
        </w:rPr>
        <w:t>条に</w:t>
      </w:r>
      <w:r w:rsidRPr="00DF5C23">
        <w:rPr>
          <w:noProof/>
          <w:lang w:val="en-IE" w:eastAsia="fr-BE"/>
        </w:rPr>
        <w:t>定める要件を満たしていないことを認識し、又は認識するようになった場合には、届出を公表しないものとする。</w:t>
      </w:r>
      <w:r w:rsidRPr="00DF5C23">
        <w:rPr>
          <w:noProof/>
          <w:lang w:val="en-IE" w:eastAsia="fr-BE"/>
        </w:rPr>
        <w:t xml:space="preserve">  </w:t>
      </w:r>
    </w:p>
    <w:p w14:paraId="5A49001D" w14:textId="77777777" w:rsidR="0038775E" w:rsidRDefault="00877B9C" w:rsidP="002041D4">
      <w:pPr>
        <w:pStyle w:val="ManualNumPar1"/>
        <w:wordWrap w:val="0"/>
        <w:rPr>
          <w:noProof/>
          <w:lang w:val="en-IE" w:eastAsia="fr-BE"/>
        </w:rPr>
      </w:pPr>
      <w:r w:rsidRPr="004F5E59">
        <w:rPr>
          <w:lang w:eastAsia="ja-JP"/>
        </w:rPr>
        <w:t>7.</w:t>
      </w:r>
      <w:r w:rsidRPr="004F5E59">
        <w:rPr>
          <w:lang w:eastAsia="ja-JP"/>
        </w:rPr>
        <w:tab/>
      </w:r>
      <w:r w:rsidR="0681B866" w:rsidRPr="00DF5C23">
        <w:rPr>
          <w:noProof/>
          <w:lang w:val="en-IE" w:eastAsia="fr-BE"/>
        </w:rPr>
        <w:t>欧州委員会及び他の加盟国は、通知に対するその後の関連する変更について通知されるものとする。</w:t>
      </w:r>
    </w:p>
    <w:p w14:paraId="3D9646C1" w14:textId="77777777" w:rsidR="0038775E" w:rsidRDefault="00565D97" w:rsidP="002041D4">
      <w:pPr>
        <w:pStyle w:val="Titrearticle"/>
        <w:wordWrap w:val="0"/>
        <w:rPr>
          <w:noProof/>
          <w:lang w:val="en-IE" w:eastAsia="fr-BE"/>
        </w:rPr>
      </w:pPr>
      <w:r w:rsidRPr="00DF5C23">
        <w:rPr>
          <w:noProof/>
          <w:lang w:val="en-IE" w:eastAsia="fr-BE"/>
        </w:rPr>
        <w:t>第</w:t>
      </w:r>
      <w:r w:rsidRPr="00DF5C23">
        <w:rPr>
          <w:noProof/>
          <w:lang w:val="en-IE" w:eastAsia="fr-BE"/>
        </w:rPr>
        <w:t>50</w:t>
      </w:r>
      <w:r w:rsidR="00877B9C" w:rsidRPr="00DF5C23">
        <w:rPr>
          <w:noProof/>
          <w:lang w:val="en-IE" w:eastAsia="fr-BE"/>
        </w:rPr>
        <w:t>条</w:t>
      </w:r>
      <w:r w:rsidR="007A4166" w:rsidRPr="00DF5C23">
        <w:rPr>
          <w:noProof/>
          <w:lang w:eastAsia="ja-JP"/>
        </w:rPr>
        <w:br/>
      </w:r>
      <w:r w:rsidR="00877B9C" w:rsidRPr="00DF5C23">
        <w:rPr>
          <w:noProof/>
          <w:lang w:val="en-IE" w:eastAsia="fr-BE"/>
        </w:rPr>
        <w:t>識別番</w:t>
      </w:r>
      <w:r w:rsidR="00877B9C" w:rsidRPr="00DF5C23">
        <w:rPr>
          <w:noProof/>
          <w:lang w:val="en-IE" w:eastAsia="fr-BE"/>
        </w:rPr>
        <w:t>号とノーティファイドボディのリスト</w:t>
      </w:r>
    </w:p>
    <w:p w14:paraId="49253B5F" w14:textId="77777777" w:rsidR="0038775E" w:rsidRDefault="00877B9C" w:rsidP="002041D4">
      <w:pPr>
        <w:pStyle w:val="ManualNumPar1"/>
        <w:wordWrap w:val="0"/>
        <w:rPr>
          <w:noProof/>
          <w:lang w:val="en-IE" w:eastAsia="fr-BE"/>
        </w:rPr>
      </w:pPr>
      <w:r w:rsidRPr="004F5E59">
        <w:rPr>
          <w:lang w:eastAsia="ja-JP"/>
        </w:rPr>
        <w:t>1.</w:t>
      </w:r>
      <w:r w:rsidRPr="004F5E59">
        <w:rPr>
          <w:lang w:eastAsia="ja-JP"/>
        </w:rPr>
        <w:tab/>
      </w:r>
      <w:r w:rsidR="0681B866" w:rsidRPr="00DF5C23">
        <w:rPr>
          <w:noProof/>
          <w:lang w:val="en-IE" w:eastAsia="fr-BE"/>
        </w:rPr>
        <w:t>委員会は、届出団体に識別番号を付与するものとする。</w:t>
      </w:r>
    </w:p>
    <w:p w14:paraId="34637C83" w14:textId="77777777" w:rsidR="0038775E" w:rsidRDefault="00877B9C" w:rsidP="002041D4">
      <w:pPr>
        <w:pStyle w:val="Text1"/>
        <w:wordWrap w:val="0"/>
        <w:rPr>
          <w:noProof/>
          <w:lang w:val="en-IE" w:eastAsia="fr-BE"/>
        </w:rPr>
      </w:pPr>
      <w:r w:rsidRPr="00DF5C23">
        <w:rPr>
          <w:noProof/>
          <w:lang w:val="en-IE" w:eastAsia="fr-BE"/>
        </w:rPr>
        <w:lastRenderedPageBreak/>
        <w:t>また、複数の連邦法の下で通知された機関であっても、単一の番号を割り当てるものとする。</w:t>
      </w:r>
    </w:p>
    <w:p w14:paraId="67AC6EA0" w14:textId="77777777" w:rsidR="0038775E" w:rsidRDefault="00877B9C" w:rsidP="002041D4">
      <w:pPr>
        <w:pStyle w:val="ManualNumPar1"/>
        <w:wordWrap w:val="0"/>
        <w:rPr>
          <w:noProof/>
          <w:lang w:val="en-IE" w:eastAsia="fr-BE"/>
        </w:rPr>
      </w:pPr>
      <w:r w:rsidRPr="004F5E59">
        <w:rPr>
          <w:lang w:eastAsia="ja-JP"/>
        </w:rPr>
        <w:t>2.</w:t>
      </w:r>
      <w:r w:rsidRPr="004F5E59">
        <w:rPr>
          <w:lang w:eastAsia="ja-JP"/>
        </w:rPr>
        <w:tab/>
      </w:r>
      <w:r w:rsidR="0681B866" w:rsidRPr="00DF5C23">
        <w:rPr>
          <w:noProof/>
          <w:lang w:val="en-IE" w:eastAsia="fr-BE"/>
        </w:rPr>
        <w:t>欧州委員会は、本規則に基づき通知された団体のリストを、当該団体に割り当てられた識別番号及び当該団体が通知された活動を含めて、</w:t>
      </w:r>
      <w:r w:rsidR="007715CB" w:rsidRPr="00DF5C23">
        <w:rPr>
          <w:noProof/>
          <w:lang w:val="en-IE" w:eastAsia="fr-BE"/>
        </w:rPr>
        <w:t>一般に公開するものとする。</w:t>
      </w:r>
    </w:p>
    <w:p w14:paraId="5D1CE370" w14:textId="77777777" w:rsidR="0038775E" w:rsidRDefault="00877B9C" w:rsidP="002041D4">
      <w:pPr>
        <w:pStyle w:val="Text1"/>
        <w:wordWrap w:val="0"/>
        <w:rPr>
          <w:noProof/>
          <w:lang w:val="en-IE" w:eastAsia="fr-BE"/>
        </w:rPr>
      </w:pPr>
      <w:r w:rsidRPr="00DF5C23">
        <w:rPr>
          <w:noProof/>
          <w:lang w:val="en-IE" w:eastAsia="fr-BE"/>
        </w:rPr>
        <w:t>委員会は、そのリストが最新の状態に保たれるようにしなければならない。</w:t>
      </w:r>
    </w:p>
    <w:p w14:paraId="384E2E6F" w14:textId="77777777" w:rsidR="0038775E" w:rsidRDefault="00565D97" w:rsidP="002041D4">
      <w:pPr>
        <w:pStyle w:val="Titrearticle"/>
        <w:wordWrap w:val="0"/>
        <w:rPr>
          <w:noProof/>
          <w:lang w:val="en-IE" w:eastAsia="fr-BE"/>
        </w:rPr>
      </w:pPr>
      <w:r w:rsidRPr="00DF5C23">
        <w:rPr>
          <w:noProof/>
          <w:lang w:val="en-IE" w:eastAsia="fr-BE"/>
        </w:rPr>
        <w:t>第</w:t>
      </w:r>
      <w:r w:rsidRPr="00DF5C23">
        <w:rPr>
          <w:noProof/>
          <w:lang w:val="en-IE" w:eastAsia="fr-BE"/>
        </w:rPr>
        <w:t>51</w:t>
      </w:r>
      <w:r w:rsidR="00877B9C" w:rsidRPr="00DF5C23">
        <w:rPr>
          <w:noProof/>
          <w:lang w:val="en-IE" w:eastAsia="fr-BE"/>
        </w:rPr>
        <w:t>条</w:t>
      </w:r>
      <w:r w:rsidR="007A4166" w:rsidRPr="00DF5C23">
        <w:rPr>
          <w:noProof/>
          <w:lang w:eastAsia="ja-JP"/>
        </w:rPr>
        <w:br/>
      </w:r>
      <w:r w:rsidR="00877B9C" w:rsidRPr="00DF5C23">
        <w:rPr>
          <w:noProof/>
          <w:lang w:val="en-IE" w:eastAsia="fr-BE"/>
        </w:rPr>
        <w:t>通知事項の変更について</w:t>
      </w:r>
    </w:p>
    <w:p w14:paraId="2A581DA2" w14:textId="77777777" w:rsidR="0038775E" w:rsidRDefault="00877B9C" w:rsidP="002041D4">
      <w:pPr>
        <w:pStyle w:val="ManualNumPar1"/>
        <w:wordWrap w:val="0"/>
        <w:rPr>
          <w:noProof/>
          <w:lang w:val="en-IE" w:eastAsia="fr-BE"/>
        </w:rPr>
      </w:pPr>
      <w:r w:rsidRPr="004F5E59">
        <w:rPr>
          <w:lang w:eastAsia="ja-JP"/>
        </w:rPr>
        <w:t>1.</w:t>
      </w:r>
      <w:r w:rsidRPr="004F5E59">
        <w:rPr>
          <w:lang w:eastAsia="ja-JP"/>
        </w:rPr>
        <w:tab/>
      </w:r>
      <w:r w:rsidR="00646885" w:rsidRPr="00DF5C23">
        <w:rPr>
          <w:noProof/>
          <w:lang w:val="en-IE" w:eastAsia="fr-BE"/>
        </w:rPr>
        <w:t>通知機関が、もはや</w:t>
      </w:r>
      <w:r w:rsidR="00A404BE" w:rsidRPr="00DF5C23">
        <w:rPr>
          <w:noProof/>
          <w:lang w:val="en-IE" w:eastAsia="fr-BE"/>
        </w:rPr>
        <w:t>第</w:t>
      </w:r>
      <w:r w:rsidR="00A404BE" w:rsidRPr="00DF5C23">
        <w:rPr>
          <w:noProof/>
          <w:lang w:val="en-IE" w:eastAsia="fr-BE"/>
        </w:rPr>
        <w:t>45</w:t>
      </w:r>
      <w:r w:rsidR="00A404BE" w:rsidRPr="00DF5C23">
        <w:rPr>
          <w:noProof/>
          <w:lang w:val="en-IE" w:eastAsia="fr-BE"/>
        </w:rPr>
        <w:t>条に定める</w:t>
      </w:r>
      <w:r w:rsidR="00646885" w:rsidRPr="00DF5C23">
        <w:rPr>
          <w:noProof/>
          <w:lang w:val="en-IE" w:eastAsia="fr-BE"/>
        </w:rPr>
        <w:t>要件を満たしていないこと、又はその義務を果たしていないことを確認した場合、又は通知された場合、通知機関は、これらの要件を満たしていないこと又はこれらの義務を果たしていないことの深刻さに応じて、適宜、通知を制限、停止又は撤回しなければならない。通知機関は、それに応じて、直ちに欧州委員会および他の加盟国に通知しなければならない。</w:t>
      </w:r>
    </w:p>
    <w:p w14:paraId="1175AA5E" w14:textId="77777777" w:rsidR="0038775E" w:rsidRDefault="00877B9C" w:rsidP="002041D4">
      <w:pPr>
        <w:pStyle w:val="ManualNumPar1"/>
        <w:wordWrap w:val="0"/>
        <w:rPr>
          <w:noProof/>
          <w:lang w:val="en-IE" w:eastAsia="fr-BE"/>
        </w:rPr>
      </w:pPr>
      <w:r w:rsidRPr="004F5E59">
        <w:rPr>
          <w:lang w:eastAsia="ja-JP"/>
        </w:rPr>
        <w:t>2.</w:t>
      </w:r>
      <w:r w:rsidRPr="004F5E59">
        <w:rPr>
          <w:lang w:eastAsia="ja-JP"/>
        </w:rPr>
        <w:tab/>
      </w:r>
      <w:r w:rsidR="0681B866" w:rsidRPr="00DF5C23">
        <w:rPr>
          <w:noProof/>
          <w:lang w:val="en-IE" w:eastAsia="fr-BE"/>
        </w:rPr>
        <w:t>届出の制限、停止若しくは撤回、又は届出機関がその活動を停止した場合、届出加盟国は、</w:t>
      </w:r>
      <w:r w:rsidR="007715CB" w:rsidRPr="00DF5C23">
        <w:rPr>
          <w:noProof/>
          <w:lang w:eastAsia="fr-BE"/>
        </w:rPr>
        <w:t>この機関のファイルが</w:t>
      </w:r>
      <w:r w:rsidR="0681B866" w:rsidRPr="00DF5C23">
        <w:rPr>
          <w:noProof/>
          <w:lang w:val="en-IE" w:eastAsia="fr-BE"/>
        </w:rPr>
        <w:t>他の届出機関によって処理されるか、又は担当の届出機関及び市場監視当局の要請に応じて利用できるようにするために適切な措置を講じるものとする。</w:t>
      </w:r>
    </w:p>
    <w:p w14:paraId="6A159BCE" w14:textId="77777777" w:rsidR="0038775E" w:rsidRDefault="00565D97" w:rsidP="002041D4">
      <w:pPr>
        <w:pStyle w:val="Titrearticle"/>
        <w:wordWrap w:val="0"/>
        <w:rPr>
          <w:noProof/>
          <w:lang w:val="en-IE" w:eastAsia="fr-BE"/>
        </w:rPr>
      </w:pPr>
      <w:r w:rsidRPr="00DF5C23">
        <w:rPr>
          <w:noProof/>
          <w:lang w:val="en-IE" w:eastAsia="fr-BE"/>
        </w:rPr>
        <w:t>第</w:t>
      </w:r>
      <w:r w:rsidRPr="00DF5C23">
        <w:rPr>
          <w:noProof/>
          <w:lang w:val="en-IE" w:eastAsia="fr-BE"/>
        </w:rPr>
        <w:t>52</w:t>
      </w:r>
      <w:r w:rsidR="00877B9C" w:rsidRPr="00DF5C23">
        <w:rPr>
          <w:noProof/>
          <w:lang w:val="en-IE" w:eastAsia="fr-BE"/>
        </w:rPr>
        <w:t>条</w:t>
      </w:r>
      <w:r w:rsidR="007A4166" w:rsidRPr="00DF5C23">
        <w:rPr>
          <w:noProof/>
          <w:lang w:eastAsia="ja-JP"/>
        </w:rPr>
        <w:br/>
      </w:r>
      <w:r w:rsidR="00877B9C" w:rsidRPr="00DF5C23">
        <w:rPr>
          <w:noProof/>
          <w:lang w:val="en-IE" w:eastAsia="fr-BE"/>
        </w:rPr>
        <w:t>ノーティファイドボディの能力への挑戦</w:t>
      </w:r>
    </w:p>
    <w:p w14:paraId="5A072EDC" w14:textId="77777777" w:rsidR="0038775E" w:rsidRDefault="00877B9C" w:rsidP="002041D4">
      <w:pPr>
        <w:pStyle w:val="ManualNumPar1"/>
        <w:wordWrap w:val="0"/>
        <w:rPr>
          <w:noProof/>
          <w:lang w:val="en-IE" w:eastAsia="fr-BE"/>
        </w:rPr>
      </w:pPr>
      <w:r w:rsidRPr="004F5E59">
        <w:rPr>
          <w:lang w:eastAsia="ja-JP"/>
        </w:rPr>
        <w:t>1.</w:t>
      </w:r>
      <w:r w:rsidRPr="004F5E59">
        <w:rPr>
          <w:lang w:eastAsia="ja-JP"/>
        </w:rPr>
        <w:tab/>
      </w:r>
      <w:r w:rsidR="0681B866" w:rsidRPr="00DF5C23">
        <w:rPr>
          <w:noProof/>
          <w:lang w:val="en-IE" w:eastAsia="fr-BE"/>
        </w:rPr>
        <w:t>欧州委員会は、通知機関の能力、又は通知機関が受ける要件及び責任の継続的な履行に関して疑義が生じた場合、又は疑義が生じた場合は、すべて調査しなければならない。</w:t>
      </w:r>
    </w:p>
    <w:p w14:paraId="609DA5E1" w14:textId="77777777" w:rsidR="0038775E" w:rsidRDefault="00877B9C" w:rsidP="002041D4">
      <w:pPr>
        <w:pStyle w:val="ManualNumPar1"/>
        <w:wordWrap w:val="0"/>
        <w:rPr>
          <w:noProof/>
          <w:lang w:val="en-IE" w:eastAsia="fr-BE"/>
        </w:rPr>
      </w:pPr>
      <w:r w:rsidRPr="004F5E59">
        <w:rPr>
          <w:lang w:eastAsia="ja-JP"/>
        </w:rPr>
        <w:t>2.</w:t>
      </w:r>
      <w:r w:rsidRPr="004F5E59">
        <w:rPr>
          <w:lang w:eastAsia="ja-JP"/>
        </w:rPr>
        <w:tab/>
      </w:r>
      <w:r w:rsidR="0681B866" w:rsidRPr="00DF5C23">
        <w:rPr>
          <w:noProof/>
          <w:lang w:val="en-IE" w:eastAsia="fr-BE"/>
        </w:rPr>
        <w:t>通知する加盟国は、要求に応じて、委員会に対し、通知の根拠又は関係機関の能力の維持に関連するすべての情報を提供するものとする。</w:t>
      </w:r>
    </w:p>
    <w:p w14:paraId="1AF1A186" w14:textId="77777777" w:rsidR="0038775E" w:rsidRDefault="00877B9C" w:rsidP="002041D4">
      <w:pPr>
        <w:pStyle w:val="ManualNumPar1"/>
        <w:wordWrap w:val="0"/>
        <w:rPr>
          <w:noProof/>
          <w:lang w:val="en-IE" w:eastAsia="fr-BE"/>
        </w:rPr>
      </w:pPr>
      <w:r w:rsidRPr="004F5E59">
        <w:rPr>
          <w:lang w:eastAsia="ja-JP"/>
        </w:rPr>
        <w:t>3.</w:t>
      </w:r>
      <w:r w:rsidRPr="004F5E59">
        <w:rPr>
          <w:lang w:eastAsia="ja-JP"/>
        </w:rPr>
        <w:tab/>
      </w:r>
      <w:r w:rsidR="0681B866" w:rsidRPr="00DF5C23">
        <w:rPr>
          <w:noProof/>
          <w:lang w:val="en-IE" w:eastAsia="fr-BE"/>
        </w:rPr>
        <w:t>委員会は、調査の過程で得られたすべての機密情報が秘密裏に取り扱われることを保証するものとする。</w:t>
      </w:r>
    </w:p>
    <w:p w14:paraId="42CE6407" w14:textId="77777777" w:rsidR="0038775E" w:rsidRDefault="00877B9C" w:rsidP="002041D4">
      <w:pPr>
        <w:pStyle w:val="ManualNumPar1"/>
        <w:wordWrap w:val="0"/>
        <w:rPr>
          <w:noProof/>
          <w:lang w:val="en-IE" w:eastAsia="fr-BE"/>
        </w:rPr>
      </w:pPr>
      <w:r w:rsidRPr="004F5E59">
        <w:rPr>
          <w:lang w:eastAsia="ja-JP"/>
        </w:rPr>
        <w:t>4.</w:t>
      </w:r>
      <w:r w:rsidRPr="004F5E59">
        <w:rPr>
          <w:lang w:eastAsia="ja-JP"/>
        </w:rPr>
        <w:tab/>
      </w:r>
      <w:r w:rsidR="00646885" w:rsidRPr="00DF5C23">
        <w:rPr>
          <w:noProof/>
          <w:lang w:val="en-IE" w:eastAsia="fr-BE"/>
        </w:rPr>
        <w:t>欧州委員会は、届出機関がその届出の要件を満たしていない又は満たさなくなったことを確認した場合、届出加盟国に対し、必要な場合には届出の取り下げを含む必要な是正措置をとることを求める実施法を採択するものとする。当該実施法は、</w:t>
      </w:r>
      <w:r w:rsidR="00A404BE" w:rsidRPr="00DF5C23">
        <w:rPr>
          <w:noProof/>
          <w:lang w:val="en-IE" w:eastAsia="fr-BE"/>
        </w:rPr>
        <w:t>第</w:t>
      </w:r>
      <w:r w:rsidR="00A404BE" w:rsidRPr="00DF5C23">
        <w:rPr>
          <w:noProof/>
          <w:lang w:val="en-IE" w:eastAsia="fr-BE"/>
        </w:rPr>
        <w:t>67</w:t>
      </w:r>
      <w:r w:rsidR="00A404BE" w:rsidRPr="00DF5C23">
        <w:rPr>
          <w:noProof/>
          <w:lang w:val="en-IE" w:eastAsia="fr-BE"/>
        </w:rPr>
        <w:t>条</w:t>
      </w:r>
      <w:r w:rsidR="00E7338F" w:rsidRPr="00DF5C23">
        <w:rPr>
          <w:noProof/>
          <w:lang w:val="en-IE" w:eastAsia="fr-BE"/>
        </w:rPr>
        <w:t>(2)</w:t>
      </w:r>
      <w:r w:rsidR="00646885" w:rsidRPr="00DF5C23">
        <w:rPr>
          <w:noProof/>
          <w:lang w:val="en-IE" w:eastAsia="fr-BE"/>
        </w:rPr>
        <w:t>にいう勧告的手続に従って採択されるものとする。</w:t>
      </w:r>
      <w:r w:rsidR="00646885" w:rsidRPr="00DF5C23">
        <w:rPr>
          <w:noProof/>
          <w:lang w:val="en-IE" w:eastAsia="fr-BE"/>
        </w:rPr>
        <w:t xml:space="preserve"> </w:t>
      </w:r>
    </w:p>
    <w:p w14:paraId="02E02BED" w14:textId="77777777" w:rsidR="0038775E" w:rsidRDefault="00877B9C" w:rsidP="002041D4">
      <w:pPr>
        <w:pStyle w:val="Text1"/>
        <w:wordWrap w:val="0"/>
        <w:rPr>
          <w:noProof/>
          <w:lang w:val="en-IE" w:eastAsia="fr-BE"/>
        </w:rPr>
      </w:pPr>
      <w:r w:rsidRPr="00DF5C23">
        <w:rPr>
          <w:noProof/>
          <w:lang w:val="en-IE" w:eastAsia="ja-JP"/>
        </w:rPr>
        <w:t>欧州委員会は、</w:t>
      </w:r>
      <w:r w:rsidRPr="00DF5C23">
        <w:rPr>
          <w:noProof/>
          <w:lang w:eastAsia="ja-JP"/>
        </w:rPr>
        <w:t>実施法が</w:t>
      </w:r>
      <w:r w:rsidR="007715CB" w:rsidRPr="00DF5C23">
        <w:rPr>
          <w:noProof/>
          <w:lang w:eastAsia="ja-JP"/>
        </w:rPr>
        <w:t>採択</w:t>
      </w:r>
      <w:r w:rsidRPr="00DF5C23">
        <w:rPr>
          <w:noProof/>
          <w:lang w:eastAsia="ja-JP"/>
        </w:rPr>
        <w:t>されてから</w:t>
      </w:r>
      <w:r w:rsidR="007715CB" w:rsidRPr="00DF5C23">
        <w:rPr>
          <w:noProof/>
          <w:lang w:eastAsia="ja-JP"/>
        </w:rPr>
        <w:t>2</w:t>
      </w:r>
      <w:r w:rsidR="007715CB" w:rsidRPr="00DF5C23">
        <w:rPr>
          <w:noProof/>
          <w:lang w:eastAsia="ja-JP"/>
        </w:rPr>
        <w:t>週間</w:t>
      </w:r>
      <w:r w:rsidRPr="00DF5C23">
        <w:rPr>
          <w:noProof/>
          <w:lang w:val="en-IE" w:eastAsia="ja-JP"/>
        </w:rPr>
        <w:t>以内に、</w:t>
      </w:r>
      <w:r w:rsidR="00A404BE" w:rsidRPr="00DF5C23">
        <w:rPr>
          <w:noProof/>
          <w:lang w:val="en-IE" w:eastAsia="fr-BE"/>
        </w:rPr>
        <w:t>第</w:t>
      </w:r>
      <w:r w:rsidR="00A404BE" w:rsidRPr="00DF5C23">
        <w:rPr>
          <w:noProof/>
          <w:lang w:val="en-IE" w:eastAsia="fr-BE"/>
        </w:rPr>
        <w:t>50</w:t>
      </w:r>
      <w:r w:rsidRPr="00DF5C23">
        <w:rPr>
          <w:noProof/>
          <w:lang w:val="en-IE" w:eastAsia="fr-BE"/>
        </w:rPr>
        <w:t>条第</w:t>
      </w:r>
      <w:r w:rsidRPr="00DF5C23">
        <w:rPr>
          <w:noProof/>
          <w:lang w:val="en-IE" w:eastAsia="fr-BE"/>
        </w:rPr>
        <w:t>2</w:t>
      </w:r>
      <w:r w:rsidRPr="00DF5C23">
        <w:rPr>
          <w:noProof/>
          <w:lang w:val="en-IE" w:eastAsia="fr-BE"/>
        </w:rPr>
        <w:t>項にいう通知機関のリストを</w:t>
      </w:r>
      <w:r w:rsidRPr="00DF5C23">
        <w:rPr>
          <w:noProof/>
          <w:lang w:val="en-IE" w:eastAsia="ja-JP"/>
        </w:rPr>
        <w:t>更新するものとする。</w:t>
      </w:r>
    </w:p>
    <w:p w14:paraId="6D01CC3B" w14:textId="77777777" w:rsidR="0038775E" w:rsidRDefault="00565D97" w:rsidP="002041D4">
      <w:pPr>
        <w:pStyle w:val="Titrearticle"/>
        <w:wordWrap w:val="0"/>
        <w:rPr>
          <w:noProof/>
          <w:lang w:val="en-IE" w:eastAsia="fr-BE"/>
        </w:rPr>
      </w:pPr>
      <w:r w:rsidRPr="00DF5C23">
        <w:rPr>
          <w:noProof/>
          <w:lang w:val="en-IE" w:eastAsia="fr-BE"/>
        </w:rPr>
        <w:t>第</w:t>
      </w:r>
      <w:r w:rsidRPr="00DF5C23">
        <w:rPr>
          <w:noProof/>
          <w:lang w:val="en-IE" w:eastAsia="fr-BE"/>
        </w:rPr>
        <w:t>53</w:t>
      </w:r>
      <w:r w:rsidR="00877B9C" w:rsidRPr="00DF5C23">
        <w:rPr>
          <w:noProof/>
          <w:lang w:val="en-IE" w:eastAsia="fr-BE"/>
        </w:rPr>
        <w:t>条</w:t>
      </w:r>
      <w:r w:rsidR="007A4166" w:rsidRPr="00DF5C23">
        <w:rPr>
          <w:noProof/>
          <w:lang w:eastAsia="ja-JP"/>
        </w:rPr>
        <w:br/>
      </w:r>
      <w:r w:rsidR="00877B9C" w:rsidRPr="00DF5C23">
        <w:rPr>
          <w:noProof/>
          <w:lang w:val="en-IE" w:eastAsia="fr-BE"/>
        </w:rPr>
        <w:t>ノーテ</w:t>
      </w:r>
      <w:r w:rsidR="00877B9C" w:rsidRPr="00DF5C23">
        <w:rPr>
          <w:noProof/>
          <w:lang w:val="en-IE" w:eastAsia="fr-BE"/>
        </w:rPr>
        <w:t>ィファイドボディの運用義務</w:t>
      </w:r>
    </w:p>
    <w:p w14:paraId="7904E8EC" w14:textId="77777777" w:rsidR="0038775E" w:rsidRDefault="00877B9C" w:rsidP="002041D4">
      <w:pPr>
        <w:pStyle w:val="ManualNumPar1"/>
        <w:wordWrap w:val="0"/>
        <w:rPr>
          <w:noProof/>
          <w:lang w:val="en-IE" w:eastAsia="fr-BE"/>
        </w:rPr>
      </w:pPr>
      <w:r w:rsidRPr="004F5E59">
        <w:rPr>
          <w:lang w:eastAsia="ja-JP"/>
        </w:rPr>
        <w:t>1.</w:t>
      </w:r>
      <w:r w:rsidRPr="004F5E59">
        <w:rPr>
          <w:lang w:eastAsia="ja-JP"/>
        </w:rPr>
        <w:tab/>
      </w:r>
      <w:r w:rsidR="0681B866" w:rsidRPr="00DF5C23">
        <w:rPr>
          <w:noProof/>
          <w:lang w:val="en-IE" w:eastAsia="fr-BE"/>
        </w:rPr>
        <w:t>届出機関は、</w:t>
      </w:r>
      <w:r w:rsidR="00850318" w:rsidRPr="00DF5C23">
        <w:rPr>
          <w:noProof/>
          <w:lang w:val="en-IE" w:eastAsia="fr-BE"/>
        </w:rPr>
        <w:t>第</w:t>
      </w:r>
      <w:r w:rsidR="00850318" w:rsidRPr="00DF5C23">
        <w:rPr>
          <w:noProof/>
          <w:lang w:val="en-IE" w:eastAsia="fr-BE"/>
        </w:rPr>
        <w:t>4</w:t>
      </w:r>
      <w:r w:rsidR="00850318" w:rsidRPr="00DF5C23">
        <w:rPr>
          <w:noProof/>
          <w:lang w:val="en-IE" w:eastAsia="fr-BE"/>
        </w:rPr>
        <w:t>条に従って採択された</w:t>
      </w:r>
      <w:r w:rsidR="0681B866" w:rsidRPr="00DF5C23">
        <w:rPr>
          <w:noProof/>
          <w:lang w:val="en-IE" w:eastAsia="fr-BE"/>
        </w:rPr>
        <w:t>委任行為に規定された適合性評価手続に従って、適合性評価を実施する。</w:t>
      </w:r>
    </w:p>
    <w:p w14:paraId="4C688F75" w14:textId="77777777" w:rsidR="0038775E" w:rsidRDefault="00877B9C" w:rsidP="002041D4">
      <w:pPr>
        <w:pStyle w:val="ManualNumPar1"/>
        <w:wordWrap w:val="0"/>
        <w:rPr>
          <w:noProof/>
          <w:lang w:val="en-IE" w:eastAsia="fr-BE"/>
        </w:rPr>
      </w:pPr>
      <w:r w:rsidRPr="004F5E59">
        <w:rPr>
          <w:lang w:eastAsia="ja-JP"/>
        </w:rPr>
        <w:lastRenderedPageBreak/>
        <w:t>2.</w:t>
      </w:r>
      <w:r w:rsidRPr="004F5E59">
        <w:rPr>
          <w:lang w:eastAsia="ja-JP"/>
        </w:rPr>
        <w:tab/>
      </w:r>
      <w:r w:rsidR="0681B866" w:rsidRPr="00DF5C23">
        <w:rPr>
          <w:noProof/>
          <w:lang w:val="en-IE" w:eastAsia="fr-BE"/>
        </w:rPr>
        <w:t>適合性評価は、経済事業者の不必要な負担を回避し、比例した方法で実施されなければならない。適合性評価機関は、事業者の規模、その事業が営まれる部門、その構造、問題となっている製品技術の複雑さの程度、及び生産工程の大量又は連続の性質を十分に考慮して、その活動を行うものとする。</w:t>
      </w:r>
    </w:p>
    <w:p w14:paraId="625460BB" w14:textId="77777777" w:rsidR="0038775E" w:rsidRDefault="00877B9C" w:rsidP="002041D4">
      <w:pPr>
        <w:pStyle w:val="Text1"/>
        <w:wordWrap w:val="0"/>
        <w:rPr>
          <w:noProof/>
          <w:lang w:val="en-IE" w:eastAsia="fr-BE"/>
        </w:rPr>
      </w:pPr>
      <w:r w:rsidRPr="00DF5C23">
        <w:rPr>
          <w:noProof/>
          <w:lang w:val="en-IE" w:eastAsia="fr-BE"/>
        </w:rPr>
        <w:t>ただし、その際、製品が関連する要求事項に適合するために必要な厳しさの程度と保護のレベルを尊重する</w:t>
      </w:r>
      <w:r w:rsidRPr="00DF5C23">
        <w:rPr>
          <w:noProof/>
          <w:lang w:val="en-IE" w:eastAsia="fr-BE"/>
        </w:rPr>
        <w:t>ものとする。</w:t>
      </w:r>
    </w:p>
    <w:p w14:paraId="5A0FCEFB" w14:textId="77777777" w:rsidR="0038775E" w:rsidRDefault="00877B9C" w:rsidP="002041D4">
      <w:pPr>
        <w:pStyle w:val="ManualNumPar1"/>
        <w:wordWrap w:val="0"/>
        <w:rPr>
          <w:noProof/>
          <w:lang w:val="en-IE" w:eastAsia="fr-BE"/>
        </w:rPr>
      </w:pPr>
      <w:r w:rsidRPr="004F5E59">
        <w:rPr>
          <w:lang w:eastAsia="ja-JP"/>
        </w:rPr>
        <w:t>3.</w:t>
      </w:r>
      <w:r w:rsidRPr="004F5E59">
        <w:rPr>
          <w:lang w:eastAsia="ja-JP"/>
        </w:rPr>
        <w:tab/>
      </w:r>
      <w:r w:rsidR="0681B866" w:rsidRPr="00DF5C23">
        <w:rPr>
          <w:noProof/>
          <w:lang w:val="en-IE" w:eastAsia="fr-BE"/>
        </w:rPr>
        <w:t>通知機関は、</w:t>
      </w:r>
      <w:r w:rsidR="007715CB" w:rsidRPr="00DF5C23">
        <w:rPr>
          <w:noProof/>
          <w:lang w:eastAsia="fr-BE"/>
        </w:rPr>
        <w:t>製造者が</w:t>
      </w:r>
      <w:r w:rsidR="0681B866" w:rsidRPr="00DF5C23">
        <w:rPr>
          <w:noProof/>
          <w:lang w:eastAsia="fr-BE"/>
        </w:rPr>
        <w:t>関連する要求事項又は対応する整合規格、共通仕様若しくはその他の技術</w:t>
      </w:r>
      <w:r w:rsidR="007715CB" w:rsidRPr="00DF5C23">
        <w:rPr>
          <w:noProof/>
          <w:lang w:eastAsia="fr-BE"/>
        </w:rPr>
        <w:t>仕様を満たしていないと</w:t>
      </w:r>
      <w:r w:rsidR="0681B866" w:rsidRPr="00DF5C23">
        <w:rPr>
          <w:noProof/>
          <w:lang w:val="en-IE" w:eastAsia="fr-BE"/>
        </w:rPr>
        <w:t>認める場合、その製造者に対し、欠陥を改善することができない場合を除き、</w:t>
      </w:r>
      <w:r w:rsidR="0681B866" w:rsidRPr="00DF5C23">
        <w:rPr>
          <w:noProof/>
          <w:lang w:val="en-IE" w:eastAsia="fr-BE"/>
        </w:rPr>
        <w:t>2</w:t>
      </w:r>
      <w:r w:rsidR="0681B866" w:rsidRPr="00DF5C23">
        <w:rPr>
          <w:noProof/>
          <w:lang w:val="en-IE" w:eastAsia="fr-BE"/>
        </w:rPr>
        <w:t>回目の最終適合性評価の観点から適切な是正措置をとるよう求めるものとし、この場合、証明又は承認決定を発行しない。</w:t>
      </w:r>
    </w:p>
    <w:p w14:paraId="2B84665A" w14:textId="77777777" w:rsidR="0038775E" w:rsidRDefault="00877B9C" w:rsidP="002041D4">
      <w:pPr>
        <w:pStyle w:val="ManualNumPar1"/>
        <w:wordWrap w:val="0"/>
        <w:rPr>
          <w:noProof/>
          <w:lang w:val="en-IE" w:eastAsia="fr-BE"/>
        </w:rPr>
      </w:pPr>
      <w:r w:rsidRPr="004F5E59">
        <w:rPr>
          <w:lang w:eastAsia="ja-JP"/>
        </w:rPr>
        <w:t>4.</w:t>
      </w:r>
      <w:r w:rsidRPr="004F5E59">
        <w:rPr>
          <w:lang w:eastAsia="ja-JP"/>
        </w:rPr>
        <w:tab/>
      </w:r>
      <w:r w:rsidR="0681B866" w:rsidRPr="00DF5C23">
        <w:rPr>
          <w:noProof/>
          <w:lang w:val="en-IE" w:eastAsia="fr-BE"/>
        </w:rPr>
        <w:t>認証又は承認決定の発行後の適合性の監視の過程で、製品又は製造者が適合していない又は適合しなくなったことを通知機関が発見した場合、製造者に適切な是正措置をとるよう求め、必要に応じて認証又は承認決定を停止又は撤回しなければならない。</w:t>
      </w:r>
    </w:p>
    <w:p w14:paraId="11574524" w14:textId="77777777" w:rsidR="0038775E" w:rsidRDefault="00877B9C" w:rsidP="002041D4">
      <w:pPr>
        <w:pStyle w:val="ManualNumPar1"/>
        <w:wordWrap w:val="0"/>
        <w:rPr>
          <w:noProof/>
          <w:lang w:val="en-IE" w:eastAsia="fr-BE"/>
        </w:rPr>
      </w:pPr>
      <w:r w:rsidRPr="004F5E59">
        <w:rPr>
          <w:lang w:eastAsia="ja-JP"/>
        </w:rPr>
        <w:t>5.</w:t>
      </w:r>
      <w:r w:rsidRPr="004F5E59">
        <w:rPr>
          <w:lang w:eastAsia="ja-JP"/>
        </w:rPr>
        <w:tab/>
      </w:r>
      <w:r w:rsidR="0681B866" w:rsidRPr="00DF5C23">
        <w:rPr>
          <w:noProof/>
          <w:lang w:val="en-IE" w:eastAsia="fr-BE"/>
        </w:rPr>
        <w:t>是正措置が講じられない場合又は要求される効果が得られない場合、通知機関は、適宜、証明書又は承認決定を制限、停止又は撤回するものとする。</w:t>
      </w:r>
    </w:p>
    <w:p w14:paraId="5C0443A1" w14:textId="77777777" w:rsidR="0038775E" w:rsidRDefault="00877B9C" w:rsidP="002041D4">
      <w:pPr>
        <w:pStyle w:val="ManualNumPar1"/>
        <w:wordWrap w:val="0"/>
        <w:rPr>
          <w:noProof/>
          <w:lang w:val="en-IE" w:eastAsia="fr-BE"/>
        </w:rPr>
      </w:pPr>
      <w:r w:rsidRPr="004F5E59">
        <w:rPr>
          <w:lang w:eastAsia="ja-JP"/>
        </w:rPr>
        <w:t>6.</w:t>
      </w:r>
      <w:r w:rsidRPr="004F5E59">
        <w:rPr>
          <w:lang w:eastAsia="ja-JP"/>
        </w:rPr>
        <w:tab/>
      </w:r>
      <w:r w:rsidR="0681B866" w:rsidRPr="00DF5C23">
        <w:rPr>
          <w:noProof/>
          <w:lang w:val="en-IE" w:eastAsia="fr-BE"/>
        </w:rPr>
        <w:t>不適合の可能性に鑑み、認証または承認の決定を一時停止または撤回する必要性を決定する場合を含め、適合性評価の決定を行う場合、通知機関は、明確かつ事前に決定された基準を適用するものとする。</w:t>
      </w:r>
    </w:p>
    <w:p w14:paraId="2AA35141" w14:textId="77777777" w:rsidR="0038775E" w:rsidRDefault="00877B9C" w:rsidP="002041D4">
      <w:pPr>
        <w:pStyle w:val="ManualNumPar1"/>
        <w:wordWrap w:val="0"/>
        <w:rPr>
          <w:noProof/>
          <w:lang w:val="en-IE" w:eastAsia="fr-BE"/>
        </w:rPr>
      </w:pPr>
      <w:r w:rsidRPr="004F5E59">
        <w:rPr>
          <w:lang w:eastAsia="ja-JP"/>
        </w:rPr>
        <w:t>7.</w:t>
      </w:r>
      <w:r w:rsidRPr="004F5E59">
        <w:rPr>
          <w:lang w:eastAsia="ja-JP"/>
        </w:rPr>
        <w:tab/>
      </w:r>
      <w:r w:rsidR="0681B866" w:rsidRPr="00DF5C23">
        <w:rPr>
          <w:noProof/>
          <w:lang w:val="en-IE" w:eastAsia="fr-BE"/>
        </w:rPr>
        <w:t>届出機関は、異なる適合性評価業務を遂行する要員の</w:t>
      </w:r>
      <w:r w:rsidR="007715CB" w:rsidRPr="00DF5C23">
        <w:rPr>
          <w:noProof/>
          <w:lang w:val="en-IE" w:eastAsia="fr-BE"/>
        </w:rPr>
        <w:t>交代を</w:t>
      </w:r>
      <w:r w:rsidR="0681B866" w:rsidRPr="00DF5C23">
        <w:rPr>
          <w:noProof/>
          <w:lang w:val="en-IE" w:eastAsia="fr-BE"/>
        </w:rPr>
        <w:t>確保するものとする。</w:t>
      </w:r>
    </w:p>
    <w:p w14:paraId="5670F551" w14:textId="77777777" w:rsidR="0038775E" w:rsidRDefault="00565D97" w:rsidP="002041D4">
      <w:pPr>
        <w:pStyle w:val="Titrearticle"/>
        <w:wordWrap w:val="0"/>
        <w:rPr>
          <w:noProof/>
          <w:lang w:eastAsia="fr-BE"/>
        </w:rPr>
      </w:pPr>
      <w:r w:rsidRPr="00DF5C23">
        <w:rPr>
          <w:noProof/>
          <w:lang w:eastAsia="fr-BE"/>
        </w:rPr>
        <w:t>第</w:t>
      </w:r>
      <w:r w:rsidRPr="00DF5C23">
        <w:rPr>
          <w:noProof/>
          <w:lang w:eastAsia="fr-BE"/>
        </w:rPr>
        <w:t>54</w:t>
      </w:r>
      <w:r w:rsidR="00877B9C" w:rsidRPr="00DF5C23">
        <w:rPr>
          <w:noProof/>
          <w:lang w:eastAsia="fr-BE"/>
        </w:rPr>
        <w:t>条</w:t>
      </w:r>
      <w:r w:rsidR="007A4166" w:rsidRPr="00DF5C23">
        <w:rPr>
          <w:noProof/>
          <w:lang w:eastAsia="ja-JP"/>
        </w:rPr>
        <w:br/>
      </w:r>
      <w:r w:rsidR="00877B9C" w:rsidRPr="00DF5C23">
        <w:rPr>
          <w:noProof/>
          <w:lang w:eastAsia="fr-BE"/>
        </w:rPr>
        <w:t>届出団体への情報提供義務</w:t>
      </w:r>
    </w:p>
    <w:p w14:paraId="468001F0" w14:textId="77777777" w:rsidR="0038775E" w:rsidRDefault="00877B9C" w:rsidP="002041D4">
      <w:pPr>
        <w:pStyle w:val="ManualNumPar1"/>
        <w:wordWrap w:val="0"/>
        <w:rPr>
          <w:noProof/>
          <w:lang w:val="en-IE" w:eastAsia="fr-BE"/>
        </w:rPr>
      </w:pPr>
      <w:r w:rsidRPr="004F5E59">
        <w:rPr>
          <w:lang w:eastAsia="ja-JP"/>
        </w:rPr>
        <w:t>1.</w:t>
      </w:r>
      <w:r w:rsidRPr="004F5E59">
        <w:rPr>
          <w:lang w:eastAsia="ja-JP"/>
        </w:rPr>
        <w:tab/>
      </w:r>
      <w:r w:rsidR="0681B866" w:rsidRPr="00DF5C23">
        <w:rPr>
          <w:noProof/>
          <w:lang w:val="en-IE" w:eastAsia="fr-BE"/>
        </w:rPr>
        <w:t>通知機関は、以下の事項を通知機関に通知するものとする：</w:t>
      </w:r>
    </w:p>
    <w:p w14:paraId="37D7220A" w14:textId="77777777" w:rsidR="0038775E" w:rsidRDefault="00877B9C" w:rsidP="002041D4">
      <w:pPr>
        <w:pStyle w:val="Point1"/>
        <w:wordWrap w:val="0"/>
        <w:rPr>
          <w:noProof/>
          <w:lang w:val="en-IE" w:eastAsia="fr-BE"/>
        </w:rPr>
      </w:pPr>
      <w:r w:rsidRPr="004F5E59">
        <w:rPr>
          <w:lang w:eastAsia="ja-JP"/>
        </w:rPr>
        <w:t>(a)</w:t>
      </w:r>
      <w:r w:rsidRPr="004F5E59">
        <w:rPr>
          <w:lang w:eastAsia="ja-JP"/>
        </w:rPr>
        <w:tab/>
      </w:r>
      <w:r w:rsidR="0681B866" w:rsidRPr="00DF5C23">
        <w:rPr>
          <w:noProof/>
          <w:lang w:val="en-IE" w:eastAsia="fr-BE"/>
        </w:rPr>
        <w:t>証明書の拒否、制限、停止または撤回を行うこと；</w:t>
      </w:r>
    </w:p>
    <w:p w14:paraId="5341A8E8" w14:textId="77777777" w:rsidR="0038775E" w:rsidRDefault="00877B9C" w:rsidP="002041D4">
      <w:pPr>
        <w:pStyle w:val="Point1"/>
        <w:wordWrap w:val="0"/>
        <w:rPr>
          <w:noProof/>
          <w:lang w:val="en-IE" w:eastAsia="fr-BE"/>
        </w:rPr>
      </w:pPr>
      <w:r w:rsidRPr="004F5E59">
        <w:rPr>
          <w:lang w:eastAsia="ja-JP"/>
        </w:rPr>
        <w:t>(b)</w:t>
      </w:r>
      <w:r w:rsidRPr="004F5E59">
        <w:rPr>
          <w:lang w:eastAsia="ja-JP"/>
        </w:rPr>
        <w:tab/>
      </w:r>
      <w:r w:rsidR="0681B866" w:rsidRPr="00DF5C23">
        <w:rPr>
          <w:noProof/>
          <w:lang w:val="en-IE" w:eastAsia="fr-BE"/>
        </w:rPr>
        <w:t>通知の範囲および条件に影響を及ぼすあらゆる事情；</w:t>
      </w:r>
    </w:p>
    <w:p w14:paraId="18F9ACDE" w14:textId="77777777" w:rsidR="0038775E" w:rsidRDefault="00877B9C" w:rsidP="002041D4">
      <w:pPr>
        <w:pStyle w:val="Point1"/>
        <w:wordWrap w:val="0"/>
        <w:rPr>
          <w:noProof/>
          <w:lang w:val="en-IE" w:eastAsia="fr-BE"/>
        </w:rPr>
      </w:pPr>
      <w:r w:rsidRPr="004F5E59">
        <w:rPr>
          <w:lang w:eastAsia="ja-JP"/>
        </w:rPr>
        <w:t>(c)</w:t>
      </w:r>
      <w:r w:rsidRPr="004F5E59">
        <w:rPr>
          <w:lang w:eastAsia="ja-JP"/>
        </w:rPr>
        <w:tab/>
      </w:r>
      <w:r w:rsidR="0681B866" w:rsidRPr="00DF5C23">
        <w:rPr>
          <w:noProof/>
          <w:lang w:val="en-IE" w:eastAsia="fr-BE"/>
        </w:rPr>
        <w:t>適合性評価活動に関して市場監視当局から受けた情報提供の要請；</w:t>
      </w:r>
    </w:p>
    <w:p w14:paraId="3D69794B" w14:textId="77777777" w:rsidR="0038775E" w:rsidRDefault="00877B9C" w:rsidP="002041D4">
      <w:pPr>
        <w:pStyle w:val="Point1"/>
        <w:wordWrap w:val="0"/>
        <w:rPr>
          <w:noProof/>
          <w:lang w:val="en-IE" w:eastAsia="fr-BE"/>
        </w:rPr>
      </w:pPr>
      <w:r w:rsidRPr="004F5E59">
        <w:rPr>
          <w:lang w:eastAsia="ja-JP"/>
        </w:rPr>
        <w:t>(d)</w:t>
      </w:r>
      <w:r w:rsidRPr="004F5E59">
        <w:rPr>
          <w:lang w:eastAsia="ja-JP"/>
        </w:rPr>
        <w:tab/>
      </w:r>
      <w:r w:rsidR="0681B866" w:rsidRPr="00DF5C23">
        <w:rPr>
          <w:noProof/>
          <w:lang w:val="en-IE" w:eastAsia="fr-BE"/>
        </w:rPr>
        <w:t>は、要求に応じて、その通知の範囲内で行われた適合性評価活動、および国境を越えた活動や下請けを含めて行われたその他の活動。</w:t>
      </w:r>
    </w:p>
    <w:p w14:paraId="125F1860" w14:textId="77777777" w:rsidR="0038775E" w:rsidRDefault="00877B9C" w:rsidP="002041D4">
      <w:pPr>
        <w:pStyle w:val="ManualNumPar1"/>
        <w:wordWrap w:val="0"/>
        <w:rPr>
          <w:noProof/>
          <w:lang w:val="en-IE" w:eastAsia="fr-BE"/>
        </w:rPr>
      </w:pPr>
      <w:r w:rsidRPr="004F5E59">
        <w:rPr>
          <w:lang w:eastAsia="ja-JP"/>
        </w:rPr>
        <w:t>2.</w:t>
      </w:r>
      <w:r w:rsidRPr="004F5E59">
        <w:rPr>
          <w:lang w:eastAsia="ja-JP"/>
        </w:rPr>
        <w:tab/>
      </w:r>
      <w:r w:rsidR="0681B866" w:rsidRPr="00DF5C23">
        <w:rPr>
          <w:noProof/>
          <w:lang w:val="en-IE" w:eastAsia="fr-BE"/>
        </w:rPr>
        <w:t>届出機関は、本規則に基づき届出された</w:t>
      </w:r>
      <w:r w:rsidR="00DA5755" w:rsidRPr="00DF5C23">
        <w:rPr>
          <w:noProof/>
          <w:lang w:eastAsia="fr-BE"/>
        </w:rPr>
        <w:t>、</w:t>
      </w:r>
      <w:r w:rsidR="0681B866" w:rsidRPr="00DF5C23">
        <w:rPr>
          <w:noProof/>
          <w:lang w:val="en-IE" w:eastAsia="fr-BE"/>
        </w:rPr>
        <w:t>同一の製品を</w:t>
      </w:r>
      <w:r w:rsidR="0681B866" w:rsidRPr="00DF5C23">
        <w:rPr>
          <w:noProof/>
          <w:lang w:eastAsia="fr-BE"/>
        </w:rPr>
        <w:t>対象と</w:t>
      </w:r>
      <w:r w:rsidR="00DA5755" w:rsidRPr="00DF5C23">
        <w:rPr>
          <w:noProof/>
          <w:lang w:eastAsia="fr-BE"/>
        </w:rPr>
        <w:t>する</w:t>
      </w:r>
      <w:r w:rsidR="0681B866" w:rsidRPr="00DF5C23">
        <w:rPr>
          <w:noProof/>
          <w:lang w:val="en-IE" w:eastAsia="fr-BE"/>
        </w:rPr>
        <w:t>類似の適合性評価活動を</w:t>
      </w:r>
      <w:r w:rsidR="0681B866" w:rsidRPr="00DF5C23">
        <w:rPr>
          <w:noProof/>
          <w:lang w:eastAsia="fr-BE"/>
        </w:rPr>
        <w:t>行う</w:t>
      </w:r>
      <w:r w:rsidR="0681B866" w:rsidRPr="00DF5C23">
        <w:rPr>
          <w:noProof/>
          <w:lang w:val="en-IE" w:eastAsia="fr-BE"/>
        </w:rPr>
        <w:t>他の機関に対し、否定的な適合性評価結果及び要求に応じて肯定的な適合性評価結果に関連する問題についての関連情報を提供するものとする。</w:t>
      </w:r>
    </w:p>
    <w:p w14:paraId="6536E474" w14:textId="77777777" w:rsidR="0038775E" w:rsidRDefault="00877B9C" w:rsidP="002041D4">
      <w:pPr>
        <w:pStyle w:val="ManualNumPar1"/>
        <w:wordWrap w:val="0"/>
        <w:rPr>
          <w:noProof/>
          <w:lang w:val="en-IE" w:eastAsia="fr-BE"/>
        </w:rPr>
      </w:pPr>
      <w:r w:rsidRPr="004F5E59">
        <w:rPr>
          <w:lang w:eastAsia="ja-JP"/>
        </w:rPr>
        <w:t>3.</w:t>
      </w:r>
      <w:r w:rsidRPr="004F5E59">
        <w:rPr>
          <w:lang w:eastAsia="ja-JP"/>
        </w:rPr>
        <w:tab/>
      </w:r>
      <w:r w:rsidR="0681B866" w:rsidRPr="00DF5C23">
        <w:rPr>
          <w:noProof/>
          <w:lang w:val="en-IE" w:eastAsia="fr-BE"/>
        </w:rPr>
        <w:t>欧州委員会又は</w:t>
      </w:r>
      <w:r w:rsidR="00DA5755" w:rsidRPr="00DF5C23">
        <w:rPr>
          <w:noProof/>
          <w:lang w:eastAsia="fr-BE"/>
        </w:rPr>
        <w:t>加盟国の</w:t>
      </w:r>
      <w:r w:rsidR="0681B866" w:rsidRPr="00DF5C23">
        <w:rPr>
          <w:noProof/>
          <w:lang w:eastAsia="fr-BE"/>
        </w:rPr>
        <w:t>市場監視機関が、</w:t>
      </w:r>
      <w:r w:rsidR="0681B866" w:rsidRPr="00DF5C23">
        <w:rPr>
          <w:noProof/>
          <w:lang w:val="en-IE" w:eastAsia="fr-BE"/>
        </w:rPr>
        <w:t>他の加盟国の領域内に設立された届出機関に対し、当該届出機関が実施した適合性評価に関する要請を提出する場合、当該要請の写しを当該他の加盟国の届出機関に送付するものとする。当該届出機関は、当該要請に対し、遅滞なく、遅くとも</w:t>
      </w:r>
      <w:r w:rsidR="0681B866" w:rsidRPr="00DF5C23">
        <w:rPr>
          <w:noProof/>
          <w:lang w:val="en-IE" w:eastAsia="fr-BE"/>
        </w:rPr>
        <w:t>15</w:t>
      </w:r>
      <w:r w:rsidR="0681B866" w:rsidRPr="00DF5C23">
        <w:rPr>
          <w:noProof/>
          <w:lang w:val="en-IE" w:eastAsia="fr-BE"/>
        </w:rPr>
        <w:t>日以内に回答しな</w:t>
      </w:r>
      <w:r w:rsidR="0681B866" w:rsidRPr="00DF5C23">
        <w:rPr>
          <w:noProof/>
          <w:lang w:val="en-IE" w:eastAsia="fr-BE"/>
        </w:rPr>
        <w:lastRenderedPageBreak/>
        <w:t>ければならない。通知機関は、そうしない正当な理由がない限り、当該要求が通知機関によって解決されることを確保しなければならない。</w:t>
      </w:r>
    </w:p>
    <w:p w14:paraId="05E71E38" w14:textId="77777777" w:rsidR="0038775E" w:rsidRDefault="00877B9C" w:rsidP="002041D4">
      <w:pPr>
        <w:pStyle w:val="ManualNumPar1"/>
        <w:wordWrap w:val="0"/>
        <w:rPr>
          <w:noProof/>
          <w:lang w:val="en-IE" w:eastAsia="fr-BE"/>
        </w:rPr>
      </w:pPr>
      <w:r w:rsidRPr="004F5E59">
        <w:rPr>
          <w:lang w:eastAsia="ja-JP"/>
        </w:rPr>
        <w:t>4.</w:t>
      </w:r>
      <w:r w:rsidRPr="004F5E59">
        <w:rPr>
          <w:lang w:eastAsia="ja-JP"/>
        </w:rPr>
        <w:tab/>
      </w:r>
      <w:r w:rsidR="0681B866" w:rsidRPr="00DF5C23">
        <w:rPr>
          <w:noProof/>
          <w:lang w:val="en-IE" w:eastAsia="fr-BE"/>
        </w:rPr>
        <w:t>通知された機関が、以下の証拠を有するか、または受け取る場合：</w:t>
      </w:r>
      <w:r w:rsidR="0681B866" w:rsidRPr="00DF5C23">
        <w:rPr>
          <w:noProof/>
          <w:lang w:val="en-IE" w:eastAsia="fr-BE"/>
        </w:rPr>
        <w:t xml:space="preserve"> </w:t>
      </w:r>
    </w:p>
    <w:p w14:paraId="0E7F0949" w14:textId="77777777" w:rsidR="0038775E" w:rsidRDefault="00877B9C" w:rsidP="002041D4">
      <w:pPr>
        <w:pStyle w:val="Point1"/>
        <w:wordWrap w:val="0"/>
        <w:rPr>
          <w:noProof/>
          <w:color w:val="000000" w:themeColor="text1"/>
          <w:lang w:val="en-IE" w:eastAsia="ja-JP"/>
        </w:rPr>
      </w:pPr>
      <w:r w:rsidRPr="004F5E59">
        <w:rPr>
          <w:lang w:eastAsia="ja-JP"/>
        </w:rPr>
        <w:t>(a)</w:t>
      </w:r>
      <w:r w:rsidRPr="004F5E59">
        <w:rPr>
          <w:lang w:eastAsia="ja-JP"/>
        </w:rPr>
        <w:tab/>
      </w:r>
      <w:r w:rsidR="00646885" w:rsidRPr="00DF5C23">
        <w:rPr>
          <w:noProof/>
          <w:lang w:val="en-IE" w:eastAsia="ja-JP"/>
        </w:rPr>
        <w:t>他の届出機関が</w:t>
      </w:r>
      <w:r w:rsidR="00E97C3A" w:rsidRPr="00DF5C23">
        <w:rPr>
          <w:noProof/>
          <w:lang w:val="en-IE" w:eastAsia="ja-JP"/>
        </w:rPr>
        <w:t>第</w:t>
      </w:r>
      <w:r w:rsidR="00E97C3A" w:rsidRPr="00DF5C23">
        <w:rPr>
          <w:noProof/>
          <w:lang w:val="en-IE" w:eastAsia="ja-JP"/>
        </w:rPr>
        <w:t>45</w:t>
      </w:r>
      <w:r w:rsidR="00E97C3A" w:rsidRPr="00DF5C23">
        <w:rPr>
          <w:noProof/>
          <w:lang w:val="en-IE" w:eastAsia="ja-JP"/>
        </w:rPr>
        <w:t>条に</w:t>
      </w:r>
      <w:r w:rsidR="00646885" w:rsidRPr="00DF5C23">
        <w:rPr>
          <w:noProof/>
          <w:lang w:val="en-IE" w:eastAsia="ja-JP"/>
        </w:rPr>
        <w:t>定める要件又はその義務を遵守していない場合。</w:t>
      </w:r>
    </w:p>
    <w:p w14:paraId="3A93FF2D" w14:textId="77777777" w:rsidR="0038775E" w:rsidRDefault="00877B9C" w:rsidP="002041D4">
      <w:pPr>
        <w:pStyle w:val="Point1"/>
        <w:wordWrap w:val="0"/>
        <w:rPr>
          <w:noProof/>
          <w:lang w:val="en-IE" w:eastAsia="ja-JP"/>
        </w:rPr>
      </w:pPr>
      <w:r w:rsidRPr="004F5E59">
        <w:rPr>
          <w:lang w:eastAsia="ja-JP"/>
        </w:rPr>
        <w:t>(b)</w:t>
      </w:r>
      <w:r w:rsidRPr="004F5E59">
        <w:rPr>
          <w:lang w:eastAsia="ja-JP"/>
        </w:rPr>
        <w:tab/>
      </w:r>
      <w:r w:rsidR="0681B866" w:rsidRPr="00DF5C23">
        <w:rPr>
          <w:noProof/>
          <w:lang w:val="en-IE" w:eastAsia="ja-JP"/>
        </w:rPr>
        <w:t>上市された製品が、</w:t>
      </w:r>
      <w:r w:rsidR="00850318" w:rsidRPr="00DF5C23">
        <w:rPr>
          <w:noProof/>
          <w:lang w:val="en-IE" w:eastAsia="fr-BE"/>
        </w:rPr>
        <w:t>第</w:t>
      </w:r>
      <w:r w:rsidR="00850318" w:rsidRPr="00DF5C23">
        <w:rPr>
          <w:noProof/>
          <w:lang w:val="en-IE" w:eastAsia="fr-BE"/>
        </w:rPr>
        <w:t>4</w:t>
      </w:r>
      <w:r w:rsidR="00850318" w:rsidRPr="00DF5C23">
        <w:rPr>
          <w:noProof/>
          <w:lang w:val="en-IE" w:eastAsia="fr-BE"/>
        </w:rPr>
        <w:t>条に従って採択された、</w:t>
      </w:r>
      <w:r w:rsidR="00185F84" w:rsidRPr="00DF5C23">
        <w:rPr>
          <w:noProof/>
          <w:lang w:val="en-IE" w:eastAsia="fr-BE"/>
        </w:rPr>
        <w:t>当該製品が</w:t>
      </w:r>
      <w:r w:rsidR="00850318" w:rsidRPr="00DF5C23">
        <w:rPr>
          <w:noProof/>
          <w:lang w:val="en-IE" w:eastAsia="fr-BE"/>
        </w:rPr>
        <w:t>対象となる</w:t>
      </w:r>
      <w:r w:rsidR="0681B866" w:rsidRPr="00DF5C23">
        <w:rPr>
          <w:noProof/>
          <w:lang w:val="en-IE" w:eastAsia="fr-BE"/>
        </w:rPr>
        <w:t>委任行為に</w:t>
      </w:r>
      <w:r w:rsidR="00850318" w:rsidRPr="00DF5C23">
        <w:rPr>
          <w:noProof/>
          <w:lang w:val="en-IE" w:eastAsia="ja-JP"/>
        </w:rPr>
        <w:t>定められたエコデザイン要件に</w:t>
      </w:r>
      <w:r w:rsidR="0681B866" w:rsidRPr="00DF5C23">
        <w:rPr>
          <w:noProof/>
          <w:lang w:val="en-IE" w:eastAsia="ja-JP"/>
        </w:rPr>
        <w:t>適合していない場合。</w:t>
      </w:r>
    </w:p>
    <w:p w14:paraId="5AB12A07" w14:textId="77777777" w:rsidR="0038775E" w:rsidRDefault="00877B9C" w:rsidP="002041D4">
      <w:pPr>
        <w:pStyle w:val="Point1"/>
        <w:wordWrap w:val="0"/>
        <w:rPr>
          <w:noProof/>
          <w:lang w:val="en-IE" w:eastAsia="ja-JP"/>
        </w:rPr>
      </w:pPr>
      <w:r w:rsidRPr="004F5E59">
        <w:rPr>
          <w:lang w:eastAsia="ja-JP"/>
        </w:rPr>
        <w:t>(c)</w:t>
      </w:r>
      <w:r w:rsidRPr="004F5E59">
        <w:rPr>
          <w:lang w:eastAsia="ja-JP"/>
        </w:rPr>
        <w:tab/>
      </w:r>
      <w:r w:rsidR="0681B866" w:rsidRPr="00DF5C23">
        <w:rPr>
          <w:noProof/>
          <w:lang w:val="en-IE" w:eastAsia="ja-JP"/>
        </w:rPr>
        <w:t>発売された製品が、その物理的な状態により、重大なリスクを引き起こす可能性がある場合；</w:t>
      </w:r>
    </w:p>
    <w:p w14:paraId="59A62FB9" w14:textId="77777777" w:rsidR="0038775E" w:rsidRDefault="00877B9C" w:rsidP="002041D4">
      <w:pPr>
        <w:pStyle w:val="Text1"/>
        <w:wordWrap w:val="0"/>
        <w:rPr>
          <w:noProof/>
          <w:color w:val="00000A"/>
          <w:lang w:val="en-IE" w:eastAsia="ja-JP"/>
        </w:rPr>
      </w:pPr>
      <w:r w:rsidRPr="00DF5C23">
        <w:rPr>
          <w:noProof/>
          <w:lang w:val="en-IE" w:eastAsia="ja-JP"/>
        </w:rPr>
        <w:t>彼らは、適切な場合、当該証拠を関連する市場監視機関または通知機関に警告し、共有するものとする。</w:t>
      </w:r>
      <w:r w:rsidRPr="00DF5C23">
        <w:rPr>
          <w:noProof/>
          <w:lang w:val="en-IE" w:eastAsia="ja-JP"/>
        </w:rPr>
        <w:t xml:space="preserve"> </w:t>
      </w:r>
    </w:p>
    <w:p w14:paraId="5781BC99" w14:textId="77777777" w:rsidR="0038775E" w:rsidRDefault="00565D97" w:rsidP="002041D4">
      <w:pPr>
        <w:pStyle w:val="Titrearticle"/>
        <w:wordWrap w:val="0"/>
        <w:rPr>
          <w:noProof/>
          <w:lang w:val="en-IE" w:eastAsia="fr-BE"/>
        </w:rPr>
      </w:pPr>
      <w:r w:rsidRPr="00DF5C23">
        <w:rPr>
          <w:noProof/>
          <w:lang w:val="en-IE" w:eastAsia="fr-BE"/>
        </w:rPr>
        <w:t>第</w:t>
      </w:r>
      <w:r w:rsidRPr="00DF5C23">
        <w:rPr>
          <w:noProof/>
          <w:lang w:val="en-IE" w:eastAsia="fr-BE"/>
        </w:rPr>
        <w:t>55</w:t>
      </w:r>
      <w:r w:rsidR="00877B9C" w:rsidRPr="00DF5C23">
        <w:rPr>
          <w:noProof/>
          <w:lang w:val="en-IE" w:eastAsia="fr-BE"/>
        </w:rPr>
        <w:t>条</w:t>
      </w:r>
      <w:r w:rsidR="007A4166" w:rsidRPr="00DF5C23">
        <w:rPr>
          <w:noProof/>
          <w:lang w:eastAsia="ja-JP"/>
        </w:rPr>
        <w:br/>
      </w:r>
      <w:r w:rsidR="00877B9C" w:rsidRPr="00DF5C23">
        <w:rPr>
          <w:noProof/>
          <w:lang w:val="en-IE" w:eastAsia="fr-BE"/>
        </w:rPr>
        <w:t>経験交流</w:t>
      </w:r>
    </w:p>
    <w:p w14:paraId="272D251B" w14:textId="77777777" w:rsidR="0038775E" w:rsidRDefault="00877B9C" w:rsidP="002041D4">
      <w:pPr>
        <w:shd w:val="clear" w:color="auto" w:fill="FFFFFF" w:themeFill="background1"/>
        <w:wordWrap w:val="0"/>
        <w:spacing w:after="0" w:line="312" w:lineRule="atLeast"/>
        <w:rPr>
          <w:rFonts w:eastAsia="Times New Roman"/>
          <w:noProof/>
          <w:lang w:val="en-IE" w:eastAsia="fr-BE"/>
        </w:rPr>
      </w:pPr>
      <w:r w:rsidRPr="23DF1179">
        <w:rPr>
          <w:rFonts w:eastAsia="Times New Roman"/>
          <w:noProof/>
          <w:lang w:val="en-IE" w:eastAsia="fr-BE"/>
        </w:rPr>
        <w:t>欧州委員会は、通知政策を担当する加盟国の当局間の経験交流の組織化について定めるものとする。</w:t>
      </w:r>
    </w:p>
    <w:p w14:paraId="09F54964" w14:textId="77777777" w:rsidR="0038775E" w:rsidRDefault="00565D97" w:rsidP="002041D4">
      <w:pPr>
        <w:pStyle w:val="Titrearticle"/>
        <w:wordWrap w:val="0"/>
        <w:rPr>
          <w:noProof/>
          <w:lang w:val="en-IE" w:eastAsia="fr-BE"/>
        </w:rPr>
      </w:pPr>
      <w:r w:rsidRPr="00DF5C23">
        <w:rPr>
          <w:noProof/>
          <w:lang w:val="en-IE" w:eastAsia="fr-BE"/>
        </w:rPr>
        <w:t>第五十六条</w:t>
      </w:r>
      <w:r w:rsidR="007A4166" w:rsidRPr="00DF5C23">
        <w:rPr>
          <w:noProof/>
          <w:lang w:eastAsia="ja-JP"/>
        </w:rPr>
        <w:br/>
      </w:r>
      <w:r w:rsidR="00877B9C" w:rsidRPr="00DF5C23">
        <w:rPr>
          <w:noProof/>
          <w:lang w:val="en-IE" w:eastAsia="fr-BE"/>
        </w:rPr>
        <w:t>ノーティファイドボディの調整</w:t>
      </w:r>
    </w:p>
    <w:p w14:paraId="220D26DF" w14:textId="77777777" w:rsidR="0038775E" w:rsidRDefault="00877B9C" w:rsidP="002041D4">
      <w:pPr>
        <w:pStyle w:val="ManualNumPar1"/>
        <w:wordWrap w:val="0"/>
        <w:rPr>
          <w:noProof/>
          <w:lang w:val="en-IE" w:eastAsia="fr-BE"/>
        </w:rPr>
      </w:pPr>
      <w:r w:rsidRPr="004F5E59">
        <w:rPr>
          <w:lang w:eastAsia="ja-JP"/>
        </w:rPr>
        <w:t>1.</w:t>
      </w:r>
      <w:r w:rsidRPr="004F5E59">
        <w:rPr>
          <w:lang w:eastAsia="ja-JP"/>
        </w:rPr>
        <w:tab/>
      </w:r>
      <w:r w:rsidR="0681B866" w:rsidRPr="00DF5C23">
        <w:rPr>
          <w:noProof/>
          <w:lang w:val="en-IE" w:eastAsia="fr-BE"/>
        </w:rPr>
        <w:t>欧州委員会は、本規則に基づき届出された機関間の適切な調整及び協力が、グループ又は届出機関のグループという形で行われ、適切に運用されることを確保するものとし、必要に応じて、</w:t>
      </w:r>
      <w:r w:rsidR="00850318" w:rsidRPr="00DF5C23">
        <w:rPr>
          <w:noProof/>
          <w:lang w:val="en-IE" w:eastAsia="ja-JP"/>
        </w:rPr>
        <w:t>第</w:t>
      </w:r>
      <w:r w:rsidR="00850318" w:rsidRPr="00DF5C23">
        <w:rPr>
          <w:noProof/>
          <w:lang w:val="en-IE" w:eastAsia="ja-JP"/>
        </w:rPr>
        <w:t>4</w:t>
      </w:r>
      <w:r w:rsidR="00850318" w:rsidRPr="00DF5C23">
        <w:rPr>
          <w:noProof/>
          <w:lang w:val="en-IE" w:eastAsia="ja-JP"/>
        </w:rPr>
        <w:t>条に従って採択された</w:t>
      </w:r>
      <w:r w:rsidR="0681B866" w:rsidRPr="00DF5C23">
        <w:rPr>
          <w:noProof/>
          <w:lang w:val="en-IE" w:eastAsia="fr-BE"/>
        </w:rPr>
        <w:t>同一の</w:t>
      </w:r>
      <w:r w:rsidR="0681B866" w:rsidRPr="00DF5C23">
        <w:rPr>
          <w:noProof/>
          <w:lang w:val="en-IE" w:eastAsia="ja-JP"/>
        </w:rPr>
        <w:t>委任法の</w:t>
      </w:r>
      <w:r w:rsidR="0681B866" w:rsidRPr="00DF5C23">
        <w:rPr>
          <w:noProof/>
          <w:lang w:val="en-IE" w:eastAsia="fr-BE"/>
        </w:rPr>
        <w:t>下で届出された機関又は同様の適合性評価業務に関連する機関のグループを含む。</w:t>
      </w:r>
    </w:p>
    <w:p w14:paraId="6D98EC8F" w14:textId="77777777" w:rsidR="0038775E" w:rsidRDefault="00877B9C" w:rsidP="002041D4">
      <w:pPr>
        <w:pStyle w:val="Text1"/>
        <w:wordWrap w:val="0"/>
        <w:rPr>
          <w:noProof/>
          <w:lang w:val="en-IE" w:eastAsia="fr-BE"/>
        </w:rPr>
      </w:pPr>
      <w:r w:rsidRPr="00DF5C23">
        <w:rPr>
          <w:noProof/>
          <w:lang w:val="en-IE" w:eastAsia="fr-BE"/>
        </w:rPr>
        <w:t>届出機関は，直接又は指定された代表者により，関連するグループの作業に参加しなければならない。</w:t>
      </w:r>
      <w:r w:rsidRPr="00DF5C23">
        <w:rPr>
          <w:noProof/>
          <w:lang w:val="en-IE" w:eastAsia="fr-BE"/>
        </w:rPr>
        <w:t xml:space="preserve"> </w:t>
      </w:r>
    </w:p>
    <w:p w14:paraId="1EB828F4" w14:textId="77777777" w:rsidR="0038775E" w:rsidRDefault="00877B9C" w:rsidP="002041D4">
      <w:pPr>
        <w:pStyle w:val="ManualNumPar1"/>
        <w:wordWrap w:val="0"/>
        <w:rPr>
          <w:noProof/>
          <w:lang w:val="en-IE" w:eastAsia="fr-BE"/>
        </w:rPr>
      </w:pPr>
      <w:r w:rsidRPr="004F5E59">
        <w:rPr>
          <w:lang w:eastAsia="ja-JP"/>
        </w:rPr>
        <w:t>2.</w:t>
      </w:r>
      <w:r w:rsidRPr="004F5E59">
        <w:rPr>
          <w:lang w:eastAsia="ja-JP"/>
        </w:rPr>
        <w:tab/>
      </w:r>
      <w:r w:rsidR="0681B866" w:rsidRPr="00DF5C23">
        <w:rPr>
          <w:noProof/>
          <w:lang w:val="en-IE" w:eastAsia="fr-BE"/>
        </w:rPr>
        <w:t>届出機関は、第</w:t>
      </w:r>
      <w:r w:rsidR="0681B866" w:rsidRPr="00DF5C23">
        <w:rPr>
          <w:noProof/>
          <w:lang w:val="en-IE" w:eastAsia="fr-BE"/>
        </w:rPr>
        <w:t>1</w:t>
      </w:r>
      <w:r w:rsidR="0681B866" w:rsidRPr="00DF5C23">
        <w:rPr>
          <w:noProof/>
          <w:lang w:val="en-IE" w:eastAsia="fr-BE"/>
        </w:rPr>
        <w:t>項のグループの作業の結果として作成された関連文書を一般的なガイダンスとして適用するものとする。</w:t>
      </w:r>
      <w:r w:rsidR="0681B866" w:rsidRPr="00DF5C23">
        <w:rPr>
          <w:noProof/>
          <w:lang w:val="en-IE" w:eastAsia="fr-BE"/>
        </w:rPr>
        <w:t xml:space="preserve"> </w:t>
      </w:r>
    </w:p>
    <w:p w14:paraId="1A07EDFD" w14:textId="77777777" w:rsidR="0038775E" w:rsidRDefault="00877B9C" w:rsidP="002041D4">
      <w:pPr>
        <w:pStyle w:val="ManualNumPar1"/>
        <w:wordWrap w:val="0"/>
        <w:rPr>
          <w:noProof/>
          <w:lang w:val="en-IE" w:eastAsia="fr-BE"/>
        </w:rPr>
      </w:pPr>
      <w:r w:rsidRPr="004F5E59">
        <w:rPr>
          <w:lang w:eastAsia="ja-JP"/>
        </w:rPr>
        <w:t>3.</w:t>
      </w:r>
      <w:r w:rsidRPr="004F5E59">
        <w:rPr>
          <w:lang w:eastAsia="ja-JP"/>
        </w:rPr>
        <w:tab/>
      </w:r>
      <w:r w:rsidR="0681B866" w:rsidRPr="00DF5C23">
        <w:rPr>
          <w:noProof/>
          <w:lang w:val="en-IE" w:eastAsia="fr-BE"/>
        </w:rPr>
        <w:t>第</w:t>
      </w:r>
      <w:r w:rsidR="0681B866" w:rsidRPr="00DF5C23">
        <w:rPr>
          <w:noProof/>
          <w:lang w:val="en-IE" w:eastAsia="fr-BE"/>
        </w:rPr>
        <w:t>1</w:t>
      </w:r>
      <w:r w:rsidR="0681B866" w:rsidRPr="00DF5C23">
        <w:rPr>
          <w:noProof/>
          <w:lang w:val="en-IE" w:eastAsia="fr-BE"/>
        </w:rPr>
        <w:t>項にいうグループにおける調整及び協力は、本規則及び</w:t>
      </w:r>
      <w:r w:rsidR="00850318" w:rsidRPr="00DF5C23">
        <w:rPr>
          <w:noProof/>
          <w:lang w:val="en-IE" w:eastAsia="fr-BE"/>
        </w:rPr>
        <w:t>第</w:t>
      </w:r>
      <w:r w:rsidR="00850318" w:rsidRPr="00DF5C23">
        <w:rPr>
          <w:noProof/>
          <w:lang w:val="en-IE" w:eastAsia="fr-BE"/>
        </w:rPr>
        <w:t>4</w:t>
      </w:r>
      <w:r w:rsidR="00850318" w:rsidRPr="00DF5C23">
        <w:rPr>
          <w:noProof/>
          <w:lang w:val="en-IE" w:eastAsia="fr-BE"/>
        </w:rPr>
        <w:t>条に従って採択された</w:t>
      </w:r>
      <w:r w:rsidR="0681B866" w:rsidRPr="00DF5C23">
        <w:rPr>
          <w:noProof/>
          <w:lang w:val="en-IE" w:eastAsia="fr-BE"/>
        </w:rPr>
        <w:t>委任法の調和のとれた適用を確保することを目的とする。その際、グループは、規則（</w:t>
      </w:r>
      <w:r w:rsidR="0681B866" w:rsidRPr="00DF5C23">
        <w:rPr>
          <w:noProof/>
          <w:lang w:val="en-IE" w:eastAsia="fr-BE"/>
        </w:rPr>
        <w:t>EU</w:t>
      </w:r>
      <w:r w:rsidR="0681B866" w:rsidRPr="00DF5C23">
        <w:rPr>
          <w:noProof/>
          <w:lang w:val="en-IE" w:eastAsia="fr-BE"/>
        </w:rPr>
        <w:t>）</w:t>
      </w:r>
      <w:r w:rsidR="0681B866" w:rsidRPr="00DF5C23">
        <w:rPr>
          <w:noProof/>
          <w:lang w:val="en-IE" w:eastAsia="fr-BE"/>
        </w:rPr>
        <w:t>2019/1020</w:t>
      </w:r>
      <w:r w:rsidR="0681B866" w:rsidRPr="00DF5C23">
        <w:rPr>
          <w:noProof/>
          <w:lang w:val="en-IE" w:eastAsia="fr-BE"/>
        </w:rPr>
        <w:t>の第</w:t>
      </w:r>
      <w:r w:rsidR="0681B866" w:rsidRPr="00DF5C23">
        <w:rPr>
          <w:noProof/>
          <w:lang w:val="en-IE" w:eastAsia="fr-BE"/>
        </w:rPr>
        <w:t>30</w:t>
      </w:r>
      <w:r w:rsidR="0681B866" w:rsidRPr="00DF5C23">
        <w:rPr>
          <w:noProof/>
          <w:lang w:val="en-IE" w:eastAsia="fr-BE"/>
        </w:rPr>
        <w:t>条（</w:t>
      </w:r>
      <w:r w:rsidR="0681B866" w:rsidRPr="00DF5C23">
        <w:rPr>
          <w:noProof/>
          <w:lang w:val="en-IE" w:eastAsia="fr-BE"/>
        </w:rPr>
        <w:t>2</w:t>
      </w:r>
      <w:r w:rsidR="0681B866" w:rsidRPr="00DF5C23">
        <w:rPr>
          <w:noProof/>
          <w:lang w:val="en-IE" w:eastAsia="fr-BE"/>
        </w:rPr>
        <w:t>）に従って設置された行政協力グループが作成する関連文書を一般的な指針として従うものとする。</w:t>
      </w:r>
      <w:r w:rsidR="0681B866" w:rsidRPr="00DF5C23">
        <w:rPr>
          <w:noProof/>
          <w:lang w:val="en-IE" w:eastAsia="fr-BE"/>
        </w:rPr>
        <w:t xml:space="preserve">  </w:t>
      </w:r>
    </w:p>
    <w:p w14:paraId="3D41B21E" w14:textId="77777777" w:rsidR="0038775E" w:rsidRDefault="00A625AD" w:rsidP="002041D4">
      <w:pPr>
        <w:pStyle w:val="ManualHeading1"/>
        <w:wordWrap w:val="0"/>
        <w:jc w:val="center"/>
        <w:rPr>
          <w:noProof/>
          <w:lang w:eastAsia="ja-JP"/>
        </w:rPr>
      </w:pPr>
      <w:r w:rsidRPr="00DF5C23">
        <w:rPr>
          <w:noProof/>
          <w:lang w:val="en-IE" w:eastAsia="ja-JP"/>
        </w:rPr>
        <w:t>第</w:t>
      </w:r>
      <w:r w:rsidRPr="00DF5C23">
        <w:rPr>
          <w:noProof/>
          <w:lang w:val="en-IE" w:eastAsia="ja-JP"/>
        </w:rPr>
        <w:t>X</w:t>
      </w:r>
      <w:r w:rsidR="00F77587" w:rsidRPr="00DF5C23">
        <w:rPr>
          <w:noProof/>
          <w:lang w:val="en-IE" w:eastAsia="ja-JP"/>
        </w:rPr>
        <w:t>章</w:t>
      </w:r>
      <w:r w:rsidR="00F77587" w:rsidRPr="00DF5C23">
        <w:rPr>
          <w:noProof/>
          <w:lang w:val="en-IE" w:eastAsia="ja-JP"/>
        </w:rPr>
        <w:t xml:space="preserve"> </w:t>
      </w:r>
      <w:r w:rsidR="00877B9C" w:rsidRPr="00DF5C23">
        <w:rPr>
          <w:noProof/>
          <w:lang w:eastAsia="ja-JP"/>
        </w:rPr>
        <w:t>インセンティブ</w:t>
      </w:r>
    </w:p>
    <w:p w14:paraId="1C5AED03" w14:textId="77777777" w:rsidR="0038775E" w:rsidRDefault="00565D97" w:rsidP="002041D4">
      <w:pPr>
        <w:pStyle w:val="Titrearticle"/>
        <w:wordWrap w:val="0"/>
        <w:rPr>
          <w:noProof/>
          <w:color w:val="000000" w:themeColor="text1"/>
          <w:lang w:eastAsia="fr-BE"/>
        </w:rPr>
      </w:pPr>
      <w:r w:rsidRPr="00DF5C23">
        <w:rPr>
          <w:noProof/>
          <w:lang w:eastAsia="fr-BE"/>
        </w:rPr>
        <w:t>第</w:t>
      </w:r>
      <w:r w:rsidRPr="00DF5C23">
        <w:rPr>
          <w:noProof/>
          <w:lang w:eastAsia="fr-BE"/>
        </w:rPr>
        <w:t>57</w:t>
      </w:r>
      <w:r w:rsidR="00877B9C" w:rsidRPr="00DF5C23">
        <w:rPr>
          <w:noProof/>
          <w:lang w:eastAsia="fr-BE"/>
        </w:rPr>
        <w:t>条</w:t>
      </w:r>
      <w:r w:rsidR="007050F6" w:rsidRPr="00DF5C23">
        <w:rPr>
          <w:noProof/>
          <w:lang w:eastAsia="ja-JP"/>
        </w:rPr>
        <w:br/>
      </w:r>
      <w:r w:rsidR="00877B9C" w:rsidRPr="00DF5C23">
        <w:rPr>
          <w:noProof/>
          <w:lang w:eastAsia="fr-BE"/>
        </w:rPr>
        <w:t>加盟国のインセンティブ</w:t>
      </w:r>
    </w:p>
    <w:p w14:paraId="674343D6" w14:textId="77777777" w:rsidR="0038775E" w:rsidRDefault="00877B9C" w:rsidP="002041D4">
      <w:pPr>
        <w:pStyle w:val="ManualNumPar1"/>
        <w:wordWrap w:val="0"/>
        <w:rPr>
          <w:noProof/>
          <w:lang w:val="en-IE" w:eastAsia="fr-BE"/>
        </w:rPr>
      </w:pPr>
      <w:r w:rsidRPr="004F5E59">
        <w:rPr>
          <w:lang w:eastAsia="ja-JP"/>
        </w:rPr>
        <w:t>1.</w:t>
      </w:r>
      <w:r w:rsidRPr="004F5E59">
        <w:rPr>
          <w:lang w:eastAsia="ja-JP"/>
        </w:rPr>
        <w:tab/>
      </w:r>
      <w:r w:rsidR="00F63158" w:rsidRPr="00DF5C23">
        <w:rPr>
          <w:noProof/>
          <w:lang w:val="en-IE" w:eastAsia="ja-JP"/>
        </w:rPr>
        <w:t>第</w:t>
      </w:r>
      <w:r w:rsidR="00F63158" w:rsidRPr="00DF5C23">
        <w:rPr>
          <w:noProof/>
          <w:lang w:val="en-IE" w:eastAsia="ja-JP"/>
        </w:rPr>
        <w:t>4</w:t>
      </w:r>
      <w:r w:rsidR="00F63158" w:rsidRPr="00DF5C23">
        <w:rPr>
          <w:noProof/>
          <w:lang w:val="en-IE" w:eastAsia="ja-JP"/>
        </w:rPr>
        <w:t>条に従って採択された、</w:t>
      </w:r>
      <w:r w:rsidR="00D06AA5" w:rsidRPr="00DF5C23">
        <w:rPr>
          <w:noProof/>
          <w:lang w:val="en-IE" w:eastAsia="fr-BE"/>
        </w:rPr>
        <w:t>第</w:t>
      </w:r>
      <w:r w:rsidR="00D06AA5" w:rsidRPr="00DF5C23">
        <w:rPr>
          <w:noProof/>
          <w:lang w:val="en-IE" w:eastAsia="fr-BE"/>
        </w:rPr>
        <w:t>7</w:t>
      </w:r>
      <w:r w:rsidR="00AD4AED" w:rsidRPr="00DF5C23">
        <w:rPr>
          <w:noProof/>
          <w:lang w:val="en-IE" w:eastAsia="fr-BE"/>
        </w:rPr>
        <w:t>条</w:t>
      </w:r>
      <w:r w:rsidR="00D06AA5" w:rsidRPr="00DF5C23">
        <w:rPr>
          <w:noProof/>
          <w:lang w:val="en-IE" w:eastAsia="fr-BE"/>
        </w:rPr>
        <w:t>(</w:t>
      </w:r>
      <w:r w:rsidR="00DF3084" w:rsidRPr="00DF5C23">
        <w:rPr>
          <w:noProof/>
          <w:lang w:val="en-IE" w:eastAsia="fr-BE"/>
        </w:rPr>
        <w:t>4</w:t>
      </w:r>
      <w:r w:rsidR="00D06AA5" w:rsidRPr="00DF5C23">
        <w:rPr>
          <w:noProof/>
          <w:lang w:val="en-IE" w:eastAsia="fr-BE"/>
        </w:rPr>
        <w:t>)</w:t>
      </w:r>
      <w:r w:rsidR="00171675" w:rsidRPr="00DF5C23">
        <w:rPr>
          <w:noProof/>
          <w:lang w:val="en-IE" w:eastAsia="fr-BE"/>
        </w:rPr>
        <w:t>に従って</w:t>
      </w:r>
      <w:r w:rsidR="00646885" w:rsidRPr="00DF5C23">
        <w:rPr>
          <w:noProof/>
          <w:lang w:val="en-IE" w:eastAsia="fr-BE"/>
        </w:rPr>
        <w:t>性能クラスを</w:t>
      </w:r>
      <w:r w:rsidR="003201E9" w:rsidRPr="00DF5C23">
        <w:rPr>
          <w:noProof/>
          <w:lang w:val="en-IE" w:eastAsia="fr-BE"/>
        </w:rPr>
        <w:t>決定する</w:t>
      </w:r>
      <w:r w:rsidR="00AD4AED" w:rsidRPr="00DF5C23">
        <w:rPr>
          <w:noProof/>
          <w:lang w:val="en-IE" w:eastAsia="fr-BE"/>
        </w:rPr>
        <w:t>委任法の</w:t>
      </w:r>
      <w:r w:rsidR="00646885" w:rsidRPr="00DF5C23">
        <w:rPr>
          <w:noProof/>
          <w:lang w:val="en-IE" w:eastAsia="fr-BE"/>
        </w:rPr>
        <w:t>対象となる</w:t>
      </w:r>
      <w:r w:rsidR="00702B3C" w:rsidRPr="00DF5C23">
        <w:rPr>
          <w:noProof/>
          <w:lang w:val="en-IE" w:eastAsia="fr-BE"/>
        </w:rPr>
        <w:t>製品に関する</w:t>
      </w:r>
      <w:r w:rsidR="00646885" w:rsidRPr="00DF5C23">
        <w:rPr>
          <w:noProof/>
          <w:lang w:val="en-IE" w:eastAsia="fr-BE"/>
        </w:rPr>
        <w:t>加盟国のインセンティブは、</w:t>
      </w:r>
      <w:r w:rsidR="00E30199" w:rsidRPr="00DF5C23">
        <w:rPr>
          <w:noProof/>
          <w:lang w:val="en-IE" w:eastAsia="fr-BE"/>
        </w:rPr>
        <w:t>当該委任法に別段の</w:t>
      </w:r>
      <w:r w:rsidR="00E30199" w:rsidRPr="00DF5C23">
        <w:rPr>
          <w:noProof/>
          <w:lang w:val="en-IE" w:eastAsia="fr-BE"/>
        </w:rPr>
        <w:lastRenderedPageBreak/>
        <w:t>定めがない限り</w:t>
      </w:r>
      <w:r w:rsidR="00646885" w:rsidRPr="00DF5C23">
        <w:rPr>
          <w:noProof/>
          <w:lang w:val="en-IE" w:eastAsia="fr-BE"/>
        </w:rPr>
        <w:t>、</w:t>
      </w:r>
      <w:r w:rsidR="00702B3C" w:rsidRPr="00DF5C23">
        <w:rPr>
          <w:noProof/>
          <w:lang w:val="en-IE" w:eastAsia="fr-BE"/>
        </w:rPr>
        <w:t>連合</w:t>
      </w:r>
      <w:r w:rsidR="004403A0" w:rsidRPr="00DF5C23">
        <w:rPr>
          <w:noProof/>
          <w:lang w:val="en-IE" w:eastAsia="fr-BE"/>
        </w:rPr>
        <w:t>レベルで</w:t>
      </w:r>
      <w:r w:rsidR="00743C21" w:rsidRPr="00DF5C23">
        <w:rPr>
          <w:noProof/>
          <w:lang w:val="en-IE" w:eastAsia="fr-BE"/>
        </w:rPr>
        <w:t>人口に膾炙している</w:t>
      </w:r>
      <w:r w:rsidR="00646885" w:rsidRPr="00DF5C23">
        <w:rPr>
          <w:noProof/>
          <w:lang w:val="en-IE" w:eastAsia="fr-BE"/>
        </w:rPr>
        <w:t>最高性能クラス</w:t>
      </w:r>
      <w:r w:rsidR="00646885" w:rsidRPr="00DF5C23" w:rsidDel="007A77C9">
        <w:rPr>
          <w:noProof/>
          <w:lang w:val="en-IE" w:eastAsia="fr-BE"/>
        </w:rPr>
        <w:t>2</w:t>
      </w:r>
      <w:r w:rsidR="00646885" w:rsidRPr="00DF5C23" w:rsidDel="007A77C9">
        <w:rPr>
          <w:noProof/>
          <w:lang w:val="en-IE" w:eastAsia="fr-BE"/>
        </w:rPr>
        <w:t>つ</w:t>
      </w:r>
      <w:r w:rsidR="008F5B16" w:rsidRPr="00DF5C23">
        <w:rPr>
          <w:noProof/>
          <w:lang w:val="en-IE" w:eastAsia="fr-BE"/>
        </w:rPr>
        <w:t>、または関連する場合は、</w:t>
      </w:r>
      <w:r w:rsidR="008F5B16" w:rsidRPr="00DF5C23">
        <w:rPr>
          <w:noProof/>
          <w:lang w:val="en-IE" w:eastAsia="fr-BE"/>
        </w:rPr>
        <w:t>EU</w:t>
      </w:r>
      <w:r w:rsidR="008F5B16" w:rsidRPr="00DF5C23">
        <w:rPr>
          <w:noProof/>
          <w:lang w:val="en-IE" w:eastAsia="fr-BE"/>
        </w:rPr>
        <w:t>エコラベルを有する製品に関する</w:t>
      </w:r>
      <w:r w:rsidR="00702B3C" w:rsidRPr="00DF5C23">
        <w:rPr>
          <w:noProof/>
          <w:lang w:val="en-IE" w:eastAsia="fr-BE"/>
        </w:rPr>
        <w:t>ものとする。</w:t>
      </w:r>
    </w:p>
    <w:p w14:paraId="1A8E47FB" w14:textId="77777777" w:rsidR="0038775E" w:rsidRDefault="00877B9C" w:rsidP="002041D4">
      <w:pPr>
        <w:pStyle w:val="ManualNumPar1"/>
        <w:wordWrap w:val="0"/>
        <w:rPr>
          <w:noProof/>
          <w:lang w:val="en-IE" w:eastAsia="fr-BE"/>
        </w:rPr>
      </w:pPr>
      <w:r w:rsidRPr="004F5E59">
        <w:rPr>
          <w:lang w:eastAsia="ja-JP"/>
        </w:rPr>
        <w:t>2.</w:t>
      </w:r>
      <w:r w:rsidRPr="004F5E59">
        <w:rPr>
          <w:lang w:eastAsia="ja-JP"/>
        </w:rPr>
        <w:tab/>
      </w:r>
      <w:r w:rsidR="00EC6339" w:rsidRPr="00DF5C23">
        <w:rPr>
          <w:noProof/>
          <w:lang w:val="en-IE" w:eastAsia="fr-BE"/>
        </w:rPr>
        <w:t>第</w:t>
      </w:r>
      <w:r w:rsidR="00EC6339" w:rsidRPr="00DF5C23">
        <w:rPr>
          <w:noProof/>
          <w:lang w:val="en-IE" w:eastAsia="fr-BE"/>
        </w:rPr>
        <w:t>4</w:t>
      </w:r>
      <w:r w:rsidR="00EC6339" w:rsidRPr="00DF5C23">
        <w:rPr>
          <w:noProof/>
          <w:lang w:val="en-IE" w:eastAsia="fr-BE"/>
        </w:rPr>
        <w:t>条に従って採択された</w:t>
      </w:r>
      <w:r w:rsidR="00EC6339" w:rsidRPr="00DF5C23" w:rsidDel="00702B3C">
        <w:rPr>
          <w:noProof/>
          <w:lang w:val="en-IE" w:eastAsia="fr-BE"/>
        </w:rPr>
        <w:t>委任法が、附属書</w:t>
      </w:r>
      <w:r w:rsidR="00EC6339" w:rsidRPr="00DF5C23" w:rsidDel="00702B3C">
        <w:rPr>
          <w:noProof/>
          <w:lang w:val="en-IE" w:eastAsia="fr-BE"/>
        </w:rPr>
        <w:t>I</w:t>
      </w:r>
      <w:r w:rsidR="00EC6339" w:rsidRPr="00DF5C23" w:rsidDel="00702B3C">
        <w:rPr>
          <w:noProof/>
          <w:lang w:val="en-IE" w:eastAsia="fr-BE"/>
        </w:rPr>
        <w:t>で</w:t>
      </w:r>
      <w:r w:rsidR="009A2B0A" w:rsidRPr="00DF5C23">
        <w:rPr>
          <w:noProof/>
          <w:lang w:val="en-IE" w:eastAsia="fr-BE"/>
        </w:rPr>
        <w:t>言及される複数の</w:t>
      </w:r>
      <w:r w:rsidR="00EC6339" w:rsidRPr="00DF5C23">
        <w:rPr>
          <w:noProof/>
          <w:lang w:val="en-IE" w:eastAsia="fr-BE"/>
        </w:rPr>
        <w:t>製品</w:t>
      </w:r>
      <w:r w:rsidR="00EC6339" w:rsidRPr="00DF5C23" w:rsidDel="00702B3C">
        <w:rPr>
          <w:noProof/>
          <w:lang w:val="en-IE" w:eastAsia="fr-BE"/>
        </w:rPr>
        <w:t>パラメータに関連して、第</w:t>
      </w:r>
      <w:r w:rsidR="00EC6339" w:rsidRPr="00DF5C23" w:rsidDel="00702B3C">
        <w:rPr>
          <w:noProof/>
          <w:lang w:val="en-IE" w:eastAsia="fr-BE"/>
        </w:rPr>
        <w:t>7</w:t>
      </w:r>
      <w:r w:rsidR="00EC6339" w:rsidRPr="00DF5C23" w:rsidDel="00702B3C">
        <w:rPr>
          <w:noProof/>
          <w:lang w:val="en-IE" w:eastAsia="fr-BE"/>
        </w:rPr>
        <w:t>条（</w:t>
      </w:r>
      <w:r w:rsidR="00EC6339" w:rsidRPr="00DF5C23" w:rsidDel="00702B3C">
        <w:rPr>
          <w:noProof/>
          <w:lang w:val="en-IE" w:eastAsia="fr-BE"/>
        </w:rPr>
        <w:t>4</w:t>
      </w:r>
      <w:r w:rsidR="00EC6339" w:rsidRPr="00DF5C23" w:rsidDel="00702B3C">
        <w:rPr>
          <w:noProof/>
          <w:lang w:val="en-IE" w:eastAsia="fr-BE"/>
        </w:rPr>
        <w:t>）に従って性能クラスを</w:t>
      </w:r>
      <w:r w:rsidR="00EC6339" w:rsidRPr="00DF5C23">
        <w:rPr>
          <w:noProof/>
          <w:lang w:val="en-IE" w:eastAsia="fr-BE"/>
        </w:rPr>
        <w:t>定める</w:t>
      </w:r>
      <w:r w:rsidR="00EC6339" w:rsidRPr="00DF5C23" w:rsidDel="00702B3C">
        <w:rPr>
          <w:noProof/>
          <w:lang w:val="en-IE" w:eastAsia="fr-BE"/>
        </w:rPr>
        <w:t>場合</w:t>
      </w:r>
      <w:r w:rsidR="00FE421D" w:rsidRPr="00DF5C23">
        <w:rPr>
          <w:noProof/>
          <w:lang w:val="en-IE" w:eastAsia="fr-BE"/>
        </w:rPr>
        <w:t>、又は</w:t>
      </w:r>
      <w:r w:rsidR="00EC6339" w:rsidRPr="00DF5C23">
        <w:rPr>
          <w:noProof/>
          <w:lang w:val="en-IE" w:eastAsia="fr-BE"/>
        </w:rPr>
        <w:t>規則（</w:t>
      </w:r>
      <w:r w:rsidR="00EC6339" w:rsidRPr="00DF5C23">
        <w:rPr>
          <w:noProof/>
          <w:lang w:val="en-IE" w:eastAsia="fr-BE"/>
        </w:rPr>
        <w:t>EU</w:t>
      </w:r>
      <w:r w:rsidR="00EC6339" w:rsidRPr="00DF5C23">
        <w:rPr>
          <w:noProof/>
          <w:lang w:val="en-IE" w:eastAsia="fr-BE"/>
        </w:rPr>
        <w:t>）</w:t>
      </w:r>
      <w:r w:rsidR="00EC6339" w:rsidRPr="00DF5C23">
        <w:rPr>
          <w:noProof/>
          <w:lang w:val="en-IE" w:eastAsia="fr-BE"/>
        </w:rPr>
        <w:t>2017/1369</w:t>
      </w:r>
      <w:r w:rsidR="00EC6339" w:rsidRPr="00DF5C23">
        <w:rPr>
          <w:noProof/>
          <w:lang w:val="en-IE" w:eastAsia="fr-BE"/>
        </w:rPr>
        <w:t>及び本規則の両方に基づいて性能クラスが定められる場合、委員会は、第</w:t>
      </w:r>
      <w:r w:rsidR="00EC6339" w:rsidRPr="00DF5C23">
        <w:rPr>
          <w:noProof/>
          <w:lang w:val="en-IE" w:eastAsia="fr-BE"/>
        </w:rPr>
        <w:t>4</w:t>
      </w:r>
      <w:r w:rsidR="00EC6339" w:rsidRPr="00DF5C23">
        <w:rPr>
          <w:noProof/>
          <w:lang w:val="en-IE" w:eastAsia="fr-BE"/>
        </w:rPr>
        <w:t>条第</w:t>
      </w:r>
      <w:r w:rsidR="00EC6339" w:rsidRPr="00DF5C23">
        <w:rPr>
          <w:noProof/>
          <w:lang w:val="en-IE" w:eastAsia="fr-BE"/>
        </w:rPr>
        <w:t>3</w:t>
      </w:r>
      <w:r w:rsidR="00EC6339" w:rsidRPr="00DF5C23">
        <w:rPr>
          <w:noProof/>
          <w:lang w:val="en-IE" w:eastAsia="fr-BE"/>
        </w:rPr>
        <w:t>サブパラグラフ、ポイント（</w:t>
      </w:r>
      <w:r w:rsidR="00EC6339" w:rsidRPr="00DF5C23">
        <w:rPr>
          <w:noProof/>
          <w:lang w:val="en-IE" w:eastAsia="fr-BE"/>
        </w:rPr>
        <w:t>g</w:t>
      </w:r>
      <w:r w:rsidR="00EC6339" w:rsidRPr="00DF5C23">
        <w:rPr>
          <w:noProof/>
          <w:lang w:val="en-IE" w:eastAsia="fr-BE"/>
        </w:rPr>
        <w:t>）に従って採択した委任法において、加盟国がどの製品パラメータに関する奨励を行うかをさらに指定することができる。</w:t>
      </w:r>
    </w:p>
    <w:p w14:paraId="5F6C167D" w14:textId="77777777" w:rsidR="0038775E" w:rsidRDefault="00877B9C" w:rsidP="002041D4">
      <w:pPr>
        <w:pStyle w:val="Text1"/>
        <w:wordWrap w:val="0"/>
        <w:rPr>
          <w:noProof/>
          <w:lang w:val="en-IE" w:eastAsia="fr-BE"/>
        </w:rPr>
      </w:pPr>
      <w:r w:rsidRPr="00DF5C23">
        <w:rPr>
          <w:noProof/>
          <w:lang w:val="en-IE" w:eastAsia="fr-BE"/>
        </w:rPr>
        <w:t>その際、欧州委員会は、以下の基準を考慮するものとする：</w:t>
      </w:r>
      <w:r w:rsidRPr="00DF5C23">
        <w:rPr>
          <w:noProof/>
          <w:lang w:val="en-IE" w:eastAsia="fr-BE"/>
        </w:rPr>
        <w:t xml:space="preserve"> </w:t>
      </w:r>
    </w:p>
    <w:p w14:paraId="50A79CFD" w14:textId="77777777" w:rsidR="0038775E" w:rsidRDefault="00877B9C" w:rsidP="002041D4">
      <w:pPr>
        <w:pStyle w:val="Point1"/>
        <w:wordWrap w:val="0"/>
        <w:rPr>
          <w:noProof/>
          <w:lang w:eastAsia="fr-BE"/>
        </w:rPr>
      </w:pPr>
      <w:r w:rsidRPr="004F5E59">
        <w:rPr>
          <w:lang w:eastAsia="ja-JP"/>
        </w:rPr>
        <w:t>(a)</w:t>
      </w:r>
      <w:r w:rsidRPr="004F5E59">
        <w:rPr>
          <w:lang w:eastAsia="ja-JP"/>
        </w:rPr>
        <w:tab/>
      </w:r>
      <w:r w:rsidR="00437A0E" w:rsidRPr="00DF5C23">
        <w:rPr>
          <w:noProof/>
          <w:lang w:eastAsia="fr-BE"/>
        </w:rPr>
        <w:t>各クラスの性能の製品数が多いこと；</w:t>
      </w:r>
      <w:r w:rsidR="00437A0E" w:rsidRPr="00DF5C23">
        <w:rPr>
          <w:noProof/>
          <w:lang w:eastAsia="fr-BE"/>
        </w:rPr>
        <w:t xml:space="preserve"> </w:t>
      </w:r>
    </w:p>
    <w:p w14:paraId="493E7F1C" w14:textId="77777777" w:rsidR="0038775E" w:rsidRDefault="00877B9C" w:rsidP="002041D4">
      <w:pPr>
        <w:pStyle w:val="Point1"/>
        <w:wordWrap w:val="0"/>
        <w:rPr>
          <w:noProof/>
          <w:lang w:eastAsia="fr-BE"/>
        </w:rPr>
      </w:pPr>
      <w:r w:rsidRPr="004F5E59">
        <w:rPr>
          <w:lang w:eastAsia="ja-JP"/>
        </w:rPr>
        <w:t>(b)</w:t>
      </w:r>
      <w:r w:rsidRPr="004F5E59">
        <w:rPr>
          <w:lang w:eastAsia="ja-JP"/>
        </w:rPr>
        <w:tab/>
      </w:r>
      <w:r w:rsidR="00437A0E" w:rsidRPr="00DF5C23">
        <w:rPr>
          <w:noProof/>
          <w:lang w:eastAsia="fr-BE"/>
        </w:rPr>
        <w:t>各性能のクラスにおける製品の相対的な</w:t>
      </w:r>
      <w:r w:rsidR="00EC6339" w:rsidRPr="00DF5C23">
        <w:rPr>
          <w:noProof/>
          <w:lang w:eastAsia="fr-BE"/>
        </w:rPr>
        <w:t>値ごろ感；</w:t>
      </w:r>
    </w:p>
    <w:p w14:paraId="7D9F2FE8" w14:textId="77777777" w:rsidR="0038775E" w:rsidRDefault="00877B9C" w:rsidP="002041D4">
      <w:pPr>
        <w:pStyle w:val="Point1"/>
        <w:wordWrap w:val="0"/>
        <w:rPr>
          <w:noProof/>
          <w:lang w:eastAsia="fr-BE"/>
        </w:rPr>
      </w:pPr>
      <w:r w:rsidRPr="004F5E59">
        <w:rPr>
          <w:lang w:eastAsia="ja-JP"/>
        </w:rPr>
        <w:t>(c)</w:t>
      </w:r>
      <w:r w:rsidRPr="004F5E59">
        <w:rPr>
          <w:lang w:eastAsia="ja-JP"/>
        </w:rPr>
        <w:tab/>
      </w:r>
      <w:r w:rsidR="00437A0E" w:rsidRPr="00DF5C23">
        <w:rPr>
          <w:noProof/>
          <w:lang w:eastAsia="fr-BE"/>
        </w:rPr>
        <w:tab/>
      </w:r>
      <w:r w:rsidR="00437A0E" w:rsidRPr="00DF5C23">
        <w:rPr>
          <w:noProof/>
          <w:lang w:eastAsia="fr-BE"/>
        </w:rPr>
        <w:t>より環境的に持続可能な製品に対する十分な需要を確保する必要があること。</w:t>
      </w:r>
    </w:p>
    <w:p w14:paraId="5EFDD635" w14:textId="77777777" w:rsidR="0038775E" w:rsidRDefault="00877B9C" w:rsidP="002041D4">
      <w:pPr>
        <w:pStyle w:val="ManualNumPar1"/>
        <w:wordWrap w:val="0"/>
        <w:rPr>
          <w:noProof/>
          <w:lang w:val="en-IE" w:eastAsia="fr-BE"/>
        </w:rPr>
      </w:pPr>
      <w:r w:rsidRPr="004F5E59">
        <w:rPr>
          <w:lang w:eastAsia="ja-JP"/>
        </w:rPr>
        <w:t>3.</w:t>
      </w:r>
      <w:r w:rsidRPr="004F5E59">
        <w:rPr>
          <w:lang w:eastAsia="ja-JP"/>
        </w:rPr>
        <w:tab/>
      </w:r>
      <w:r w:rsidR="00D45DAC" w:rsidRPr="00DF5C23">
        <w:rPr>
          <w:noProof/>
          <w:lang w:val="en-IE" w:eastAsia="fr-BE"/>
        </w:rPr>
        <w:t>第</w:t>
      </w:r>
      <w:r w:rsidR="00D45DAC" w:rsidRPr="00DF5C23">
        <w:rPr>
          <w:noProof/>
          <w:lang w:val="en-IE" w:eastAsia="fr-BE"/>
        </w:rPr>
        <w:t>4</w:t>
      </w:r>
      <w:r w:rsidR="00D45DAC" w:rsidRPr="00DF5C23">
        <w:rPr>
          <w:noProof/>
          <w:lang w:val="en-IE" w:eastAsia="fr-BE"/>
        </w:rPr>
        <w:t>条に従って採択された</w:t>
      </w:r>
      <w:r w:rsidR="00D45DAC" w:rsidRPr="00DF5C23" w:rsidDel="00702B3C">
        <w:rPr>
          <w:noProof/>
          <w:lang w:val="en-IE" w:eastAsia="fr-BE"/>
        </w:rPr>
        <w:t>委任法が</w:t>
      </w:r>
      <w:r w:rsidR="00D45DAC" w:rsidRPr="00DF5C23">
        <w:rPr>
          <w:noProof/>
          <w:lang w:val="en-IE" w:eastAsia="fr-BE"/>
        </w:rPr>
        <w:t>性能等級を定めていない</w:t>
      </w:r>
      <w:r w:rsidR="00D45DAC" w:rsidRPr="00DF5C23" w:rsidDel="00702B3C">
        <w:rPr>
          <w:noProof/>
          <w:lang w:val="en-IE" w:eastAsia="fr-BE"/>
        </w:rPr>
        <w:t>場合</w:t>
      </w:r>
      <w:r w:rsidR="00D45DAC" w:rsidRPr="00DF5C23">
        <w:rPr>
          <w:noProof/>
          <w:lang w:val="en-IE" w:eastAsia="fr-BE"/>
        </w:rPr>
        <w:t>、欧州委員会は、第</w:t>
      </w:r>
      <w:r w:rsidR="00D45DAC" w:rsidRPr="00DF5C23">
        <w:rPr>
          <w:noProof/>
          <w:lang w:val="en-IE" w:eastAsia="fr-BE"/>
        </w:rPr>
        <w:t>4</w:t>
      </w:r>
      <w:r w:rsidR="00D45DAC" w:rsidRPr="00DF5C23">
        <w:rPr>
          <w:noProof/>
          <w:lang w:val="en-IE" w:eastAsia="fr-BE"/>
        </w:rPr>
        <w:t>条第</w:t>
      </w:r>
      <w:r w:rsidR="00D45DAC" w:rsidRPr="00DF5C23">
        <w:rPr>
          <w:noProof/>
          <w:lang w:val="en-IE" w:eastAsia="fr-BE"/>
        </w:rPr>
        <w:t>3</w:t>
      </w:r>
      <w:r w:rsidR="00D45DAC" w:rsidRPr="00DF5C23">
        <w:rPr>
          <w:noProof/>
          <w:lang w:val="en-IE" w:eastAsia="fr-BE"/>
        </w:rPr>
        <w:t>項（</w:t>
      </w:r>
      <w:r w:rsidR="00D45DAC" w:rsidRPr="00DF5C23">
        <w:rPr>
          <w:noProof/>
          <w:lang w:val="en-IE" w:eastAsia="fr-BE"/>
        </w:rPr>
        <w:t>g</w:t>
      </w:r>
      <w:r w:rsidR="00D45DAC" w:rsidRPr="00DF5C23">
        <w:rPr>
          <w:noProof/>
          <w:lang w:val="en-IE" w:eastAsia="fr-BE"/>
        </w:rPr>
        <w:t>）に従って採択された委任法において、</w:t>
      </w:r>
      <w:r w:rsidR="00942C65" w:rsidRPr="00DF5C23">
        <w:rPr>
          <w:noProof/>
          <w:lang w:val="en-IE" w:eastAsia="fr-BE"/>
        </w:rPr>
        <w:t>加盟国の奨励措置が関係する製品が満たすべき製品パラメータに関する要件を</w:t>
      </w:r>
      <w:r w:rsidR="00D45DAC" w:rsidRPr="00DF5C23">
        <w:rPr>
          <w:noProof/>
          <w:lang w:val="en-IE" w:eastAsia="fr-BE"/>
        </w:rPr>
        <w:t>規定できる</w:t>
      </w:r>
      <w:r w:rsidR="00942C65" w:rsidRPr="00DF5C23">
        <w:rPr>
          <w:noProof/>
          <w:lang w:val="en-IE" w:eastAsia="fr-BE"/>
        </w:rPr>
        <w:t>。</w:t>
      </w:r>
      <w:r w:rsidR="00942C65" w:rsidRPr="00DF5C23">
        <w:rPr>
          <w:noProof/>
          <w:lang w:val="en-IE" w:eastAsia="fr-BE"/>
        </w:rPr>
        <w:t xml:space="preserve"> </w:t>
      </w:r>
    </w:p>
    <w:p w14:paraId="4B0FA411" w14:textId="77777777" w:rsidR="0038775E" w:rsidRDefault="00877B9C" w:rsidP="002041D4">
      <w:pPr>
        <w:pStyle w:val="Text1"/>
        <w:wordWrap w:val="0"/>
        <w:rPr>
          <w:noProof/>
          <w:lang w:val="en-IE" w:eastAsia="fr-BE"/>
        </w:rPr>
      </w:pPr>
      <w:r w:rsidRPr="00DF5C23">
        <w:rPr>
          <w:noProof/>
          <w:lang w:val="en-IE" w:eastAsia="fr-BE"/>
        </w:rPr>
        <w:t>その際、欧州委員会は、以下の基準を考慮するものとする：</w:t>
      </w:r>
      <w:r w:rsidRPr="00DF5C23">
        <w:rPr>
          <w:noProof/>
          <w:lang w:val="en-IE" w:eastAsia="fr-BE"/>
        </w:rPr>
        <w:t xml:space="preserve"> </w:t>
      </w:r>
    </w:p>
    <w:p w14:paraId="321600D6" w14:textId="77777777" w:rsidR="0038775E" w:rsidRDefault="00877B9C" w:rsidP="002041D4">
      <w:pPr>
        <w:pStyle w:val="Point1"/>
        <w:wordWrap w:val="0"/>
        <w:rPr>
          <w:noProof/>
          <w:lang w:eastAsia="fr-BE"/>
        </w:rPr>
      </w:pPr>
      <w:r w:rsidRPr="004F5E59">
        <w:rPr>
          <w:lang w:eastAsia="ja-JP"/>
        </w:rPr>
        <w:t>(a)</w:t>
      </w:r>
      <w:r w:rsidRPr="004F5E59">
        <w:rPr>
          <w:lang w:eastAsia="ja-JP"/>
        </w:rPr>
        <w:tab/>
      </w:r>
      <w:r w:rsidR="00D45DAC" w:rsidRPr="00DF5C23">
        <w:rPr>
          <w:noProof/>
          <w:lang w:eastAsia="fr-BE"/>
        </w:rPr>
        <w:t>その要件を満たす製品の相対的な価格；</w:t>
      </w:r>
    </w:p>
    <w:p w14:paraId="112AD15C" w14:textId="77777777" w:rsidR="0038775E" w:rsidRDefault="00877B9C" w:rsidP="002041D4">
      <w:pPr>
        <w:pStyle w:val="Point1"/>
        <w:wordWrap w:val="0"/>
        <w:rPr>
          <w:noProof/>
          <w:lang w:eastAsia="fr-BE"/>
        </w:rPr>
      </w:pPr>
      <w:r w:rsidRPr="004F5E59">
        <w:rPr>
          <w:lang w:eastAsia="ja-JP"/>
        </w:rPr>
        <w:t>(b)</w:t>
      </w:r>
      <w:r w:rsidRPr="004F5E59">
        <w:rPr>
          <w:lang w:eastAsia="ja-JP"/>
        </w:rPr>
        <w:tab/>
      </w:r>
      <w:r w:rsidR="00D45DAC" w:rsidRPr="00DF5C23">
        <w:rPr>
          <w:noProof/>
          <w:lang w:eastAsia="fr-BE"/>
        </w:rPr>
        <w:tab/>
      </w:r>
      <w:r w:rsidR="00D45DAC" w:rsidRPr="00DF5C23">
        <w:rPr>
          <w:noProof/>
          <w:lang w:eastAsia="fr-BE"/>
        </w:rPr>
        <w:t>より環境的に持続可能な製品に対する十分な需要を確保する必要があること。</w:t>
      </w:r>
    </w:p>
    <w:p w14:paraId="32AE7211" w14:textId="77777777" w:rsidR="0038775E" w:rsidRDefault="00565D97" w:rsidP="002041D4">
      <w:pPr>
        <w:pStyle w:val="Titrearticle"/>
        <w:wordWrap w:val="0"/>
        <w:rPr>
          <w:noProof/>
          <w:color w:val="000000" w:themeColor="text1"/>
          <w:lang w:val="en-IE" w:eastAsia="fr-BE"/>
        </w:rPr>
      </w:pPr>
      <w:r w:rsidRPr="00DF5C23">
        <w:rPr>
          <w:noProof/>
          <w:lang w:val="en-IE" w:eastAsia="fr-BE"/>
        </w:rPr>
        <w:t>第</w:t>
      </w:r>
      <w:r w:rsidRPr="00DF5C23">
        <w:rPr>
          <w:noProof/>
          <w:lang w:val="en-IE" w:eastAsia="fr-BE"/>
        </w:rPr>
        <w:t>58</w:t>
      </w:r>
      <w:r w:rsidR="00877B9C" w:rsidRPr="00DF5C23">
        <w:rPr>
          <w:noProof/>
          <w:lang w:val="en-IE" w:eastAsia="fr-BE"/>
        </w:rPr>
        <w:t>条</w:t>
      </w:r>
      <w:r w:rsidR="007050F6" w:rsidRPr="00DF5C23">
        <w:rPr>
          <w:noProof/>
          <w:lang w:eastAsia="ja-JP"/>
        </w:rPr>
        <w:br/>
      </w:r>
      <w:r w:rsidR="00877B9C" w:rsidRPr="00DF5C23">
        <w:rPr>
          <w:noProof/>
          <w:lang w:val="en-IE" w:eastAsia="fr-BE"/>
        </w:rPr>
        <w:t>グリーン公共調達</w:t>
      </w:r>
    </w:p>
    <w:p w14:paraId="695AC021" w14:textId="77777777" w:rsidR="0038775E" w:rsidRDefault="00877B9C" w:rsidP="002041D4">
      <w:pPr>
        <w:pStyle w:val="ManualNumPar1"/>
        <w:wordWrap w:val="0"/>
        <w:rPr>
          <w:noProof/>
          <w:lang w:val="en-IE" w:eastAsia="fr-BE"/>
        </w:rPr>
      </w:pPr>
      <w:r w:rsidRPr="004F5E59">
        <w:rPr>
          <w:lang w:eastAsia="ja-JP"/>
        </w:rPr>
        <w:t>1.</w:t>
      </w:r>
      <w:r w:rsidRPr="004F5E59">
        <w:rPr>
          <w:lang w:eastAsia="ja-JP"/>
        </w:rPr>
        <w:tab/>
      </w:r>
      <w:r w:rsidR="00646885" w:rsidRPr="00DF5C23">
        <w:rPr>
          <w:noProof/>
          <w:lang w:val="en-IE" w:eastAsia="fr-BE"/>
        </w:rPr>
        <w:t>指令</w:t>
      </w:r>
      <w:r w:rsidR="00646885" w:rsidRPr="00DF5C23">
        <w:rPr>
          <w:noProof/>
          <w:lang w:val="en-IE" w:eastAsia="fr-BE"/>
        </w:rPr>
        <w:t>2014/24/EU</w:t>
      </w:r>
      <w:r w:rsidR="00646885" w:rsidRPr="00DF5C23">
        <w:rPr>
          <w:noProof/>
          <w:lang w:val="en-IE" w:eastAsia="fr-BE"/>
        </w:rPr>
        <w:t>の第</w:t>
      </w:r>
      <w:r w:rsidR="00646885" w:rsidRPr="00DF5C23">
        <w:rPr>
          <w:noProof/>
          <w:lang w:val="en-IE" w:eastAsia="fr-BE"/>
        </w:rPr>
        <w:t>2</w:t>
      </w:r>
      <w:r w:rsidR="00646885" w:rsidRPr="00DF5C23">
        <w:rPr>
          <w:noProof/>
          <w:lang w:val="en-IE" w:eastAsia="fr-BE"/>
        </w:rPr>
        <w:t>条（</w:t>
      </w:r>
      <w:r w:rsidR="00646885" w:rsidRPr="00DF5C23">
        <w:rPr>
          <w:noProof/>
          <w:lang w:val="en-IE" w:eastAsia="fr-BE"/>
        </w:rPr>
        <w:t>1</w:t>
      </w:r>
      <w:r w:rsidR="00646885" w:rsidRPr="00DF5C23">
        <w:rPr>
          <w:noProof/>
          <w:lang w:val="en-IE" w:eastAsia="fr-BE"/>
        </w:rPr>
        <w:t>）又は指令</w:t>
      </w:r>
      <w:r w:rsidR="00646885" w:rsidRPr="00DF5C23">
        <w:rPr>
          <w:noProof/>
          <w:lang w:val="en-IE" w:eastAsia="fr-BE"/>
        </w:rPr>
        <w:t>2014/25/EU</w:t>
      </w:r>
      <w:r w:rsidR="00646885" w:rsidRPr="00DF5C23">
        <w:rPr>
          <w:noProof/>
          <w:lang w:val="en-IE" w:eastAsia="fr-BE"/>
        </w:rPr>
        <w:t>の第</w:t>
      </w:r>
      <w:r w:rsidR="00646885" w:rsidRPr="00DF5C23">
        <w:rPr>
          <w:noProof/>
          <w:lang w:val="en-IE" w:eastAsia="fr-BE"/>
        </w:rPr>
        <w:t>3</w:t>
      </w:r>
      <w:r w:rsidR="00646885" w:rsidRPr="00DF5C23">
        <w:rPr>
          <w:noProof/>
          <w:lang w:val="en-IE" w:eastAsia="fr-BE"/>
        </w:rPr>
        <w:t>条（</w:t>
      </w:r>
      <w:r w:rsidR="00646885" w:rsidRPr="00DF5C23">
        <w:rPr>
          <w:noProof/>
          <w:lang w:val="en-IE" w:eastAsia="fr-BE"/>
        </w:rPr>
        <w:t>1</w:t>
      </w:r>
      <w:r w:rsidR="00646885" w:rsidRPr="00DF5C23">
        <w:rPr>
          <w:noProof/>
          <w:lang w:val="en-IE" w:eastAsia="fr-BE"/>
        </w:rPr>
        <w:t>）に定義される契約当局、又は指令</w:t>
      </w:r>
      <w:r w:rsidR="00646885" w:rsidRPr="00DF5C23">
        <w:rPr>
          <w:noProof/>
          <w:lang w:val="en-IE" w:eastAsia="fr-BE"/>
        </w:rPr>
        <w:t>2014/25/EU</w:t>
      </w:r>
      <w:r w:rsidR="00646885" w:rsidRPr="00DF5C23">
        <w:rPr>
          <w:noProof/>
          <w:lang w:val="en-IE" w:eastAsia="fr-BE"/>
        </w:rPr>
        <w:t>の第</w:t>
      </w:r>
      <w:r w:rsidR="00646885" w:rsidRPr="00DF5C23">
        <w:rPr>
          <w:noProof/>
          <w:lang w:val="en-IE" w:eastAsia="fr-BE"/>
        </w:rPr>
        <w:t>4</w:t>
      </w:r>
      <w:r w:rsidR="00646885" w:rsidRPr="00DF5C23">
        <w:rPr>
          <w:noProof/>
          <w:lang w:val="en-IE" w:eastAsia="fr-BE"/>
        </w:rPr>
        <w:t>条（</w:t>
      </w:r>
      <w:r w:rsidR="00646885" w:rsidRPr="00DF5C23">
        <w:rPr>
          <w:noProof/>
          <w:lang w:val="en-IE" w:eastAsia="fr-BE"/>
        </w:rPr>
        <w:t>1</w:t>
      </w:r>
      <w:r w:rsidR="00646885" w:rsidRPr="00DF5C23">
        <w:rPr>
          <w:noProof/>
          <w:lang w:val="en-IE" w:eastAsia="fr-BE"/>
        </w:rPr>
        <w:t>）に定義される契約主体が</w:t>
      </w:r>
      <w:r w:rsidR="00B15011" w:rsidRPr="00DF5C23">
        <w:rPr>
          <w:noProof/>
          <w:lang w:val="en-IE" w:eastAsia="fr-BE"/>
        </w:rPr>
        <w:t>発注する</w:t>
      </w:r>
      <w:r w:rsidR="005C7C0C" w:rsidRPr="00DF5C23">
        <w:rPr>
          <w:noProof/>
          <w:lang w:val="en-IE" w:eastAsia="fr-BE"/>
        </w:rPr>
        <w:t>公共契約に関する</w:t>
      </w:r>
      <w:r w:rsidR="00881AB3" w:rsidRPr="00DF5C23">
        <w:rPr>
          <w:noProof/>
          <w:lang w:val="en-IE" w:eastAsia="fr-BE"/>
        </w:rPr>
        <w:t>第</w:t>
      </w:r>
      <w:r w:rsidR="00881AB3" w:rsidRPr="00DF5C23">
        <w:rPr>
          <w:noProof/>
          <w:lang w:val="en-IE" w:eastAsia="fr-BE"/>
        </w:rPr>
        <w:t>4</w:t>
      </w:r>
      <w:r w:rsidR="00881AB3" w:rsidRPr="00DF5C23">
        <w:rPr>
          <w:noProof/>
          <w:lang w:val="en-IE" w:eastAsia="fr-BE"/>
        </w:rPr>
        <w:t>条</w:t>
      </w:r>
      <w:r w:rsidR="002438E5" w:rsidRPr="00DF5C23">
        <w:rPr>
          <w:noProof/>
          <w:lang w:val="en-IE" w:eastAsia="fr-BE"/>
        </w:rPr>
        <w:t>第</w:t>
      </w:r>
      <w:r w:rsidR="002438E5" w:rsidRPr="00DF5C23">
        <w:rPr>
          <w:noProof/>
          <w:lang w:val="en-IE" w:eastAsia="fr-BE"/>
        </w:rPr>
        <w:t>3</w:t>
      </w:r>
      <w:r w:rsidR="002438E5" w:rsidRPr="00DF5C23">
        <w:rPr>
          <w:noProof/>
          <w:lang w:val="en-IE" w:eastAsia="fr-BE"/>
        </w:rPr>
        <w:t>サブパラグラフ、</w:t>
      </w:r>
      <w:r w:rsidR="00881AB3" w:rsidRPr="00DF5C23">
        <w:rPr>
          <w:noProof/>
          <w:lang w:val="en-IE" w:eastAsia="fr-BE"/>
        </w:rPr>
        <w:t>ポイント（</w:t>
      </w:r>
      <w:r w:rsidR="00E97C3A" w:rsidRPr="00DF5C23">
        <w:rPr>
          <w:noProof/>
          <w:lang w:val="en-IE" w:eastAsia="fr-BE"/>
        </w:rPr>
        <w:t>h</w:t>
      </w:r>
      <w:r w:rsidR="002438E5" w:rsidRPr="00DF5C23">
        <w:rPr>
          <w:noProof/>
          <w:lang w:val="en-IE" w:eastAsia="fr-BE"/>
        </w:rPr>
        <w:t>）に</w:t>
      </w:r>
      <w:r w:rsidR="00C80AF9" w:rsidRPr="00DF5C23">
        <w:rPr>
          <w:noProof/>
          <w:lang w:val="en-IE" w:eastAsia="fr-BE"/>
        </w:rPr>
        <w:t>基づく要件は、</w:t>
      </w:r>
      <w:r w:rsidR="005C7C0C" w:rsidRPr="00DF5C23">
        <w:rPr>
          <w:noProof/>
          <w:lang w:val="en-IE" w:eastAsia="fr-BE"/>
        </w:rPr>
        <w:t>適宜、</w:t>
      </w:r>
      <w:r w:rsidR="009B0743" w:rsidRPr="00DF5C23">
        <w:rPr>
          <w:noProof/>
          <w:lang w:val="en-IE" w:eastAsia="fr-BE"/>
        </w:rPr>
        <w:t>必須の</w:t>
      </w:r>
      <w:r w:rsidR="005C7C0C" w:rsidRPr="00DF5C23">
        <w:rPr>
          <w:noProof/>
          <w:lang w:val="en-IE" w:eastAsia="fr-BE"/>
        </w:rPr>
        <w:t>技術仕様、選定基準、授与基準、契約履行条項又は目標の</w:t>
      </w:r>
      <w:r w:rsidR="009B0743" w:rsidRPr="00DF5C23">
        <w:rPr>
          <w:noProof/>
          <w:lang w:val="en-IE" w:eastAsia="fr-BE"/>
        </w:rPr>
        <w:t>形態をとる</w:t>
      </w:r>
      <w:r w:rsidR="005C7C0C" w:rsidRPr="00DF5C23">
        <w:rPr>
          <w:noProof/>
          <w:lang w:val="en-IE" w:eastAsia="fr-BE"/>
        </w:rPr>
        <w:t>ことがある。</w:t>
      </w:r>
      <w:r w:rsidR="005C7C0C" w:rsidRPr="00DF5C23">
        <w:rPr>
          <w:noProof/>
          <w:lang w:val="en-IE" w:eastAsia="fr-BE"/>
        </w:rPr>
        <w:t xml:space="preserve"> </w:t>
      </w:r>
    </w:p>
    <w:p w14:paraId="5989968A" w14:textId="77777777" w:rsidR="0038775E" w:rsidRDefault="00877B9C" w:rsidP="002041D4">
      <w:pPr>
        <w:pStyle w:val="ManualNumPar1"/>
        <w:wordWrap w:val="0"/>
        <w:rPr>
          <w:noProof/>
          <w:lang w:val="en-IE" w:eastAsia="fr-BE"/>
        </w:rPr>
      </w:pPr>
      <w:r w:rsidRPr="004F5E59">
        <w:rPr>
          <w:lang w:eastAsia="ja-JP"/>
        </w:rPr>
        <w:t>2.</w:t>
      </w:r>
      <w:r w:rsidRPr="004F5E59">
        <w:rPr>
          <w:lang w:eastAsia="ja-JP"/>
        </w:rPr>
        <w:tab/>
      </w:r>
      <w:r w:rsidR="000E71D4" w:rsidRPr="00DF5C23">
        <w:rPr>
          <w:noProof/>
          <w:lang w:val="en-IE" w:eastAsia="fr-BE"/>
        </w:rPr>
        <w:t>委員会は、公</w:t>
      </w:r>
      <w:r w:rsidR="00881AB3" w:rsidRPr="00DF5C23">
        <w:rPr>
          <w:noProof/>
          <w:lang w:val="en-IE" w:eastAsia="fr-BE"/>
        </w:rPr>
        <w:t>契約について第</w:t>
      </w:r>
      <w:r w:rsidR="00881AB3" w:rsidRPr="00DF5C23">
        <w:rPr>
          <w:noProof/>
          <w:lang w:val="en-IE" w:eastAsia="fr-BE"/>
        </w:rPr>
        <w:t>4</w:t>
      </w:r>
      <w:r w:rsidR="00881AB3" w:rsidRPr="00DF5C23">
        <w:rPr>
          <w:noProof/>
          <w:lang w:val="en-IE" w:eastAsia="fr-BE"/>
        </w:rPr>
        <w:t>条</w:t>
      </w:r>
      <w:r w:rsidR="002438E5" w:rsidRPr="00DF5C23">
        <w:rPr>
          <w:noProof/>
          <w:lang w:val="en-IE" w:eastAsia="fr-BE"/>
        </w:rPr>
        <w:t>第</w:t>
      </w:r>
      <w:r w:rsidR="002438E5" w:rsidRPr="00DF5C23">
        <w:rPr>
          <w:noProof/>
          <w:lang w:val="en-IE" w:eastAsia="fr-BE"/>
        </w:rPr>
        <w:t>3</w:t>
      </w:r>
      <w:r w:rsidR="002438E5" w:rsidRPr="00DF5C23">
        <w:rPr>
          <w:noProof/>
          <w:lang w:val="en-IE" w:eastAsia="fr-BE"/>
        </w:rPr>
        <w:t>号</w:t>
      </w:r>
      <w:r w:rsidR="00881AB3" w:rsidRPr="00DF5C23">
        <w:rPr>
          <w:noProof/>
          <w:lang w:val="en-IE" w:eastAsia="fr-BE"/>
        </w:rPr>
        <w:t>チの規定による要件を</w:t>
      </w:r>
      <w:r w:rsidR="000E71D4" w:rsidRPr="00DF5C23">
        <w:rPr>
          <w:noProof/>
          <w:lang w:val="en-IE" w:eastAsia="fr-BE"/>
        </w:rPr>
        <w:t>定める場合、</w:t>
      </w:r>
      <w:r w:rsidR="00F53621" w:rsidRPr="00DF5C23">
        <w:rPr>
          <w:noProof/>
          <w:lang w:val="en-IE" w:eastAsia="fr-BE"/>
        </w:rPr>
        <w:t>次の基準を考慮するものとする</w:t>
      </w:r>
      <w:r w:rsidR="000E71D4" w:rsidRPr="00DF5C23">
        <w:rPr>
          <w:noProof/>
          <w:lang w:val="en-IE" w:eastAsia="fr-BE"/>
        </w:rPr>
        <w:t>：</w:t>
      </w:r>
    </w:p>
    <w:p w14:paraId="0E612332" w14:textId="77777777" w:rsidR="0038775E" w:rsidRDefault="00877B9C" w:rsidP="002041D4">
      <w:pPr>
        <w:pStyle w:val="Point1"/>
        <w:wordWrap w:val="0"/>
        <w:rPr>
          <w:noProof/>
          <w:lang w:eastAsia="fr-BE"/>
        </w:rPr>
      </w:pPr>
      <w:r w:rsidRPr="004F5E59">
        <w:rPr>
          <w:lang w:eastAsia="ja-JP"/>
        </w:rPr>
        <w:t>(a)</w:t>
      </w:r>
      <w:r w:rsidRPr="004F5E59">
        <w:rPr>
          <w:lang w:eastAsia="ja-JP"/>
        </w:rPr>
        <w:tab/>
      </w:r>
      <w:r w:rsidR="00881AB3" w:rsidRPr="00DF5C23">
        <w:rPr>
          <w:noProof/>
          <w:lang w:eastAsia="fr-BE"/>
        </w:rPr>
        <w:t>その製品グループ、またはその製品グループを使用するサービスや工事に関して締結された公共契約の金額と量；</w:t>
      </w:r>
      <w:r w:rsidR="00881AB3" w:rsidRPr="00DF5C23">
        <w:rPr>
          <w:noProof/>
          <w:lang w:eastAsia="fr-BE"/>
        </w:rPr>
        <w:t xml:space="preserve"> </w:t>
      </w:r>
    </w:p>
    <w:p w14:paraId="3F9000B1" w14:textId="77777777" w:rsidR="0038775E" w:rsidRDefault="00877B9C" w:rsidP="002041D4">
      <w:pPr>
        <w:pStyle w:val="Point1"/>
        <w:wordWrap w:val="0"/>
        <w:rPr>
          <w:noProof/>
          <w:lang w:eastAsia="fr-BE"/>
        </w:rPr>
      </w:pPr>
      <w:r w:rsidRPr="004F5E59">
        <w:rPr>
          <w:lang w:eastAsia="ja-JP"/>
        </w:rPr>
        <w:t>(b)</w:t>
      </w:r>
      <w:r w:rsidRPr="004F5E59">
        <w:rPr>
          <w:lang w:eastAsia="ja-JP"/>
        </w:rPr>
        <w:tab/>
      </w:r>
      <w:r w:rsidR="00881AB3" w:rsidRPr="00DF5C23">
        <w:rPr>
          <w:noProof/>
          <w:lang w:eastAsia="fr-BE"/>
        </w:rPr>
        <w:t>より環境的に持続可能な製品に対する十分な需要を確保する必要があること；</w:t>
      </w:r>
      <w:r w:rsidR="00881AB3" w:rsidRPr="00DF5C23">
        <w:rPr>
          <w:noProof/>
          <w:lang w:eastAsia="fr-BE"/>
        </w:rPr>
        <w:t xml:space="preserve"> </w:t>
      </w:r>
    </w:p>
    <w:p w14:paraId="127763BD" w14:textId="77777777" w:rsidR="0038775E" w:rsidRDefault="00877B9C" w:rsidP="002041D4">
      <w:pPr>
        <w:pStyle w:val="Point1"/>
        <w:wordWrap w:val="0"/>
        <w:rPr>
          <w:noProof/>
          <w:lang w:eastAsia="fr-BE"/>
        </w:rPr>
      </w:pPr>
      <w:r w:rsidRPr="004F5E59">
        <w:rPr>
          <w:lang w:eastAsia="ja-JP"/>
        </w:rPr>
        <w:t>(c)</w:t>
      </w:r>
      <w:r w:rsidRPr="004F5E59">
        <w:rPr>
          <w:lang w:eastAsia="ja-JP"/>
        </w:rPr>
        <w:tab/>
      </w:r>
      <w:r w:rsidR="00E97C3A" w:rsidRPr="00DF5C23">
        <w:rPr>
          <w:noProof/>
          <w:lang w:eastAsia="fr-BE"/>
        </w:rPr>
        <w:t>契約当局または契約団体が、不釣り合いなコストを伴わずに、より環境的に持続可能な製品を購入するための経済的実現可能性。</w:t>
      </w:r>
    </w:p>
    <w:p w14:paraId="093A108C" w14:textId="77777777" w:rsidR="0038775E" w:rsidRDefault="00A625AD" w:rsidP="002041D4">
      <w:pPr>
        <w:pStyle w:val="ManualHeading1"/>
        <w:wordWrap w:val="0"/>
        <w:jc w:val="center"/>
        <w:rPr>
          <w:noProof/>
          <w:lang w:val="fr-BE" w:eastAsia="ja-JP"/>
        </w:rPr>
      </w:pPr>
      <w:r w:rsidRPr="00DF5C23">
        <w:rPr>
          <w:noProof/>
          <w:lang w:val="fr-BE" w:eastAsia="ja-JP"/>
        </w:rPr>
        <w:lastRenderedPageBreak/>
        <w:t>第</w:t>
      </w:r>
      <w:r w:rsidRPr="00DF5C23">
        <w:rPr>
          <w:noProof/>
          <w:lang w:val="fr-BE" w:eastAsia="ja-JP"/>
        </w:rPr>
        <w:t>XI</w:t>
      </w:r>
      <w:r w:rsidR="00877B9C" w:rsidRPr="00DF5C23">
        <w:rPr>
          <w:noProof/>
          <w:lang w:val="fr-BE" w:eastAsia="ja-JP"/>
        </w:rPr>
        <w:t>章</w:t>
      </w:r>
      <w:r w:rsidR="00877B9C" w:rsidRPr="00DF5C23">
        <w:rPr>
          <w:noProof/>
          <w:lang w:val="fr-BE" w:eastAsia="ja-JP"/>
        </w:rPr>
        <w:t xml:space="preserve"> </w:t>
      </w:r>
      <w:r w:rsidR="00877B9C" w:rsidRPr="00DF5C23">
        <w:rPr>
          <w:noProof/>
          <w:lang w:val="fr-BE" w:eastAsia="ja-JP"/>
        </w:rPr>
        <w:t>市場監視</w:t>
      </w:r>
      <w:r w:rsidR="00877B9C" w:rsidRPr="00DF5C23">
        <w:rPr>
          <w:noProof/>
          <w:lang w:val="fr-BE" w:eastAsia="ja-JP"/>
        </w:rPr>
        <w:t xml:space="preserve">  </w:t>
      </w:r>
    </w:p>
    <w:p w14:paraId="139977E5" w14:textId="77777777" w:rsidR="0038775E" w:rsidRDefault="00565D97" w:rsidP="002041D4">
      <w:pPr>
        <w:pStyle w:val="Titrearticle"/>
        <w:wordWrap w:val="0"/>
        <w:rPr>
          <w:noProof/>
          <w:lang w:val="fr-BE" w:eastAsia="fr-BE"/>
        </w:rPr>
      </w:pPr>
      <w:r w:rsidRPr="00DF5C23">
        <w:rPr>
          <w:noProof/>
          <w:lang w:val="fr-BE" w:eastAsia="fr-BE"/>
        </w:rPr>
        <w:t>第</w:t>
      </w:r>
      <w:r w:rsidRPr="00DF5C23">
        <w:rPr>
          <w:noProof/>
          <w:lang w:val="fr-BE" w:eastAsia="fr-BE"/>
        </w:rPr>
        <w:t>59</w:t>
      </w:r>
      <w:r w:rsidR="00877B9C" w:rsidRPr="00DF5C23">
        <w:rPr>
          <w:noProof/>
          <w:lang w:val="fr-BE" w:eastAsia="fr-BE"/>
        </w:rPr>
        <w:t>条</w:t>
      </w:r>
      <w:r w:rsidR="00877B9C" w:rsidRPr="00DF5C23">
        <w:rPr>
          <w:noProof/>
          <w:lang w:val="fr-BE" w:eastAsia="ja-JP"/>
        </w:rPr>
        <w:br/>
      </w:r>
      <w:r w:rsidR="00877B9C" w:rsidRPr="00DF5C23">
        <w:rPr>
          <w:noProof/>
          <w:lang w:val="fr-BE" w:eastAsia="fr-BE"/>
        </w:rPr>
        <w:t>市場サーベイランスの</w:t>
      </w:r>
      <w:r w:rsidR="00EE36AA" w:rsidRPr="00DF5C23">
        <w:rPr>
          <w:noProof/>
          <w:lang w:val="fr-BE" w:eastAsia="fr-BE"/>
        </w:rPr>
        <w:t>行動</w:t>
      </w:r>
      <w:r w:rsidR="00877B9C" w:rsidRPr="00DF5C23">
        <w:rPr>
          <w:noProof/>
          <w:lang w:val="fr-BE" w:eastAsia="fr-BE"/>
        </w:rPr>
        <w:t>計画</w:t>
      </w:r>
      <w:r w:rsidR="00877B9C" w:rsidRPr="00DF5C23">
        <w:rPr>
          <w:noProof/>
          <w:lang w:val="fr-BE" w:eastAsia="fr-BE"/>
        </w:rPr>
        <w:t xml:space="preserve"> </w:t>
      </w:r>
    </w:p>
    <w:p w14:paraId="0199460A" w14:textId="77777777" w:rsidR="0038775E" w:rsidRDefault="00877B9C" w:rsidP="002041D4">
      <w:pPr>
        <w:pStyle w:val="ManualNumPar1"/>
        <w:wordWrap w:val="0"/>
        <w:rPr>
          <w:noProof/>
          <w:lang w:val="en-IE" w:eastAsia="ja-JP"/>
        </w:rPr>
      </w:pPr>
      <w:r w:rsidRPr="004F5E59">
        <w:rPr>
          <w:lang w:eastAsia="ja-JP"/>
        </w:rPr>
        <w:t>1.</w:t>
      </w:r>
      <w:r w:rsidRPr="004F5E59">
        <w:rPr>
          <w:lang w:eastAsia="ja-JP"/>
        </w:rPr>
        <w:tab/>
      </w:r>
      <w:r w:rsidR="00B44AB1" w:rsidRPr="00DF5C23">
        <w:rPr>
          <w:noProof/>
          <w:lang w:val="en-IE" w:eastAsia="fr-BE"/>
        </w:rPr>
        <w:t>規則</w:t>
      </w:r>
      <w:r w:rsidR="00E22445" w:rsidRPr="00DF5C23">
        <w:rPr>
          <w:noProof/>
          <w:lang w:val="en-IE" w:eastAsia="fr-BE"/>
        </w:rPr>
        <w:t>（</w:t>
      </w:r>
      <w:r w:rsidR="00E22445" w:rsidRPr="00DF5C23">
        <w:rPr>
          <w:noProof/>
          <w:lang w:val="en-IE" w:eastAsia="fr-BE"/>
        </w:rPr>
        <w:t>EU</w:t>
      </w:r>
      <w:r w:rsidR="00E22445" w:rsidRPr="00DF5C23">
        <w:rPr>
          <w:noProof/>
          <w:lang w:val="en-IE" w:eastAsia="fr-BE"/>
        </w:rPr>
        <w:t>）</w:t>
      </w:r>
      <w:r w:rsidR="00B44AB1" w:rsidRPr="00DF5C23">
        <w:rPr>
          <w:noProof/>
          <w:lang w:val="en-IE" w:eastAsia="fr-BE"/>
        </w:rPr>
        <w:t>2019/1020</w:t>
      </w:r>
      <w:r w:rsidR="00B44AB1" w:rsidRPr="00DF5C23">
        <w:rPr>
          <w:noProof/>
          <w:lang w:val="en-IE" w:eastAsia="fr-BE"/>
        </w:rPr>
        <w:t>の第</w:t>
      </w:r>
      <w:r w:rsidR="00B44AB1" w:rsidRPr="00DF5C23">
        <w:rPr>
          <w:noProof/>
          <w:lang w:val="en-IE" w:eastAsia="fr-BE"/>
        </w:rPr>
        <w:t>13</w:t>
      </w:r>
      <w:r w:rsidR="00B44AB1" w:rsidRPr="00DF5C23">
        <w:rPr>
          <w:noProof/>
          <w:lang w:val="en-IE" w:eastAsia="fr-BE"/>
        </w:rPr>
        <w:t>条を損なうことなく、各加盟国は、</w:t>
      </w:r>
      <w:r w:rsidR="0681B866" w:rsidRPr="00DF5C23">
        <w:rPr>
          <w:noProof/>
          <w:lang w:val="en-IE" w:eastAsia="ja-JP"/>
        </w:rPr>
        <w:t>少なくとも</w:t>
      </w:r>
      <w:r w:rsidR="00A95884" w:rsidRPr="00DF5C23">
        <w:rPr>
          <w:noProof/>
          <w:lang w:val="en-IE" w:eastAsia="ja-JP"/>
        </w:rPr>
        <w:t>2</w:t>
      </w:r>
      <w:r w:rsidR="0681B866" w:rsidRPr="00DF5C23">
        <w:rPr>
          <w:noProof/>
          <w:lang w:val="en-IE" w:eastAsia="ja-JP"/>
        </w:rPr>
        <w:t>年ごとに、</w:t>
      </w:r>
      <w:r w:rsidR="00B44AB1" w:rsidRPr="00DF5C23">
        <w:rPr>
          <w:noProof/>
          <w:lang w:val="en-IE" w:eastAsia="ja-JP"/>
        </w:rPr>
        <w:t>本規則及び</w:t>
      </w:r>
      <w:r w:rsidR="00850318" w:rsidRPr="00DF5C23">
        <w:rPr>
          <w:noProof/>
          <w:lang w:val="en-IE" w:eastAsia="fr-BE"/>
        </w:rPr>
        <w:t>第</w:t>
      </w:r>
      <w:r w:rsidR="00850318" w:rsidRPr="00DF5C23">
        <w:rPr>
          <w:noProof/>
          <w:lang w:val="en-IE" w:eastAsia="fr-BE"/>
        </w:rPr>
        <w:t>4</w:t>
      </w:r>
      <w:r w:rsidR="00850318" w:rsidRPr="00DF5C23">
        <w:rPr>
          <w:noProof/>
          <w:lang w:val="en-IE" w:eastAsia="fr-BE"/>
        </w:rPr>
        <w:t>条に従って採択された</w:t>
      </w:r>
      <w:r w:rsidR="0681B866" w:rsidRPr="00DF5C23">
        <w:rPr>
          <w:noProof/>
          <w:lang w:val="en-IE" w:eastAsia="fr-BE"/>
        </w:rPr>
        <w:t>委任行為に関連して</w:t>
      </w:r>
      <w:r w:rsidR="00B44AB1" w:rsidRPr="00DF5C23">
        <w:rPr>
          <w:noProof/>
          <w:lang w:val="en-IE" w:eastAsia="fr-BE"/>
        </w:rPr>
        <w:t>適切な</w:t>
      </w:r>
      <w:r w:rsidR="00B44AB1" w:rsidRPr="00DF5C23">
        <w:rPr>
          <w:noProof/>
          <w:lang w:val="en-IE" w:eastAsia="ja-JP"/>
        </w:rPr>
        <w:t>チェックが適切な規模で行われることを</w:t>
      </w:r>
      <w:r w:rsidR="0681B866" w:rsidRPr="00DF5C23">
        <w:rPr>
          <w:noProof/>
          <w:lang w:val="en-IE" w:eastAsia="fr-BE"/>
        </w:rPr>
        <w:t>確保するために計画される市場監視活動の概要を示す</w:t>
      </w:r>
      <w:r w:rsidR="0681B866" w:rsidRPr="00DF5C23">
        <w:rPr>
          <w:noProof/>
          <w:lang w:val="en-IE" w:eastAsia="ja-JP"/>
        </w:rPr>
        <w:t>行動計画を作成するものとする。各加盟国は、［</w:t>
      </w:r>
      <w:r w:rsidR="0681B866" w:rsidRPr="00DF5C23">
        <w:rPr>
          <w:noProof/>
          <w:lang w:val="en-IE" w:eastAsia="ja-JP"/>
        </w:rPr>
        <w:t>2024</w:t>
      </w:r>
      <w:r w:rsidR="0681B866" w:rsidRPr="00DF5C23">
        <w:rPr>
          <w:noProof/>
          <w:lang w:val="en-IE" w:eastAsia="ja-JP"/>
        </w:rPr>
        <w:t>年</w:t>
      </w:r>
      <w:r w:rsidR="0681B866" w:rsidRPr="00DF5C23">
        <w:rPr>
          <w:noProof/>
          <w:lang w:val="en-IE" w:eastAsia="ja-JP"/>
        </w:rPr>
        <w:t>7</w:t>
      </w:r>
      <w:r w:rsidR="0681B866" w:rsidRPr="00DF5C23">
        <w:rPr>
          <w:noProof/>
          <w:lang w:val="en-IE" w:eastAsia="ja-JP"/>
        </w:rPr>
        <w:t>月</w:t>
      </w:r>
      <w:r w:rsidR="0681B866" w:rsidRPr="00DF5C23">
        <w:rPr>
          <w:noProof/>
          <w:lang w:val="en-IE" w:eastAsia="ja-JP"/>
        </w:rPr>
        <w:t>16</w:t>
      </w:r>
      <w:r w:rsidR="0681B866" w:rsidRPr="00DF5C23">
        <w:rPr>
          <w:noProof/>
          <w:lang w:val="en-IE" w:eastAsia="ja-JP"/>
        </w:rPr>
        <w:t>日］までに、当該最初の行動計画を作成するものとする。</w:t>
      </w:r>
    </w:p>
    <w:p w14:paraId="7020A9CC" w14:textId="77777777" w:rsidR="0038775E" w:rsidRDefault="00877B9C" w:rsidP="002041D4">
      <w:pPr>
        <w:pStyle w:val="Text1"/>
        <w:wordWrap w:val="0"/>
        <w:rPr>
          <w:noProof/>
          <w:lang w:eastAsia="fr-BE"/>
        </w:rPr>
      </w:pPr>
      <w:r w:rsidRPr="00DF5C23">
        <w:rPr>
          <w:noProof/>
          <w:lang w:eastAsia="fr-BE"/>
        </w:rPr>
        <w:t>第</w:t>
      </w:r>
      <w:r w:rsidRPr="00DF5C23">
        <w:rPr>
          <w:noProof/>
          <w:lang w:eastAsia="fr-BE"/>
        </w:rPr>
        <w:t>1</w:t>
      </w:r>
      <w:r w:rsidRPr="00DF5C23">
        <w:rPr>
          <w:noProof/>
          <w:lang w:eastAsia="fr-BE"/>
        </w:rPr>
        <w:t>項の行動計画には、少なくとも、以下の内容が含まれるものとする：</w:t>
      </w:r>
      <w:r w:rsidRPr="00DF5C23">
        <w:rPr>
          <w:noProof/>
          <w:lang w:eastAsia="fr-BE"/>
        </w:rPr>
        <w:t xml:space="preserve"> </w:t>
      </w:r>
    </w:p>
    <w:p w14:paraId="301EF1D8" w14:textId="77777777" w:rsidR="0038775E" w:rsidRDefault="00877B9C" w:rsidP="002041D4">
      <w:pPr>
        <w:pStyle w:val="Point1"/>
        <w:wordWrap w:val="0"/>
        <w:rPr>
          <w:noProof/>
          <w:lang w:val="en-IE" w:eastAsia="fr-BE"/>
        </w:rPr>
      </w:pPr>
      <w:r w:rsidRPr="004F5E59">
        <w:rPr>
          <w:lang w:eastAsia="ja-JP"/>
        </w:rPr>
        <w:t>(a)</w:t>
      </w:r>
      <w:r w:rsidRPr="004F5E59">
        <w:rPr>
          <w:lang w:eastAsia="ja-JP"/>
        </w:rPr>
        <w:tab/>
      </w:r>
      <w:r w:rsidR="00137517" w:rsidRPr="00DF5C23">
        <w:rPr>
          <w:noProof/>
          <w:lang w:val="en-IE" w:eastAsia="fr-BE"/>
        </w:rPr>
        <w:t>第</w:t>
      </w:r>
      <w:r w:rsidR="00137517" w:rsidRPr="00DF5C23">
        <w:rPr>
          <w:noProof/>
          <w:lang w:val="en-IE" w:eastAsia="fr-BE"/>
        </w:rPr>
        <w:t>62</w:t>
      </w:r>
      <w:r w:rsidR="00137517" w:rsidRPr="00DF5C23">
        <w:rPr>
          <w:noProof/>
          <w:lang w:val="en-IE" w:eastAsia="fr-BE"/>
        </w:rPr>
        <w:t>条</w:t>
      </w:r>
      <w:r w:rsidR="00A47A4B" w:rsidRPr="00DF5C23">
        <w:rPr>
          <w:noProof/>
          <w:lang w:val="en-IE" w:eastAsia="fr-BE"/>
        </w:rPr>
        <w:t>第</w:t>
      </w:r>
      <w:r w:rsidR="00A47A4B" w:rsidRPr="00DF5C23">
        <w:rPr>
          <w:noProof/>
          <w:lang w:val="en-IE" w:eastAsia="fr-BE"/>
        </w:rPr>
        <w:t>1</w:t>
      </w:r>
      <w:r w:rsidR="00A47A4B" w:rsidRPr="00DF5C23">
        <w:rPr>
          <w:noProof/>
          <w:lang w:val="en-IE" w:eastAsia="fr-BE"/>
        </w:rPr>
        <w:t>項第</w:t>
      </w:r>
      <w:r w:rsidR="00A47A4B" w:rsidRPr="00DF5C23">
        <w:rPr>
          <w:noProof/>
          <w:lang w:val="en-IE" w:eastAsia="fr-BE"/>
        </w:rPr>
        <w:t>(a)</w:t>
      </w:r>
      <w:r w:rsidR="00A47A4B" w:rsidRPr="00DF5C23">
        <w:rPr>
          <w:noProof/>
          <w:lang w:val="en-IE" w:eastAsia="fr-BE"/>
        </w:rPr>
        <w:t>号に基づき行政協力グループにより特定された共通の優先事項を考慮し、第</w:t>
      </w:r>
      <w:r w:rsidR="00A47A4B" w:rsidRPr="00DF5C23">
        <w:rPr>
          <w:noProof/>
          <w:lang w:val="en-IE" w:eastAsia="fr-BE"/>
        </w:rPr>
        <w:t>5</w:t>
      </w:r>
      <w:r w:rsidR="00A47A4B" w:rsidRPr="00DF5C23">
        <w:rPr>
          <w:noProof/>
          <w:lang w:val="en-IE" w:eastAsia="fr-BE"/>
        </w:rPr>
        <w:t>項の実施法に基づき</w:t>
      </w:r>
      <w:r w:rsidR="00A47A4B" w:rsidRPr="00DF5C23">
        <w:rPr>
          <w:noProof/>
          <w:lang w:eastAsia="fr-BE"/>
        </w:rPr>
        <w:t>、</w:t>
      </w:r>
      <w:r w:rsidR="00A47A4B" w:rsidRPr="00DF5C23">
        <w:rPr>
          <w:noProof/>
          <w:lang w:val="en-IE" w:eastAsia="fr-BE"/>
        </w:rPr>
        <w:t>市場監視の優先事項として特定された製品又は要求事項をいう；</w:t>
      </w:r>
    </w:p>
    <w:p w14:paraId="2E30BEB7" w14:textId="77777777" w:rsidR="0038775E" w:rsidRDefault="00877B9C" w:rsidP="002041D4">
      <w:pPr>
        <w:pStyle w:val="Point1"/>
        <w:wordWrap w:val="0"/>
        <w:rPr>
          <w:noProof/>
          <w:lang w:eastAsia="fr-BE"/>
        </w:rPr>
      </w:pPr>
      <w:r w:rsidRPr="004F5E59">
        <w:rPr>
          <w:lang w:eastAsia="ja-JP"/>
        </w:rPr>
        <w:t>(b)</w:t>
      </w:r>
      <w:r w:rsidRPr="004F5E59">
        <w:rPr>
          <w:lang w:eastAsia="ja-JP"/>
        </w:rPr>
        <w:tab/>
      </w:r>
      <w:r w:rsidR="00A47A4B" w:rsidRPr="00DF5C23">
        <w:rPr>
          <w:noProof/>
          <w:lang w:val="en-IE" w:eastAsia="fr-BE"/>
        </w:rPr>
        <w:t>優先事項として特定された製品または要求事項のコンプライアンス違反を減らすために計画された市場監視活動（行動計画の対象期間中に実施されるチェックの性質と最小数を含む）。</w:t>
      </w:r>
      <w:r w:rsidR="00A47A4B" w:rsidRPr="00DF5C23">
        <w:rPr>
          <w:noProof/>
          <w:lang w:val="en-IE" w:eastAsia="fr-BE"/>
        </w:rPr>
        <w:t xml:space="preserve"> </w:t>
      </w:r>
    </w:p>
    <w:p w14:paraId="1F1144C1" w14:textId="77777777" w:rsidR="0038775E" w:rsidRDefault="00877B9C" w:rsidP="002041D4">
      <w:pPr>
        <w:pStyle w:val="ManualNumPar1"/>
        <w:wordWrap w:val="0"/>
        <w:rPr>
          <w:noProof/>
          <w:lang w:val="en-IE" w:eastAsia="fr-BE"/>
        </w:rPr>
      </w:pPr>
      <w:r w:rsidRPr="004F5E59">
        <w:rPr>
          <w:lang w:eastAsia="ja-JP"/>
        </w:rPr>
        <w:t>2.</w:t>
      </w:r>
      <w:r w:rsidRPr="004F5E59">
        <w:rPr>
          <w:lang w:eastAsia="ja-JP"/>
        </w:rPr>
        <w:tab/>
      </w:r>
      <w:r w:rsidR="00A47A4B" w:rsidRPr="00DF5C23">
        <w:rPr>
          <w:noProof/>
          <w:lang w:val="en-IE" w:eastAsia="fr-BE"/>
        </w:rPr>
        <w:t>第</w:t>
      </w:r>
      <w:r w:rsidR="00A47A4B" w:rsidRPr="00DF5C23">
        <w:rPr>
          <w:noProof/>
          <w:lang w:val="en-IE" w:eastAsia="fr-BE"/>
        </w:rPr>
        <w:t>1</w:t>
      </w:r>
      <w:r w:rsidR="00A47A4B" w:rsidRPr="00DF5C23">
        <w:rPr>
          <w:noProof/>
          <w:lang w:val="en-IE" w:eastAsia="fr-BE"/>
        </w:rPr>
        <w:t>項第</w:t>
      </w:r>
      <w:r w:rsidR="00A47A4B" w:rsidRPr="00DF5C23">
        <w:rPr>
          <w:noProof/>
          <w:lang w:val="en-IE" w:eastAsia="fr-BE"/>
        </w:rPr>
        <w:t>(a)</w:t>
      </w:r>
      <w:r w:rsidR="00A47A4B" w:rsidRPr="00DF5C23">
        <w:rPr>
          <w:noProof/>
          <w:lang w:val="en-IE" w:eastAsia="fr-BE"/>
        </w:rPr>
        <w:t>号にいう市場サーベイランスの優先順位は、以下のような客観的な基準に基づいて特定されるものとする：</w:t>
      </w:r>
      <w:r w:rsidR="00A47A4B" w:rsidRPr="00DF5C23">
        <w:rPr>
          <w:noProof/>
          <w:lang w:val="en-IE" w:eastAsia="fr-BE"/>
        </w:rPr>
        <w:t xml:space="preserve"> </w:t>
      </w:r>
    </w:p>
    <w:p w14:paraId="74876485" w14:textId="77777777" w:rsidR="0038775E" w:rsidRDefault="00877B9C" w:rsidP="002041D4">
      <w:pPr>
        <w:pStyle w:val="Point1"/>
        <w:wordWrap w:val="0"/>
        <w:rPr>
          <w:noProof/>
          <w:lang w:val="en-IE" w:eastAsia="fr-BE"/>
        </w:rPr>
      </w:pPr>
      <w:r w:rsidRPr="004F5E59">
        <w:rPr>
          <w:lang w:eastAsia="ja-JP"/>
        </w:rPr>
        <w:t>(a)</w:t>
      </w:r>
      <w:r w:rsidRPr="004F5E59">
        <w:rPr>
          <w:lang w:eastAsia="ja-JP"/>
        </w:rPr>
        <w:tab/>
      </w:r>
      <w:r w:rsidR="00A47A4B" w:rsidRPr="00DF5C23">
        <w:rPr>
          <w:noProof/>
          <w:lang w:val="en-IE" w:eastAsia="fr-BE"/>
        </w:rPr>
        <w:t>市場で観察されるコンプライアンス違反のレベル；</w:t>
      </w:r>
    </w:p>
    <w:p w14:paraId="09283C4E" w14:textId="77777777" w:rsidR="0038775E" w:rsidRDefault="00877B9C" w:rsidP="002041D4">
      <w:pPr>
        <w:pStyle w:val="Point1"/>
        <w:wordWrap w:val="0"/>
        <w:rPr>
          <w:noProof/>
          <w:lang w:val="en-IE" w:eastAsia="fr-BE"/>
        </w:rPr>
      </w:pPr>
      <w:r w:rsidRPr="004F5E59">
        <w:rPr>
          <w:lang w:eastAsia="ja-JP"/>
        </w:rPr>
        <w:t>(b)</w:t>
      </w:r>
      <w:r w:rsidRPr="004F5E59">
        <w:rPr>
          <w:lang w:eastAsia="ja-JP"/>
        </w:rPr>
        <w:tab/>
      </w:r>
      <w:r w:rsidR="00A47A4B" w:rsidRPr="00DF5C23">
        <w:rPr>
          <w:noProof/>
          <w:lang w:val="en-IE" w:eastAsia="fr-BE"/>
        </w:rPr>
        <w:t>コンプライアンス違反が環境に与える影響</w:t>
      </w:r>
    </w:p>
    <w:p w14:paraId="679E24B8" w14:textId="77777777" w:rsidR="0038775E" w:rsidRDefault="00877B9C" w:rsidP="002041D4">
      <w:pPr>
        <w:pStyle w:val="Point1"/>
        <w:wordWrap w:val="0"/>
        <w:rPr>
          <w:noProof/>
          <w:lang w:val="en-IE" w:eastAsia="fr-BE"/>
        </w:rPr>
      </w:pPr>
      <w:r w:rsidRPr="004F5E59">
        <w:rPr>
          <w:lang w:eastAsia="ja-JP"/>
        </w:rPr>
        <w:t>(c)</w:t>
      </w:r>
      <w:r w:rsidRPr="004F5E59">
        <w:rPr>
          <w:lang w:eastAsia="ja-JP"/>
        </w:rPr>
        <w:tab/>
      </w:r>
      <w:r w:rsidR="00A47A4B" w:rsidRPr="00DF5C23">
        <w:rPr>
          <w:noProof/>
          <w:lang w:val="en-IE" w:eastAsia="fr-BE"/>
        </w:rPr>
        <w:t>国内市場で入手可能になった関連製品の数。</w:t>
      </w:r>
    </w:p>
    <w:p w14:paraId="38F3A360" w14:textId="77777777" w:rsidR="0038775E" w:rsidRDefault="00877B9C" w:rsidP="002041D4">
      <w:pPr>
        <w:pStyle w:val="Point1"/>
        <w:wordWrap w:val="0"/>
        <w:rPr>
          <w:noProof/>
          <w:lang w:val="en-IE" w:eastAsia="fr-BE"/>
        </w:rPr>
      </w:pPr>
      <w:r w:rsidRPr="004F5E59">
        <w:rPr>
          <w:lang w:eastAsia="ja-JP"/>
        </w:rPr>
        <w:t>(d)</w:t>
      </w:r>
      <w:r w:rsidRPr="004F5E59">
        <w:rPr>
          <w:lang w:eastAsia="ja-JP"/>
        </w:rPr>
        <w:tab/>
      </w:r>
      <w:r w:rsidR="00A47A4B" w:rsidRPr="00DF5C23">
        <w:rPr>
          <w:noProof/>
          <w:lang w:val="en-IE" w:eastAsia="fr-BE"/>
        </w:rPr>
        <w:t>これらの市場で活動する関連経済事業者の数。</w:t>
      </w:r>
      <w:r w:rsidR="00A47A4B" w:rsidRPr="00DF5C23">
        <w:rPr>
          <w:noProof/>
          <w:lang w:val="en-IE" w:eastAsia="fr-BE"/>
        </w:rPr>
        <w:t xml:space="preserve">  </w:t>
      </w:r>
    </w:p>
    <w:p w14:paraId="75CF6F5D" w14:textId="77777777" w:rsidR="0038775E" w:rsidRDefault="00877B9C" w:rsidP="002041D4">
      <w:pPr>
        <w:pStyle w:val="ManualNumPar1"/>
        <w:wordWrap w:val="0"/>
        <w:rPr>
          <w:noProof/>
          <w:lang w:eastAsia="fr-BE"/>
        </w:rPr>
      </w:pPr>
      <w:r w:rsidRPr="004F5E59">
        <w:rPr>
          <w:lang w:eastAsia="ja-JP"/>
        </w:rPr>
        <w:t>3.</w:t>
      </w:r>
      <w:r w:rsidRPr="004F5E59">
        <w:rPr>
          <w:lang w:eastAsia="ja-JP"/>
        </w:rPr>
        <w:tab/>
      </w:r>
      <w:r w:rsidR="00A47A4B" w:rsidRPr="00DF5C23">
        <w:rPr>
          <w:noProof/>
          <w:lang w:eastAsia="fr-BE"/>
        </w:rPr>
        <w:t>第</w:t>
      </w:r>
      <w:r w:rsidR="00A47A4B" w:rsidRPr="00DF5C23">
        <w:rPr>
          <w:noProof/>
          <w:lang w:eastAsia="fr-BE"/>
        </w:rPr>
        <w:t>1</w:t>
      </w:r>
      <w:r w:rsidR="00A47A4B" w:rsidRPr="00DF5C23">
        <w:rPr>
          <w:noProof/>
          <w:lang w:eastAsia="fr-BE"/>
        </w:rPr>
        <w:t>項第</w:t>
      </w:r>
      <w:r w:rsidR="00A47A4B" w:rsidRPr="00DF5C23">
        <w:rPr>
          <w:noProof/>
          <w:lang w:eastAsia="fr-BE"/>
        </w:rPr>
        <w:t>(b)</w:t>
      </w:r>
      <w:r w:rsidR="00A47A4B" w:rsidRPr="00DF5C23">
        <w:rPr>
          <w:noProof/>
          <w:lang w:eastAsia="fr-BE"/>
        </w:rPr>
        <w:t>号に基づき計画されるチェックの性質及び数は、第</w:t>
      </w:r>
      <w:r w:rsidR="00A47A4B" w:rsidRPr="00DF5C23">
        <w:rPr>
          <w:noProof/>
          <w:lang w:eastAsia="fr-BE"/>
        </w:rPr>
        <w:t>2</w:t>
      </w:r>
      <w:r w:rsidR="00A47A4B" w:rsidRPr="00DF5C23">
        <w:rPr>
          <w:noProof/>
          <w:lang w:eastAsia="fr-BE"/>
        </w:rPr>
        <w:t>項に従い優先順位を特定するために使用される客観的基準に比例するものである。</w:t>
      </w:r>
    </w:p>
    <w:p w14:paraId="31F04CA8" w14:textId="77777777" w:rsidR="0038775E" w:rsidRDefault="00877B9C" w:rsidP="002041D4">
      <w:pPr>
        <w:pStyle w:val="ManualNumPar1"/>
        <w:wordWrap w:val="0"/>
        <w:rPr>
          <w:noProof/>
          <w:lang w:eastAsia="fr-BE"/>
        </w:rPr>
      </w:pPr>
      <w:r w:rsidRPr="004F5E59">
        <w:rPr>
          <w:lang w:eastAsia="ja-JP"/>
        </w:rPr>
        <w:t>4.</w:t>
      </w:r>
      <w:r w:rsidRPr="004F5E59">
        <w:rPr>
          <w:lang w:eastAsia="ja-JP"/>
        </w:rPr>
        <w:tab/>
      </w:r>
      <w:r w:rsidR="00A47A4B" w:rsidRPr="00DF5C23">
        <w:rPr>
          <w:noProof/>
          <w:lang w:eastAsia="fr-BE"/>
        </w:rPr>
        <w:t>加盟国は、規則（</w:t>
      </w:r>
      <w:r w:rsidR="00A47A4B" w:rsidRPr="00DF5C23">
        <w:rPr>
          <w:noProof/>
          <w:lang w:eastAsia="fr-BE"/>
        </w:rPr>
        <w:t>EU</w:t>
      </w:r>
      <w:r w:rsidR="00A47A4B" w:rsidRPr="00DF5C23">
        <w:rPr>
          <w:noProof/>
          <w:lang w:eastAsia="fr-BE"/>
        </w:rPr>
        <w:t>）</w:t>
      </w:r>
      <w:r w:rsidR="00A47A4B" w:rsidRPr="00DF5C23">
        <w:rPr>
          <w:noProof/>
          <w:lang w:eastAsia="fr-BE"/>
        </w:rPr>
        <w:t>2019/1020</w:t>
      </w:r>
      <w:r w:rsidR="00A47A4B" w:rsidRPr="00DF5C23">
        <w:rPr>
          <w:noProof/>
          <w:lang w:eastAsia="fr-BE"/>
        </w:rPr>
        <w:t>の第</w:t>
      </w:r>
      <w:r w:rsidR="00A47A4B" w:rsidRPr="00DF5C23">
        <w:rPr>
          <w:noProof/>
          <w:lang w:eastAsia="fr-BE"/>
        </w:rPr>
        <w:t>34</w:t>
      </w:r>
      <w:r w:rsidR="00A47A4B" w:rsidRPr="00DF5C23">
        <w:rPr>
          <w:noProof/>
          <w:lang w:eastAsia="fr-BE"/>
        </w:rPr>
        <w:t>条にいう情報通信システムを通じて、その行動計画を欧州委員会及び他の加盟国に伝達するものとする。</w:t>
      </w:r>
    </w:p>
    <w:p w14:paraId="6AB984E6" w14:textId="77777777" w:rsidR="0038775E" w:rsidRDefault="00877B9C" w:rsidP="002041D4">
      <w:pPr>
        <w:pStyle w:val="ManualNumPar1"/>
        <w:wordWrap w:val="0"/>
        <w:rPr>
          <w:noProof/>
          <w:lang w:eastAsia="fr-BE"/>
        </w:rPr>
      </w:pPr>
      <w:r w:rsidRPr="004F5E59">
        <w:rPr>
          <w:lang w:eastAsia="ja-JP"/>
        </w:rPr>
        <w:t>5.</w:t>
      </w:r>
      <w:r w:rsidRPr="004F5E59">
        <w:rPr>
          <w:lang w:eastAsia="ja-JP"/>
        </w:rPr>
        <w:tab/>
      </w:r>
      <w:r w:rsidR="00A47A4B" w:rsidRPr="00DF5C23">
        <w:rPr>
          <w:noProof/>
          <w:lang w:eastAsia="ja-JP"/>
        </w:rPr>
        <w:t>欧州委員会は、</w:t>
      </w:r>
      <w:r w:rsidR="00A47A4B" w:rsidRPr="00DF5C23">
        <w:rPr>
          <w:noProof/>
          <w:lang w:eastAsia="fr-BE"/>
        </w:rPr>
        <w:t>第</w:t>
      </w:r>
      <w:r w:rsidR="00A47A4B" w:rsidRPr="00DF5C23">
        <w:rPr>
          <w:noProof/>
          <w:lang w:eastAsia="fr-BE"/>
        </w:rPr>
        <w:t>1</w:t>
      </w:r>
      <w:r w:rsidR="00A47A4B" w:rsidRPr="00DF5C23">
        <w:rPr>
          <w:noProof/>
          <w:lang w:eastAsia="fr-BE"/>
        </w:rPr>
        <w:t>項第</w:t>
      </w:r>
      <w:r w:rsidR="00A47A4B" w:rsidRPr="00DF5C23">
        <w:rPr>
          <w:noProof/>
          <w:lang w:eastAsia="fr-BE"/>
        </w:rPr>
        <w:t>(a)</w:t>
      </w:r>
      <w:r w:rsidR="00A47A4B" w:rsidRPr="00DF5C23">
        <w:rPr>
          <w:noProof/>
          <w:lang w:eastAsia="fr-BE"/>
        </w:rPr>
        <w:t>号に従って、</w:t>
      </w:r>
      <w:r w:rsidR="00A47A4B" w:rsidRPr="00DF5C23">
        <w:rPr>
          <w:noProof/>
          <w:lang w:eastAsia="ja-JP"/>
        </w:rPr>
        <w:t>加盟国が少なくとも</w:t>
      </w:r>
      <w:r w:rsidR="00A47A4B" w:rsidRPr="00DF5C23">
        <w:rPr>
          <w:noProof/>
          <w:lang w:eastAsia="fr-BE"/>
        </w:rPr>
        <w:t>市場監視の優先事項</w:t>
      </w:r>
      <w:r w:rsidR="00A47A4B" w:rsidRPr="00DF5C23">
        <w:rPr>
          <w:noProof/>
          <w:lang w:eastAsia="ja-JP"/>
        </w:rPr>
        <w:t>として考慮しなければならない</w:t>
      </w:r>
      <w:r w:rsidR="00A47A4B" w:rsidRPr="00DF5C23">
        <w:rPr>
          <w:noProof/>
          <w:lang w:eastAsia="fr-BE"/>
        </w:rPr>
        <w:t>製品</w:t>
      </w:r>
      <w:r w:rsidR="00A47A4B" w:rsidRPr="00DF5C23">
        <w:rPr>
          <w:noProof/>
          <w:lang w:eastAsia="ja-JP"/>
        </w:rPr>
        <w:t>または要求事項を列挙した実施法を採択することができる</w:t>
      </w:r>
      <w:r w:rsidR="00A47A4B" w:rsidRPr="00DF5C23">
        <w:rPr>
          <w:noProof/>
          <w:lang w:val="en-IE" w:eastAsia="fr-BE"/>
        </w:rPr>
        <w:t>。</w:t>
      </w:r>
      <w:r w:rsidR="00A47A4B" w:rsidRPr="00DF5C23">
        <w:rPr>
          <w:noProof/>
          <w:lang w:val="en-IE" w:eastAsia="fr-BE"/>
        </w:rPr>
        <w:t xml:space="preserve"> </w:t>
      </w:r>
    </w:p>
    <w:p w14:paraId="6A2C4A69" w14:textId="77777777" w:rsidR="0038775E" w:rsidRDefault="00877B9C" w:rsidP="002041D4">
      <w:pPr>
        <w:pStyle w:val="Text1"/>
        <w:wordWrap w:val="0"/>
        <w:rPr>
          <w:noProof/>
          <w:lang w:val="en-IE" w:eastAsia="ja-JP"/>
        </w:rPr>
      </w:pPr>
      <w:r w:rsidRPr="00DF5C23">
        <w:rPr>
          <w:noProof/>
          <w:lang w:val="en-IE" w:eastAsia="ja-JP"/>
        </w:rPr>
        <w:t>これらの実施行為は、</w:t>
      </w:r>
      <w:r w:rsidR="00137517" w:rsidRPr="00DF5C23">
        <w:rPr>
          <w:noProof/>
          <w:lang w:val="en-IE" w:eastAsia="ja-JP"/>
        </w:rPr>
        <w:t>第</w:t>
      </w:r>
      <w:r w:rsidR="00137517" w:rsidRPr="00DF5C23">
        <w:rPr>
          <w:noProof/>
          <w:lang w:val="en-IE" w:eastAsia="ja-JP"/>
        </w:rPr>
        <w:t>67</w:t>
      </w:r>
      <w:r w:rsidR="00137517" w:rsidRPr="00DF5C23">
        <w:rPr>
          <w:noProof/>
          <w:lang w:val="en-IE" w:eastAsia="ja-JP"/>
        </w:rPr>
        <w:t>条</w:t>
      </w:r>
      <w:r w:rsidRPr="00DF5C23">
        <w:rPr>
          <w:noProof/>
          <w:lang w:val="en-IE" w:eastAsia="fr-BE"/>
        </w:rPr>
        <w:t>(2)</w:t>
      </w:r>
      <w:r w:rsidRPr="00DF5C23">
        <w:rPr>
          <w:noProof/>
          <w:lang w:val="en-IE" w:eastAsia="ja-JP"/>
        </w:rPr>
        <w:t>にいう諮問手続に従って採択されるものとする。</w:t>
      </w:r>
    </w:p>
    <w:p w14:paraId="402F9CB3" w14:textId="77777777" w:rsidR="0038775E" w:rsidRDefault="00565D97" w:rsidP="002041D4">
      <w:pPr>
        <w:pStyle w:val="Titrearticle"/>
        <w:wordWrap w:val="0"/>
        <w:rPr>
          <w:noProof/>
          <w:lang w:val="en-IE" w:eastAsia="fr-BE"/>
        </w:rPr>
      </w:pPr>
      <w:r w:rsidRPr="00DF5C23">
        <w:rPr>
          <w:noProof/>
          <w:lang w:val="en-IE" w:eastAsia="fr-BE"/>
        </w:rPr>
        <w:t>第</w:t>
      </w:r>
      <w:r w:rsidRPr="00DF5C23">
        <w:rPr>
          <w:noProof/>
          <w:lang w:val="en-IE" w:eastAsia="fr-BE"/>
        </w:rPr>
        <w:t>60</w:t>
      </w:r>
      <w:r w:rsidR="00877B9C" w:rsidRPr="00DF5C23">
        <w:rPr>
          <w:noProof/>
          <w:lang w:val="en-IE" w:eastAsia="fr-BE"/>
        </w:rPr>
        <w:t>条</w:t>
      </w:r>
      <w:r w:rsidR="00877B9C" w:rsidRPr="00DF5C23">
        <w:rPr>
          <w:noProof/>
          <w:lang w:val="en-IE" w:eastAsia="ja-JP"/>
        </w:rPr>
        <w:br/>
      </w:r>
      <w:r w:rsidR="00877B9C" w:rsidRPr="00DF5C23">
        <w:rPr>
          <w:noProof/>
          <w:lang w:val="en-IE" w:eastAsia="fr-BE"/>
        </w:rPr>
        <w:t>最低限必要なチェック項目数</w:t>
      </w:r>
    </w:p>
    <w:p w14:paraId="7D9B50D8" w14:textId="77777777" w:rsidR="0038775E" w:rsidRDefault="00877B9C" w:rsidP="002041D4">
      <w:pPr>
        <w:pStyle w:val="ManualNumPar1"/>
        <w:wordWrap w:val="0"/>
        <w:rPr>
          <w:noProof/>
          <w:lang w:val="en-IE" w:eastAsia="fr-BE"/>
        </w:rPr>
      </w:pPr>
      <w:r w:rsidRPr="004F5E59">
        <w:rPr>
          <w:lang w:eastAsia="ja-JP"/>
        </w:rPr>
        <w:t>1.</w:t>
      </w:r>
      <w:r w:rsidRPr="004F5E59">
        <w:rPr>
          <w:lang w:eastAsia="ja-JP"/>
        </w:rPr>
        <w:tab/>
      </w:r>
      <w:r w:rsidR="007F3D25" w:rsidRPr="00DF5C23">
        <w:rPr>
          <w:noProof/>
          <w:lang w:val="en-IE" w:eastAsia="fr-BE"/>
        </w:rPr>
        <w:t>欧州委員会は、</w:t>
      </w:r>
      <w:r w:rsidR="00137517" w:rsidRPr="00DF5C23">
        <w:rPr>
          <w:noProof/>
          <w:lang w:val="en-IE" w:eastAsia="fr-BE"/>
        </w:rPr>
        <w:t>第</w:t>
      </w:r>
      <w:r w:rsidR="00137517" w:rsidRPr="00DF5C23">
        <w:rPr>
          <w:noProof/>
          <w:lang w:val="en-IE" w:eastAsia="fr-BE"/>
        </w:rPr>
        <w:t>66</w:t>
      </w:r>
      <w:r w:rsidR="007F3D25" w:rsidRPr="00DF5C23">
        <w:rPr>
          <w:noProof/>
          <w:lang w:val="en-IE" w:eastAsia="fr-BE"/>
        </w:rPr>
        <w:t>条に従って委任法を採択し、</w:t>
      </w:r>
      <w:r w:rsidR="00552FE2" w:rsidRPr="00DF5C23">
        <w:rPr>
          <w:noProof/>
          <w:lang w:val="en-IE" w:eastAsia="fr-BE"/>
        </w:rPr>
        <w:t>第</w:t>
      </w:r>
      <w:r w:rsidR="00552FE2" w:rsidRPr="00DF5C23">
        <w:rPr>
          <w:noProof/>
          <w:lang w:val="en-IE" w:eastAsia="fr-BE"/>
        </w:rPr>
        <w:t>4</w:t>
      </w:r>
      <w:r w:rsidR="007F3D25" w:rsidRPr="00DF5C23">
        <w:rPr>
          <w:noProof/>
          <w:lang w:val="en-IE" w:eastAsia="fr-BE"/>
        </w:rPr>
        <w:t>条に従って採択された委任法の対象となる特定の製品について、または当該委任法に定められた特定の要件に関連して、各加盟国の市場監視当局が実施すべき最低限のチェックの数を定めることにより、本規則を補足する権限を有する。委任法は、関</w:t>
      </w:r>
      <w:r w:rsidR="007F3D25" w:rsidRPr="00DF5C23">
        <w:rPr>
          <w:noProof/>
          <w:lang w:val="en-IE" w:eastAsia="fr-BE"/>
        </w:rPr>
        <w:lastRenderedPageBreak/>
        <w:t>連する場合、要求される検査の性質および使用される方法を規定することができる。</w:t>
      </w:r>
    </w:p>
    <w:p w14:paraId="4A797C28" w14:textId="77777777" w:rsidR="0038775E" w:rsidRDefault="00877B9C" w:rsidP="002041D4">
      <w:pPr>
        <w:pStyle w:val="Text1"/>
        <w:wordWrap w:val="0"/>
        <w:rPr>
          <w:noProof/>
          <w:lang w:val="en-IE" w:eastAsia="fr-BE"/>
        </w:rPr>
      </w:pPr>
      <w:r w:rsidRPr="00DF5C23">
        <w:rPr>
          <w:noProof/>
          <w:lang w:val="en-IE" w:eastAsia="fr-BE"/>
        </w:rPr>
        <w:t>チェックの最低回数は、以下の基準に基づいて設定するものとする：</w:t>
      </w:r>
      <w:r w:rsidRPr="00DF5C23">
        <w:rPr>
          <w:noProof/>
          <w:lang w:val="en-IE" w:eastAsia="fr-BE"/>
        </w:rPr>
        <w:t xml:space="preserve"> </w:t>
      </w:r>
    </w:p>
    <w:p w14:paraId="319CF6F4" w14:textId="77777777" w:rsidR="0038775E" w:rsidRDefault="00877B9C" w:rsidP="002041D4">
      <w:pPr>
        <w:pStyle w:val="Point1"/>
        <w:wordWrap w:val="0"/>
        <w:rPr>
          <w:noProof/>
          <w:lang w:eastAsia="fr-BE"/>
        </w:rPr>
      </w:pPr>
      <w:r w:rsidRPr="004F5E59">
        <w:rPr>
          <w:lang w:eastAsia="ja-JP"/>
        </w:rPr>
        <w:t>(a)</w:t>
      </w:r>
      <w:r w:rsidRPr="004F5E59">
        <w:rPr>
          <w:lang w:eastAsia="ja-JP"/>
        </w:rPr>
        <w:tab/>
      </w:r>
      <w:r w:rsidR="00137517" w:rsidRPr="00DF5C23">
        <w:rPr>
          <w:noProof/>
          <w:lang w:eastAsia="fr-BE"/>
        </w:rPr>
        <w:t>第</w:t>
      </w:r>
      <w:r w:rsidR="00137517" w:rsidRPr="00DF5C23">
        <w:rPr>
          <w:noProof/>
          <w:lang w:eastAsia="fr-BE"/>
        </w:rPr>
        <w:t>59</w:t>
      </w:r>
      <w:r w:rsidR="00137517" w:rsidRPr="00DF5C23">
        <w:rPr>
          <w:noProof/>
          <w:lang w:eastAsia="fr-BE"/>
        </w:rPr>
        <w:t>条</w:t>
      </w:r>
      <w:r w:rsidR="007F3D25" w:rsidRPr="00DF5C23">
        <w:rPr>
          <w:noProof/>
          <w:lang w:eastAsia="fr-BE"/>
        </w:rPr>
        <w:t>第</w:t>
      </w:r>
      <w:r w:rsidR="007F3D25" w:rsidRPr="00DF5C23">
        <w:rPr>
          <w:noProof/>
          <w:lang w:eastAsia="fr-BE"/>
        </w:rPr>
        <w:t>2</w:t>
      </w:r>
      <w:r w:rsidR="007F3D25" w:rsidRPr="00DF5C23">
        <w:rPr>
          <w:noProof/>
          <w:lang w:eastAsia="fr-BE"/>
        </w:rPr>
        <w:t>項に記載された基準を満たすものであること；</w:t>
      </w:r>
    </w:p>
    <w:p w14:paraId="6DBAC21C" w14:textId="77777777" w:rsidR="0038775E" w:rsidRDefault="00877B9C" w:rsidP="002041D4">
      <w:pPr>
        <w:pStyle w:val="Point1"/>
        <w:wordWrap w:val="0"/>
        <w:rPr>
          <w:noProof/>
          <w:lang w:eastAsia="fr-BE"/>
        </w:rPr>
      </w:pPr>
      <w:r w:rsidRPr="004F5E59">
        <w:rPr>
          <w:lang w:eastAsia="ja-JP"/>
        </w:rPr>
        <w:t>(b)</w:t>
      </w:r>
      <w:r w:rsidRPr="004F5E59">
        <w:rPr>
          <w:lang w:eastAsia="ja-JP"/>
        </w:rPr>
        <w:tab/>
      </w:r>
      <w:r w:rsidR="007F3D25" w:rsidRPr="00DF5C23">
        <w:rPr>
          <w:noProof/>
          <w:lang w:val="en-IE" w:eastAsia="fr-BE"/>
        </w:rPr>
        <w:t>加盟国の行動計画で計画された活動；</w:t>
      </w:r>
    </w:p>
    <w:p w14:paraId="30B59359" w14:textId="77777777" w:rsidR="0038775E" w:rsidRDefault="00877B9C" w:rsidP="002041D4">
      <w:pPr>
        <w:pStyle w:val="Point1"/>
        <w:wordWrap w:val="0"/>
        <w:rPr>
          <w:noProof/>
          <w:lang w:eastAsia="fr-BE"/>
        </w:rPr>
      </w:pPr>
      <w:r w:rsidRPr="004F5E59">
        <w:rPr>
          <w:lang w:eastAsia="ja-JP"/>
        </w:rPr>
        <w:t>(c)</w:t>
      </w:r>
      <w:r w:rsidRPr="004F5E59">
        <w:rPr>
          <w:lang w:eastAsia="ja-JP"/>
        </w:rPr>
        <w:tab/>
      </w:r>
      <w:r w:rsidR="00137517" w:rsidRPr="00DF5C23">
        <w:rPr>
          <w:noProof/>
          <w:lang w:val="en-IE" w:eastAsia="fr-BE"/>
        </w:rPr>
        <w:t>第</w:t>
      </w:r>
      <w:r w:rsidR="00137517" w:rsidRPr="00DF5C23">
        <w:rPr>
          <w:noProof/>
          <w:lang w:val="en-IE" w:eastAsia="fr-BE"/>
        </w:rPr>
        <w:t>62</w:t>
      </w:r>
      <w:r w:rsidR="00137517" w:rsidRPr="00DF5C23">
        <w:rPr>
          <w:noProof/>
          <w:lang w:val="en-IE" w:eastAsia="fr-BE"/>
        </w:rPr>
        <w:t>条</w:t>
      </w:r>
      <w:r w:rsidR="007F3D25" w:rsidRPr="00DF5C23">
        <w:rPr>
          <w:noProof/>
          <w:lang w:val="en-IE" w:eastAsia="fr-BE"/>
        </w:rPr>
        <w:t>第</w:t>
      </w:r>
      <w:r w:rsidR="007F3D25" w:rsidRPr="00DF5C23">
        <w:rPr>
          <w:noProof/>
          <w:lang w:val="en-IE" w:eastAsia="fr-BE"/>
        </w:rPr>
        <w:t>1</w:t>
      </w:r>
      <w:r w:rsidR="007F3D25" w:rsidRPr="00DF5C23">
        <w:rPr>
          <w:noProof/>
          <w:lang w:val="en-IE" w:eastAsia="fr-BE"/>
        </w:rPr>
        <w:t>項第</w:t>
      </w:r>
      <w:r w:rsidR="007F3D25" w:rsidRPr="00DF5C23">
        <w:rPr>
          <w:noProof/>
          <w:lang w:val="en-IE" w:eastAsia="fr-BE"/>
        </w:rPr>
        <w:t>(a)</w:t>
      </w:r>
      <w:r w:rsidR="007F3D25" w:rsidRPr="00DF5C23">
        <w:rPr>
          <w:noProof/>
          <w:lang w:val="en-IE" w:eastAsia="fr-BE"/>
        </w:rPr>
        <w:t>号に基づき、行政協力会が特定した共通の優先事項；</w:t>
      </w:r>
    </w:p>
    <w:p w14:paraId="40E29BD1" w14:textId="77777777" w:rsidR="0038775E" w:rsidRDefault="00877B9C" w:rsidP="002041D4">
      <w:pPr>
        <w:pStyle w:val="Point1"/>
        <w:wordWrap w:val="0"/>
        <w:rPr>
          <w:noProof/>
          <w:lang w:eastAsia="fr-BE"/>
        </w:rPr>
      </w:pPr>
      <w:r w:rsidRPr="004F5E59">
        <w:rPr>
          <w:lang w:eastAsia="ja-JP"/>
        </w:rPr>
        <w:t>(d)</w:t>
      </w:r>
      <w:r w:rsidRPr="004F5E59">
        <w:rPr>
          <w:lang w:eastAsia="ja-JP"/>
        </w:rPr>
        <w:tab/>
      </w:r>
      <w:r w:rsidR="007F3D25" w:rsidRPr="00DF5C23">
        <w:rPr>
          <w:noProof/>
          <w:lang w:val="en-IE" w:eastAsia="fr-BE"/>
        </w:rPr>
        <w:t>関連する場合、</w:t>
      </w:r>
      <w:r w:rsidR="00137517" w:rsidRPr="00DF5C23">
        <w:rPr>
          <w:noProof/>
          <w:lang w:val="en-IE" w:eastAsia="fr-BE"/>
        </w:rPr>
        <w:t>第</w:t>
      </w:r>
      <w:r w:rsidR="00137517" w:rsidRPr="00DF5C23">
        <w:rPr>
          <w:noProof/>
          <w:lang w:val="en-IE" w:eastAsia="fr-BE"/>
        </w:rPr>
        <w:t>59</w:t>
      </w:r>
      <w:r w:rsidR="00137517" w:rsidRPr="00DF5C23">
        <w:rPr>
          <w:noProof/>
          <w:lang w:val="en-IE" w:eastAsia="fr-BE"/>
        </w:rPr>
        <w:t>条</w:t>
      </w:r>
      <w:r w:rsidR="007F3D25" w:rsidRPr="00DF5C23">
        <w:rPr>
          <w:noProof/>
          <w:lang w:val="en-IE" w:eastAsia="fr-BE"/>
        </w:rPr>
        <w:t>(5)</w:t>
      </w:r>
      <w:r w:rsidR="007F3D25" w:rsidRPr="00DF5C23">
        <w:rPr>
          <w:noProof/>
          <w:lang w:val="en-IE" w:eastAsia="fr-BE"/>
        </w:rPr>
        <w:t>に言及する実施行為に含まれる優先事項がある。</w:t>
      </w:r>
    </w:p>
    <w:p w14:paraId="50807CA3" w14:textId="77777777" w:rsidR="0038775E" w:rsidRDefault="00877B9C" w:rsidP="002041D4">
      <w:pPr>
        <w:pStyle w:val="ManualNumPar1"/>
        <w:wordWrap w:val="0"/>
        <w:rPr>
          <w:noProof/>
          <w:lang w:eastAsia="fr-BE"/>
        </w:rPr>
      </w:pPr>
      <w:r w:rsidRPr="004F5E59">
        <w:rPr>
          <w:lang w:eastAsia="ja-JP"/>
        </w:rPr>
        <w:t>2.</w:t>
      </w:r>
      <w:r w:rsidRPr="004F5E59">
        <w:rPr>
          <w:lang w:eastAsia="ja-JP"/>
        </w:rPr>
        <w:tab/>
      </w:r>
      <w:r w:rsidR="007F3D25" w:rsidRPr="00DF5C23">
        <w:rPr>
          <w:noProof/>
          <w:lang w:eastAsia="fr-BE"/>
        </w:rPr>
        <w:t>市場監視当局は、</w:t>
      </w:r>
      <w:r w:rsidR="00552FE2" w:rsidRPr="00DF5C23">
        <w:rPr>
          <w:noProof/>
          <w:lang w:val="en-IE" w:eastAsia="fr-BE"/>
        </w:rPr>
        <w:t>第</w:t>
      </w:r>
      <w:r w:rsidR="00552FE2" w:rsidRPr="00DF5C23">
        <w:rPr>
          <w:noProof/>
          <w:lang w:val="en-IE" w:eastAsia="fr-BE"/>
        </w:rPr>
        <w:t>4</w:t>
      </w:r>
      <w:r w:rsidR="00552FE2" w:rsidRPr="00DF5C23">
        <w:rPr>
          <w:noProof/>
          <w:lang w:val="en-IE" w:eastAsia="fr-BE"/>
        </w:rPr>
        <w:t>条に従って採択された</w:t>
      </w:r>
      <w:r w:rsidR="007F3D25" w:rsidRPr="00DF5C23">
        <w:rPr>
          <w:noProof/>
          <w:lang w:val="en-IE" w:eastAsia="fr-BE"/>
        </w:rPr>
        <w:t>委任行為に</w:t>
      </w:r>
      <w:r w:rsidR="007F3D25" w:rsidRPr="00DF5C23">
        <w:rPr>
          <w:noProof/>
          <w:lang w:eastAsia="fr-BE"/>
        </w:rPr>
        <w:t>準拠していない場合、責任ある経済事業者から文書検査および物理的製品検査の費用を回収する権利を有するものとする。</w:t>
      </w:r>
    </w:p>
    <w:p w14:paraId="6C3A5FA4" w14:textId="77777777" w:rsidR="0038775E" w:rsidRDefault="00565D97" w:rsidP="002041D4">
      <w:pPr>
        <w:pStyle w:val="Titrearticle"/>
        <w:wordWrap w:val="0"/>
        <w:rPr>
          <w:noProof/>
          <w:lang w:val="en-IE" w:eastAsia="fr-BE"/>
        </w:rPr>
      </w:pPr>
      <w:r w:rsidRPr="00DF5C23">
        <w:rPr>
          <w:noProof/>
          <w:lang w:val="en-IE" w:eastAsia="fr-BE"/>
        </w:rPr>
        <w:t>第</w:t>
      </w:r>
      <w:r w:rsidRPr="00DF5C23">
        <w:rPr>
          <w:noProof/>
          <w:lang w:val="en-IE" w:eastAsia="fr-BE"/>
        </w:rPr>
        <w:t>61</w:t>
      </w:r>
      <w:r w:rsidR="00877B9C" w:rsidRPr="00DF5C23">
        <w:rPr>
          <w:noProof/>
          <w:lang w:val="en-IE" w:eastAsia="fr-BE"/>
        </w:rPr>
        <w:t>条</w:t>
      </w:r>
      <w:r w:rsidR="00877B9C" w:rsidRPr="00DF5C23">
        <w:rPr>
          <w:noProof/>
          <w:lang w:eastAsia="ja-JP"/>
        </w:rPr>
        <w:br/>
      </w:r>
      <w:r w:rsidR="00877B9C" w:rsidRPr="00DF5C23">
        <w:rPr>
          <w:noProof/>
          <w:lang w:val="en-IE" w:eastAsia="fr-BE"/>
        </w:rPr>
        <w:t>レポーティングとベンチマーキング</w:t>
      </w:r>
    </w:p>
    <w:p w14:paraId="1673FC09" w14:textId="77777777" w:rsidR="0038775E" w:rsidRDefault="00877B9C" w:rsidP="002041D4">
      <w:pPr>
        <w:pStyle w:val="ManualNumPar1"/>
        <w:wordWrap w:val="0"/>
        <w:rPr>
          <w:noProof/>
          <w:lang w:val="en-IE" w:eastAsia="fr-BE"/>
        </w:rPr>
      </w:pPr>
      <w:r w:rsidRPr="004F5E59">
        <w:rPr>
          <w:lang w:eastAsia="ja-JP"/>
        </w:rPr>
        <w:t>1.</w:t>
      </w:r>
      <w:r w:rsidRPr="004F5E59">
        <w:rPr>
          <w:lang w:eastAsia="ja-JP"/>
        </w:rPr>
        <w:tab/>
      </w:r>
      <w:r w:rsidR="007F3D25" w:rsidRPr="00DF5C23">
        <w:rPr>
          <w:noProof/>
          <w:lang w:val="en-IE" w:eastAsia="fr-BE"/>
        </w:rPr>
        <w:t>市場監視当局は、規則（</w:t>
      </w:r>
      <w:r w:rsidR="007F3D25" w:rsidRPr="00DF5C23">
        <w:rPr>
          <w:noProof/>
          <w:lang w:val="en-IE" w:eastAsia="fr-BE"/>
        </w:rPr>
        <w:t>EU</w:t>
      </w:r>
      <w:r w:rsidR="007F3D25" w:rsidRPr="00DF5C23">
        <w:rPr>
          <w:noProof/>
          <w:lang w:val="en-IE" w:eastAsia="fr-BE"/>
        </w:rPr>
        <w:t>）</w:t>
      </w:r>
      <w:r w:rsidR="007F3D25" w:rsidRPr="00DF5C23">
        <w:rPr>
          <w:noProof/>
          <w:lang w:val="en-IE" w:eastAsia="fr-BE"/>
        </w:rPr>
        <w:t>2019/1020</w:t>
      </w:r>
      <w:r w:rsidR="007F3D25" w:rsidRPr="00DF5C23">
        <w:rPr>
          <w:noProof/>
          <w:lang w:val="en-IE" w:eastAsia="fr-BE"/>
        </w:rPr>
        <w:t>の第</w:t>
      </w:r>
      <w:r w:rsidR="007F3D25" w:rsidRPr="00DF5C23">
        <w:rPr>
          <w:noProof/>
          <w:lang w:val="en-IE" w:eastAsia="fr-BE"/>
        </w:rPr>
        <w:t>34</w:t>
      </w:r>
      <w:r w:rsidR="007F3D25" w:rsidRPr="00DF5C23">
        <w:rPr>
          <w:noProof/>
          <w:lang w:val="en-IE" w:eastAsia="fr-BE"/>
        </w:rPr>
        <w:t>条で言及された情報通信システムに、本規則の不遵守に関連して課されるペナルティの性質及び厳しさに関する情報を入力しなければならない。</w:t>
      </w:r>
    </w:p>
    <w:p w14:paraId="7A9896A5" w14:textId="5F228059" w:rsidR="0038775E" w:rsidRDefault="00877B9C" w:rsidP="002041D4">
      <w:pPr>
        <w:pStyle w:val="ManualNumPar1"/>
        <w:wordWrap w:val="0"/>
        <w:rPr>
          <w:noProof/>
          <w:lang w:eastAsia="fr-BE"/>
        </w:rPr>
      </w:pPr>
      <w:r w:rsidRPr="004F5E59">
        <w:rPr>
          <w:lang w:eastAsia="ja-JP"/>
        </w:rPr>
        <w:t>2.</w:t>
      </w:r>
      <w:r w:rsidRPr="004F5E59">
        <w:rPr>
          <w:lang w:eastAsia="ja-JP"/>
        </w:rPr>
        <w:tab/>
      </w:r>
      <w:r w:rsidR="007F3D25" w:rsidRPr="00DF5C23">
        <w:rPr>
          <w:noProof/>
          <w:lang w:eastAsia="fr-BE"/>
        </w:rPr>
        <w:t>欧州委員会は、</w:t>
      </w:r>
      <w:r w:rsidR="007F3D25" w:rsidRPr="00DF5C23">
        <w:rPr>
          <w:noProof/>
          <w:lang w:eastAsia="fr-BE"/>
        </w:rPr>
        <w:t>2</w:t>
      </w:r>
      <w:r w:rsidR="007F3D25" w:rsidRPr="00DF5C23">
        <w:rPr>
          <w:noProof/>
          <w:lang w:eastAsia="fr-BE"/>
        </w:rPr>
        <w:t>年ごとに、</w:t>
      </w:r>
      <w:r w:rsidR="007F3D25" w:rsidRPr="00DF5C23">
        <w:rPr>
          <w:noProof/>
          <w:lang w:val="en-IE" w:eastAsia="fr-BE"/>
        </w:rPr>
        <w:t>市場監視当局が</w:t>
      </w:r>
      <w:r w:rsidR="007F3D25" w:rsidRPr="00DF5C23">
        <w:rPr>
          <w:noProof/>
          <w:lang w:eastAsia="fr-BE"/>
        </w:rPr>
        <w:t>規則（</w:t>
      </w:r>
      <w:r w:rsidR="007F3D25" w:rsidRPr="00DF5C23">
        <w:rPr>
          <w:noProof/>
          <w:lang w:eastAsia="fr-BE"/>
        </w:rPr>
        <w:t>EU</w:t>
      </w:r>
      <w:r w:rsidR="007F3D25" w:rsidRPr="00DF5C23">
        <w:rPr>
          <w:noProof/>
          <w:lang w:eastAsia="fr-BE"/>
        </w:rPr>
        <w:t>）</w:t>
      </w:r>
      <w:r w:rsidR="007F3D25" w:rsidRPr="00DF5C23">
        <w:rPr>
          <w:noProof/>
          <w:lang w:eastAsia="fr-BE"/>
        </w:rPr>
        <w:t>2019/1020</w:t>
      </w:r>
      <w:r w:rsidR="007F3D25" w:rsidRPr="00DF5C23">
        <w:rPr>
          <w:noProof/>
          <w:lang w:eastAsia="fr-BE"/>
        </w:rPr>
        <w:t>の</w:t>
      </w:r>
      <w:r w:rsidR="007F3D25" w:rsidRPr="00DF5C23">
        <w:rPr>
          <w:noProof/>
          <w:lang w:val="en-IE" w:eastAsia="fr-BE"/>
        </w:rPr>
        <w:t>第</w:t>
      </w:r>
      <w:r w:rsidR="007F3D25" w:rsidRPr="00DF5C23">
        <w:rPr>
          <w:noProof/>
          <w:lang w:val="en-IE" w:eastAsia="fr-BE"/>
        </w:rPr>
        <w:t>34</w:t>
      </w:r>
      <w:r w:rsidR="007F3D25" w:rsidRPr="00DF5C23">
        <w:rPr>
          <w:noProof/>
          <w:lang w:val="en-IE" w:eastAsia="fr-BE"/>
        </w:rPr>
        <w:t>条にいう情報通信システムに入力した</w:t>
      </w:r>
      <w:r w:rsidR="007F3D25" w:rsidRPr="00DF5C23">
        <w:rPr>
          <w:noProof/>
          <w:lang w:eastAsia="fr-BE"/>
        </w:rPr>
        <w:t>情報に基づいて、</w:t>
      </w:r>
      <w:r w:rsidR="007F3D25" w:rsidRPr="00DF5C23">
        <w:rPr>
          <w:noProof/>
          <w:lang w:eastAsia="fr-BE"/>
        </w:rPr>
        <w:t>6</w:t>
      </w:r>
      <w:r w:rsidR="007F3D25" w:rsidRPr="00DF5C23">
        <w:rPr>
          <w:noProof/>
          <w:lang w:eastAsia="fr-BE"/>
        </w:rPr>
        <w:t>月</w:t>
      </w:r>
      <w:r w:rsidR="007F3D25" w:rsidRPr="00DF5C23">
        <w:rPr>
          <w:noProof/>
          <w:lang w:eastAsia="fr-BE"/>
        </w:rPr>
        <w:t>30</w:t>
      </w:r>
      <w:r w:rsidR="007F3D25" w:rsidRPr="00DF5C23">
        <w:rPr>
          <w:noProof/>
          <w:lang w:eastAsia="fr-BE"/>
        </w:rPr>
        <w:t>日までに報告書を作成しなければならない。これらの報告書の最初のものは、［</w:t>
      </w:r>
      <w:r w:rsidR="007F3D25" w:rsidRPr="00DF5C23">
        <w:rPr>
          <w:i/>
          <w:noProof/>
          <w:lang w:eastAsia="fr-BE"/>
        </w:rPr>
        <w:t>OP</w:t>
      </w:r>
      <w:r w:rsidR="007F3D25" w:rsidRPr="00DF5C23">
        <w:rPr>
          <w:i/>
          <w:noProof/>
          <w:lang w:eastAsia="fr-BE"/>
        </w:rPr>
        <w:t>：日付を追加して</w:t>
      </w:r>
      <w:r w:rsidR="002041D4">
        <w:rPr>
          <w:i/>
          <w:noProof/>
          <w:lang w:eastAsia="fr-BE"/>
        </w:rPr>
        <w:t>ほしい</w:t>
      </w:r>
      <w:r w:rsidR="007F3D25" w:rsidRPr="00DF5C23">
        <w:rPr>
          <w:i/>
          <w:noProof/>
          <w:lang w:eastAsia="fr-BE"/>
        </w:rPr>
        <w:t>：本規則の適用日から</w:t>
      </w:r>
      <w:r w:rsidR="007F3D25" w:rsidRPr="00DF5C23">
        <w:rPr>
          <w:i/>
          <w:noProof/>
          <w:lang w:eastAsia="fr-BE"/>
        </w:rPr>
        <w:t>2</w:t>
      </w:r>
      <w:r w:rsidR="007F3D25" w:rsidRPr="00DF5C23">
        <w:rPr>
          <w:i/>
          <w:noProof/>
          <w:lang w:eastAsia="fr-BE"/>
        </w:rPr>
        <w:t>年後</w:t>
      </w:r>
      <w:r w:rsidR="007F3D25" w:rsidRPr="00DF5C23">
        <w:rPr>
          <w:noProof/>
          <w:lang w:eastAsia="fr-BE"/>
        </w:rPr>
        <w:t>］までに公表されるものとする。</w:t>
      </w:r>
    </w:p>
    <w:p w14:paraId="4AD82CAE" w14:textId="77777777" w:rsidR="0038775E" w:rsidRDefault="00877B9C" w:rsidP="002041D4">
      <w:pPr>
        <w:pStyle w:val="Text1"/>
        <w:wordWrap w:val="0"/>
        <w:rPr>
          <w:noProof/>
          <w:lang w:eastAsia="fr-BE"/>
        </w:rPr>
      </w:pPr>
      <w:r w:rsidRPr="00DF5C23">
        <w:rPr>
          <w:noProof/>
          <w:lang w:val="en-IE" w:eastAsia="fr-BE"/>
        </w:rPr>
        <w:t>を含む</w:t>
      </w:r>
      <w:r w:rsidRPr="00DF5C23">
        <w:rPr>
          <w:noProof/>
          <w:lang w:eastAsia="fr-BE"/>
        </w:rPr>
        <w:t>報告書とする：</w:t>
      </w:r>
      <w:r w:rsidRPr="00DF5C23">
        <w:rPr>
          <w:noProof/>
          <w:lang w:eastAsia="fr-BE"/>
        </w:rPr>
        <w:t xml:space="preserve"> </w:t>
      </w:r>
    </w:p>
    <w:p w14:paraId="6236E90C" w14:textId="77777777" w:rsidR="0038775E" w:rsidRDefault="00877B9C" w:rsidP="002041D4">
      <w:pPr>
        <w:pStyle w:val="Point1"/>
        <w:wordWrap w:val="0"/>
        <w:rPr>
          <w:noProof/>
          <w:lang w:eastAsia="fr-BE"/>
        </w:rPr>
      </w:pPr>
      <w:r w:rsidRPr="004F5E59">
        <w:rPr>
          <w:lang w:eastAsia="ja-JP"/>
        </w:rPr>
        <w:t>(a)</w:t>
      </w:r>
      <w:r w:rsidRPr="004F5E59">
        <w:rPr>
          <w:lang w:eastAsia="ja-JP"/>
        </w:rPr>
        <w:tab/>
      </w:r>
      <w:r w:rsidR="007F3D25" w:rsidRPr="00DF5C23">
        <w:rPr>
          <w:noProof/>
          <w:lang w:eastAsia="fr-BE"/>
        </w:rPr>
        <w:t>規則（</w:t>
      </w:r>
      <w:r w:rsidR="007F3D25" w:rsidRPr="00DF5C23">
        <w:rPr>
          <w:noProof/>
          <w:lang w:eastAsia="fr-BE"/>
        </w:rPr>
        <w:t>EU</w:t>
      </w:r>
      <w:r w:rsidR="007F3D25" w:rsidRPr="00DF5C23">
        <w:rPr>
          <w:noProof/>
          <w:lang w:eastAsia="fr-BE"/>
        </w:rPr>
        <w:t>）</w:t>
      </w:r>
      <w:r w:rsidR="007F3D25" w:rsidRPr="00DF5C23">
        <w:rPr>
          <w:noProof/>
          <w:lang w:eastAsia="fr-BE"/>
        </w:rPr>
        <w:t>2019/1020</w:t>
      </w:r>
      <w:r w:rsidR="007F3D25" w:rsidRPr="00DF5C23">
        <w:rPr>
          <w:noProof/>
          <w:lang w:eastAsia="fr-BE"/>
        </w:rPr>
        <w:t>の第</w:t>
      </w:r>
      <w:r w:rsidR="007F3D25" w:rsidRPr="00DF5C23">
        <w:rPr>
          <w:noProof/>
          <w:lang w:eastAsia="fr-BE"/>
        </w:rPr>
        <w:t>34</w:t>
      </w:r>
      <w:r w:rsidR="007F3D25" w:rsidRPr="00DF5C23">
        <w:rPr>
          <w:noProof/>
          <w:lang w:eastAsia="fr-BE"/>
        </w:rPr>
        <w:t>条（</w:t>
      </w:r>
      <w:r w:rsidR="007F3D25" w:rsidRPr="00DF5C23">
        <w:rPr>
          <w:noProof/>
          <w:lang w:eastAsia="fr-BE"/>
        </w:rPr>
        <w:t>4</w:t>
      </w:r>
      <w:r w:rsidR="007F3D25" w:rsidRPr="00DF5C23">
        <w:rPr>
          <w:noProof/>
          <w:lang w:eastAsia="fr-BE"/>
        </w:rPr>
        <w:t>）及び（</w:t>
      </w:r>
      <w:r w:rsidR="007F3D25" w:rsidRPr="00DF5C23">
        <w:rPr>
          <w:noProof/>
          <w:lang w:eastAsia="fr-BE"/>
        </w:rPr>
        <w:t>5</w:t>
      </w:r>
      <w:r w:rsidR="007F3D25" w:rsidRPr="00DF5C23">
        <w:rPr>
          <w:noProof/>
          <w:lang w:eastAsia="fr-BE"/>
        </w:rPr>
        <w:t>）に基づき、前</w:t>
      </w:r>
      <w:r w:rsidR="007F3D25" w:rsidRPr="00DF5C23">
        <w:rPr>
          <w:noProof/>
          <w:lang w:eastAsia="fr-BE"/>
        </w:rPr>
        <w:t>2</w:t>
      </w:r>
      <w:r w:rsidR="007F3D25" w:rsidRPr="00DF5C23">
        <w:rPr>
          <w:noProof/>
          <w:lang w:eastAsia="fr-BE"/>
        </w:rPr>
        <w:t>暦年に市場監視当局が行ったチェックの内容及び数に関する情報；</w:t>
      </w:r>
      <w:r w:rsidR="007F3D25" w:rsidRPr="00DF5C23">
        <w:rPr>
          <w:noProof/>
          <w:lang w:eastAsia="fr-BE"/>
        </w:rPr>
        <w:t xml:space="preserve"> </w:t>
      </w:r>
    </w:p>
    <w:p w14:paraId="6F976964" w14:textId="77777777" w:rsidR="0038775E" w:rsidRDefault="00877B9C" w:rsidP="002041D4">
      <w:pPr>
        <w:pStyle w:val="Point1"/>
        <w:wordWrap w:val="0"/>
        <w:rPr>
          <w:noProof/>
          <w:lang w:eastAsia="fr-BE"/>
        </w:rPr>
      </w:pPr>
      <w:r w:rsidRPr="004F5E59">
        <w:rPr>
          <w:lang w:eastAsia="ja-JP"/>
        </w:rPr>
        <w:t>(b)</w:t>
      </w:r>
      <w:r w:rsidRPr="004F5E59">
        <w:rPr>
          <w:lang w:eastAsia="ja-JP"/>
        </w:rPr>
        <w:tab/>
      </w:r>
      <w:r w:rsidR="007F3D25" w:rsidRPr="00DF5C23">
        <w:rPr>
          <w:noProof/>
          <w:lang w:val="en-IE" w:eastAsia="fr-BE"/>
        </w:rPr>
        <w:t>本規則の第</w:t>
      </w:r>
      <w:r w:rsidR="007F3D25" w:rsidRPr="00DF5C23">
        <w:rPr>
          <w:noProof/>
          <w:lang w:val="en-IE" w:eastAsia="fr-BE"/>
        </w:rPr>
        <w:t>4</w:t>
      </w:r>
      <w:r w:rsidR="007F3D25" w:rsidRPr="00DF5C23">
        <w:rPr>
          <w:noProof/>
          <w:lang w:val="en-IE" w:eastAsia="fr-BE"/>
        </w:rPr>
        <w:t>条に従って採択された委任法の</w:t>
      </w:r>
      <w:r w:rsidR="007F3D25" w:rsidRPr="00DF5C23">
        <w:rPr>
          <w:noProof/>
          <w:lang w:eastAsia="fr-BE"/>
        </w:rPr>
        <w:t>対象となる製品に関して、前</w:t>
      </w:r>
      <w:r w:rsidR="007F3D25" w:rsidRPr="00DF5C23">
        <w:rPr>
          <w:noProof/>
          <w:lang w:eastAsia="fr-BE"/>
        </w:rPr>
        <w:t>2</w:t>
      </w:r>
      <w:r w:rsidR="007F3D25" w:rsidRPr="00DF5C23">
        <w:rPr>
          <w:noProof/>
          <w:lang w:eastAsia="fr-BE"/>
        </w:rPr>
        <w:t>暦年において特定された不遵守のレベル、ならびに課せられた罰則の内容および程度に関する情報；</w:t>
      </w:r>
    </w:p>
    <w:p w14:paraId="1EB32115" w14:textId="77777777" w:rsidR="0038775E" w:rsidRDefault="00877B9C" w:rsidP="002041D4">
      <w:pPr>
        <w:pStyle w:val="Point1"/>
        <w:wordWrap w:val="0"/>
        <w:rPr>
          <w:noProof/>
          <w:lang w:eastAsia="fr-BE"/>
        </w:rPr>
      </w:pPr>
      <w:r w:rsidRPr="004F5E59">
        <w:rPr>
          <w:lang w:eastAsia="ja-JP"/>
        </w:rPr>
        <w:t>(c)</w:t>
      </w:r>
      <w:r w:rsidRPr="004F5E59">
        <w:rPr>
          <w:lang w:eastAsia="ja-JP"/>
        </w:rPr>
        <w:tab/>
      </w:r>
      <w:r w:rsidR="007F3D25" w:rsidRPr="00DF5C23">
        <w:rPr>
          <w:noProof/>
          <w:lang w:eastAsia="fr-BE"/>
        </w:rPr>
        <w:t>この情報と、</w:t>
      </w:r>
      <w:r w:rsidR="00137517" w:rsidRPr="00DF5C23">
        <w:rPr>
          <w:noProof/>
          <w:lang w:eastAsia="fr-BE"/>
        </w:rPr>
        <w:t>第</w:t>
      </w:r>
      <w:r w:rsidR="00137517" w:rsidRPr="00DF5C23">
        <w:rPr>
          <w:noProof/>
          <w:lang w:eastAsia="fr-BE"/>
        </w:rPr>
        <w:t>59</w:t>
      </w:r>
      <w:r w:rsidR="00137517" w:rsidRPr="00DF5C23">
        <w:rPr>
          <w:noProof/>
          <w:lang w:eastAsia="fr-BE"/>
        </w:rPr>
        <w:t>条</w:t>
      </w:r>
      <w:r w:rsidR="007F3D25" w:rsidRPr="00DF5C23">
        <w:rPr>
          <w:noProof/>
          <w:lang w:eastAsia="fr-BE"/>
        </w:rPr>
        <w:t>第</w:t>
      </w:r>
      <w:r w:rsidR="007F3D25" w:rsidRPr="00DF5C23">
        <w:rPr>
          <w:noProof/>
          <w:lang w:eastAsia="fr-BE"/>
        </w:rPr>
        <w:t>1</w:t>
      </w:r>
      <w:r w:rsidR="007F3D25" w:rsidRPr="00DF5C23">
        <w:rPr>
          <w:noProof/>
          <w:lang w:eastAsia="fr-BE"/>
        </w:rPr>
        <w:t>項に従って作成された行動計画の文脈で計画された活動との比較；</w:t>
      </w:r>
    </w:p>
    <w:p w14:paraId="5908F0EE" w14:textId="77777777" w:rsidR="0038775E" w:rsidRDefault="00877B9C" w:rsidP="002041D4">
      <w:pPr>
        <w:pStyle w:val="Point1"/>
        <w:wordWrap w:val="0"/>
        <w:rPr>
          <w:noProof/>
          <w:lang w:eastAsia="fr-BE"/>
        </w:rPr>
      </w:pPr>
      <w:r w:rsidRPr="004F5E59">
        <w:rPr>
          <w:lang w:eastAsia="ja-JP"/>
        </w:rPr>
        <w:t>(d)</w:t>
      </w:r>
      <w:r w:rsidRPr="004F5E59">
        <w:rPr>
          <w:lang w:eastAsia="ja-JP"/>
        </w:rPr>
        <w:tab/>
      </w:r>
      <w:r w:rsidR="007F3D25" w:rsidRPr="00DF5C23">
        <w:rPr>
          <w:noProof/>
          <w:lang w:eastAsia="fr-BE"/>
        </w:rPr>
        <w:t>チェックの頻度、科される罰則の性質と厳しさに関連する市場監視当局の指標となるもの</w:t>
      </w:r>
      <w:r w:rsidR="007F3D25" w:rsidRPr="00DF5C23">
        <w:rPr>
          <w:noProof/>
          <w:lang w:val="en-IE" w:eastAsia="fr-BE"/>
        </w:rPr>
        <w:t>。</w:t>
      </w:r>
      <w:r w:rsidR="007F3D25" w:rsidRPr="00DF5C23">
        <w:rPr>
          <w:noProof/>
          <w:lang w:val="en-IE" w:eastAsia="fr-BE"/>
        </w:rPr>
        <w:t xml:space="preserve"> </w:t>
      </w:r>
    </w:p>
    <w:p w14:paraId="470FAD2F" w14:textId="77777777" w:rsidR="0038775E" w:rsidRDefault="00877B9C" w:rsidP="002041D4">
      <w:pPr>
        <w:pStyle w:val="ManualNumPar1"/>
        <w:wordWrap w:val="0"/>
        <w:rPr>
          <w:noProof/>
          <w:lang w:val="en-IE" w:eastAsia="fr-BE"/>
        </w:rPr>
      </w:pPr>
      <w:r w:rsidRPr="004F5E59">
        <w:rPr>
          <w:lang w:eastAsia="ja-JP"/>
        </w:rPr>
        <w:t>3.</w:t>
      </w:r>
      <w:r w:rsidRPr="004F5E59">
        <w:rPr>
          <w:lang w:eastAsia="ja-JP"/>
        </w:rPr>
        <w:tab/>
      </w:r>
      <w:r w:rsidR="007F3D25" w:rsidRPr="00DF5C23">
        <w:rPr>
          <w:noProof/>
          <w:lang w:val="en-IE" w:eastAsia="fr-BE"/>
        </w:rPr>
        <w:t>欧州委員会は、</w:t>
      </w:r>
      <w:r w:rsidR="007F3D25" w:rsidRPr="00DF5C23">
        <w:rPr>
          <w:noProof/>
          <w:lang w:eastAsia="fr-BE"/>
        </w:rPr>
        <w:t>本条第</w:t>
      </w:r>
      <w:r w:rsidR="007F3D25" w:rsidRPr="00DF5C23">
        <w:rPr>
          <w:noProof/>
          <w:lang w:eastAsia="fr-BE"/>
        </w:rPr>
        <w:t>2</w:t>
      </w:r>
      <w:r w:rsidR="007F3D25" w:rsidRPr="00DF5C23">
        <w:rPr>
          <w:noProof/>
          <w:lang w:eastAsia="fr-BE"/>
        </w:rPr>
        <w:t>項の</w:t>
      </w:r>
      <w:r w:rsidR="007F3D25" w:rsidRPr="00DF5C23">
        <w:rPr>
          <w:noProof/>
          <w:lang w:val="en-IE" w:eastAsia="fr-BE"/>
        </w:rPr>
        <w:t>報告書を規則（</w:t>
      </w:r>
      <w:r w:rsidR="007F3D25" w:rsidRPr="00DF5C23">
        <w:rPr>
          <w:noProof/>
          <w:lang w:val="en-IE" w:eastAsia="fr-BE"/>
        </w:rPr>
        <w:t>EU</w:t>
      </w:r>
      <w:r w:rsidR="007F3D25" w:rsidRPr="00DF5C23">
        <w:rPr>
          <w:noProof/>
          <w:lang w:val="en-IE" w:eastAsia="fr-BE"/>
        </w:rPr>
        <w:t>）</w:t>
      </w:r>
      <w:r w:rsidR="007F3D25" w:rsidRPr="00DF5C23">
        <w:rPr>
          <w:noProof/>
          <w:lang w:val="en-IE" w:eastAsia="fr-BE"/>
        </w:rPr>
        <w:t>2019/1020</w:t>
      </w:r>
      <w:r w:rsidR="007F3D25" w:rsidRPr="00DF5C23">
        <w:rPr>
          <w:noProof/>
          <w:lang w:val="en-IE" w:eastAsia="fr-BE"/>
        </w:rPr>
        <w:t>の第</w:t>
      </w:r>
      <w:r w:rsidR="007F3D25" w:rsidRPr="00DF5C23">
        <w:rPr>
          <w:noProof/>
          <w:lang w:val="en-IE" w:eastAsia="fr-BE"/>
        </w:rPr>
        <w:t>34</w:t>
      </w:r>
      <w:r w:rsidR="007F3D25" w:rsidRPr="00DF5C23">
        <w:rPr>
          <w:noProof/>
          <w:lang w:val="en-IE" w:eastAsia="fr-BE"/>
        </w:rPr>
        <w:t>条にいう情報通信システムで公表し、報告書の概要を公表するものとする。</w:t>
      </w:r>
    </w:p>
    <w:p w14:paraId="3F73ABEE" w14:textId="77777777" w:rsidR="0038775E" w:rsidRDefault="00565D97" w:rsidP="002041D4">
      <w:pPr>
        <w:pStyle w:val="Titrearticle"/>
        <w:wordWrap w:val="0"/>
        <w:rPr>
          <w:noProof/>
          <w:lang w:val="en-IE" w:eastAsia="fr-BE"/>
        </w:rPr>
      </w:pPr>
      <w:r w:rsidRPr="00DF5C23">
        <w:rPr>
          <w:noProof/>
          <w:lang w:val="en-IE" w:eastAsia="fr-BE"/>
        </w:rPr>
        <w:lastRenderedPageBreak/>
        <w:t>第</w:t>
      </w:r>
      <w:r w:rsidRPr="00DF5C23">
        <w:rPr>
          <w:noProof/>
          <w:lang w:val="en-IE" w:eastAsia="fr-BE"/>
        </w:rPr>
        <w:t>62</w:t>
      </w:r>
      <w:r w:rsidR="00FF2BAC" w:rsidRPr="00DF5C23">
        <w:rPr>
          <w:noProof/>
          <w:lang w:val="en-IE" w:eastAsia="fr-BE"/>
        </w:rPr>
        <w:t>条</w:t>
      </w:r>
      <w:r w:rsidR="00FF2BAC" w:rsidRPr="00DF5C23">
        <w:rPr>
          <w:noProof/>
          <w:lang w:eastAsia="ja-JP"/>
        </w:rPr>
        <w:br/>
      </w:r>
      <w:r w:rsidR="00FF2BAC" w:rsidRPr="00DF5C23">
        <w:rPr>
          <w:noProof/>
          <w:lang w:val="en-IE" w:eastAsia="fr-BE"/>
        </w:rPr>
        <w:t>市場サーベイランスの調整とサポート</w:t>
      </w:r>
    </w:p>
    <w:p w14:paraId="5397AAB8" w14:textId="77777777" w:rsidR="0038775E" w:rsidRDefault="00877B9C" w:rsidP="002041D4">
      <w:pPr>
        <w:pStyle w:val="ManualNumPar1"/>
        <w:wordWrap w:val="0"/>
        <w:rPr>
          <w:noProof/>
          <w:lang w:val="en-IE" w:eastAsia="fr-BE"/>
        </w:rPr>
      </w:pPr>
      <w:r w:rsidRPr="004F5E59">
        <w:rPr>
          <w:lang w:eastAsia="ja-JP"/>
        </w:rPr>
        <w:t>1.</w:t>
      </w:r>
      <w:r w:rsidRPr="004F5E59">
        <w:rPr>
          <w:lang w:eastAsia="ja-JP"/>
        </w:rPr>
        <w:tab/>
      </w:r>
      <w:r w:rsidR="007F3D25" w:rsidRPr="00DF5C23">
        <w:rPr>
          <w:noProof/>
          <w:lang w:val="en-IE" w:eastAsia="fr-BE"/>
        </w:rPr>
        <w:t>本規則の目的のため、規則（</w:t>
      </w:r>
      <w:r w:rsidR="007F3D25" w:rsidRPr="00DF5C23">
        <w:rPr>
          <w:noProof/>
          <w:lang w:val="en-IE" w:eastAsia="fr-BE"/>
        </w:rPr>
        <w:t>EU</w:t>
      </w:r>
      <w:r w:rsidR="007F3D25" w:rsidRPr="00DF5C23">
        <w:rPr>
          <w:noProof/>
          <w:lang w:val="en-IE" w:eastAsia="fr-BE"/>
        </w:rPr>
        <w:t>）</w:t>
      </w:r>
      <w:r w:rsidR="007F3D25" w:rsidRPr="00DF5C23">
        <w:rPr>
          <w:noProof/>
          <w:lang w:val="en-IE" w:eastAsia="fr-BE"/>
        </w:rPr>
        <w:t>2019/1020</w:t>
      </w:r>
      <w:r w:rsidR="007F3D25" w:rsidRPr="00DF5C23">
        <w:rPr>
          <w:noProof/>
          <w:lang w:val="en-IE" w:eastAsia="fr-BE"/>
        </w:rPr>
        <w:t>の第</w:t>
      </w:r>
      <w:r w:rsidR="007F3D25" w:rsidRPr="00DF5C23">
        <w:rPr>
          <w:noProof/>
          <w:lang w:val="en-IE" w:eastAsia="fr-BE"/>
        </w:rPr>
        <w:t>30</w:t>
      </w:r>
      <w:r w:rsidR="007F3D25" w:rsidRPr="00DF5C23">
        <w:rPr>
          <w:noProof/>
          <w:lang w:val="en-IE" w:eastAsia="fr-BE"/>
        </w:rPr>
        <w:t>条（</w:t>
      </w:r>
      <w:r w:rsidR="007F3D25" w:rsidRPr="00DF5C23">
        <w:rPr>
          <w:noProof/>
          <w:lang w:val="en-IE" w:eastAsia="fr-BE"/>
        </w:rPr>
        <w:t>2</w:t>
      </w:r>
      <w:r w:rsidR="007F3D25" w:rsidRPr="00DF5C23">
        <w:rPr>
          <w:noProof/>
          <w:lang w:val="en-IE" w:eastAsia="fr-BE"/>
        </w:rPr>
        <w:t>）に従い設置された行政協力グループ（「</w:t>
      </w:r>
      <w:r w:rsidR="007F3D25" w:rsidRPr="00DF5C23">
        <w:rPr>
          <w:noProof/>
          <w:lang w:val="en-IE" w:eastAsia="fr-BE"/>
        </w:rPr>
        <w:t>ADCO</w:t>
      </w:r>
      <w:r w:rsidR="007F3D25" w:rsidRPr="00DF5C23">
        <w:rPr>
          <w:noProof/>
          <w:lang w:val="en-IE" w:eastAsia="fr-BE"/>
        </w:rPr>
        <w:t>」）は、定期的に、また必要に応じて、欧州委員会または</w:t>
      </w:r>
      <w:r w:rsidR="007F3D25" w:rsidRPr="00DF5C23">
        <w:rPr>
          <w:noProof/>
          <w:lang w:val="en-IE" w:eastAsia="fr-BE"/>
        </w:rPr>
        <w:t>2</w:t>
      </w:r>
      <w:r w:rsidR="007F3D25" w:rsidRPr="00DF5C23">
        <w:rPr>
          <w:noProof/>
          <w:lang w:val="en-IE" w:eastAsia="fr-BE"/>
        </w:rPr>
        <w:t>つ以上の参加市場監視当局の理由ある要請があった場合に、会合を開く。</w:t>
      </w:r>
      <w:r w:rsidR="007F3D25" w:rsidRPr="00DF5C23">
        <w:rPr>
          <w:noProof/>
          <w:lang w:val="en-IE" w:eastAsia="fr-BE"/>
        </w:rPr>
        <w:t xml:space="preserve"> </w:t>
      </w:r>
    </w:p>
    <w:p w14:paraId="7C7D25D6" w14:textId="77777777" w:rsidR="0038775E" w:rsidRDefault="00877B9C" w:rsidP="002041D4">
      <w:pPr>
        <w:pStyle w:val="Text1"/>
        <w:wordWrap w:val="0"/>
        <w:rPr>
          <w:noProof/>
          <w:color w:val="000000" w:themeColor="text1"/>
          <w:lang w:val="en-IE" w:eastAsia="fr-BE"/>
        </w:rPr>
      </w:pPr>
      <w:r w:rsidRPr="00DF5C23">
        <w:rPr>
          <w:noProof/>
          <w:lang w:val="en-IE" w:eastAsia="fr-BE"/>
        </w:rPr>
        <w:t>規則（</w:t>
      </w:r>
      <w:r w:rsidRPr="00DF5C23">
        <w:rPr>
          <w:noProof/>
          <w:lang w:val="en-IE" w:eastAsia="fr-BE"/>
        </w:rPr>
        <w:t>EU</w:t>
      </w:r>
      <w:r w:rsidRPr="00DF5C23">
        <w:rPr>
          <w:noProof/>
          <w:lang w:val="en-IE" w:eastAsia="fr-BE"/>
        </w:rPr>
        <w:t>）</w:t>
      </w:r>
      <w:r w:rsidRPr="00DF5C23">
        <w:rPr>
          <w:noProof/>
          <w:lang w:val="en-IE" w:eastAsia="fr-BE"/>
        </w:rPr>
        <w:t>2019/1020</w:t>
      </w:r>
      <w:r w:rsidRPr="00DF5C23">
        <w:rPr>
          <w:noProof/>
          <w:lang w:val="en-IE" w:eastAsia="fr-BE"/>
        </w:rPr>
        <w:t>の第</w:t>
      </w:r>
      <w:r w:rsidRPr="00DF5C23">
        <w:rPr>
          <w:noProof/>
          <w:lang w:val="en-IE" w:eastAsia="fr-BE"/>
        </w:rPr>
        <w:t>32</w:t>
      </w:r>
      <w:r w:rsidRPr="00DF5C23">
        <w:rPr>
          <w:noProof/>
          <w:lang w:val="en-IE" w:eastAsia="fr-BE"/>
        </w:rPr>
        <w:t>条に定められた任務を遂行する文脈において、</w:t>
      </w:r>
      <w:r w:rsidRPr="00DF5C23">
        <w:rPr>
          <w:noProof/>
          <w:lang w:val="en-IE" w:eastAsia="fr-BE"/>
        </w:rPr>
        <w:t>ADCO</w:t>
      </w:r>
      <w:r w:rsidRPr="00DF5C23">
        <w:rPr>
          <w:noProof/>
          <w:lang w:val="en-IE" w:eastAsia="fr-BE"/>
        </w:rPr>
        <w:t>は、</w:t>
      </w:r>
      <w:r w:rsidR="00137517" w:rsidRPr="00DF5C23">
        <w:rPr>
          <w:noProof/>
          <w:lang w:val="en-IE" w:eastAsia="fr-BE"/>
        </w:rPr>
        <w:t>第</w:t>
      </w:r>
      <w:r w:rsidR="00137517" w:rsidRPr="00DF5C23">
        <w:rPr>
          <w:noProof/>
          <w:lang w:val="en-IE" w:eastAsia="fr-BE"/>
        </w:rPr>
        <w:t>59</w:t>
      </w:r>
      <w:r w:rsidRPr="00DF5C23">
        <w:rPr>
          <w:noProof/>
          <w:lang w:val="en-IE" w:eastAsia="fr-BE"/>
        </w:rPr>
        <w:t>条（</w:t>
      </w:r>
      <w:r w:rsidRPr="00DF5C23">
        <w:rPr>
          <w:noProof/>
          <w:lang w:val="en-IE" w:eastAsia="fr-BE"/>
        </w:rPr>
        <w:t>1</w:t>
      </w:r>
      <w:r w:rsidRPr="00DF5C23">
        <w:rPr>
          <w:noProof/>
          <w:lang w:val="en-IE" w:eastAsia="fr-BE"/>
        </w:rPr>
        <w:t>）に従って策定されたアクションプランの実施を支援し、特定するものとする</w:t>
      </w:r>
      <w:r w:rsidRPr="00DF5C23">
        <w:rPr>
          <w:noProof/>
          <w:color w:val="000000" w:themeColor="text1"/>
          <w:lang w:val="en-IE" w:eastAsia="fr-BE"/>
        </w:rPr>
        <w:t>：</w:t>
      </w:r>
    </w:p>
    <w:p w14:paraId="68219081" w14:textId="77777777" w:rsidR="0038775E" w:rsidRDefault="00877B9C" w:rsidP="002041D4">
      <w:pPr>
        <w:pStyle w:val="Point1"/>
        <w:wordWrap w:val="0"/>
        <w:rPr>
          <w:noProof/>
          <w:lang w:val="en-IE" w:eastAsia="fr-BE"/>
        </w:rPr>
      </w:pPr>
      <w:r w:rsidRPr="004F5E59">
        <w:rPr>
          <w:lang w:eastAsia="ja-JP"/>
        </w:rPr>
        <w:t>(a)</w:t>
      </w:r>
      <w:r w:rsidRPr="004F5E59">
        <w:rPr>
          <w:lang w:eastAsia="ja-JP"/>
        </w:rPr>
        <w:tab/>
      </w:r>
      <w:r w:rsidR="00137517" w:rsidRPr="00DF5C23">
        <w:rPr>
          <w:noProof/>
          <w:lang w:val="en-IE" w:eastAsia="fr-BE"/>
        </w:rPr>
        <w:t>第</w:t>
      </w:r>
      <w:r w:rsidR="00137517" w:rsidRPr="00DF5C23">
        <w:rPr>
          <w:noProof/>
          <w:lang w:val="en-IE" w:eastAsia="fr-BE"/>
        </w:rPr>
        <w:t>59</w:t>
      </w:r>
      <w:r w:rsidR="00137517" w:rsidRPr="00DF5C23">
        <w:rPr>
          <w:noProof/>
          <w:lang w:val="en-IE" w:eastAsia="fr-BE"/>
        </w:rPr>
        <w:t>条</w:t>
      </w:r>
      <w:r w:rsidR="007F3D25" w:rsidRPr="00DF5C23">
        <w:rPr>
          <w:noProof/>
          <w:lang w:val="en-IE" w:eastAsia="fr-BE"/>
        </w:rPr>
        <w:t>(2)</w:t>
      </w:r>
      <w:r w:rsidR="007F3D25" w:rsidRPr="00DF5C23">
        <w:rPr>
          <w:noProof/>
          <w:lang w:val="en-IE" w:eastAsia="fr-BE"/>
        </w:rPr>
        <w:t>にいう客観的な基準に基づき、</w:t>
      </w:r>
      <w:r w:rsidR="00137517" w:rsidRPr="00DF5C23">
        <w:rPr>
          <w:noProof/>
          <w:lang w:val="en-IE" w:eastAsia="fr-BE"/>
        </w:rPr>
        <w:t>第</w:t>
      </w:r>
      <w:r w:rsidR="00137517" w:rsidRPr="00DF5C23">
        <w:rPr>
          <w:noProof/>
          <w:lang w:val="en-IE" w:eastAsia="fr-BE"/>
        </w:rPr>
        <w:t>59</w:t>
      </w:r>
      <w:r w:rsidR="00137517" w:rsidRPr="00DF5C23">
        <w:rPr>
          <w:noProof/>
          <w:lang w:val="en-IE" w:eastAsia="fr-BE"/>
        </w:rPr>
        <w:t>条</w:t>
      </w:r>
      <w:r w:rsidR="007F3D25" w:rsidRPr="00DF5C23">
        <w:rPr>
          <w:noProof/>
          <w:lang w:val="en-IE" w:eastAsia="fr-BE"/>
        </w:rPr>
        <w:t>(1)</w:t>
      </w:r>
      <w:r w:rsidR="007F3D25" w:rsidRPr="00DF5C23">
        <w:rPr>
          <w:noProof/>
          <w:lang w:val="en-IE" w:eastAsia="fr-BE"/>
        </w:rPr>
        <w:t>の</w:t>
      </w:r>
      <w:r w:rsidR="007F3D25" w:rsidRPr="00DF5C23">
        <w:rPr>
          <w:noProof/>
          <w:lang w:val="en-IE" w:eastAsia="fr-BE"/>
        </w:rPr>
        <w:t>(a)</w:t>
      </w:r>
      <w:r w:rsidR="007F3D25" w:rsidRPr="00DF5C23">
        <w:rPr>
          <w:noProof/>
          <w:lang w:val="en-IE" w:eastAsia="fr-BE"/>
        </w:rPr>
        <w:t>にいう市場監視のための共通の優先順位；</w:t>
      </w:r>
    </w:p>
    <w:p w14:paraId="6AB1982D" w14:textId="77777777" w:rsidR="0038775E" w:rsidRDefault="00877B9C" w:rsidP="002041D4">
      <w:pPr>
        <w:pStyle w:val="Point1"/>
        <w:wordWrap w:val="0"/>
        <w:rPr>
          <w:noProof/>
          <w:lang w:val="en-IE" w:eastAsia="fr-BE"/>
        </w:rPr>
      </w:pPr>
      <w:r w:rsidRPr="004F5E59">
        <w:rPr>
          <w:lang w:eastAsia="ja-JP"/>
        </w:rPr>
        <w:t>(b)</w:t>
      </w:r>
      <w:r w:rsidRPr="004F5E59">
        <w:rPr>
          <w:lang w:eastAsia="ja-JP"/>
        </w:rPr>
        <w:tab/>
      </w:r>
      <w:r w:rsidR="007F3D25" w:rsidRPr="00DF5C23">
        <w:rPr>
          <w:noProof/>
          <w:lang w:val="en-IE" w:eastAsia="fr-BE"/>
        </w:rPr>
        <w:t>第</w:t>
      </w:r>
      <w:r w:rsidR="007F3D25" w:rsidRPr="00DF5C23">
        <w:rPr>
          <w:noProof/>
          <w:lang w:val="en-IE" w:eastAsia="fr-BE"/>
        </w:rPr>
        <w:t>2</w:t>
      </w:r>
      <w:r w:rsidR="007F3D25" w:rsidRPr="00DF5C23">
        <w:rPr>
          <w:noProof/>
          <w:lang w:val="en-IE" w:eastAsia="fr-BE"/>
        </w:rPr>
        <w:t>項に基づき、ユニオンが支援する優先順位；</w:t>
      </w:r>
    </w:p>
    <w:p w14:paraId="3A27E518" w14:textId="77777777" w:rsidR="0038775E" w:rsidRDefault="00877B9C" w:rsidP="002041D4">
      <w:pPr>
        <w:pStyle w:val="Point1"/>
        <w:wordWrap w:val="0"/>
        <w:rPr>
          <w:noProof/>
          <w:lang w:val="en-IE" w:eastAsia="fr-BE"/>
        </w:rPr>
      </w:pPr>
      <w:r w:rsidRPr="004F5E59">
        <w:rPr>
          <w:lang w:eastAsia="ja-JP"/>
        </w:rPr>
        <w:t>(c)</w:t>
      </w:r>
      <w:r w:rsidRPr="004F5E59">
        <w:rPr>
          <w:lang w:eastAsia="ja-JP"/>
        </w:rPr>
        <w:tab/>
      </w:r>
      <w:r w:rsidR="007F3D25" w:rsidRPr="00DF5C23">
        <w:rPr>
          <w:noProof/>
          <w:lang w:val="en-IE" w:eastAsia="fr-BE"/>
        </w:rPr>
        <w:t>第</w:t>
      </w:r>
      <w:r w:rsidR="007F3D25" w:rsidRPr="00DF5C23">
        <w:rPr>
          <w:noProof/>
          <w:lang w:val="en-IE" w:eastAsia="fr-BE"/>
        </w:rPr>
        <w:t>4</w:t>
      </w:r>
      <w:r w:rsidR="007F3D25" w:rsidRPr="00DF5C23">
        <w:rPr>
          <w:noProof/>
          <w:lang w:val="en-IE" w:eastAsia="fr-BE"/>
        </w:rPr>
        <w:t>条に従って採択された委任行為に規定された要件のうち、適用または解釈が異なるもので、本条第</w:t>
      </w:r>
      <w:r w:rsidR="007F3D25" w:rsidRPr="00DF5C23">
        <w:rPr>
          <w:noProof/>
          <w:lang w:val="en-IE" w:eastAsia="fr-BE"/>
        </w:rPr>
        <w:t>2</w:t>
      </w:r>
      <w:r w:rsidR="007F3D25" w:rsidRPr="00DF5C23">
        <w:rPr>
          <w:noProof/>
          <w:lang w:val="en-IE" w:eastAsia="fr-BE"/>
        </w:rPr>
        <w:t>項に従って共通の研修の組織またはガイドラインの採択に優先的に取り組むべきもの。</w:t>
      </w:r>
      <w:r w:rsidR="007F3D25" w:rsidRPr="00DF5C23">
        <w:rPr>
          <w:noProof/>
          <w:lang w:val="en-IE" w:eastAsia="fr-BE"/>
        </w:rPr>
        <w:t xml:space="preserve">   </w:t>
      </w:r>
    </w:p>
    <w:p w14:paraId="278C8F07" w14:textId="77777777" w:rsidR="0038775E" w:rsidRDefault="00877B9C" w:rsidP="002041D4">
      <w:pPr>
        <w:pStyle w:val="ManualNumPar1"/>
        <w:wordWrap w:val="0"/>
        <w:rPr>
          <w:noProof/>
          <w:lang w:val="en-IE" w:eastAsia="fr-BE"/>
        </w:rPr>
      </w:pPr>
      <w:r w:rsidRPr="004F5E59">
        <w:rPr>
          <w:lang w:eastAsia="ja-JP"/>
        </w:rPr>
        <w:t>2.</w:t>
      </w:r>
      <w:r w:rsidRPr="004F5E59">
        <w:rPr>
          <w:lang w:eastAsia="ja-JP"/>
        </w:rPr>
        <w:tab/>
      </w:r>
      <w:r w:rsidR="007F3D25" w:rsidRPr="00DF5C23">
        <w:rPr>
          <w:noProof/>
          <w:lang w:val="en-IE" w:eastAsia="fr-BE"/>
        </w:rPr>
        <w:t>ADCO</w:t>
      </w:r>
      <w:r w:rsidR="007F3D25" w:rsidRPr="00DF5C23">
        <w:rPr>
          <w:noProof/>
          <w:lang w:val="en-IE" w:eastAsia="fr-BE"/>
        </w:rPr>
        <w:t>が特定した優先順位に基づき、委員会は以下を行う：</w:t>
      </w:r>
    </w:p>
    <w:p w14:paraId="5657DA0E" w14:textId="77777777" w:rsidR="0038775E" w:rsidRDefault="00877B9C" w:rsidP="002041D4">
      <w:pPr>
        <w:pStyle w:val="Point1"/>
        <w:wordWrap w:val="0"/>
        <w:rPr>
          <w:noProof/>
          <w:lang w:val="en-IE" w:eastAsia="fr-BE"/>
        </w:rPr>
      </w:pPr>
      <w:r w:rsidRPr="004F5E59">
        <w:rPr>
          <w:lang w:eastAsia="ja-JP"/>
        </w:rPr>
        <w:t>(a)</w:t>
      </w:r>
      <w:r w:rsidRPr="004F5E59">
        <w:rPr>
          <w:lang w:eastAsia="ja-JP"/>
        </w:rPr>
        <w:tab/>
      </w:r>
      <w:r w:rsidR="007F3D25" w:rsidRPr="00DF5C23">
        <w:rPr>
          <w:noProof/>
          <w:lang w:val="en-IE" w:eastAsia="fr-BE"/>
        </w:rPr>
        <w:t>共通の関心分野での共同市場サーベイランスおよびテストプロジェクトを組織する；</w:t>
      </w:r>
    </w:p>
    <w:p w14:paraId="0355351D" w14:textId="77777777" w:rsidR="0038775E" w:rsidRDefault="00877B9C" w:rsidP="002041D4">
      <w:pPr>
        <w:pStyle w:val="Point1"/>
        <w:wordWrap w:val="0"/>
        <w:rPr>
          <w:noProof/>
          <w:lang w:val="en-IE" w:eastAsia="fr-BE"/>
        </w:rPr>
      </w:pPr>
      <w:r w:rsidRPr="004F5E59">
        <w:rPr>
          <w:lang w:eastAsia="ja-JP"/>
        </w:rPr>
        <w:t>(b)</w:t>
      </w:r>
      <w:r w:rsidRPr="004F5E59">
        <w:rPr>
          <w:lang w:eastAsia="ja-JP"/>
        </w:rPr>
        <w:tab/>
      </w:r>
      <w:r w:rsidR="007F3D25" w:rsidRPr="00DF5C23">
        <w:rPr>
          <w:noProof/>
          <w:lang w:val="en-IE" w:eastAsia="fr-BE"/>
        </w:rPr>
        <w:t>機器や</w:t>
      </w:r>
      <w:r w:rsidR="007F3D25" w:rsidRPr="00DF5C23">
        <w:rPr>
          <w:noProof/>
          <w:lang w:val="en-IE" w:eastAsia="fr-BE"/>
        </w:rPr>
        <w:t>IT</w:t>
      </w:r>
      <w:r w:rsidR="007F3D25" w:rsidRPr="00DF5C23">
        <w:rPr>
          <w:noProof/>
          <w:lang w:val="en-IE" w:eastAsia="fr-BE"/>
        </w:rPr>
        <w:t>ツールなど、市場監視能力への共同投資を行う；</w:t>
      </w:r>
    </w:p>
    <w:p w14:paraId="76E34DD5" w14:textId="77777777" w:rsidR="0038775E" w:rsidRDefault="00877B9C" w:rsidP="002041D4">
      <w:pPr>
        <w:pStyle w:val="Point1"/>
        <w:wordWrap w:val="0"/>
        <w:rPr>
          <w:noProof/>
          <w:lang w:val="en-IE" w:eastAsia="fr-BE"/>
        </w:rPr>
      </w:pPr>
      <w:r w:rsidRPr="004F5E59">
        <w:rPr>
          <w:lang w:eastAsia="ja-JP"/>
        </w:rPr>
        <w:t>(c)</w:t>
      </w:r>
      <w:r w:rsidRPr="004F5E59">
        <w:rPr>
          <w:lang w:eastAsia="ja-JP"/>
        </w:rPr>
        <w:tab/>
      </w:r>
      <w:r w:rsidR="007F3D25" w:rsidRPr="00DF5C23">
        <w:rPr>
          <w:noProof/>
          <w:lang w:val="en-IE" w:eastAsia="fr-BE"/>
        </w:rPr>
        <w:t>市場監視当局、届出機関及び通知機関の職員に対し、第</w:t>
      </w:r>
      <w:r w:rsidR="007F3D25" w:rsidRPr="00DF5C23">
        <w:rPr>
          <w:noProof/>
          <w:lang w:val="en-IE" w:eastAsia="fr-BE"/>
        </w:rPr>
        <w:t>4</w:t>
      </w:r>
      <w:r w:rsidR="007F3D25" w:rsidRPr="00DF5C23">
        <w:rPr>
          <w:noProof/>
          <w:lang w:val="en-IE" w:eastAsia="fr-BE"/>
        </w:rPr>
        <w:t>条に従って採択された委任行為に定められた要件の正しい解釈及び適用、並びに当該要件の適用又は遵守の検証に関連する方法及び技術に関する研修を含む、共通の研修を組織する；</w:t>
      </w:r>
      <w:r w:rsidR="007F3D25" w:rsidRPr="00DF5C23">
        <w:rPr>
          <w:noProof/>
          <w:lang w:val="en-IE" w:eastAsia="fr-BE"/>
        </w:rPr>
        <w:t xml:space="preserve"> </w:t>
      </w:r>
    </w:p>
    <w:p w14:paraId="092DDC58" w14:textId="77777777" w:rsidR="0038775E" w:rsidRDefault="00877B9C" w:rsidP="002041D4">
      <w:pPr>
        <w:pStyle w:val="Point1"/>
        <w:wordWrap w:val="0"/>
        <w:rPr>
          <w:noProof/>
          <w:lang w:val="en-IE" w:eastAsia="fr-BE"/>
        </w:rPr>
      </w:pPr>
      <w:r w:rsidRPr="004F5E59">
        <w:rPr>
          <w:lang w:eastAsia="ja-JP"/>
        </w:rPr>
        <w:t>(d)</w:t>
      </w:r>
      <w:r w:rsidRPr="004F5E59">
        <w:rPr>
          <w:lang w:eastAsia="ja-JP"/>
        </w:rPr>
        <w:tab/>
      </w:r>
      <w:r w:rsidR="007F3D25" w:rsidRPr="00DF5C23">
        <w:rPr>
          <w:noProof/>
          <w:lang w:val="en-IE" w:eastAsia="fr-BE"/>
        </w:rPr>
        <w:t>第</w:t>
      </w:r>
      <w:r w:rsidR="007F3D25" w:rsidRPr="00DF5C23">
        <w:rPr>
          <w:noProof/>
          <w:lang w:val="en-IE" w:eastAsia="fr-BE"/>
        </w:rPr>
        <w:t>4</w:t>
      </w:r>
      <w:r w:rsidR="007F3D25" w:rsidRPr="00DF5C23">
        <w:rPr>
          <w:noProof/>
          <w:lang w:val="en-IE" w:eastAsia="fr-BE"/>
        </w:rPr>
        <w:t>条に従って採択された委任行為に規定された要件の適用及び執行のための精緻なガイドライン（効果的な市場監視のための共通の慣行及び方法論を含む）。</w:t>
      </w:r>
    </w:p>
    <w:p w14:paraId="3F6ADF08" w14:textId="77777777" w:rsidR="0038775E" w:rsidRDefault="00877B9C" w:rsidP="002041D4">
      <w:pPr>
        <w:pStyle w:val="Text1"/>
        <w:wordWrap w:val="0"/>
        <w:rPr>
          <w:noProof/>
          <w:lang w:val="en-IE" w:eastAsia="fr-BE"/>
        </w:rPr>
      </w:pPr>
      <w:r w:rsidRPr="00DF5C23">
        <w:rPr>
          <w:noProof/>
          <w:lang w:val="en-IE" w:eastAsia="fr-BE"/>
        </w:rPr>
        <w:t>組合は、適切な場合、</w:t>
      </w:r>
      <w:r w:rsidRPr="00DF5C23">
        <w:rPr>
          <w:noProof/>
          <w:lang w:val="en-IE" w:eastAsia="fr-BE"/>
        </w:rPr>
        <w:t>(a)</w:t>
      </w:r>
      <w:r w:rsidRPr="00DF5C23">
        <w:rPr>
          <w:noProof/>
          <w:lang w:val="en-IE" w:eastAsia="fr-BE"/>
        </w:rPr>
        <w:t>、</w:t>
      </w:r>
      <w:r w:rsidRPr="00DF5C23">
        <w:rPr>
          <w:noProof/>
          <w:lang w:val="en-IE" w:eastAsia="fr-BE"/>
        </w:rPr>
        <w:t>(b)</w:t>
      </w:r>
      <w:r w:rsidRPr="00DF5C23">
        <w:rPr>
          <w:noProof/>
          <w:lang w:val="en-IE" w:eastAsia="fr-BE"/>
        </w:rPr>
        <w:t>および</w:t>
      </w:r>
      <w:r w:rsidRPr="00DF5C23">
        <w:rPr>
          <w:noProof/>
          <w:lang w:val="en-IE" w:eastAsia="fr-BE"/>
        </w:rPr>
        <w:t>(c)</w:t>
      </w:r>
      <w:r w:rsidRPr="00DF5C23">
        <w:rPr>
          <w:noProof/>
          <w:lang w:val="en-IE" w:eastAsia="fr-BE"/>
        </w:rPr>
        <w:t>に言及された行為に資金を提供</w:t>
      </w:r>
      <w:r w:rsidRPr="00DF5C23">
        <w:rPr>
          <w:noProof/>
          <w:lang w:val="en-IE" w:eastAsia="fr-BE"/>
        </w:rPr>
        <w:t>するものとする。</w:t>
      </w:r>
      <w:r w:rsidRPr="00DF5C23">
        <w:rPr>
          <w:noProof/>
          <w:lang w:val="en-IE" w:eastAsia="fr-BE"/>
        </w:rPr>
        <w:t xml:space="preserve"> </w:t>
      </w:r>
    </w:p>
    <w:p w14:paraId="01FAFF31" w14:textId="77777777" w:rsidR="0038775E" w:rsidRDefault="00877B9C" w:rsidP="002041D4">
      <w:pPr>
        <w:pStyle w:val="ManualNumPar1"/>
        <w:wordWrap w:val="0"/>
        <w:rPr>
          <w:noProof/>
          <w:lang w:val="en-IE" w:eastAsia="fr-BE"/>
        </w:rPr>
      </w:pPr>
      <w:r w:rsidRPr="004F5E59">
        <w:rPr>
          <w:lang w:eastAsia="ja-JP"/>
        </w:rPr>
        <w:t>3.</w:t>
      </w:r>
      <w:r w:rsidRPr="004F5E59">
        <w:rPr>
          <w:lang w:eastAsia="ja-JP"/>
        </w:rPr>
        <w:tab/>
      </w:r>
      <w:r w:rsidR="007F3D25" w:rsidRPr="00DF5C23">
        <w:rPr>
          <w:noProof/>
          <w:lang w:val="en-IE" w:eastAsia="fr-BE"/>
        </w:rPr>
        <w:t>欧州委員会は、</w:t>
      </w:r>
      <w:r w:rsidR="007F3D25" w:rsidRPr="00DF5C23">
        <w:rPr>
          <w:noProof/>
          <w:lang w:val="en-IE" w:eastAsia="fr-BE"/>
        </w:rPr>
        <w:t>ADCO</w:t>
      </w:r>
      <w:r w:rsidR="007F3D25" w:rsidRPr="00DF5C23">
        <w:rPr>
          <w:noProof/>
          <w:lang w:val="en-IE" w:eastAsia="fr-BE"/>
        </w:rPr>
        <w:t>が規則（</w:t>
      </w:r>
      <w:r w:rsidR="007F3D25" w:rsidRPr="00DF5C23">
        <w:rPr>
          <w:noProof/>
          <w:lang w:val="en-IE" w:eastAsia="fr-BE"/>
        </w:rPr>
        <w:t>EU</w:t>
      </w:r>
      <w:r w:rsidR="007F3D25" w:rsidRPr="00DF5C23">
        <w:rPr>
          <w:noProof/>
          <w:lang w:val="en-IE" w:eastAsia="fr-BE"/>
        </w:rPr>
        <w:t>）</w:t>
      </w:r>
      <w:r w:rsidR="007F3D25" w:rsidRPr="00DF5C23">
        <w:rPr>
          <w:noProof/>
          <w:lang w:val="en-IE" w:eastAsia="fr-BE"/>
        </w:rPr>
        <w:t>2019/1020</w:t>
      </w:r>
      <w:r w:rsidR="007F3D25" w:rsidRPr="00DF5C23">
        <w:rPr>
          <w:noProof/>
          <w:lang w:val="en-IE" w:eastAsia="fr-BE"/>
        </w:rPr>
        <w:t>の第</w:t>
      </w:r>
      <w:r w:rsidR="007F3D25" w:rsidRPr="00DF5C23">
        <w:rPr>
          <w:noProof/>
          <w:lang w:val="en-IE" w:eastAsia="fr-BE"/>
        </w:rPr>
        <w:t>32</w:t>
      </w:r>
      <w:r w:rsidR="007F3D25" w:rsidRPr="00DF5C23">
        <w:rPr>
          <w:noProof/>
          <w:lang w:val="en-IE" w:eastAsia="fr-BE"/>
        </w:rPr>
        <w:t>条および本条に定める任務を遂行できるように、技術的および後方支援を提供するものとする。</w:t>
      </w:r>
    </w:p>
    <w:p w14:paraId="151CA0A4" w14:textId="77777777" w:rsidR="0038775E" w:rsidRDefault="00877B9C" w:rsidP="002041D4">
      <w:pPr>
        <w:pStyle w:val="ManualHeading1"/>
        <w:wordWrap w:val="0"/>
        <w:jc w:val="center"/>
        <w:rPr>
          <w:noProof/>
          <w:lang w:val="en-IE" w:eastAsia="ja-JP"/>
        </w:rPr>
      </w:pPr>
      <w:r w:rsidRPr="00DF5C23">
        <w:rPr>
          <w:noProof/>
          <w:lang w:eastAsia="ja-JP"/>
        </w:rPr>
        <w:t>第十</w:t>
      </w:r>
      <w:r w:rsidR="00A625AD" w:rsidRPr="00DF5C23">
        <w:rPr>
          <w:noProof/>
          <w:lang w:eastAsia="ja-JP"/>
        </w:rPr>
        <w:t>二</w:t>
      </w:r>
      <w:r w:rsidR="00F77587" w:rsidRPr="00DF5C23">
        <w:rPr>
          <w:noProof/>
          <w:lang w:eastAsia="ja-JP"/>
        </w:rPr>
        <w:t>章</w:t>
      </w:r>
      <w:r w:rsidR="00F77587" w:rsidRPr="00DF5C23">
        <w:rPr>
          <w:noProof/>
          <w:lang w:eastAsia="ja-JP"/>
        </w:rPr>
        <w:t xml:space="preserve"> </w:t>
      </w:r>
      <w:r w:rsidRPr="00DF5C23">
        <w:rPr>
          <w:noProof/>
          <w:lang w:eastAsia="ja-JP"/>
        </w:rPr>
        <w:t>セーフガード手続き</w:t>
      </w:r>
    </w:p>
    <w:p w14:paraId="064B8302" w14:textId="77777777" w:rsidR="0038775E" w:rsidRDefault="00565D97" w:rsidP="002041D4">
      <w:pPr>
        <w:pStyle w:val="Titrearticle"/>
        <w:wordWrap w:val="0"/>
        <w:rPr>
          <w:noProof/>
          <w:lang w:val="en-IE" w:eastAsia="fr-BE"/>
        </w:rPr>
      </w:pPr>
      <w:r w:rsidRPr="00DF5C23">
        <w:rPr>
          <w:noProof/>
          <w:lang w:eastAsia="fr-BE"/>
        </w:rPr>
        <w:t>第</w:t>
      </w:r>
      <w:r w:rsidRPr="00DF5C23">
        <w:rPr>
          <w:noProof/>
          <w:lang w:eastAsia="fr-BE"/>
        </w:rPr>
        <w:t>63</w:t>
      </w:r>
      <w:r w:rsidR="00877B9C" w:rsidRPr="00DF5C23">
        <w:rPr>
          <w:noProof/>
          <w:lang w:eastAsia="fr-BE"/>
        </w:rPr>
        <w:t>条</w:t>
      </w:r>
      <w:r w:rsidR="00877B9C" w:rsidRPr="00DF5C23">
        <w:rPr>
          <w:noProof/>
          <w:lang w:eastAsia="ja-JP"/>
        </w:rPr>
        <w:br/>
      </w:r>
      <w:r w:rsidR="00877B9C" w:rsidRPr="00DF5C23">
        <w:rPr>
          <w:noProof/>
          <w:lang w:val="en-IE" w:eastAsia="fr-BE"/>
        </w:rPr>
        <w:t>国レベルで</w:t>
      </w:r>
      <w:r w:rsidR="008017E5" w:rsidRPr="00DF5C23">
        <w:rPr>
          <w:noProof/>
          <w:lang w:val="en-IE" w:eastAsia="fr-BE"/>
        </w:rPr>
        <w:t>リスクを提示する</w:t>
      </w:r>
      <w:r w:rsidR="00877B9C" w:rsidRPr="00DF5C23">
        <w:rPr>
          <w:noProof/>
          <w:lang w:val="en-IE" w:eastAsia="fr-BE"/>
        </w:rPr>
        <w:t>製品に対応するための手順</w:t>
      </w:r>
    </w:p>
    <w:p w14:paraId="19ED9C86" w14:textId="77777777" w:rsidR="0038775E" w:rsidRDefault="00877B9C" w:rsidP="002041D4">
      <w:pPr>
        <w:pStyle w:val="ManualNumPar1"/>
        <w:wordWrap w:val="0"/>
        <w:rPr>
          <w:noProof/>
          <w:lang w:val="en-IE" w:eastAsia="fr-BE"/>
        </w:rPr>
      </w:pPr>
      <w:r w:rsidRPr="004F5E59">
        <w:rPr>
          <w:lang w:eastAsia="ja-JP"/>
        </w:rPr>
        <w:t>1.</w:t>
      </w:r>
      <w:r w:rsidRPr="004F5E59">
        <w:rPr>
          <w:lang w:eastAsia="ja-JP"/>
        </w:rPr>
        <w:tab/>
      </w:r>
      <w:r w:rsidR="00FF2BAC" w:rsidRPr="00DF5C23">
        <w:rPr>
          <w:noProof/>
          <w:lang w:val="en-IE" w:eastAsia="fr-BE"/>
        </w:rPr>
        <w:t>ある加盟国の市場監視当局は、</w:t>
      </w:r>
      <w:r w:rsidR="00552FE2" w:rsidRPr="00DF5C23">
        <w:rPr>
          <w:noProof/>
          <w:lang w:val="en-IE" w:eastAsia="fr-BE"/>
        </w:rPr>
        <w:t>第</w:t>
      </w:r>
      <w:r w:rsidR="00552FE2" w:rsidRPr="00DF5C23">
        <w:rPr>
          <w:noProof/>
          <w:lang w:val="en-IE" w:eastAsia="fr-BE"/>
        </w:rPr>
        <w:t>4</w:t>
      </w:r>
      <w:r w:rsidR="00552FE2" w:rsidRPr="00DF5C23">
        <w:rPr>
          <w:noProof/>
          <w:lang w:val="en-IE" w:eastAsia="fr-BE"/>
        </w:rPr>
        <w:t>条に従って採択された</w:t>
      </w:r>
      <w:r w:rsidR="00FF2BAC" w:rsidRPr="00DF5C23">
        <w:rPr>
          <w:noProof/>
          <w:lang w:val="en-IE" w:eastAsia="fr-BE"/>
        </w:rPr>
        <w:t>委任法の対象となる製品が</w:t>
      </w:r>
      <w:r w:rsidR="00CE7F8A" w:rsidRPr="00DF5C23">
        <w:rPr>
          <w:noProof/>
          <w:lang w:val="en-IE" w:eastAsia="fr-BE"/>
        </w:rPr>
        <w:t>リスクをもたらすと信じる</w:t>
      </w:r>
      <w:r w:rsidR="00FF2BAC" w:rsidRPr="00DF5C23">
        <w:rPr>
          <w:noProof/>
          <w:lang w:val="en-IE" w:eastAsia="fr-BE"/>
        </w:rPr>
        <w:t>十分な</w:t>
      </w:r>
      <w:r w:rsidR="0055208A" w:rsidRPr="00DF5C23">
        <w:rPr>
          <w:noProof/>
          <w:color w:val="000000" w:themeColor="text1"/>
          <w:lang w:val="en-IE" w:eastAsia="fr-BE"/>
        </w:rPr>
        <w:t>理由がある場合、</w:t>
      </w:r>
      <w:r w:rsidR="00506E86" w:rsidRPr="00DF5C23">
        <w:rPr>
          <w:noProof/>
          <w:lang w:eastAsia="ja-JP"/>
        </w:rPr>
        <w:t>リスクに関連し、本規則または関連する委任法に規定されている</w:t>
      </w:r>
      <w:r w:rsidR="00FF2BAC" w:rsidRPr="00DF5C23">
        <w:rPr>
          <w:noProof/>
          <w:lang w:val="en-IE" w:eastAsia="fr-BE"/>
        </w:rPr>
        <w:t>すべての</w:t>
      </w:r>
      <w:r w:rsidR="00506E86" w:rsidRPr="00DF5C23">
        <w:rPr>
          <w:noProof/>
          <w:lang w:val="en-IE" w:eastAsia="fr-BE"/>
        </w:rPr>
        <w:t>要件を</w:t>
      </w:r>
      <w:r w:rsidR="00FF2BAC" w:rsidRPr="00DF5C23">
        <w:rPr>
          <w:noProof/>
          <w:lang w:val="en-IE" w:eastAsia="fr-BE"/>
        </w:rPr>
        <w:t>網羅する評価</w:t>
      </w:r>
      <w:r w:rsidR="00FF2BAC" w:rsidRPr="00DF5C23">
        <w:rPr>
          <w:noProof/>
          <w:lang w:val="en-IE" w:eastAsia="fr-BE"/>
        </w:rPr>
        <w:lastRenderedPageBreak/>
        <w:t>を実施するものとする</w:t>
      </w:r>
      <w:r w:rsidR="00506E86" w:rsidRPr="00DF5C23" w:rsidDel="007E3F44">
        <w:rPr>
          <w:noProof/>
          <w:lang w:val="en-IE" w:eastAsia="fr-BE"/>
        </w:rPr>
        <w:t>。</w:t>
      </w:r>
      <w:r w:rsidR="00FF2BAC" w:rsidRPr="00DF5C23">
        <w:rPr>
          <w:noProof/>
          <w:lang w:val="en-IE" w:eastAsia="fr-BE"/>
        </w:rPr>
        <w:t>関連する経済事業者は、必要に応じて市場監視当局と協力するものとする。</w:t>
      </w:r>
    </w:p>
    <w:p w14:paraId="4B9A8E61" w14:textId="77777777" w:rsidR="0038775E" w:rsidRDefault="00877B9C" w:rsidP="002041D4">
      <w:pPr>
        <w:pStyle w:val="Text1"/>
        <w:wordWrap w:val="0"/>
        <w:rPr>
          <w:noProof/>
          <w:lang w:val="en-IE" w:eastAsia="fr-BE"/>
        </w:rPr>
      </w:pPr>
      <w:r w:rsidRPr="00DF5C23">
        <w:rPr>
          <w:noProof/>
          <w:lang w:val="en-IE" w:eastAsia="fr-BE"/>
        </w:rPr>
        <w:t>その評価の過程で、市場監視当局が、製品が</w:t>
      </w:r>
      <w:r w:rsidR="00552FE2" w:rsidRPr="00DF5C23">
        <w:rPr>
          <w:noProof/>
          <w:lang w:val="en-IE" w:eastAsia="fr-BE"/>
        </w:rPr>
        <w:t>第</w:t>
      </w:r>
      <w:r w:rsidR="00552FE2" w:rsidRPr="00DF5C23">
        <w:rPr>
          <w:noProof/>
          <w:lang w:val="en-IE" w:eastAsia="fr-BE"/>
        </w:rPr>
        <w:t>4</w:t>
      </w:r>
      <w:r w:rsidR="00552FE2" w:rsidRPr="00DF5C23">
        <w:rPr>
          <w:noProof/>
          <w:lang w:val="en-IE" w:eastAsia="fr-BE"/>
        </w:rPr>
        <w:t>条に従って採択された</w:t>
      </w:r>
      <w:r w:rsidRPr="00DF5C23">
        <w:rPr>
          <w:noProof/>
          <w:lang w:val="en-IE" w:eastAsia="fr-BE"/>
        </w:rPr>
        <w:t>該当する委任行為に定められた要件に準拠していないことを発見した場合、市場監視当局が定める合理的な期間内に、不適合の性質及び関連する場合にはその程度に相応して、不適合を終わらせるために適切かつ相応の是正措置をとることを関連経済事業者に遅延なく要求する。経済運営者がとることが要求される是正措置には、</w:t>
      </w:r>
      <w:r w:rsidRPr="00DF5C23">
        <w:rPr>
          <w:noProof/>
          <w:color w:val="000000" w:themeColor="text1"/>
          <w:lang w:val="en-IE" w:eastAsia="ja-JP"/>
        </w:rPr>
        <w:t>規則（</w:t>
      </w:r>
      <w:r w:rsidRPr="00DF5C23">
        <w:rPr>
          <w:noProof/>
          <w:color w:val="000000" w:themeColor="text1"/>
          <w:lang w:val="en-IE" w:eastAsia="ja-JP"/>
        </w:rPr>
        <w:t>EU</w:t>
      </w:r>
      <w:r w:rsidRPr="00DF5C23">
        <w:rPr>
          <w:noProof/>
          <w:color w:val="000000" w:themeColor="text1"/>
          <w:lang w:val="en-IE" w:eastAsia="ja-JP"/>
        </w:rPr>
        <w:t>）</w:t>
      </w:r>
      <w:r w:rsidRPr="00DF5C23">
        <w:rPr>
          <w:noProof/>
          <w:color w:val="000000" w:themeColor="text1"/>
          <w:lang w:val="en-IE" w:eastAsia="ja-JP"/>
        </w:rPr>
        <w:t>2019/1020</w:t>
      </w:r>
      <w:r w:rsidRPr="00DF5C23">
        <w:rPr>
          <w:noProof/>
          <w:color w:val="000000" w:themeColor="text1"/>
          <w:lang w:val="en-IE" w:eastAsia="ja-JP"/>
        </w:rPr>
        <w:t>の</w:t>
      </w:r>
      <w:r w:rsidRPr="00DF5C23">
        <w:rPr>
          <w:noProof/>
          <w:lang w:val="en-IE" w:eastAsia="fr-BE"/>
        </w:rPr>
        <w:t>第</w:t>
      </w:r>
      <w:r w:rsidRPr="00DF5C23">
        <w:rPr>
          <w:noProof/>
          <w:lang w:val="en-IE" w:eastAsia="fr-BE"/>
        </w:rPr>
        <w:t>16</w:t>
      </w:r>
      <w:r w:rsidRPr="00DF5C23">
        <w:rPr>
          <w:noProof/>
          <w:lang w:val="en-IE" w:eastAsia="fr-BE"/>
        </w:rPr>
        <w:t>条（</w:t>
      </w:r>
      <w:r w:rsidRPr="00DF5C23">
        <w:rPr>
          <w:noProof/>
          <w:lang w:val="en-IE" w:eastAsia="fr-BE"/>
        </w:rPr>
        <w:t>3</w:t>
      </w:r>
      <w:r w:rsidRPr="00DF5C23">
        <w:rPr>
          <w:noProof/>
          <w:lang w:val="en-IE" w:eastAsia="fr-BE"/>
        </w:rPr>
        <w:t>）に</w:t>
      </w:r>
      <w:r w:rsidRPr="00DF5C23">
        <w:rPr>
          <w:noProof/>
          <w:lang w:val="en-IE" w:eastAsia="fr-BE"/>
        </w:rPr>
        <w:t>列挙された措置が含まれ得る。</w:t>
      </w:r>
      <w:r w:rsidRPr="00DF5C23">
        <w:rPr>
          <w:noProof/>
          <w:lang w:val="en-IE" w:eastAsia="fr-BE"/>
        </w:rPr>
        <w:t xml:space="preserve"> </w:t>
      </w:r>
    </w:p>
    <w:p w14:paraId="035506F1" w14:textId="77777777" w:rsidR="0038775E" w:rsidRDefault="00877B9C" w:rsidP="002041D4">
      <w:pPr>
        <w:pStyle w:val="Text1"/>
        <w:wordWrap w:val="0"/>
        <w:rPr>
          <w:noProof/>
          <w:lang w:val="en-IE" w:eastAsia="fr-BE"/>
        </w:rPr>
      </w:pPr>
      <w:r w:rsidRPr="00DF5C23">
        <w:rPr>
          <w:noProof/>
          <w:lang w:val="en-IE" w:eastAsia="fr-BE"/>
        </w:rPr>
        <w:t>市場監視当局は、それに応じて関連する通知機関に通知するものとする。</w:t>
      </w:r>
    </w:p>
    <w:p w14:paraId="6FF80E02" w14:textId="77777777" w:rsidR="0038775E" w:rsidRDefault="00877B9C" w:rsidP="002041D4">
      <w:pPr>
        <w:pStyle w:val="ManualNumPar1"/>
        <w:wordWrap w:val="0"/>
        <w:rPr>
          <w:noProof/>
          <w:lang w:val="en-IE" w:eastAsia="fr-BE"/>
        </w:rPr>
      </w:pPr>
      <w:r w:rsidRPr="004F5E59">
        <w:rPr>
          <w:lang w:eastAsia="ja-JP"/>
        </w:rPr>
        <w:t>2.</w:t>
      </w:r>
      <w:r w:rsidRPr="004F5E59">
        <w:rPr>
          <w:lang w:eastAsia="ja-JP"/>
        </w:rPr>
        <w:tab/>
      </w:r>
      <w:r w:rsidR="0681B866" w:rsidRPr="00DF5C23">
        <w:rPr>
          <w:noProof/>
          <w:lang w:val="en-IE" w:eastAsia="fr-BE"/>
        </w:rPr>
        <w:t>市場監視当局が、コンプライアンス違反が自国の領域に限定されないと考える場合、市場監視当局は、評価の結果及び経済事業者に要求した措置を欧州委員会及び他の加盟国に通知するものとする。</w:t>
      </w:r>
    </w:p>
    <w:p w14:paraId="1A3E675B" w14:textId="77777777" w:rsidR="0038775E" w:rsidRDefault="00877B9C" w:rsidP="002041D4">
      <w:pPr>
        <w:pStyle w:val="ManualNumPar1"/>
        <w:wordWrap w:val="0"/>
        <w:rPr>
          <w:noProof/>
          <w:lang w:val="en-IE" w:eastAsia="fr-BE"/>
        </w:rPr>
      </w:pPr>
      <w:r w:rsidRPr="004F5E59">
        <w:rPr>
          <w:lang w:eastAsia="ja-JP"/>
        </w:rPr>
        <w:t>3.</w:t>
      </w:r>
      <w:r w:rsidRPr="004F5E59">
        <w:rPr>
          <w:lang w:eastAsia="ja-JP"/>
        </w:rPr>
        <w:tab/>
      </w:r>
      <w:r w:rsidR="0681B866" w:rsidRPr="00DF5C23">
        <w:rPr>
          <w:noProof/>
          <w:lang w:val="en-IE" w:eastAsia="fr-BE"/>
        </w:rPr>
        <w:t>経済事業者は、その経済事業者が</w:t>
      </w:r>
      <w:r w:rsidR="0681B866" w:rsidRPr="00DF5C23">
        <w:rPr>
          <w:noProof/>
          <w:lang w:val="en-IE" w:eastAsia="fr-BE"/>
        </w:rPr>
        <w:t>EU</w:t>
      </w:r>
      <w:r w:rsidR="0681B866" w:rsidRPr="00DF5C23">
        <w:rPr>
          <w:noProof/>
          <w:lang w:val="en-IE" w:eastAsia="fr-BE"/>
        </w:rPr>
        <w:t>全域で市場に流通させたすべての関係製品について、すべての適切な是正措置がとられることを確保するものとする。</w:t>
      </w:r>
    </w:p>
    <w:p w14:paraId="670FC594" w14:textId="77777777" w:rsidR="0038775E" w:rsidRDefault="00877B9C" w:rsidP="002041D4">
      <w:pPr>
        <w:pStyle w:val="ManualNumPar1"/>
        <w:wordWrap w:val="0"/>
        <w:rPr>
          <w:noProof/>
          <w:lang w:val="en-IE" w:eastAsia="fr-BE"/>
        </w:rPr>
      </w:pPr>
      <w:r w:rsidRPr="004F5E59">
        <w:rPr>
          <w:lang w:eastAsia="ja-JP"/>
        </w:rPr>
        <w:t>4.</w:t>
      </w:r>
      <w:r w:rsidRPr="004F5E59">
        <w:rPr>
          <w:lang w:eastAsia="ja-JP"/>
        </w:rPr>
        <w:tab/>
      </w:r>
      <w:r w:rsidR="0681B866" w:rsidRPr="00DF5C23">
        <w:rPr>
          <w:noProof/>
          <w:lang w:val="en-IE" w:eastAsia="fr-BE"/>
        </w:rPr>
        <w:t>関連する経済事業者が第</w:t>
      </w:r>
      <w:r w:rsidR="0681B866" w:rsidRPr="00DF5C23">
        <w:rPr>
          <w:noProof/>
          <w:lang w:val="en-IE" w:eastAsia="fr-BE"/>
        </w:rPr>
        <w:t>1</w:t>
      </w:r>
      <w:r w:rsidR="0681B866" w:rsidRPr="00DF5C23">
        <w:rPr>
          <w:noProof/>
          <w:lang w:val="en-IE" w:eastAsia="fr-BE"/>
        </w:rPr>
        <w:t>項第</w:t>
      </w:r>
      <w:r w:rsidR="0681B866" w:rsidRPr="00DF5C23">
        <w:rPr>
          <w:noProof/>
          <w:lang w:val="en-IE" w:eastAsia="fr-BE"/>
        </w:rPr>
        <w:t>2</w:t>
      </w:r>
      <w:r w:rsidR="0681B866" w:rsidRPr="00DF5C23">
        <w:rPr>
          <w:noProof/>
          <w:lang w:val="en-IE" w:eastAsia="fr-BE"/>
        </w:rPr>
        <w:t>号にいう期間内に是正措置をとらない場合又は不遵守が継続する場合、市場監視当局は、自国市場における当該製品の入手を禁止又は制限し、当該製品を当該市場から撤去し又は回収するためのあらゆる適切な暫定的措置をとるものとする。</w:t>
      </w:r>
    </w:p>
    <w:p w14:paraId="631BAF75" w14:textId="77777777" w:rsidR="0038775E" w:rsidRDefault="00877B9C" w:rsidP="002041D4">
      <w:pPr>
        <w:pStyle w:val="Text1"/>
        <w:wordWrap w:val="0"/>
        <w:rPr>
          <w:noProof/>
          <w:lang w:val="en-IE" w:eastAsia="fr-BE"/>
        </w:rPr>
      </w:pPr>
      <w:r w:rsidRPr="00DF5C23">
        <w:rPr>
          <w:noProof/>
          <w:lang w:val="en-IE" w:eastAsia="fr-BE"/>
        </w:rPr>
        <w:t>これらの措置については、遅滞なく欧州委員会及び他の加盟国に通知するものとする。</w:t>
      </w:r>
    </w:p>
    <w:p w14:paraId="3826FC89" w14:textId="77777777" w:rsidR="0038775E" w:rsidRDefault="00877B9C" w:rsidP="002041D4">
      <w:pPr>
        <w:pStyle w:val="ManualNumPar1"/>
        <w:wordWrap w:val="0"/>
        <w:rPr>
          <w:noProof/>
          <w:lang w:val="en-IE" w:eastAsia="fr-BE"/>
        </w:rPr>
      </w:pPr>
      <w:r w:rsidRPr="004F5E59">
        <w:rPr>
          <w:lang w:eastAsia="ja-JP"/>
        </w:rPr>
        <w:t>5.</w:t>
      </w:r>
      <w:r w:rsidRPr="004F5E59">
        <w:rPr>
          <w:lang w:eastAsia="ja-JP"/>
        </w:rPr>
        <w:tab/>
      </w:r>
      <w:r w:rsidR="0681B866" w:rsidRPr="00DF5C23">
        <w:rPr>
          <w:noProof/>
          <w:lang w:val="en-IE" w:eastAsia="fr-BE"/>
        </w:rPr>
        <w:t>第</w:t>
      </w:r>
      <w:r w:rsidR="0681B866" w:rsidRPr="00DF5C23">
        <w:rPr>
          <w:noProof/>
          <w:lang w:val="en-IE" w:eastAsia="fr-BE"/>
        </w:rPr>
        <w:t>4</w:t>
      </w:r>
      <w:r w:rsidR="0681B866" w:rsidRPr="00DF5C23">
        <w:rPr>
          <w:noProof/>
          <w:lang w:val="en-IE" w:eastAsia="fr-BE"/>
        </w:rPr>
        <w:t>項にいう欧州委員会及び他の加盟国への情報は、</w:t>
      </w:r>
      <w:r w:rsidR="0681B866" w:rsidRPr="00DF5C23">
        <w:rPr>
          <w:noProof/>
          <w:color w:val="000000" w:themeColor="text1"/>
          <w:lang w:val="en-IE" w:eastAsia="ja-JP"/>
        </w:rPr>
        <w:t>規則（</w:t>
      </w:r>
      <w:r w:rsidR="0681B866" w:rsidRPr="00DF5C23">
        <w:rPr>
          <w:noProof/>
          <w:color w:val="000000" w:themeColor="text1"/>
          <w:lang w:val="en-IE" w:eastAsia="ja-JP"/>
        </w:rPr>
        <w:t>EU</w:t>
      </w:r>
      <w:r w:rsidR="0681B866" w:rsidRPr="00DF5C23">
        <w:rPr>
          <w:noProof/>
          <w:color w:val="000000" w:themeColor="text1"/>
          <w:lang w:val="en-IE" w:eastAsia="ja-JP"/>
        </w:rPr>
        <w:t>）</w:t>
      </w:r>
      <w:r w:rsidR="0681B866" w:rsidRPr="00DF5C23">
        <w:rPr>
          <w:noProof/>
          <w:color w:val="000000" w:themeColor="text1"/>
          <w:lang w:val="en-IE" w:eastAsia="ja-JP"/>
        </w:rPr>
        <w:t>2019/1020</w:t>
      </w:r>
      <w:r w:rsidR="0681B866" w:rsidRPr="00DF5C23">
        <w:rPr>
          <w:noProof/>
          <w:color w:val="000000" w:themeColor="text1"/>
          <w:lang w:val="en-IE" w:eastAsia="ja-JP"/>
        </w:rPr>
        <w:t>の</w:t>
      </w:r>
      <w:r w:rsidR="0681B866" w:rsidRPr="00DF5C23">
        <w:rPr>
          <w:noProof/>
          <w:lang w:val="en-IE" w:eastAsia="fr-BE"/>
        </w:rPr>
        <w:t>第</w:t>
      </w:r>
      <w:r w:rsidR="0681B866" w:rsidRPr="00DF5C23">
        <w:rPr>
          <w:noProof/>
          <w:lang w:val="en-IE" w:eastAsia="fr-BE"/>
        </w:rPr>
        <w:t>34</w:t>
      </w:r>
      <w:r w:rsidR="0681B866" w:rsidRPr="00DF5C23">
        <w:rPr>
          <w:noProof/>
          <w:lang w:val="en-IE" w:eastAsia="fr-BE"/>
        </w:rPr>
        <w:t>条にいう情報通信システムを通じて伝達されるものとし、利用可能なすべての詳細、特に、不適合製品の特定に必要なデータ、製品の原産地、申し立てられた不適合の性質及び関与した不適合、とられた国内措置の性質及び期間並びに関連経済事業者が提示した論拠を含めるものとする。また、市場監視当局は、非遵守が以下のいずれかによるものであるかどうかを示さなければならない：</w:t>
      </w:r>
    </w:p>
    <w:p w14:paraId="4AB2F63A" w14:textId="77777777" w:rsidR="0038775E" w:rsidRDefault="00877B9C" w:rsidP="002041D4">
      <w:pPr>
        <w:pStyle w:val="Point1"/>
        <w:wordWrap w:val="0"/>
        <w:rPr>
          <w:noProof/>
          <w:lang w:val="en-IE" w:eastAsia="fr-BE"/>
        </w:rPr>
      </w:pPr>
      <w:r w:rsidRPr="004F5E59">
        <w:rPr>
          <w:lang w:eastAsia="ja-JP"/>
        </w:rPr>
        <w:t>(a)</w:t>
      </w:r>
      <w:r w:rsidRPr="004F5E59">
        <w:rPr>
          <w:lang w:eastAsia="ja-JP"/>
        </w:rPr>
        <w:tab/>
      </w:r>
      <w:r w:rsidR="0681B866" w:rsidRPr="00DF5C23">
        <w:rPr>
          <w:noProof/>
          <w:lang w:val="en-IE" w:eastAsia="fr-BE"/>
        </w:rPr>
        <w:t>製品が</w:t>
      </w:r>
      <w:r w:rsidR="00552FE2" w:rsidRPr="00DF5C23">
        <w:rPr>
          <w:noProof/>
          <w:lang w:val="en-IE" w:eastAsia="fr-BE"/>
        </w:rPr>
        <w:t>第</w:t>
      </w:r>
      <w:r w:rsidR="00552FE2" w:rsidRPr="00DF5C23">
        <w:rPr>
          <w:noProof/>
          <w:lang w:val="en-IE" w:eastAsia="fr-BE"/>
        </w:rPr>
        <w:t>4</w:t>
      </w:r>
      <w:r w:rsidR="00552FE2" w:rsidRPr="00DF5C23">
        <w:rPr>
          <w:noProof/>
          <w:lang w:val="en-IE" w:eastAsia="fr-BE"/>
        </w:rPr>
        <w:t>条に従って採択された</w:t>
      </w:r>
      <w:r w:rsidR="0681B866" w:rsidRPr="00DF5C23">
        <w:rPr>
          <w:noProof/>
          <w:lang w:val="en-IE" w:eastAsia="fr-BE"/>
        </w:rPr>
        <w:t>関連する委任法に規定された要件を満たしていない場合。</w:t>
      </w:r>
    </w:p>
    <w:p w14:paraId="4E9CDC78" w14:textId="77777777" w:rsidR="0038775E" w:rsidRDefault="00877B9C" w:rsidP="002041D4">
      <w:pPr>
        <w:pStyle w:val="Point1"/>
        <w:wordWrap w:val="0"/>
        <w:rPr>
          <w:noProof/>
          <w:lang w:val="en-IE" w:eastAsia="fr-BE"/>
        </w:rPr>
      </w:pPr>
      <w:r w:rsidRPr="004F5E59">
        <w:rPr>
          <w:lang w:eastAsia="ja-JP"/>
        </w:rPr>
        <w:t>(b)</w:t>
      </w:r>
      <w:r w:rsidRPr="004F5E59">
        <w:rPr>
          <w:lang w:eastAsia="ja-JP"/>
        </w:rPr>
        <w:tab/>
      </w:r>
      <w:r w:rsidR="00137517" w:rsidRPr="00DF5C23">
        <w:rPr>
          <w:noProof/>
          <w:lang w:val="en-IE" w:eastAsia="fr-BE"/>
        </w:rPr>
        <w:t>第</w:t>
      </w:r>
      <w:r w:rsidR="00137517" w:rsidRPr="00DF5C23">
        <w:rPr>
          <w:noProof/>
          <w:lang w:val="en-IE" w:eastAsia="fr-BE"/>
        </w:rPr>
        <w:t>34</w:t>
      </w:r>
      <w:r w:rsidR="00137517" w:rsidRPr="00DF5C23">
        <w:rPr>
          <w:noProof/>
          <w:lang w:val="en-IE" w:eastAsia="fr-BE"/>
        </w:rPr>
        <w:t>条</w:t>
      </w:r>
      <w:r w:rsidR="00FF2BAC" w:rsidRPr="00DF5C23">
        <w:rPr>
          <w:noProof/>
          <w:lang w:val="en-IE" w:eastAsia="fr-BE"/>
        </w:rPr>
        <w:t>及び</w:t>
      </w:r>
      <w:r w:rsidR="00137517" w:rsidRPr="00DF5C23">
        <w:rPr>
          <w:noProof/>
          <w:lang w:val="en-IE" w:eastAsia="fr-BE"/>
        </w:rPr>
        <w:t>第</w:t>
      </w:r>
      <w:r w:rsidR="00137517" w:rsidRPr="00DF5C23">
        <w:rPr>
          <w:noProof/>
          <w:lang w:val="en-IE" w:eastAsia="fr-BE"/>
        </w:rPr>
        <w:t>35</w:t>
      </w:r>
      <w:r w:rsidR="00137517" w:rsidRPr="00DF5C23">
        <w:rPr>
          <w:noProof/>
          <w:lang w:val="en-IE" w:eastAsia="fr-BE"/>
        </w:rPr>
        <w:t>条</w:t>
      </w:r>
      <w:r w:rsidR="00FF2BAC" w:rsidRPr="00DF5C23">
        <w:rPr>
          <w:noProof/>
          <w:lang w:val="en-IE" w:eastAsia="fr-BE"/>
        </w:rPr>
        <w:t>で言及された整合規格又は共通仕様の欠点は、適合の推定を与えるものである。</w:t>
      </w:r>
    </w:p>
    <w:p w14:paraId="72C2D9C8" w14:textId="77777777" w:rsidR="0038775E" w:rsidRDefault="00877B9C" w:rsidP="002041D4">
      <w:pPr>
        <w:pStyle w:val="ManualNumPar1"/>
        <w:wordWrap w:val="0"/>
        <w:rPr>
          <w:noProof/>
          <w:lang w:val="en-IE" w:eastAsia="fr-BE"/>
        </w:rPr>
      </w:pPr>
      <w:r w:rsidRPr="004F5E59">
        <w:rPr>
          <w:lang w:eastAsia="ja-JP"/>
        </w:rPr>
        <w:t>6.</w:t>
      </w:r>
      <w:r w:rsidRPr="004F5E59">
        <w:rPr>
          <w:lang w:eastAsia="ja-JP"/>
        </w:rPr>
        <w:tab/>
      </w:r>
      <w:r w:rsidR="0681B866" w:rsidRPr="00DF5C23">
        <w:rPr>
          <w:noProof/>
          <w:lang w:val="en-IE" w:eastAsia="fr-BE"/>
        </w:rPr>
        <w:t>手続を開始した加盟国以外の加盟国は、採択された措置及び当該製品の不適合に関連する入手可能な追加情報について、また、通知された国内措置に不服がある場合には、その異議について、遅滞なく欧州委員会及び他の加盟国に通知しなければならない。</w:t>
      </w:r>
    </w:p>
    <w:p w14:paraId="3829C6F7" w14:textId="77777777" w:rsidR="0038775E" w:rsidRDefault="00877B9C" w:rsidP="002041D4">
      <w:pPr>
        <w:pStyle w:val="ManualNumPar1"/>
        <w:wordWrap w:val="0"/>
        <w:rPr>
          <w:noProof/>
          <w:lang w:val="en-IE" w:eastAsia="fr-BE"/>
        </w:rPr>
      </w:pPr>
      <w:r w:rsidRPr="004F5E59">
        <w:rPr>
          <w:lang w:eastAsia="ja-JP"/>
        </w:rPr>
        <w:t>7.</w:t>
      </w:r>
      <w:r w:rsidRPr="004F5E59">
        <w:rPr>
          <w:lang w:eastAsia="ja-JP"/>
        </w:rPr>
        <w:tab/>
      </w:r>
      <w:r w:rsidR="0681B866" w:rsidRPr="00DF5C23">
        <w:rPr>
          <w:noProof/>
          <w:lang w:val="en-IE" w:eastAsia="fr-BE"/>
        </w:rPr>
        <w:t>第</w:t>
      </w:r>
      <w:r w:rsidR="0681B866" w:rsidRPr="00DF5C23">
        <w:rPr>
          <w:noProof/>
          <w:lang w:val="en-IE" w:eastAsia="fr-BE"/>
        </w:rPr>
        <w:t>4</w:t>
      </w:r>
      <w:r w:rsidR="0681B866" w:rsidRPr="00DF5C23">
        <w:rPr>
          <w:noProof/>
          <w:lang w:val="en-IE" w:eastAsia="fr-BE"/>
        </w:rPr>
        <w:t>項にいう情報を受領してから</w:t>
      </w:r>
      <w:r w:rsidR="0681B866" w:rsidRPr="00DF5C23">
        <w:rPr>
          <w:noProof/>
          <w:lang w:val="en-IE" w:eastAsia="fr-BE"/>
        </w:rPr>
        <w:t>3</w:t>
      </w:r>
      <w:r w:rsidR="0681B866" w:rsidRPr="00DF5C23">
        <w:rPr>
          <w:noProof/>
          <w:lang w:val="en-IE" w:eastAsia="fr-BE"/>
        </w:rPr>
        <w:t>月以内に、加盟国がとった暫定措置について加盟国又は欧州委員会のいずれからも異議が出なかった場合、当該措置は正当なものとみなされるものとする。措置は、関係する製品又は要求事項</w:t>
      </w:r>
      <w:r w:rsidR="0681B866" w:rsidRPr="00DF5C23">
        <w:rPr>
          <w:noProof/>
          <w:lang w:val="en-IE" w:eastAsia="fr-BE"/>
        </w:rPr>
        <w:lastRenderedPageBreak/>
        <w:t>の特殊性を考慮するため、</w:t>
      </w:r>
      <w:r w:rsidR="0681B866" w:rsidRPr="00DF5C23">
        <w:rPr>
          <w:noProof/>
          <w:lang w:val="en-IE" w:eastAsia="fr-BE"/>
        </w:rPr>
        <w:t>3</w:t>
      </w:r>
      <w:r w:rsidR="0681B866" w:rsidRPr="00DF5C23">
        <w:rPr>
          <w:noProof/>
          <w:lang w:val="en-IE" w:eastAsia="fr-BE"/>
        </w:rPr>
        <w:t>ヶ月より長い期間又は短い期間を指定することができる。</w:t>
      </w:r>
    </w:p>
    <w:p w14:paraId="35C2CE91" w14:textId="77777777" w:rsidR="0038775E" w:rsidRDefault="00877B9C" w:rsidP="002041D4">
      <w:pPr>
        <w:pStyle w:val="ManualNumPar1"/>
        <w:wordWrap w:val="0"/>
        <w:rPr>
          <w:noProof/>
          <w:lang w:val="en-IE" w:eastAsia="fr-BE"/>
        </w:rPr>
      </w:pPr>
      <w:r w:rsidRPr="004F5E59">
        <w:rPr>
          <w:lang w:eastAsia="ja-JP"/>
        </w:rPr>
        <w:t>8.</w:t>
      </w:r>
      <w:r w:rsidRPr="004F5E59">
        <w:rPr>
          <w:lang w:eastAsia="ja-JP"/>
        </w:rPr>
        <w:tab/>
      </w:r>
      <w:r w:rsidR="0681B866" w:rsidRPr="00DF5C23">
        <w:rPr>
          <w:noProof/>
          <w:lang w:val="en-IE" w:eastAsia="fr-BE"/>
        </w:rPr>
        <w:t>加盟国は、当該製品又は製造者について、当該製品の市場からの撤去等の適切な制限的措置が遅滞なく講じられることを確保する。</w:t>
      </w:r>
    </w:p>
    <w:p w14:paraId="0D7B6C8B" w14:textId="77777777" w:rsidR="0038775E" w:rsidRDefault="00565D97" w:rsidP="002041D4">
      <w:pPr>
        <w:pStyle w:val="Titrearticle"/>
        <w:wordWrap w:val="0"/>
        <w:rPr>
          <w:noProof/>
          <w:lang w:val="en-IE" w:eastAsia="fr-BE"/>
        </w:rPr>
      </w:pPr>
      <w:r w:rsidRPr="00DF5C23">
        <w:rPr>
          <w:noProof/>
          <w:lang w:val="en-IE" w:eastAsia="fr-BE"/>
        </w:rPr>
        <w:t>第</w:t>
      </w:r>
      <w:r w:rsidRPr="00DF5C23">
        <w:rPr>
          <w:noProof/>
          <w:lang w:val="en-IE" w:eastAsia="fr-BE"/>
        </w:rPr>
        <w:t>64</w:t>
      </w:r>
      <w:r w:rsidR="00877B9C" w:rsidRPr="00DF5C23">
        <w:rPr>
          <w:noProof/>
          <w:lang w:val="en-IE" w:eastAsia="fr-BE"/>
        </w:rPr>
        <w:t>条</w:t>
      </w:r>
      <w:r w:rsidR="00877B9C" w:rsidRPr="00DF5C23">
        <w:rPr>
          <w:noProof/>
          <w:lang w:eastAsia="ja-JP"/>
        </w:rPr>
        <w:br/>
      </w:r>
      <w:r w:rsidR="00877B9C" w:rsidRPr="00DF5C23">
        <w:rPr>
          <w:noProof/>
          <w:lang w:val="en-IE" w:eastAsia="fr-BE"/>
        </w:rPr>
        <w:t>ユニオンセーフガードの手順</w:t>
      </w:r>
    </w:p>
    <w:p w14:paraId="52FFB822" w14:textId="77777777" w:rsidR="0038775E" w:rsidRDefault="00877B9C" w:rsidP="002041D4">
      <w:pPr>
        <w:pStyle w:val="ManualNumPar1"/>
        <w:wordWrap w:val="0"/>
        <w:rPr>
          <w:noProof/>
          <w:lang w:val="en-IE" w:eastAsia="ja-JP"/>
        </w:rPr>
      </w:pPr>
      <w:r w:rsidRPr="004F5E59">
        <w:rPr>
          <w:lang w:eastAsia="ja-JP"/>
        </w:rPr>
        <w:t>1.</w:t>
      </w:r>
      <w:r w:rsidRPr="004F5E59">
        <w:rPr>
          <w:lang w:eastAsia="ja-JP"/>
        </w:rPr>
        <w:tab/>
      </w:r>
      <w:r w:rsidR="00137517" w:rsidRPr="00DF5C23">
        <w:rPr>
          <w:noProof/>
          <w:lang w:val="en-IE" w:eastAsia="fr-BE"/>
        </w:rPr>
        <w:t>第</w:t>
      </w:r>
      <w:r w:rsidR="00137517" w:rsidRPr="00DF5C23">
        <w:rPr>
          <w:noProof/>
          <w:lang w:val="en-IE" w:eastAsia="fr-BE"/>
        </w:rPr>
        <w:t>63</w:t>
      </w:r>
      <w:r w:rsidR="00137517" w:rsidRPr="00DF5C23">
        <w:rPr>
          <w:noProof/>
          <w:lang w:val="en-IE" w:eastAsia="fr-BE"/>
        </w:rPr>
        <w:t>条</w:t>
      </w:r>
      <w:r w:rsidR="00FF2BAC" w:rsidRPr="00DF5C23" w:rsidDel="0080509C">
        <w:rPr>
          <w:noProof/>
          <w:lang w:val="en-IE" w:eastAsia="fr-BE"/>
        </w:rPr>
        <w:t>（</w:t>
      </w:r>
      <w:r w:rsidR="00FF2BAC" w:rsidRPr="00DF5C23">
        <w:rPr>
          <w:noProof/>
          <w:lang w:val="en-IE" w:eastAsia="fr-BE"/>
        </w:rPr>
        <w:t>3</w:t>
      </w:r>
      <w:r w:rsidR="00FF2BAC" w:rsidRPr="00DF5C23">
        <w:rPr>
          <w:noProof/>
          <w:lang w:val="en-IE" w:eastAsia="fr-BE"/>
        </w:rPr>
        <w:t>）及び（</w:t>
      </w:r>
      <w:r w:rsidR="00FF2BAC" w:rsidRPr="00DF5C23">
        <w:rPr>
          <w:noProof/>
          <w:lang w:val="en-IE" w:eastAsia="fr-BE"/>
        </w:rPr>
        <w:t>4</w:t>
      </w:r>
      <w:r w:rsidR="00FF2BAC" w:rsidRPr="00DF5C23">
        <w:rPr>
          <w:noProof/>
          <w:lang w:val="en-IE" w:eastAsia="fr-BE"/>
        </w:rPr>
        <w:t>）に定める手続の終了後、加盟国がとった措置に対して異議が提起された場合、又は欧州委員会が国内措置が連合の法令に反すると考える場合、欧州委員会は、遅滞なく、加盟国及び関連経済事業者と協議に入り、国内措置を評価しなければならない。その評価の結果に基づき、欧州委員会は、実施法によって、当該国内措置が正当化されるか否かを決定するものとする</w:t>
      </w:r>
      <w:r w:rsidR="00FF2BAC" w:rsidRPr="00DF5C23">
        <w:rPr>
          <w:noProof/>
          <w:lang w:val="en-IE" w:eastAsia="ja-JP"/>
        </w:rPr>
        <w:t>。</w:t>
      </w:r>
      <w:r w:rsidR="00FF2BAC" w:rsidRPr="00DF5C23">
        <w:rPr>
          <w:noProof/>
          <w:lang w:val="en-IE" w:eastAsia="ja-JP"/>
        </w:rPr>
        <w:t xml:space="preserve"> </w:t>
      </w:r>
    </w:p>
    <w:p w14:paraId="3747CD90" w14:textId="77777777" w:rsidR="0038775E" w:rsidRDefault="00877B9C" w:rsidP="002041D4">
      <w:pPr>
        <w:pStyle w:val="Text1"/>
        <w:wordWrap w:val="0"/>
        <w:rPr>
          <w:noProof/>
          <w:lang w:val="en-IE" w:eastAsia="fr-BE"/>
        </w:rPr>
      </w:pPr>
      <w:r w:rsidRPr="00DF5C23">
        <w:rPr>
          <w:noProof/>
          <w:lang w:val="en-IE" w:eastAsia="fr-BE"/>
        </w:rPr>
        <w:t>その実施法は、</w:t>
      </w:r>
      <w:r w:rsidR="00137517" w:rsidRPr="00DF5C23">
        <w:rPr>
          <w:noProof/>
          <w:lang w:val="en-IE" w:eastAsia="fr-BE"/>
        </w:rPr>
        <w:t>第</w:t>
      </w:r>
      <w:r w:rsidR="00137517" w:rsidRPr="00DF5C23">
        <w:rPr>
          <w:noProof/>
          <w:lang w:val="en-IE" w:eastAsia="fr-BE"/>
        </w:rPr>
        <w:t>67</w:t>
      </w:r>
      <w:r w:rsidR="00137517" w:rsidRPr="00DF5C23">
        <w:rPr>
          <w:noProof/>
          <w:lang w:val="en-IE" w:eastAsia="fr-BE"/>
        </w:rPr>
        <w:t>条</w:t>
      </w:r>
      <w:r w:rsidRPr="00DF5C23">
        <w:rPr>
          <w:noProof/>
          <w:lang w:val="en-IE" w:eastAsia="fr-BE"/>
        </w:rPr>
        <w:t>(3)</w:t>
      </w:r>
      <w:r w:rsidRPr="00DF5C23">
        <w:rPr>
          <w:noProof/>
          <w:lang w:val="en-IE" w:eastAsia="fr-BE"/>
        </w:rPr>
        <w:t>にいう審査手続に従って採択されるものとする。</w:t>
      </w:r>
    </w:p>
    <w:p w14:paraId="58A5E5A7" w14:textId="77777777" w:rsidR="0038775E" w:rsidRDefault="00877B9C" w:rsidP="002041D4">
      <w:pPr>
        <w:pStyle w:val="ManualNumPar1"/>
        <w:wordWrap w:val="0"/>
        <w:rPr>
          <w:noProof/>
          <w:lang w:val="en-IE" w:eastAsia="fr-BE"/>
        </w:rPr>
      </w:pPr>
      <w:r w:rsidRPr="004F5E59">
        <w:rPr>
          <w:lang w:eastAsia="ja-JP"/>
        </w:rPr>
        <w:t>2.</w:t>
      </w:r>
      <w:r w:rsidRPr="004F5E59">
        <w:rPr>
          <w:lang w:eastAsia="ja-JP"/>
        </w:rPr>
        <w:tab/>
      </w:r>
      <w:r w:rsidR="0681B866" w:rsidRPr="00DF5C23">
        <w:rPr>
          <w:noProof/>
          <w:lang w:val="en-IE" w:eastAsia="fr-BE"/>
        </w:rPr>
        <w:t>欧州委員会は、その決定をすべての加盟国に宛てて、加盟国および関連する経済事業者または事業者に直ちに伝達するものとする。</w:t>
      </w:r>
    </w:p>
    <w:p w14:paraId="6F68176C" w14:textId="77777777" w:rsidR="0038775E" w:rsidRDefault="00877B9C" w:rsidP="002041D4">
      <w:pPr>
        <w:pStyle w:val="Text1"/>
        <w:wordWrap w:val="0"/>
        <w:rPr>
          <w:noProof/>
          <w:lang w:val="en-IE" w:eastAsia="fr-BE"/>
        </w:rPr>
      </w:pPr>
      <w:r w:rsidRPr="00DF5C23">
        <w:rPr>
          <w:noProof/>
          <w:lang w:val="en-IE" w:eastAsia="fr-BE"/>
        </w:rPr>
        <w:t>国内措置が正当とみなされた場合、すべての加盟国は、非適合製品が自国の市場から撤退することを確実にするために必要な措置をとり、それに従って欧州委員会に通知しなければならない。</w:t>
      </w:r>
      <w:r w:rsidRPr="00DF5C23">
        <w:rPr>
          <w:noProof/>
          <w:lang w:val="en-IE" w:eastAsia="fr-BE"/>
        </w:rPr>
        <w:t xml:space="preserve"> </w:t>
      </w:r>
    </w:p>
    <w:p w14:paraId="07578FAF" w14:textId="77777777" w:rsidR="0038775E" w:rsidRDefault="00877B9C" w:rsidP="002041D4">
      <w:pPr>
        <w:pStyle w:val="Text1"/>
        <w:wordWrap w:val="0"/>
        <w:rPr>
          <w:noProof/>
          <w:lang w:val="en-IE" w:eastAsia="fr-BE"/>
        </w:rPr>
      </w:pPr>
      <w:r w:rsidRPr="00DF5C23">
        <w:rPr>
          <w:noProof/>
          <w:lang w:val="en-IE" w:eastAsia="fr-BE"/>
        </w:rPr>
        <w:t>国内措置が不当とみなされた場合、当該加盟国はその措置を撤回するものとする。</w:t>
      </w:r>
    </w:p>
    <w:p w14:paraId="452FF362" w14:textId="77777777" w:rsidR="0038775E" w:rsidRDefault="00877B9C" w:rsidP="002041D4">
      <w:pPr>
        <w:pStyle w:val="ManualNumPar1"/>
        <w:wordWrap w:val="0"/>
        <w:rPr>
          <w:noProof/>
          <w:lang w:val="en-IE" w:eastAsia="fr-BE"/>
        </w:rPr>
      </w:pPr>
      <w:r w:rsidRPr="004F5E59">
        <w:rPr>
          <w:lang w:eastAsia="ja-JP"/>
        </w:rPr>
        <w:t>3.</w:t>
      </w:r>
      <w:r w:rsidRPr="004F5E59">
        <w:rPr>
          <w:lang w:eastAsia="ja-JP"/>
        </w:rPr>
        <w:tab/>
      </w:r>
      <w:r w:rsidR="00FF2BAC" w:rsidRPr="00DF5C23">
        <w:rPr>
          <w:noProof/>
          <w:lang w:val="en-IE" w:eastAsia="fr-BE"/>
        </w:rPr>
        <w:t>国内措置が正当化され、製品の不適合が</w:t>
      </w:r>
      <w:r w:rsidR="00F71B45" w:rsidRPr="00DF5C23">
        <w:rPr>
          <w:noProof/>
          <w:lang w:val="en-IE" w:eastAsia="fr-BE"/>
        </w:rPr>
        <w:t>本規則</w:t>
      </w:r>
      <w:r w:rsidR="00137517" w:rsidRPr="00DF5C23">
        <w:rPr>
          <w:noProof/>
          <w:lang w:val="en-IE" w:eastAsia="fr-BE"/>
        </w:rPr>
        <w:t>第</w:t>
      </w:r>
      <w:r w:rsidR="00137517" w:rsidRPr="00DF5C23">
        <w:rPr>
          <w:noProof/>
          <w:lang w:val="en-IE" w:eastAsia="fr-BE"/>
        </w:rPr>
        <w:t>34</w:t>
      </w:r>
      <w:r w:rsidR="00137517" w:rsidRPr="00DF5C23">
        <w:rPr>
          <w:noProof/>
          <w:lang w:val="en-IE" w:eastAsia="fr-BE"/>
        </w:rPr>
        <w:t>条に</w:t>
      </w:r>
      <w:r w:rsidR="00FF2BAC" w:rsidRPr="00DF5C23">
        <w:rPr>
          <w:noProof/>
          <w:lang w:val="en-IE" w:eastAsia="fr-BE"/>
        </w:rPr>
        <w:t>言及する整合規格の欠点に起因すると考えられる場合、欧州委員会は、規則（</w:t>
      </w:r>
      <w:r w:rsidR="00FF2BAC" w:rsidRPr="00DF5C23">
        <w:rPr>
          <w:noProof/>
          <w:lang w:val="en-IE" w:eastAsia="fr-BE"/>
        </w:rPr>
        <w:t>EU</w:t>
      </w:r>
      <w:r w:rsidR="00FF2BAC" w:rsidRPr="00DF5C23">
        <w:rPr>
          <w:noProof/>
          <w:lang w:val="en-IE" w:eastAsia="fr-BE"/>
        </w:rPr>
        <w:t>）</w:t>
      </w:r>
      <w:r w:rsidR="00FF2BAC" w:rsidRPr="00DF5C23">
        <w:rPr>
          <w:noProof/>
          <w:lang w:val="en-IE" w:eastAsia="fr-BE"/>
        </w:rPr>
        <w:t>No 1025/2012</w:t>
      </w:r>
      <w:r w:rsidR="00FF2BAC" w:rsidRPr="00DF5C23">
        <w:rPr>
          <w:noProof/>
          <w:lang w:val="en-IE" w:eastAsia="fr-BE"/>
        </w:rPr>
        <w:t>の第</w:t>
      </w:r>
      <w:r w:rsidR="00FF2BAC" w:rsidRPr="00DF5C23">
        <w:rPr>
          <w:noProof/>
          <w:lang w:val="en-IE" w:eastAsia="fr-BE"/>
        </w:rPr>
        <w:t>11</w:t>
      </w:r>
      <w:r w:rsidR="00FF2BAC" w:rsidRPr="00DF5C23">
        <w:rPr>
          <w:noProof/>
          <w:lang w:val="en-IE" w:eastAsia="fr-BE"/>
        </w:rPr>
        <w:t>条に規定する手続を適用すること。</w:t>
      </w:r>
    </w:p>
    <w:p w14:paraId="5B98C307" w14:textId="77777777" w:rsidR="0038775E" w:rsidRDefault="00877B9C" w:rsidP="002041D4">
      <w:pPr>
        <w:pStyle w:val="ManualNumPar1"/>
        <w:wordWrap w:val="0"/>
        <w:rPr>
          <w:noProof/>
          <w:lang w:val="en-IE" w:eastAsia="fr-BE"/>
        </w:rPr>
      </w:pPr>
      <w:r w:rsidRPr="004F5E59">
        <w:rPr>
          <w:lang w:eastAsia="ja-JP"/>
        </w:rPr>
        <w:t>4.</w:t>
      </w:r>
      <w:r w:rsidRPr="004F5E59">
        <w:rPr>
          <w:lang w:eastAsia="ja-JP"/>
        </w:rPr>
        <w:tab/>
      </w:r>
      <w:r w:rsidR="00FF2BAC" w:rsidRPr="00DF5C23">
        <w:rPr>
          <w:noProof/>
          <w:lang w:val="en-IE" w:eastAsia="fr-BE"/>
        </w:rPr>
        <w:t>国内措置が正当化され、製品の不適合が</w:t>
      </w:r>
      <w:r w:rsidR="00137517" w:rsidRPr="00DF5C23">
        <w:rPr>
          <w:noProof/>
          <w:lang w:val="en-IE" w:eastAsia="fr-BE"/>
        </w:rPr>
        <w:t>第</w:t>
      </w:r>
      <w:r w:rsidR="00137517" w:rsidRPr="00DF5C23">
        <w:rPr>
          <w:noProof/>
          <w:lang w:val="en-IE" w:eastAsia="fr-BE"/>
        </w:rPr>
        <w:t>35</w:t>
      </w:r>
      <w:r w:rsidR="00137517" w:rsidRPr="00DF5C23">
        <w:rPr>
          <w:noProof/>
          <w:lang w:val="en-IE" w:eastAsia="fr-BE"/>
        </w:rPr>
        <w:t>条に</w:t>
      </w:r>
      <w:r w:rsidR="00FF2BAC" w:rsidRPr="00DF5C23">
        <w:rPr>
          <w:noProof/>
          <w:lang w:val="en-IE" w:eastAsia="fr-BE"/>
        </w:rPr>
        <w:t>いう共通仕様の欠点に起因すると考えられる場合、委員会は、遅滞なく、当該共通仕様を修正又は廃止する実施法を採択しなければならない。</w:t>
      </w:r>
    </w:p>
    <w:p w14:paraId="0E7EC7E0" w14:textId="77777777" w:rsidR="0038775E" w:rsidRDefault="008017E5" w:rsidP="002041D4">
      <w:pPr>
        <w:pStyle w:val="Text1"/>
        <w:wordWrap w:val="0"/>
        <w:rPr>
          <w:noProof/>
          <w:lang w:val="en-IE" w:eastAsia="fr-BE"/>
        </w:rPr>
      </w:pPr>
      <w:r w:rsidRPr="00DF5C23">
        <w:rPr>
          <w:noProof/>
          <w:lang w:val="en-IE" w:eastAsia="fr-BE"/>
        </w:rPr>
        <w:t>第</w:t>
      </w:r>
      <w:r w:rsidRPr="00DF5C23">
        <w:rPr>
          <w:noProof/>
          <w:lang w:val="en-IE" w:eastAsia="fr-BE"/>
        </w:rPr>
        <w:t>1</w:t>
      </w:r>
      <w:r w:rsidR="00756D5E" w:rsidRPr="00DF5C23">
        <w:rPr>
          <w:noProof/>
          <w:lang w:val="en-IE" w:eastAsia="fr-BE"/>
        </w:rPr>
        <w:t>号の</w:t>
      </w:r>
      <w:r w:rsidR="00877B9C" w:rsidRPr="00DF5C23">
        <w:rPr>
          <w:noProof/>
          <w:lang w:val="en-IE" w:eastAsia="fr-BE"/>
        </w:rPr>
        <w:t>実施</w:t>
      </w:r>
      <w:r w:rsidRPr="00DF5C23">
        <w:rPr>
          <w:noProof/>
          <w:lang w:val="en-IE" w:eastAsia="fr-BE"/>
        </w:rPr>
        <w:t>法は、</w:t>
      </w:r>
      <w:r w:rsidR="00137517" w:rsidRPr="00DF5C23">
        <w:rPr>
          <w:noProof/>
          <w:lang w:val="en-IE" w:eastAsia="fr-BE"/>
        </w:rPr>
        <w:t>第</w:t>
      </w:r>
      <w:r w:rsidR="00137517" w:rsidRPr="00DF5C23">
        <w:rPr>
          <w:noProof/>
          <w:lang w:val="en-IE" w:eastAsia="fr-BE"/>
        </w:rPr>
        <w:t>67</w:t>
      </w:r>
      <w:r w:rsidR="00137517" w:rsidRPr="00DF5C23">
        <w:rPr>
          <w:noProof/>
          <w:lang w:val="en-IE" w:eastAsia="fr-BE"/>
        </w:rPr>
        <w:t>条</w:t>
      </w:r>
      <w:r w:rsidR="00877B9C" w:rsidRPr="00DF5C23">
        <w:rPr>
          <w:noProof/>
          <w:lang w:val="en-IE" w:eastAsia="fr-BE"/>
        </w:rPr>
        <w:t>第</w:t>
      </w:r>
      <w:r w:rsidR="00877B9C" w:rsidRPr="00DF5C23">
        <w:rPr>
          <w:noProof/>
          <w:lang w:val="en-IE" w:eastAsia="fr-BE"/>
        </w:rPr>
        <w:t>3</w:t>
      </w:r>
      <w:r w:rsidR="00877B9C" w:rsidRPr="00DF5C23">
        <w:rPr>
          <w:noProof/>
          <w:lang w:val="en-IE" w:eastAsia="fr-BE"/>
        </w:rPr>
        <w:t>項の審査手続に従って採択されるものとする。</w:t>
      </w:r>
    </w:p>
    <w:p w14:paraId="30C6982B" w14:textId="77777777" w:rsidR="0038775E" w:rsidRDefault="00565D97" w:rsidP="002041D4">
      <w:pPr>
        <w:pStyle w:val="Titrearticle"/>
        <w:wordWrap w:val="0"/>
        <w:rPr>
          <w:noProof/>
          <w:lang w:val="fr-BE" w:eastAsia="fr-BE"/>
        </w:rPr>
      </w:pPr>
      <w:r w:rsidRPr="00DF5C23">
        <w:rPr>
          <w:noProof/>
          <w:lang w:val="fr-BE" w:eastAsia="fr-BE"/>
        </w:rPr>
        <w:t>第</w:t>
      </w:r>
      <w:r w:rsidRPr="00DF5C23">
        <w:rPr>
          <w:noProof/>
          <w:lang w:val="fr-BE" w:eastAsia="fr-BE"/>
        </w:rPr>
        <w:t>65</w:t>
      </w:r>
      <w:r w:rsidR="00877B9C" w:rsidRPr="00DF5C23" w:rsidDel="005E7771">
        <w:rPr>
          <w:noProof/>
          <w:lang w:val="fr-BE" w:eastAsia="fr-BE"/>
        </w:rPr>
        <w:t>条</w:t>
      </w:r>
      <w:r w:rsidR="00877B9C" w:rsidRPr="00DF5C23">
        <w:rPr>
          <w:noProof/>
          <w:lang w:eastAsia="ja-JP"/>
        </w:rPr>
        <w:br/>
      </w:r>
      <w:r w:rsidR="00877B9C" w:rsidRPr="00DF5C23">
        <w:rPr>
          <w:noProof/>
          <w:lang w:eastAsia="fr-BE"/>
        </w:rPr>
        <w:t>正式な</w:t>
      </w:r>
      <w:r w:rsidR="00877B9C" w:rsidRPr="00DF5C23">
        <w:rPr>
          <w:noProof/>
          <w:lang w:val="fr-BE" w:eastAsia="fr-BE"/>
        </w:rPr>
        <w:t>コンプライアンス違反</w:t>
      </w:r>
    </w:p>
    <w:p w14:paraId="4DC88183" w14:textId="77777777" w:rsidR="0038775E" w:rsidRDefault="00877B9C" w:rsidP="002041D4">
      <w:pPr>
        <w:pStyle w:val="ManualNumPar1"/>
        <w:wordWrap w:val="0"/>
        <w:rPr>
          <w:noProof/>
          <w:lang w:val="en-IE" w:eastAsia="fr-BE"/>
        </w:rPr>
      </w:pPr>
      <w:r w:rsidRPr="004F5E59">
        <w:rPr>
          <w:lang w:eastAsia="ja-JP"/>
        </w:rPr>
        <w:t>1.</w:t>
      </w:r>
      <w:r w:rsidRPr="004F5E59">
        <w:rPr>
          <w:lang w:eastAsia="ja-JP"/>
        </w:rPr>
        <w:tab/>
      </w:r>
      <w:r w:rsidR="0681B866" w:rsidRPr="00DF5C23">
        <w:rPr>
          <w:noProof/>
          <w:lang w:val="en-IE" w:eastAsia="fr-BE"/>
        </w:rPr>
        <w:t>加盟国は、以下のいずれかの所見を行った場合、当該経済事業者に対し、当該不遵守を解消するよう求めるものとする：</w:t>
      </w:r>
    </w:p>
    <w:p w14:paraId="201D5AE7" w14:textId="77777777" w:rsidR="0038775E" w:rsidRDefault="00877B9C" w:rsidP="002041D4">
      <w:pPr>
        <w:pStyle w:val="Point1"/>
        <w:wordWrap w:val="0"/>
        <w:rPr>
          <w:noProof/>
          <w:lang w:val="en-IE" w:eastAsia="fr-BE"/>
        </w:rPr>
      </w:pPr>
      <w:r w:rsidRPr="004F5E59">
        <w:rPr>
          <w:lang w:eastAsia="ja-JP"/>
        </w:rPr>
        <w:t>(a)</w:t>
      </w:r>
      <w:r w:rsidRPr="004F5E59">
        <w:rPr>
          <w:lang w:eastAsia="ja-JP"/>
        </w:rPr>
        <w:tab/>
      </w:r>
      <w:r w:rsidR="00FF2BAC" w:rsidRPr="00DF5C23">
        <w:rPr>
          <w:noProof/>
          <w:lang w:val="en-IE" w:eastAsia="fr-BE"/>
        </w:rPr>
        <w:t>規則</w:t>
      </w:r>
      <w:r w:rsidR="00FF2BAC" w:rsidRPr="00DF5C23">
        <w:rPr>
          <w:noProof/>
          <w:lang w:val="en-IE" w:eastAsia="fr-BE"/>
        </w:rPr>
        <w:t>(EC) No 765/2008</w:t>
      </w:r>
      <w:r w:rsidR="00FF2BAC" w:rsidRPr="00DF5C23">
        <w:rPr>
          <w:noProof/>
          <w:lang w:val="en-IE" w:eastAsia="fr-BE"/>
        </w:rPr>
        <w:t>の第</w:t>
      </w:r>
      <w:r w:rsidR="00FF2BAC" w:rsidRPr="00DF5C23">
        <w:rPr>
          <w:noProof/>
          <w:lang w:val="en-IE" w:eastAsia="fr-BE"/>
        </w:rPr>
        <w:t>30</w:t>
      </w:r>
      <w:r w:rsidR="00FF2BAC" w:rsidRPr="00DF5C23">
        <w:rPr>
          <w:noProof/>
          <w:lang w:val="en-IE" w:eastAsia="fr-BE"/>
        </w:rPr>
        <w:t>条または本規則の</w:t>
      </w:r>
      <w:r w:rsidR="00137517" w:rsidRPr="00DF5C23">
        <w:rPr>
          <w:noProof/>
          <w:lang w:val="en-IE" w:eastAsia="fr-BE"/>
        </w:rPr>
        <w:t>第</w:t>
      </w:r>
      <w:r w:rsidR="00137517" w:rsidRPr="00DF5C23">
        <w:rPr>
          <w:noProof/>
          <w:lang w:val="en-IE" w:eastAsia="fr-BE"/>
        </w:rPr>
        <w:t>39</w:t>
      </w:r>
      <w:r w:rsidR="00137517" w:rsidRPr="00DF5C23">
        <w:rPr>
          <w:noProof/>
          <w:lang w:val="en-IE" w:eastAsia="fr-BE"/>
        </w:rPr>
        <w:t>条に違反して</w:t>
      </w:r>
      <w:r w:rsidR="00FF2BAC" w:rsidRPr="00DF5C23">
        <w:rPr>
          <w:noProof/>
          <w:lang w:val="en-IE" w:eastAsia="fr-BE"/>
        </w:rPr>
        <w:t>CE</w:t>
      </w:r>
      <w:r w:rsidR="00FF2BAC" w:rsidRPr="00DF5C23">
        <w:rPr>
          <w:noProof/>
          <w:lang w:val="en-IE" w:eastAsia="fr-BE"/>
        </w:rPr>
        <w:t>マーキングが貼付された場合；</w:t>
      </w:r>
    </w:p>
    <w:p w14:paraId="2135215E" w14:textId="77777777" w:rsidR="0038775E" w:rsidRDefault="00877B9C" w:rsidP="002041D4">
      <w:pPr>
        <w:pStyle w:val="Point1"/>
        <w:wordWrap w:val="0"/>
        <w:rPr>
          <w:noProof/>
          <w:lang w:val="en-IE" w:eastAsia="fr-BE"/>
        </w:rPr>
      </w:pPr>
      <w:r w:rsidRPr="004F5E59">
        <w:rPr>
          <w:lang w:eastAsia="ja-JP"/>
        </w:rPr>
        <w:t>(b)</w:t>
      </w:r>
      <w:r w:rsidRPr="004F5E59">
        <w:rPr>
          <w:lang w:eastAsia="ja-JP"/>
        </w:rPr>
        <w:tab/>
      </w:r>
      <w:r w:rsidR="0681B866" w:rsidRPr="00DF5C23">
        <w:rPr>
          <w:noProof/>
          <w:lang w:val="en-IE" w:eastAsia="fr-BE"/>
        </w:rPr>
        <w:t>CE</w:t>
      </w:r>
      <w:r w:rsidR="0681B866" w:rsidRPr="00DF5C23">
        <w:rPr>
          <w:noProof/>
          <w:lang w:val="en-IE" w:eastAsia="fr-BE"/>
        </w:rPr>
        <w:t>マーキングが貼られていない；</w:t>
      </w:r>
    </w:p>
    <w:p w14:paraId="0E4DD7A3" w14:textId="77777777" w:rsidR="0038775E" w:rsidRDefault="00877B9C" w:rsidP="002041D4">
      <w:pPr>
        <w:pStyle w:val="Point1"/>
        <w:wordWrap w:val="0"/>
        <w:rPr>
          <w:noProof/>
          <w:lang w:val="en-IE" w:eastAsia="fr-BE"/>
        </w:rPr>
      </w:pPr>
      <w:r w:rsidRPr="004F5E59">
        <w:rPr>
          <w:lang w:eastAsia="ja-JP"/>
        </w:rPr>
        <w:t>(c)</w:t>
      </w:r>
      <w:r w:rsidRPr="004F5E59">
        <w:rPr>
          <w:lang w:eastAsia="ja-JP"/>
        </w:rPr>
        <w:tab/>
      </w:r>
      <w:r w:rsidR="00137517" w:rsidRPr="00DF5C23">
        <w:rPr>
          <w:noProof/>
          <w:lang w:val="en-IE" w:eastAsia="fr-BE"/>
        </w:rPr>
        <w:t>第</w:t>
      </w:r>
      <w:r w:rsidR="00137517" w:rsidRPr="00DF5C23">
        <w:rPr>
          <w:noProof/>
          <w:lang w:val="en-IE" w:eastAsia="fr-BE"/>
        </w:rPr>
        <w:t>39</w:t>
      </w:r>
      <w:r w:rsidR="00FF2BAC" w:rsidRPr="00DF5C23">
        <w:rPr>
          <w:noProof/>
          <w:lang w:val="en-IE" w:eastAsia="fr-BE"/>
        </w:rPr>
        <w:t>条の規定に違反して届出機関の識別番号が付されている、または必要な箇所に付されていない場合；</w:t>
      </w:r>
    </w:p>
    <w:p w14:paraId="5B563C70" w14:textId="77777777" w:rsidR="0038775E" w:rsidRDefault="00877B9C" w:rsidP="002041D4">
      <w:pPr>
        <w:pStyle w:val="Point1"/>
        <w:wordWrap w:val="0"/>
        <w:rPr>
          <w:noProof/>
          <w:lang w:val="en-IE" w:eastAsia="fr-BE"/>
        </w:rPr>
      </w:pPr>
      <w:r w:rsidRPr="004F5E59">
        <w:rPr>
          <w:lang w:eastAsia="ja-JP"/>
        </w:rPr>
        <w:lastRenderedPageBreak/>
        <w:t>(d)</w:t>
      </w:r>
      <w:r w:rsidRPr="004F5E59">
        <w:rPr>
          <w:lang w:eastAsia="ja-JP"/>
        </w:rPr>
        <w:tab/>
      </w:r>
      <w:r w:rsidR="00C224D3" w:rsidRPr="00DF5C23">
        <w:rPr>
          <w:noProof/>
          <w:lang w:val="en-IE" w:eastAsia="fr-BE"/>
        </w:rPr>
        <w:t>EU</w:t>
      </w:r>
      <w:r w:rsidR="0681B866" w:rsidRPr="00DF5C23">
        <w:rPr>
          <w:noProof/>
          <w:lang w:val="en-IE" w:eastAsia="fr-BE"/>
        </w:rPr>
        <w:t>適合宣言は作成されていない；</w:t>
      </w:r>
    </w:p>
    <w:p w14:paraId="165985AF" w14:textId="77777777" w:rsidR="0038775E" w:rsidRDefault="00877B9C" w:rsidP="002041D4">
      <w:pPr>
        <w:pStyle w:val="Point1"/>
        <w:wordWrap w:val="0"/>
        <w:rPr>
          <w:noProof/>
          <w:lang w:val="en-IE" w:eastAsia="fr-BE"/>
        </w:rPr>
      </w:pPr>
      <w:r w:rsidRPr="004F5E59">
        <w:rPr>
          <w:lang w:eastAsia="ja-JP"/>
        </w:rPr>
        <w:t>(e)</w:t>
      </w:r>
      <w:r w:rsidRPr="004F5E59">
        <w:rPr>
          <w:lang w:eastAsia="ja-JP"/>
        </w:rPr>
        <w:tab/>
      </w:r>
      <w:r w:rsidR="00C224D3" w:rsidRPr="00DF5C23">
        <w:rPr>
          <w:noProof/>
          <w:lang w:val="en-IE" w:eastAsia="fr-BE"/>
        </w:rPr>
        <w:t xml:space="preserve">EU </w:t>
      </w:r>
      <w:r w:rsidR="0681B866" w:rsidRPr="00DF5C23">
        <w:rPr>
          <w:noProof/>
          <w:lang w:val="en-IE" w:eastAsia="fr-BE"/>
        </w:rPr>
        <w:t>適合宣言が正しく作成されていない；</w:t>
      </w:r>
    </w:p>
    <w:p w14:paraId="036A3AC2" w14:textId="77777777" w:rsidR="0038775E" w:rsidRDefault="00877B9C" w:rsidP="002041D4">
      <w:pPr>
        <w:pStyle w:val="Point1"/>
        <w:wordWrap w:val="0"/>
        <w:rPr>
          <w:noProof/>
          <w:lang w:val="en-IE" w:eastAsia="fr-BE"/>
        </w:rPr>
      </w:pPr>
      <w:r w:rsidRPr="004F5E59">
        <w:rPr>
          <w:lang w:eastAsia="ja-JP"/>
        </w:rPr>
        <w:t>(f)</w:t>
      </w:r>
      <w:r w:rsidRPr="004F5E59">
        <w:rPr>
          <w:lang w:eastAsia="ja-JP"/>
        </w:rPr>
        <w:tab/>
      </w:r>
      <w:r w:rsidR="0681B866" w:rsidRPr="00DF5C23">
        <w:rPr>
          <w:noProof/>
          <w:lang w:val="en-IE" w:eastAsia="fr-BE"/>
        </w:rPr>
        <w:t>技術文書が利用できない、完全でない、または誤りを含んでいる；</w:t>
      </w:r>
    </w:p>
    <w:p w14:paraId="1D5CD016" w14:textId="77777777" w:rsidR="0038775E" w:rsidRDefault="00877B9C" w:rsidP="002041D4">
      <w:pPr>
        <w:pStyle w:val="Point1"/>
        <w:wordWrap w:val="0"/>
        <w:rPr>
          <w:noProof/>
          <w:lang w:val="en-IE" w:eastAsia="fr-BE"/>
        </w:rPr>
      </w:pPr>
      <w:r w:rsidRPr="004F5E59">
        <w:rPr>
          <w:lang w:eastAsia="ja-JP"/>
        </w:rPr>
        <w:t>(g)</w:t>
      </w:r>
      <w:r w:rsidRPr="004F5E59">
        <w:rPr>
          <w:lang w:eastAsia="ja-JP"/>
        </w:rPr>
        <w:tab/>
      </w:r>
      <w:r w:rsidR="00137517" w:rsidRPr="00DF5C23">
        <w:rPr>
          <w:noProof/>
          <w:lang w:val="en-IE" w:eastAsia="fr-BE"/>
        </w:rPr>
        <w:t>第</w:t>
      </w:r>
      <w:r w:rsidR="00137517" w:rsidRPr="00DF5C23">
        <w:rPr>
          <w:noProof/>
          <w:lang w:val="en-IE" w:eastAsia="fr-BE"/>
        </w:rPr>
        <w:t>21</w:t>
      </w:r>
      <w:r w:rsidR="00137517" w:rsidRPr="00DF5C23">
        <w:rPr>
          <w:noProof/>
          <w:lang w:val="en-IE" w:eastAsia="fr-BE"/>
        </w:rPr>
        <w:t>条</w:t>
      </w:r>
      <w:r w:rsidR="0681B866" w:rsidRPr="00DF5C23">
        <w:rPr>
          <w:noProof/>
          <w:lang w:val="en-IE" w:eastAsia="fr-BE"/>
        </w:rPr>
        <w:t>第</w:t>
      </w:r>
      <w:r w:rsidR="0681B866" w:rsidRPr="00DF5C23">
        <w:rPr>
          <w:noProof/>
          <w:lang w:val="en-IE" w:eastAsia="fr-BE"/>
        </w:rPr>
        <w:t>6</w:t>
      </w:r>
      <w:r w:rsidR="0681B866" w:rsidRPr="00DF5C23">
        <w:rPr>
          <w:noProof/>
          <w:lang w:val="en-IE" w:eastAsia="fr-BE"/>
        </w:rPr>
        <w:t>項または</w:t>
      </w:r>
      <w:r w:rsidR="00137517" w:rsidRPr="00DF5C23">
        <w:rPr>
          <w:noProof/>
          <w:lang w:val="en-IE" w:eastAsia="fr-BE"/>
        </w:rPr>
        <w:t>第</w:t>
      </w:r>
      <w:r w:rsidR="00137517" w:rsidRPr="00DF5C23">
        <w:rPr>
          <w:noProof/>
          <w:lang w:val="en-IE" w:eastAsia="fr-BE"/>
        </w:rPr>
        <w:t>23</w:t>
      </w:r>
      <w:r w:rsidR="0681B866" w:rsidRPr="00DF5C23">
        <w:rPr>
          <w:noProof/>
          <w:lang w:val="en-IE" w:eastAsia="fr-BE"/>
        </w:rPr>
        <w:t>条第</w:t>
      </w:r>
      <w:r w:rsidR="0681B866" w:rsidRPr="00DF5C23">
        <w:rPr>
          <w:noProof/>
          <w:lang w:val="en-IE" w:eastAsia="fr-BE"/>
        </w:rPr>
        <w:t>3</w:t>
      </w:r>
      <w:r w:rsidR="0681B866" w:rsidRPr="00DF5C23">
        <w:rPr>
          <w:noProof/>
          <w:lang w:val="en-IE" w:eastAsia="fr-BE"/>
        </w:rPr>
        <w:t>項の情報がない、虚偽または不完全である場合；</w:t>
      </w:r>
    </w:p>
    <w:p w14:paraId="0CA7AAE5" w14:textId="77777777" w:rsidR="0038775E" w:rsidRDefault="00877B9C" w:rsidP="002041D4">
      <w:pPr>
        <w:pStyle w:val="Point1"/>
        <w:wordWrap w:val="0"/>
        <w:rPr>
          <w:noProof/>
          <w:lang w:val="en-IE" w:eastAsia="fr-BE"/>
        </w:rPr>
      </w:pPr>
      <w:r w:rsidRPr="004F5E59">
        <w:rPr>
          <w:lang w:eastAsia="ja-JP"/>
        </w:rPr>
        <w:t>(h)</w:t>
      </w:r>
      <w:r w:rsidRPr="004F5E59">
        <w:rPr>
          <w:lang w:eastAsia="ja-JP"/>
        </w:rPr>
        <w:tab/>
      </w:r>
      <w:r w:rsidR="00137517" w:rsidRPr="00DF5C23">
        <w:rPr>
          <w:noProof/>
          <w:lang w:val="en-IE" w:eastAsia="fr-BE"/>
        </w:rPr>
        <w:t>第</w:t>
      </w:r>
      <w:r w:rsidR="00137517" w:rsidRPr="00DF5C23">
        <w:rPr>
          <w:noProof/>
          <w:lang w:val="en-IE" w:eastAsia="fr-BE"/>
        </w:rPr>
        <w:t>21</w:t>
      </w:r>
      <w:r w:rsidR="00137517" w:rsidRPr="00DF5C23">
        <w:rPr>
          <w:noProof/>
          <w:lang w:val="en-IE" w:eastAsia="fr-BE"/>
        </w:rPr>
        <w:t>条</w:t>
      </w:r>
      <w:r w:rsidR="0681B866" w:rsidRPr="00DF5C23">
        <w:rPr>
          <w:noProof/>
          <w:lang w:val="en-IE" w:eastAsia="fr-BE"/>
        </w:rPr>
        <w:t>、</w:t>
      </w:r>
      <w:r w:rsidR="00137517" w:rsidRPr="00DF5C23">
        <w:rPr>
          <w:noProof/>
          <w:lang w:val="en-IE" w:eastAsia="fr-BE"/>
        </w:rPr>
        <w:t>第</w:t>
      </w:r>
      <w:r w:rsidR="00137517" w:rsidRPr="00DF5C23">
        <w:rPr>
          <w:noProof/>
          <w:lang w:val="en-IE" w:eastAsia="fr-BE"/>
        </w:rPr>
        <w:t>23</w:t>
      </w:r>
      <w:r w:rsidR="0681B866" w:rsidRPr="00DF5C23">
        <w:rPr>
          <w:noProof/>
          <w:lang w:val="en-IE" w:eastAsia="fr-BE"/>
        </w:rPr>
        <w:t>条または</w:t>
      </w:r>
      <w:r w:rsidR="00552FE2" w:rsidRPr="00DF5C23">
        <w:rPr>
          <w:noProof/>
          <w:lang w:val="en-IE" w:eastAsia="fr-BE"/>
        </w:rPr>
        <w:t>第</w:t>
      </w:r>
      <w:r w:rsidR="00552FE2" w:rsidRPr="00DF5C23">
        <w:rPr>
          <w:noProof/>
          <w:lang w:val="en-IE" w:eastAsia="fr-BE"/>
        </w:rPr>
        <w:t>4</w:t>
      </w:r>
      <w:r w:rsidR="00552FE2" w:rsidRPr="00DF5C23">
        <w:rPr>
          <w:noProof/>
          <w:lang w:val="en-IE" w:eastAsia="fr-BE"/>
        </w:rPr>
        <w:t>条に従って採択された</w:t>
      </w:r>
      <w:r w:rsidR="0681B866" w:rsidRPr="00DF5C23">
        <w:rPr>
          <w:noProof/>
          <w:lang w:val="en-IE" w:eastAsia="fr-BE"/>
        </w:rPr>
        <w:t>適用される委任行為に規定されるその他の管理上の要件が満たされていない場合。</w:t>
      </w:r>
    </w:p>
    <w:p w14:paraId="1753D0EF" w14:textId="77777777" w:rsidR="0038775E" w:rsidRDefault="00877B9C" w:rsidP="002041D4">
      <w:pPr>
        <w:pStyle w:val="ManualNumPar1"/>
        <w:wordWrap w:val="0"/>
        <w:rPr>
          <w:noProof/>
          <w:lang w:val="en-IE" w:eastAsia="fr-BE"/>
        </w:rPr>
      </w:pPr>
      <w:r w:rsidRPr="004F5E59">
        <w:rPr>
          <w:lang w:eastAsia="ja-JP"/>
        </w:rPr>
        <w:t>2.</w:t>
      </w:r>
      <w:r w:rsidRPr="004F5E59">
        <w:rPr>
          <w:lang w:eastAsia="ja-JP"/>
        </w:rPr>
        <w:tab/>
      </w:r>
      <w:r w:rsidR="0681B866" w:rsidRPr="00DF5C23">
        <w:rPr>
          <w:noProof/>
          <w:lang w:val="en-IE" w:eastAsia="fr-BE"/>
        </w:rPr>
        <w:t>第</w:t>
      </w:r>
      <w:r w:rsidR="0681B866" w:rsidRPr="00DF5C23">
        <w:rPr>
          <w:noProof/>
          <w:lang w:val="en-IE" w:eastAsia="fr-BE"/>
        </w:rPr>
        <w:t>1</w:t>
      </w:r>
      <w:r w:rsidR="0681B866" w:rsidRPr="00DF5C23">
        <w:rPr>
          <w:noProof/>
          <w:lang w:val="en-IE" w:eastAsia="fr-BE"/>
        </w:rPr>
        <w:t>項にいう不順守が継続する場合、当該加盟国は、製品が市場で入手可能となることを制限若しくは禁止し、又は製品が市場から回収若しくは撤回されることを確保するためのあらゆる適切な措置を講じるものとする。</w:t>
      </w:r>
    </w:p>
    <w:p w14:paraId="05832E14" w14:textId="77777777" w:rsidR="0038775E" w:rsidRDefault="00A625AD" w:rsidP="002041D4">
      <w:pPr>
        <w:pStyle w:val="ManualHeading1"/>
        <w:wordWrap w:val="0"/>
        <w:jc w:val="center"/>
        <w:rPr>
          <w:noProof/>
          <w:lang w:eastAsia="ja-JP"/>
        </w:rPr>
      </w:pPr>
      <w:r w:rsidRPr="00DF5C23">
        <w:rPr>
          <w:noProof/>
          <w:lang w:eastAsia="ja-JP"/>
        </w:rPr>
        <w:t>第</w:t>
      </w:r>
      <w:r w:rsidRPr="00DF5C23">
        <w:rPr>
          <w:noProof/>
          <w:lang w:eastAsia="ja-JP"/>
        </w:rPr>
        <w:t>XIII</w:t>
      </w:r>
      <w:r w:rsidR="00F77587" w:rsidRPr="00DF5C23">
        <w:rPr>
          <w:noProof/>
          <w:lang w:eastAsia="ja-JP"/>
        </w:rPr>
        <w:t>章</w:t>
      </w:r>
      <w:r w:rsidR="00F77587" w:rsidRPr="00DF5C23">
        <w:rPr>
          <w:noProof/>
          <w:lang w:eastAsia="ja-JP"/>
        </w:rPr>
        <w:t xml:space="preserve"> </w:t>
      </w:r>
      <w:r w:rsidR="00877B9C" w:rsidRPr="00DF5C23">
        <w:rPr>
          <w:noProof/>
          <w:lang w:eastAsia="ja-JP"/>
        </w:rPr>
        <w:t>委任された権限と委員会の手続き</w:t>
      </w:r>
    </w:p>
    <w:p w14:paraId="148B7329" w14:textId="77777777" w:rsidR="0038775E" w:rsidRDefault="00565D97" w:rsidP="002041D4">
      <w:pPr>
        <w:pStyle w:val="Titrearticle"/>
        <w:wordWrap w:val="0"/>
        <w:rPr>
          <w:noProof/>
          <w:lang w:val="en-IE" w:eastAsia="ja-JP"/>
        </w:rPr>
      </w:pPr>
      <w:r w:rsidRPr="00DF5C23">
        <w:rPr>
          <w:noProof/>
          <w:lang w:val="en-IE" w:eastAsia="ja-JP"/>
        </w:rPr>
        <w:t>第</w:t>
      </w:r>
      <w:r w:rsidRPr="00DF5C23">
        <w:rPr>
          <w:noProof/>
          <w:lang w:val="en-IE" w:eastAsia="ja-JP"/>
        </w:rPr>
        <w:t>66</w:t>
      </w:r>
      <w:r w:rsidR="00877B9C" w:rsidRPr="00DF5C23">
        <w:rPr>
          <w:noProof/>
          <w:lang w:val="en-IE" w:eastAsia="ja-JP"/>
        </w:rPr>
        <w:t>条</w:t>
      </w:r>
      <w:r w:rsidR="003257DB" w:rsidRPr="00DF5C23">
        <w:rPr>
          <w:noProof/>
          <w:lang w:eastAsia="ja-JP"/>
        </w:rPr>
        <w:br/>
      </w:r>
      <w:r w:rsidR="00877B9C" w:rsidRPr="00DF5C23">
        <w:rPr>
          <w:noProof/>
          <w:lang w:val="en-IE" w:eastAsia="ja-JP"/>
        </w:rPr>
        <w:t>委任事項の行使</w:t>
      </w:r>
    </w:p>
    <w:p w14:paraId="44CDA0B8" w14:textId="77777777" w:rsidR="0038775E" w:rsidRDefault="00877B9C" w:rsidP="002041D4">
      <w:pPr>
        <w:pStyle w:val="ManualNumPar1"/>
        <w:wordWrap w:val="0"/>
        <w:rPr>
          <w:noProof/>
          <w:lang w:val="en-IE" w:eastAsia="ja-JP"/>
        </w:rPr>
      </w:pPr>
      <w:r w:rsidRPr="004F5E59">
        <w:rPr>
          <w:lang w:eastAsia="ja-JP"/>
        </w:rPr>
        <w:t>1.</w:t>
      </w:r>
      <w:r w:rsidRPr="004F5E59">
        <w:rPr>
          <w:lang w:eastAsia="ja-JP"/>
        </w:rPr>
        <w:tab/>
      </w:r>
      <w:r w:rsidR="007F3D25" w:rsidRPr="00DF5C23">
        <w:rPr>
          <w:noProof/>
          <w:lang w:val="en-IE" w:eastAsia="ja-JP"/>
        </w:rPr>
        <w:t>委任行為を採択する権限は、本条に定める条件に従い、欧州委員会に付与される。</w:t>
      </w:r>
    </w:p>
    <w:p w14:paraId="1F9B8EDC" w14:textId="77777777" w:rsidR="0038775E" w:rsidRDefault="00877B9C" w:rsidP="002041D4">
      <w:pPr>
        <w:pStyle w:val="ManualNumPar1"/>
        <w:wordWrap w:val="0"/>
        <w:rPr>
          <w:noProof/>
          <w:lang w:val="en-IE" w:eastAsia="ja-JP"/>
        </w:rPr>
      </w:pPr>
      <w:r w:rsidRPr="004F5E59">
        <w:rPr>
          <w:lang w:eastAsia="ja-JP"/>
        </w:rPr>
        <w:t>2.</w:t>
      </w:r>
      <w:r w:rsidRPr="004F5E59">
        <w:rPr>
          <w:lang w:eastAsia="ja-JP"/>
        </w:rPr>
        <w:tab/>
      </w:r>
      <w:r w:rsidR="007F3D25" w:rsidRPr="00DF5C23">
        <w:rPr>
          <w:noProof/>
          <w:lang w:val="en-IE" w:eastAsia="ja-JP"/>
        </w:rPr>
        <w:t>第</w:t>
      </w:r>
      <w:r w:rsidR="007F3D25" w:rsidRPr="00DF5C23">
        <w:rPr>
          <w:noProof/>
          <w:lang w:val="en-IE" w:eastAsia="ja-JP"/>
        </w:rPr>
        <w:t>4</w:t>
      </w:r>
      <w:r w:rsidR="007F3D25" w:rsidRPr="00DF5C23">
        <w:rPr>
          <w:noProof/>
          <w:lang w:val="en-IE" w:eastAsia="ja-JP"/>
        </w:rPr>
        <w:t>条、</w:t>
      </w:r>
      <w:r w:rsidR="00937D52" w:rsidRPr="00DF5C23">
        <w:rPr>
          <w:noProof/>
          <w:lang w:val="en-IE" w:eastAsia="ja-JP"/>
        </w:rPr>
        <w:t>第</w:t>
      </w:r>
      <w:r w:rsidR="00937D52" w:rsidRPr="00DF5C23">
        <w:rPr>
          <w:noProof/>
          <w:lang w:val="en-IE" w:eastAsia="ja-JP"/>
        </w:rPr>
        <w:t>9</w:t>
      </w:r>
      <w:r w:rsidR="00FC419C" w:rsidRPr="00DF5C23">
        <w:rPr>
          <w:noProof/>
          <w:lang w:val="en-IE" w:eastAsia="ja-JP"/>
        </w:rPr>
        <w:t>条第</w:t>
      </w:r>
      <w:r w:rsidR="00FC419C" w:rsidRPr="00DF5C23">
        <w:rPr>
          <w:noProof/>
          <w:lang w:val="en-IE" w:eastAsia="ja-JP"/>
        </w:rPr>
        <w:t>1</w:t>
      </w:r>
      <w:r w:rsidR="00FC419C" w:rsidRPr="00DF5C23">
        <w:rPr>
          <w:noProof/>
          <w:lang w:val="en-IE" w:eastAsia="ja-JP"/>
        </w:rPr>
        <w:t>項</w:t>
      </w:r>
      <w:r w:rsidR="00937D52" w:rsidRPr="00DF5C23">
        <w:rPr>
          <w:noProof/>
          <w:lang w:val="en-IE" w:eastAsia="ja-JP"/>
        </w:rPr>
        <w:t>第</w:t>
      </w:r>
      <w:r w:rsidR="00937D52" w:rsidRPr="00DF5C23">
        <w:rPr>
          <w:noProof/>
          <w:lang w:val="en-IE" w:eastAsia="ja-JP"/>
        </w:rPr>
        <w:t>2</w:t>
      </w:r>
      <w:r w:rsidR="00937D52" w:rsidRPr="00DF5C23">
        <w:rPr>
          <w:noProof/>
          <w:lang w:val="en-IE" w:eastAsia="ja-JP"/>
        </w:rPr>
        <w:t>号、第</w:t>
      </w:r>
      <w:r w:rsidR="00937D52" w:rsidRPr="00DF5C23">
        <w:rPr>
          <w:noProof/>
          <w:lang w:val="en-IE" w:eastAsia="ja-JP"/>
        </w:rPr>
        <w:t>11</w:t>
      </w:r>
      <w:r w:rsidR="00937D52" w:rsidRPr="00DF5C23">
        <w:rPr>
          <w:noProof/>
          <w:lang w:val="en-IE" w:eastAsia="ja-JP"/>
        </w:rPr>
        <w:t>条第</w:t>
      </w:r>
      <w:r w:rsidR="00937D52" w:rsidRPr="00DF5C23">
        <w:rPr>
          <w:noProof/>
          <w:lang w:val="en-IE" w:eastAsia="ja-JP"/>
        </w:rPr>
        <w:t>4</w:t>
      </w:r>
      <w:r w:rsidR="00937D52" w:rsidRPr="00DF5C23">
        <w:rPr>
          <w:noProof/>
          <w:lang w:val="en-IE" w:eastAsia="ja-JP"/>
        </w:rPr>
        <w:t>項、</w:t>
      </w:r>
      <w:r w:rsidR="00137517" w:rsidRPr="00DF5C23">
        <w:rPr>
          <w:noProof/>
          <w:lang w:val="en-IE" w:eastAsia="ja-JP"/>
        </w:rPr>
        <w:t>第</w:t>
      </w:r>
      <w:r w:rsidR="00137517" w:rsidRPr="00DF5C23">
        <w:rPr>
          <w:noProof/>
          <w:lang w:val="en-IE" w:eastAsia="ja-JP"/>
        </w:rPr>
        <w:t>20</w:t>
      </w:r>
      <w:r w:rsidR="00FC419C" w:rsidRPr="00DF5C23">
        <w:rPr>
          <w:noProof/>
          <w:lang w:val="en-IE" w:eastAsia="ja-JP"/>
        </w:rPr>
        <w:t>条</w:t>
      </w:r>
      <w:r w:rsidR="00937D52" w:rsidRPr="00DF5C23">
        <w:rPr>
          <w:noProof/>
          <w:lang w:val="en-IE" w:eastAsia="ja-JP"/>
        </w:rPr>
        <w:t>第</w:t>
      </w:r>
      <w:r w:rsidR="00937D52" w:rsidRPr="00DF5C23">
        <w:rPr>
          <w:noProof/>
          <w:lang w:val="en-IE" w:eastAsia="ja-JP"/>
        </w:rPr>
        <w:t>3</w:t>
      </w:r>
      <w:r w:rsidR="007F3D25" w:rsidRPr="00DF5C23">
        <w:rPr>
          <w:noProof/>
          <w:lang w:val="en-IE" w:eastAsia="ja-JP"/>
        </w:rPr>
        <w:t>項および</w:t>
      </w:r>
      <w:r w:rsidR="00137517" w:rsidRPr="00DF5C23">
        <w:rPr>
          <w:noProof/>
          <w:lang w:val="en-IE" w:eastAsia="ja-JP"/>
        </w:rPr>
        <w:t>第</w:t>
      </w:r>
      <w:r w:rsidR="00137517" w:rsidRPr="00DF5C23">
        <w:rPr>
          <w:noProof/>
          <w:lang w:val="en-IE" w:eastAsia="ja-JP"/>
        </w:rPr>
        <w:t>61</w:t>
      </w:r>
      <w:r w:rsidR="00FC419C" w:rsidRPr="00DF5C23">
        <w:rPr>
          <w:noProof/>
          <w:lang w:val="en-IE" w:eastAsia="ja-JP"/>
        </w:rPr>
        <w:t>条</w:t>
      </w:r>
      <w:r w:rsidR="007F3D25" w:rsidRPr="00DF5C23">
        <w:rPr>
          <w:noProof/>
          <w:lang w:val="en-IE" w:eastAsia="ja-JP"/>
        </w:rPr>
        <w:t>第</w:t>
      </w:r>
      <w:r w:rsidR="007F3D25" w:rsidRPr="00DF5C23">
        <w:rPr>
          <w:noProof/>
          <w:lang w:val="en-IE" w:eastAsia="ja-JP"/>
        </w:rPr>
        <w:t>1</w:t>
      </w:r>
      <w:r w:rsidR="007F3D25" w:rsidRPr="00DF5C23">
        <w:rPr>
          <w:noProof/>
          <w:lang w:val="en-IE" w:eastAsia="ja-JP"/>
        </w:rPr>
        <w:t>項にいう委任行為を採択する権限は、</w:t>
      </w:r>
      <w:r w:rsidR="007F3D25" w:rsidRPr="00DF5C23">
        <w:rPr>
          <w:i/>
          <w:noProof/>
          <w:lang w:val="en-IE" w:eastAsia="ja-JP"/>
        </w:rPr>
        <w:t>［この法律の施行の</w:t>
      </w:r>
      <w:r w:rsidR="007F3D25" w:rsidRPr="00DF5C23">
        <w:rPr>
          <w:i/>
          <w:noProof/>
          <w:lang w:val="en-IE" w:eastAsia="ja-JP"/>
        </w:rPr>
        <w:t>1</w:t>
      </w:r>
      <w:r w:rsidR="007F3D25" w:rsidRPr="00DF5C23">
        <w:rPr>
          <w:i/>
          <w:noProof/>
          <w:lang w:val="en-IE" w:eastAsia="ja-JP"/>
        </w:rPr>
        <w:t>ヵ月後</w:t>
      </w:r>
      <w:r w:rsidR="007F3D25" w:rsidRPr="00DF5C23">
        <w:rPr>
          <w:noProof/>
          <w:lang w:val="en-IE" w:eastAsia="ja-JP"/>
        </w:rPr>
        <w:t>］から</w:t>
      </w:r>
      <w:r w:rsidR="007F3D25" w:rsidRPr="00DF5C23">
        <w:rPr>
          <w:noProof/>
          <w:lang w:val="en-IE" w:eastAsia="ja-JP"/>
        </w:rPr>
        <w:t>6</w:t>
      </w:r>
      <w:r w:rsidR="007F3D25" w:rsidRPr="00DF5C23">
        <w:rPr>
          <w:noProof/>
          <w:lang w:val="en-IE" w:eastAsia="ja-JP"/>
        </w:rPr>
        <w:t>年間、委員会に付与されるものとする。委員会は、</w:t>
      </w:r>
      <w:r w:rsidR="007F3D25" w:rsidRPr="00DF5C23">
        <w:rPr>
          <w:noProof/>
          <w:lang w:val="en-IE" w:eastAsia="ja-JP"/>
        </w:rPr>
        <w:t>6</w:t>
      </w:r>
      <w:r w:rsidR="007F3D25" w:rsidRPr="00DF5C23">
        <w:rPr>
          <w:noProof/>
          <w:lang w:val="en-IE" w:eastAsia="ja-JP"/>
        </w:rPr>
        <w:t>年間の期間の終了の</w:t>
      </w:r>
      <w:r w:rsidR="007F3D25" w:rsidRPr="00DF5C23">
        <w:rPr>
          <w:noProof/>
          <w:lang w:val="en-IE" w:eastAsia="ja-JP"/>
        </w:rPr>
        <w:t>9</w:t>
      </w:r>
      <w:r w:rsidR="007F3D25" w:rsidRPr="00DF5C23">
        <w:rPr>
          <w:noProof/>
          <w:lang w:val="en-IE" w:eastAsia="ja-JP"/>
        </w:rPr>
        <w:t>ヶ月前までに、権限の委譲に関する報告書を作成しなければならない。権限の委譲は、各期間の終了の</w:t>
      </w:r>
      <w:r w:rsidR="007F3D25" w:rsidRPr="00DF5C23">
        <w:rPr>
          <w:noProof/>
          <w:lang w:val="en-IE" w:eastAsia="ja-JP"/>
        </w:rPr>
        <w:t>3</w:t>
      </w:r>
      <w:r w:rsidR="007F3D25" w:rsidRPr="00DF5C23">
        <w:rPr>
          <w:noProof/>
          <w:lang w:val="en-IE" w:eastAsia="ja-JP"/>
        </w:rPr>
        <w:t>カ月前までに欧州議会または理事会が反対しない限り、同一の期間について黙示的に延長されるものとする。</w:t>
      </w:r>
    </w:p>
    <w:p w14:paraId="2DC4437F" w14:textId="77777777" w:rsidR="0038775E" w:rsidRDefault="00877B9C" w:rsidP="002041D4">
      <w:pPr>
        <w:pStyle w:val="ManualNumPar1"/>
        <w:wordWrap w:val="0"/>
        <w:rPr>
          <w:noProof/>
          <w:lang w:val="en-IE" w:eastAsia="ja-JP"/>
        </w:rPr>
      </w:pPr>
      <w:r w:rsidRPr="004F5E59">
        <w:rPr>
          <w:lang w:eastAsia="ja-JP"/>
        </w:rPr>
        <w:t>3.</w:t>
      </w:r>
      <w:r w:rsidRPr="004F5E59">
        <w:rPr>
          <w:lang w:eastAsia="ja-JP"/>
        </w:rPr>
        <w:tab/>
      </w:r>
      <w:r w:rsidR="00FC419C" w:rsidRPr="00DF5C23">
        <w:rPr>
          <w:noProof/>
          <w:lang w:val="en-IE" w:eastAsia="ja-JP"/>
        </w:rPr>
        <w:t>第</w:t>
      </w:r>
      <w:r w:rsidR="00FC419C" w:rsidRPr="00DF5C23">
        <w:rPr>
          <w:noProof/>
          <w:lang w:val="en-IE" w:eastAsia="ja-JP"/>
        </w:rPr>
        <w:t>4</w:t>
      </w:r>
      <w:r w:rsidR="00FC419C" w:rsidRPr="00DF5C23">
        <w:rPr>
          <w:noProof/>
          <w:lang w:val="en-IE" w:eastAsia="ja-JP"/>
        </w:rPr>
        <w:t>条、第</w:t>
      </w:r>
      <w:r w:rsidR="00FC419C" w:rsidRPr="00DF5C23">
        <w:rPr>
          <w:noProof/>
          <w:lang w:val="en-IE" w:eastAsia="ja-JP"/>
        </w:rPr>
        <w:t>9</w:t>
      </w:r>
      <w:r w:rsidR="00FC419C" w:rsidRPr="00DF5C23">
        <w:rPr>
          <w:noProof/>
          <w:lang w:val="en-IE" w:eastAsia="ja-JP"/>
        </w:rPr>
        <w:t>条第</w:t>
      </w:r>
      <w:r w:rsidR="00FC419C" w:rsidRPr="00DF5C23">
        <w:rPr>
          <w:noProof/>
          <w:lang w:val="en-IE" w:eastAsia="ja-JP"/>
        </w:rPr>
        <w:t>1</w:t>
      </w:r>
      <w:r w:rsidR="00FC419C" w:rsidRPr="00DF5C23">
        <w:rPr>
          <w:noProof/>
          <w:lang w:val="en-IE" w:eastAsia="ja-JP"/>
        </w:rPr>
        <w:t>項第</w:t>
      </w:r>
      <w:r w:rsidR="00FC419C" w:rsidRPr="00DF5C23">
        <w:rPr>
          <w:noProof/>
          <w:lang w:val="en-IE" w:eastAsia="ja-JP"/>
        </w:rPr>
        <w:t>2</w:t>
      </w:r>
      <w:r w:rsidR="00FC419C" w:rsidRPr="00DF5C23">
        <w:rPr>
          <w:noProof/>
          <w:lang w:val="en-IE" w:eastAsia="ja-JP"/>
        </w:rPr>
        <w:t>号、第</w:t>
      </w:r>
      <w:r w:rsidR="00FC419C" w:rsidRPr="00DF5C23">
        <w:rPr>
          <w:noProof/>
          <w:lang w:val="en-IE" w:eastAsia="ja-JP"/>
        </w:rPr>
        <w:t>11</w:t>
      </w:r>
      <w:r w:rsidR="00FC419C" w:rsidRPr="00DF5C23">
        <w:rPr>
          <w:noProof/>
          <w:lang w:val="en-IE" w:eastAsia="ja-JP"/>
        </w:rPr>
        <w:t>条第</w:t>
      </w:r>
      <w:r w:rsidR="00FC419C" w:rsidRPr="00DF5C23">
        <w:rPr>
          <w:noProof/>
          <w:lang w:val="en-IE" w:eastAsia="ja-JP"/>
        </w:rPr>
        <w:t>4</w:t>
      </w:r>
      <w:r w:rsidR="00FC419C" w:rsidRPr="00DF5C23">
        <w:rPr>
          <w:noProof/>
          <w:lang w:val="en-IE" w:eastAsia="ja-JP"/>
        </w:rPr>
        <w:t>項、第</w:t>
      </w:r>
      <w:r w:rsidR="00FC419C" w:rsidRPr="00DF5C23">
        <w:rPr>
          <w:noProof/>
          <w:lang w:val="en-IE" w:eastAsia="ja-JP"/>
        </w:rPr>
        <w:t>20</w:t>
      </w:r>
      <w:r w:rsidR="00FC419C" w:rsidRPr="00DF5C23">
        <w:rPr>
          <w:noProof/>
          <w:lang w:val="en-IE" w:eastAsia="ja-JP"/>
        </w:rPr>
        <w:t>条第</w:t>
      </w:r>
      <w:r w:rsidR="00FC419C" w:rsidRPr="00DF5C23">
        <w:rPr>
          <w:noProof/>
          <w:lang w:val="en-IE" w:eastAsia="ja-JP"/>
        </w:rPr>
        <w:t>3</w:t>
      </w:r>
      <w:r w:rsidR="00FC419C" w:rsidRPr="00DF5C23">
        <w:rPr>
          <w:noProof/>
          <w:lang w:val="en-IE" w:eastAsia="ja-JP"/>
        </w:rPr>
        <w:t>項及び第</w:t>
      </w:r>
      <w:r w:rsidR="00FC419C" w:rsidRPr="00DF5C23">
        <w:rPr>
          <w:noProof/>
          <w:lang w:val="en-IE" w:eastAsia="ja-JP"/>
        </w:rPr>
        <w:t>61</w:t>
      </w:r>
      <w:r w:rsidR="00FC419C" w:rsidRPr="00DF5C23">
        <w:rPr>
          <w:noProof/>
          <w:lang w:val="en-IE" w:eastAsia="ja-JP"/>
        </w:rPr>
        <w:t>条第</w:t>
      </w:r>
      <w:r w:rsidR="00FC419C" w:rsidRPr="00DF5C23">
        <w:rPr>
          <w:noProof/>
          <w:lang w:val="en-IE" w:eastAsia="ja-JP"/>
        </w:rPr>
        <w:t>1</w:t>
      </w:r>
      <w:r w:rsidR="007F3D25" w:rsidRPr="00DF5C23">
        <w:rPr>
          <w:noProof/>
          <w:lang w:val="en-IE" w:eastAsia="ja-JP"/>
        </w:rPr>
        <w:t>項にいう権限の委任は、欧州議会又は理事会によりいつでも撤回することができる。取消しの決定は、その決定で指定された権限の委譲を終了させるものとする。取消しの決定は、欧州連合官報にその決定が掲載された翌日またはその中で指定された後の日に効力を生じるものとする。この決定は、既に施行されている委任行為の効力に影響を及ぼさない。</w:t>
      </w:r>
    </w:p>
    <w:p w14:paraId="5D5E341B" w14:textId="77777777" w:rsidR="0038775E" w:rsidRDefault="00877B9C" w:rsidP="002041D4">
      <w:pPr>
        <w:pStyle w:val="ManualNumPar1"/>
        <w:wordWrap w:val="0"/>
        <w:rPr>
          <w:noProof/>
          <w:lang w:val="en-IE" w:eastAsia="ja-JP"/>
        </w:rPr>
      </w:pPr>
      <w:r w:rsidRPr="004F5E59">
        <w:rPr>
          <w:lang w:eastAsia="ja-JP"/>
        </w:rPr>
        <w:t>4.</w:t>
      </w:r>
      <w:r w:rsidRPr="004F5E59">
        <w:rPr>
          <w:lang w:eastAsia="ja-JP"/>
        </w:rPr>
        <w:tab/>
      </w:r>
      <w:r w:rsidR="007F3D25" w:rsidRPr="00DF5C23">
        <w:rPr>
          <w:noProof/>
          <w:lang w:val="en-IE" w:eastAsia="ja-JP"/>
        </w:rPr>
        <w:t>委任法を採択する前に、欧州委員会は、より良い法作りに関する</w:t>
      </w:r>
      <w:r w:rsidR="007F3D25" w:rsidRPr="00DF5C23">
        <w:rPr>
          <w:noProof/>
          <w:lang w:val="en-IE" w:eastAsia="ja-JP"/>
        </w:rPr>
        <w:t>2016</w:t>
      </w:r>
      <w:r w:rsidR="007F3D25" w:rsidRPr="00DF5C23">
        <w:rPr>
          <w:noProof/>
          <w:lang w:val="en-IE" w:eastAsia="ja-JP"/>
        </w:rPr>
        <w:t>年</w:t>
      </w:r>
      <w:r w:rsidR="007F3D25" w:rsidRPr="00DF5C23">
        <w:rPr>
          <w:noProof/>
          <w:lang w:val="en-IE" w:eastAsia="ja-JP"/>
        </w:rPr>
        <w:t>4</w:t>
      </w:r>
      <w:r w:rsidR="007F3D25" w:rsidRPr="00DF5C23">
        <w:rPr>
          <w:noProof/>
          <w:lang w:val="en-IE" w:eastAsia="ja-JP"/>
        </w:rPr>
        <w:t>月</w:t>
      </w:r>
      <w:r w:rsidR="007F3D25" w:rsidRPr="00DF5C23">
        <w:rPr>
          <w:noProof/>
          <w:lang w:val="en-IE" w:eastAsia="ja-JP"/>
        </w:rPr>
        <w:t>13</w:t>
      </w:r>
      <w:r w:rsidR="007F3D25" w:rsidRPr="00DF5C23">
        <w:rPr>
          <w:noProof/>
          <w:lang w:val="en-IE" w:eastAsia="ja-JP"/>
        </w:rPr>
        <w:t>日の機関間合意に定められた原則に従って行動する</w:t>
      </w:r>
      <w:r w:rsidR="009A606A" w:rsidRPr="00DF5C23">
        <w:rPr>
          <w:noProof/>
          <w:lang w:val="en-IE" w:eastAsia="ja-JP"/>
        </w:rPr>
        <w:t>各加盟国が指定する専門家に</w:t>
      </w:r>
      <w:r w:rsidR="007F3D25" w:rsidRPr="00DF5C23">
        <w:rPr>
          <w:noProof/>
          <w:lang w:val="en-IE" w:eastAsia="ja-JP"/>
        </w:rPr>
        <w:t>相談するものとする。</w:t>
      </w:r>
      <w:r w:rsidR="007F3D25" w:rsidRPr="00DF5C23">
        <w:rPr>
          <w:noProof/>
          <w:lang w:val="en-IE" w:eastAsia="ja-JP"/>
        </w:rPr>
        <w:t xml:space="preserve"> </w:t>
      </w:r>
    </w:p>
    <w:p w14:paraId="0201C8E7" w14:textId="77777777" w:rsidR="0038775E" w:rsidRDefault="00877B9C" w:rsidP="002041D4">
      <w:pPr>
        <w:pStyle w:val="ManualNumPar1"/>
        <w:wordWrap w:val="0"/>
        <w:rPr>
          <w:noProof/>
          <w:lang w:val="en-IE" w:eastAsia="ja-JP"/>
        </w:rPr>
      </w:pPr>
      <w:r w:rsidRPr="004F5E59">
        <w:rPr>
          <w:lang w:eastAsia="ja-JP"/>
        </w:rPr>
        <w:t>5.</w:t>
      </w:r>
      <w:r w:rsidRPr="004F5E59">
        <w:rPr>
          <w:lang w:eastAsia="ja-JP"/>
        </w:rPr>
        <w:tab/>
      </w:r>
      <w:r w:rsidR="007F3D25" w:rsidRPr="00DF5C23">
        <w:rPr>
          <w:noProof/>
          <w:lang w:val="en-IE" w:eastAsia="ja-JP"/>
        </w:rPr>
        <w:t>委員会は、委任法を採択するとすぐに、欧州議会および理事会に同時に通知するものとする。</w:t>
      </w:r>
    </w:p>
    <w:p w14:paraId="1984F846" w14:textId="77777777" w:rsidR="0038775E" w:rsidRDefault="00877B9C" w:rsidP="002041D4">
      <w:pPr>
        <w:pStyle w:val="ManualNumPar1"/>
        <w:wordWrap w:val="0"/>
        <w:rPr>
          <w:noProof/>
          <w:lang w:val="en-IE" w:eastAsia="ja-JP"/>
        </w:rPr>
      </w:pPr>
      <w:r w:rsidRPr="004F5E59">
        <w:rPr>
          <w:lang w:eastAsia="ja-JP"/>
        </w:rPr>
        <w:t>6.</w:t>
      </w:r>
      <w:r w:rsidRPr="004F5E59">
        <w:rPr>
          <w:lang w:eastAsia="ja-JP"/>
        </w:rPr>
        <w:tab/>
      </w:r>
      <w:r w:rsidR="00FC419C" w:rsidRPr="00DF5C23">
        <w:rPr>
          <w:noProof/>
          <w:lang w:val="en-IE" w:eastAsia="ja-JP"/>
        </w:rPr>
        <w:t>第</w:t>
      </w:r>
      <w:r w:rsidR="00FC419C" w:rsidRPr="00DF5C23">
        <w:rPr>
          <w:noProof/>
          <w:lang w:val="en-IE" w:eastAsia="ja-JP"/>
        </w:rPr>
        <w:t>4</w:t>
      </w:r>
      <w:r w:rsidR="00FC419C" w:rsidRPr="00DF5C23">
        <w:rPr>
          <w:noProof/>
          <w:lang w:val="en-IE" w:eastAsia="ja-JP"/>
        </w:rPr>
        <w:t>条、第</w:t>
      </w:r>
      <w:r w:rsidR="00FC419C" w:rsidRPr="00DF5C23">
        <w:rPr>
          <w:noProof/>
          <w:lang w:val="en-IE" w:eastAsia="ja-JP"/>
        </w:rPr>
        <w:t>9</w:t>
      </w:r>
      <w:r w:rsidR="00FC419C" w:rsidRPr="00DF5C23">
        <w:rPr>
          <w:noProof/>
          <w:lang w:val="en-IE" w:eastAsia="ja-JP"/>
        </w:rPr>
        <w:t>条第</w:t>
      </w:r>
      <w:r w:rsidR="00FC419C" w:rsidRPr="00DF5C23">
        <w:rPr>
          <w:noProof/>
          <w:lang w:val="en-IE" w:eastAsia="ja-JP"/>
        </w:rPr>
        <w:t>1</w:t>
      </w:r>
      <w:r w:rsidR="00FC419C" w:rsidRPr="00DF5C23">
        <w:rPr>
          <w:noProof/>
          <w:lang w:val="en-IE" w:eastAsia="ja-JP"/>
        </w:rPr>
        <w:t>項第</w:t>
      </w:r>
      <w:r w:rsidR="00FC419C" w:rsidRPr="00DF5C23">
        <w:rPr>
          <w:noProof/>
          <w:lang w:val="en-IE" w:eastAsia="ja-JP"/>
        </w:rPr>
        <w:t>2</w:t>
      </w:r>
      <w:r w:rsidR="00FC419C" w:rsidRPr="00DF5C23">
        <w:rPr>
          <w:noProof/>
          <w:lang w:val="en-IE" w:eastAsia="ja-JP"/>
        </w:rPr>
        <w:t>号、第</w:t>
      </w:r>
      <w:r w:rsidR="00FC419C" w:rsidRPr="00DF5C23">
        <w:rPr>
          <w:noProof/>
          <w:lang w:val="en-IE" w:eastAsia="ja-JP"/>
        </w:rPr>
        <w:t>11</w:t>
      </w:r>
      <w:r w:rsidR="00FC419C" w:rsidRPr="00DF5C23">
        <w:rPr>
          <w:noProof/>
          <w:lang w:val="en-IE" w:eastAsia="ja-JP"/>
        </w:rPr>
        <w:t>条第</w:t>
      </w:r>
      <w:r w:rsidR="00FC419C" w:rsidRPr="00DF5C23">
        <w:rPr>
          <w:noProof/>
          <w:lang w:val="en-IE" w:eastAsia="ja-JP"/>
        </w:rPr>
        <w:t>4</w:t>
      </w:r>
      <w:r w:rsidR="00FC419C" w:rsidRPr="00DF5C23">
        <w:rPr>
          <w:noProof/>
          <w:lang w:val="en-IE" w:eastAsia="ja-JP"/>
        </w:rPr>
        <w:t>項、第</w:t>
      </w:r>
      <w:r w:rsidR="00FC419C" w:rsidRPr="00DF5C23">
        <w:rPr>
          <w:noProof/>
          <w:lang w:val="en-IE" w:eastAsia="ja-JP"/>
        </w:rPr>
        <w:t>20</w:t>
      </w:r>
      <w:r w:rsidR="00FC419C" w:rsidRPr="00DF5C23">
        <w:rPr>
          <w:noProof/>
          <w:lang w:val="en-IE" w:eastAsia="ja-JP"/>
        </w:rPr>
        <w:t>条第</w:t>
      </w:r>
      <w:r w:rsidR="00FC419C" w:rsidRPr="00DF5C23">
        <w:rPr>
          <w:noProof/>
          <w:lang w:val="en-IE" w:eastAsia="ja-JP"/>
        </w:rPr>
        <w:t>3</w:t>
      </w:r>
      <w:r w:rsidR="00FC419C" w:rsidRPr="00DF5C23">
        <w:rPr>
          <w:noProof/>
          <w:lang w:val="en-IE" w:eastAsia="ja-JP"/>
        </w:rPr>
        <w:t>項及び第</w:t>
      </w:r>
      <w:r w:rsidR="00FC419C" w:rsidRPr="00DF5C23">
        <w:rPr>
          <w:noProof/>
          <w:lang w:val="en-IE" w:eastAsia="ja-JP"/>
        </w:rPr>
        <w:t>61</w:t>
      </w:r>
      <w:r w:rsidR="00FC419C" w:rsidRPr="00DF5C23">
        <w:rPr>
          <w:noProof/>
          <w:lang w:val="en-IE" w:eastAsia="ja-JP"/>
        </w:rPr>
        <w:t>条第</w:t>
      </w:r>
      <w:r w:rsidR="00FC419C" w:rsidRPr="00DF5C23">
        <w:rPr>
          <w:noProof/>
          <w:lang w:val="en-IE" w:eastAsia="ja-JP"/>
        </w:rPr>
        <w:t>1</w:t>
      </w:r>
      <w:r w:rsidR="007F3D25" w:rsidRPr="00DF5C23">
        <w:rPr>
          <w:noProof/>
          <w:lang w:val="en-IE" w:eastAsia="ja-JP"/>
        </w:rPr>
        <w:t>項に従って採択された委任法は、当該委任法が欧州議会及び理事会に通知されてから</w:t>
      </w:r>
      <w:r w:rsidR="007F3D25" w:rsidRPr="00DF5C23">
        <w:rPr>
          <w:noProof/>
          <w:lang w:val="en-IE" w:eastAsia="ja-JP"/>
        </w:rPr>
        <w:t>2</w:t>
      </w:r>
      <w:r w:rsidR="007F3D25" w:rsidRPr="00DF5C23">
        <w:rPr>
          <w:noProof/>
          <w:lang w:val="en-IE" w:eastAsia="ja-JP"/>
        </w:rPr>
        <w:t>か月の期間内に欧州議会又は理事会のいずれからも異議が述べられなかった場合又はその期間の満了前に欧州議会及び理事会が共に異議を述べない旨を欧州委員会に通知した場合に限り、効力を生ずる。この期間は、欧州議会または理事会の発意により、</w:t>
      </w:r>
      <w:r w:rsidR="007F3D25" w:rsidRPr="00DF5C23">
        <w:rPr>
          <w:noProof/>
          <w:lang w:val="en-IE" w:eastAsia="ja-JP"/>
        </w:rPr>
        <w:t>2</w:t>
      </w:r>
      <w:r w:rsidR="007F3D25" w:rsidRPr="00DF5C23">
        <w:rPr>
          <w:noProof/>
          <w:lang w:val="en-IE" w:eastAsia="ja-JP"/>
        </w:rPr>
        <w:t>ヶ月延長される。</w:t>
      </w:r>
    </w:p>
    <w:p w14:paraId="1D354B4F" w14:textId="77777777" w:rsidR="0038775E" w:rsidRDefault="00565D97" w:rsidP="002041D4">
      <w:pPr>
        <w:pStyle w:val="Titrearticle"/>
        <w:wordWrap w:val="0"/>
        <w:rPr>
          <w:noProof/>
          <w:lang w:val="en-IE" w:eastAsia="fr-BE"/>
        </w:rPr>
      </w:pPr>
      <w:r w:rsidRPr="00DF5C23">
        <w:rPr>
          <w:noProof/>
          <w:lang w:val="en-IE" w:eastAsia="fr-BE"/>
        </w:rPr>
        <w:lastRenderedPageBreak/>
        <w:t>第</w:t>
      </w:r>
      <w:r w:rsidRPr="00DF5C23">
        <w:rPr>
          <w:noProof/>
          <w:lang w:val="en-IE" w:eastAsia="fr-BE"/>
        </w:rPr>
        <w:t>67</w:t>
      </w:r>
      <w:r w:rsidR="00877B9C" w:rsidRPr="00DF5C23">
        <w:rPr>
          <w:noProof/>
          <w:lang w:val="en-IE" w:eastAsia="fr-BE"/>
        </w:rPr>
        <w:t>条</w:t>
      </w:r>
      <w:r w:rsidR="003257DB" w:rsidRPr="00DF5C23">
        <w:rPr>
          <w:noProof/>
          <w:lang w:eastAsia="ja-JP"/>
        </w:rPr>
        <w:br/>
      </w:r>
      <w:r w:rsidR="00877B9C" w:rsidRPr="00DF5C23">
        <w:rPr>
          <w:noProof/>
          <w:lang w:val="en-IE" w:eastAsia="fr-BE"/>
        </w:rPr>
        <w:t>委員会の手続き</w:t>
      </w:r>
    </w:p>
    <w:p w14:paraId="2096D0D2" w14:textId="77777777" w:rsidR="0038775E" w:rsidRDefault="00877B9C" w:rsidP="002041D4">
      <w:pPr>
        <w:pStyle w:val="ManualNumPar1"/>
        <w:wordWrap w:val="0"/>
        <w:rPr>
          <w:noProof/>
          <w:lang w:val="en-IE" w:eastAsia="fr-BE"/>
        </w:rPr>
      </w:pPr>
      <w:r w:rsidRPr="004F5E59">
        <w:rPr>
          <w:lang w:eastAsia="ja-JP"/>
        </w:rPr>
        <w:t>1.</w:t>
      </w:r>
      <w:r w:rsidRPr="004F5E59">
        <w:rPr>
          <w:lang w:eastAsia="ja-JP"/>
        </w:rPr>
        <w:tab/>
      </w:r>
      <w:r w:rsidR="0681B866" w:rsidRPr="00DF5C23">
        <w:rPr>
          <w:noProof/>
          <w:lang w:val="en-IE" w:eastAsia="fr-BE"/>
        </w:rPr>
        <w:t>委員会は、委員会によって支援されるものとする</w:t>
      </w:r>
      <w:r w:rsidR="00B464D0" w:rsidRPr="00DF5C23">
        <w:rPr>
          <w:noProof/>
          <w:lang w:val="en-IE" w:eastAsia="fr-BE"/>
        </w:rPr>
        <w:t>。</w:t>
      </w:r>
      <w:r w:rsidR="0681B866" w:rsidRPr="00DF5C23">
        <w:rPr>
          <w:noProof/>
          <w:lang w:eastAsia="ja-JP"/>
        </w:rPr>
        <w:t>当該委員会は、規則（</w:t>
      </w:r>
      <w:r w:rsidR="0681B866" w:rsidRPr="00DF5C23">
        <w:rPr>
          <w:noProof/>
          <w:lang w:eastAsia="ja-JP"/>
        </w:rPr>
        <w:t>EU</w:t>
      </w:r>
      <w:r w:rsidR="0681B866" w:rsidRPr="00DF5C23">
        <w:rPr>
          <w:noProof/>
          <w:lang w:eastAsia="ja-JP"/>
        </w:rPr>
        <w:t>）</w:t>
      </w:r>
      <w:r w:rsidR="0681B866" w:rsidRPr="00DF5C23">
        <w:rPr>
          <w:noProof/>
          <w:lang w:eastAsia="ja-JP"/>
        </w:rPr>
        <w:t>No 182/2011</w:t>
      </w:r>
      <w:r w:rsidR="0681B866" w:rsidRPr="00DF5C23">
        <w:rPr>
          <w:noProof/>
          <w:lang w:eastAsia="ja-JP"/>
        </w:rPr>
        <w:t>の意味における委員会でなければならない。</w:t>
      </w:r>
    </w:p>
    <w:p w14:paraId="54D5C7D4" w14:textId="77777777" w:rsidR="0038775E" w:rsidRDefault="00877B9C" w:rsidP="002041D4">
      <w:pPr>
        <w:pStyle w:val="ManualNumPar1"/>
        <w:wordWrap w:val="0"/>
        <w:rPr>
          <w:noProof/>
          <w:lang w:val="en-IE" w:eastAsia="ja-JP"/>
        </w:rPr>
      </w:pPr>
      <w:r w:rsidRPr="004F5E59">
        <w:rPr>
          <w:lang w:eastAsia="ja-JP"/>
        </w:rPr>
        <w:t>2.</w:t>
      </w:r>
      <w:r w:rsidRPr="004F5E59">
        <w:rPr>
          <w:lang w:eastAsia="ja-JP"/>
        </w:rPr>
        <w:tab/>
      </w:r>
      <w:r w:rsidR="0681B866" w:rsidRPr="00DF5C23">
        <w:rPr>
          <w:noProof/>
          <w:lang w:val="en-IE" w:eastAsia="ja-JP"/>
        </w:rPr>
        <w:t>本項に言及する場合、規則（</w:t>
      </w:r>
      <w:r w:rsidR="0681B866" w:rsidRPr="00DF5C23">
        <w:rPr>
          <w:noProof/>
          <w:lang w:val="en-IE" w:eastAsia="ja-JP"/>
        </w:rPr>
        <w:t>EU</w:t>
      </w:r>
      <w:r w:rsidR="0681B866" w:rsidRPr="00DF5C23">
        <w:rPr>
          <w:noProof/>
          <w:lang w:val="en-IE" w:eastAsia="ja-JP"/>
        </w:rPr>
        <w:t>）</w:t>
      </w:r>
      <w:r w:rsidR="0681B866" w:rsidRPr="00DF5C23">
        <w:rPr>
          <w:noProof/>
          <w:lang w:val="en-IE" w:eastAsia="ja-JP"/>
        </w:rPr>
        <w:t xml:space="preserve">No 182/2011 </w:t>
      </w:r>
      <w:r w:rsidR="0681B866" w:rsidRPr="00DF5C23">
        <w:rPr>
          <w:noProof/>
          <w:lang w:val="en-IE" w:eastAsia="ja-JP"/>
        </w:rPr>
        <w:t>の第</w:t>
      </w:r>
      <w:r w:rsidR="0681B866" w:rsidRPr="00DF5C23">
        <w:rPr>
          <w:noProof/>
          <w:lang w:val="en-IE" w:eastAsia="ja-JP"/>
        </w:rPr>
        <w:t xml:space="preserve"> 4 </w:t>
      </w:r>
      <w:r w:rsidR="0681B866" w:rsidRPr="00DF5C23">
        <w:rPr>
          <w:noProof/>
          <w:lang w:val="en-IE" w:eastAsia="ja-JP"/>
        </w:rPr>
        <w:t>条が適用されるものとする。</w:t>
      </w:r>
      <w:r w:rsidR="0681B866" w:rsidRPr="00DF5C23">
        <w:rPr>
          <w:noProof/>
          <w:lang w:val="en-IE" w:eastAsia="ja-JP"/>
        </w:rPr>
        <w:t xml:space="preserve"> </w:t>
      </w:r>
    </w:p>
    <w:p w14:paraId="285FEB0E" w14:textId="77777777" w:rsidR="0038775E" w:rsidRDefault="00877B9C" w:rsidP="002041D4">
      <w:pPr>
        <w:pStyle w:val="ManualNumPar1"/>
        <w:wordWrap w:val="0"/>
        <w:rPr>
          <w:noProof/>
          <w:lang w:val="en-IE" w:eastAsia="ja-JP"/>
        </w:rPr>
      </w:pPr>
      <w:r w:rsidRPr="004F5E59">
        <w:rPr>
          <w:lang w:eastAsia="ja-JP"/>
        </w:rPr>
        <w:t>3.</w:t>
      </w:r>
      <w:r w:rsidRPr="004F5E59">
        <w:rPr>
          <w:lang w:eastAsia="ja-JP"/>
        </w:rPr>
        <w:tab/>
      </w:r>
      <w:r w:rsidR="0681B866" w:rsidRPr="00DF5C23">
        <w:rPr>
          <w:noProof/>
          <w:lang w:val="en-IE" w:eastAsia="ja-JP"/>
        </w:rPr>
        <w:t>本項に言及する場合、規則（</w:t>
      </w:r>
      <w:r w:rsidR="0681B866" w:rsidRPr="00DF5C23">
        <w:rPr>
          <w:noProof/>
          <w:lang w:val="en-IE" w:eastAsia="ja-JP"/>
        </w:rPr>
        <w:t>EU</w:t>
      </w:r>
      <w:r w:rsidR="0681B866" w:rsidRPr="00DF5C23">
        <w:rPr>
          <w:noProof/>
          <w:lang w:val="en-IE" w:eastAsia="ja-JP"/>
        </w:rPr>
        <w:t>）</w:t>
      </w:r>
      <w:r w:rsidR="0681B866" w:rsidRPr="00DF5C23">
        <w:rPr>
          <w:noProof/>
          <w:lang w:val="en-IE" w:eastAsia="ja-JP"/>
        </w:rPr>
        <w:t xml:space="preserve">No 182/2011 </w:t>
      </w:r>
      <w:r w:rsidR="0681B866" w:rsidRPr="00DF5C23">
        <w:rPr>
          <w:noProof/>
          <w:lang w:val="en-IE" w:eastAsia="ja-JP"/>
        </w:rPr>
        <w:t>の第</w:t>
      </w:r>
      <w:r w:rsidR="0681B866" w:rsidRPr="00DF5C23">
        <w:rPr>
          <w:noProof/>
          <w:lang w:val="en-IE" w:eastAsia="ja-JP"/>
        </w:rPr>
        <w:t xml:space="preserve"> 5 </w:t>
      </w:r>
      <w:r w:rsidR="0681B866" w:rsidRPr="00DF5C23">
        <w:rPr>
          <w:noProof/>
          <w:lang w:val="en-IE" w:eastAsia="ja-JP"/>
        </w:rPr>
        <w:t>条が適用されるものとする。</w:t>
      </w:r>
      <w:r w:rsidR="0681B866" w:rsidRPr="00DF5C23">
        <w:rPr>
          <w:noProof/>
          <w:lang w:val="en-IE" w:eastAsia="ja-JP"/>
        </w:rPr>
        <w:t xml:space="preserve"> </w:t>
      </w:r>
    </w:p>
    <w:p w14:paraId="02C9462A" w14:textId="77777777" w:rsidR="0038775E" w:rsidRDefault="00877B9C" w:rsidP="002041D4">
      <w:pPr>
        <w:pStyle w:val="ManualHeading1"/>
        <w:wordWrap w:val="0"/>
        <w:jc w:val="center"/>
        <w:rPr>
          <w:noProof/>
          <w:lang w:eastAsia="ja-JP"/>
        </w:rPr>
      </w:pPr>
      <w:r w:rsidRPr="00DF5C23">
        <w:rPr>
          <w:noProof/>
          <w:lang w:eastAsia="ja-JP"/>
        </w:rPr>
        <w:t>第十</w:t>
      </w:r>
      <w:r w:rsidR="00A625AD" w:rsidRPr="00DF5C23">
        <w:rPr>
          <w:noProof/>
          <w:lang w:eastAsia="ja-JP"/>
        </w:rPr>
        <w:t>四</w:t>
      </w:r>
      <w:r w:rsidR="00345B04" w:rsidRPr="00DF5C23">
        <w:rPr>
          <w:noProof/>
          <w:lang w:eastAsia="ja-JP"/>
        </w:rPr>
        <w:t>章</w:t>
      </w:r>
      <w:r w:rsidR="00345B04" w:rsidRPr="00DF5C23">
        <w:rPr>
          <w:noProof/>
          <w:lang w:eastAsia="ja-JP"/>
        </w:rPr>
        <w:t xml:space="preserve"> </w:t>
      </w:r>
      <w:r w:rsidRPr="00DF5C23">
        <w:rPr>
          <w:noProof/>
          <w:lang w:eastAsia="ja-JP"/>
        </w:rPr>
        <w:t>最終規定</w:t>
      </w:r>
    </w:p>
    <w:p w14:paraId="7E957712" w14:textId="77777777" w:rsidR="0038775E" w:rsidRDefault="00FC419C" w:rsidP="002041D4">
      <w:pPr>
        <w:pStyle w:val="Titrearticle"/>
        <w:wordWrap w:val="0"/>
        <w:rPr>
          <w:noProof/>
          <w:color w:val="000000" w:themeColor="text1"/>
          <w:lang w:val="en-IE" w:eastAsia="fr-BE"/>
        </w:rPr>
      </w:pPr>
      <w:r w:rsidRPr="00DF5C23">
        <w:rPr>
          <w:noProof/>
          <w:color w:val="000000" w:themeColor="text1"/>
          <w:lang w:val="en-IE" w:eastAsia="fr-BE"/>
        </w:rPr>
        <w:t>第</w:t>
      </w:r>
      <w:r w:rsidRPr="00DF5C23">
        <w:rPr>
          <w:noProof/>
          <w:color w:val="000000" w:themeColor="text1"/>
          <w:lang w:val="en-IE" w:eastAsia="fr-BE"/>
        </w:rPr>
        <w:t>68</w:t>
      </w:r>
      <w:r w:rsidR="00877B9C" w:rsidRPr="00DF5C23">
        <w:rPr>
          <w:noProof/>
          <w:color w:val="000000" w:themeColor="text1"/>
          <w:lang w:val="en-IE" w:eastAsia="fr-BE"/>
        </w:rPr>
        <w:t>条</w:t>
      </w:r>
      <w:r w:rsidR="00D333AD" w:rsidRPr="00DF5C23">
        <w:rPr>
          <w:noProof/>
          <w:lang w:eastAsia="ja-JP"/>
        </w:rPr>
        <w:br/>
      </w:r>
      <w:r w:rsidR="00877B9C" w:rsidRPr="00DF5C23">
        <w:rPr>
          <w:noProof/>
          <w:color w:val="000000" w:themeColor="text1"/>
          <w:lang w:val="en-IE" w:eastAsia="fr-BE"/>
        </w:rPr>
        <w:t>罰則について</w:t>
      </w:r>
    </w:p>
    <w:p w14:paraId="4705E820" w14:textId="77777777" w:rsidR="0038775E" w:rsidRDefault="00877B9C" w:rsidP="002041D4">
      <w:pPr>
        <w:shd w:val="clear" w:color="auto" w:fill="FFFFFF" w:themeFill="background1"/>
        <w:wordWrap w:val="0"/>
        <w:spacing w:after="0"/>
        <w:rPr>
          <w:noProof/>
          <w:lang w:eastAsia="ja-JP"/>
        </w:rPr>
      </w:pPr>
      <w:r w:rsidRPr="23DF1179">
        <w:rPr>
          <w:rFonts w:eastAsia="Times New Roman"/>
          <w:noProof/>
          <w:color w:val="000000" w:themeColor="text1"/>
          <w:lang w:val="en-IE" w:eastAsia="fr-BE"/>
        </w:rPr>
        <w:t>加盟国は、本規則の違反に適用される</w:t>
      </w:r>
      <w:r>
        <w:rPr>
          <w:noProof/>
          <w:lang w:eastAsia="ja-JP"/>
        </w:rPr>
        <w:t>罰則に関する</w:t>
      </w:r>
      <w:r w:rsidRPr="23DF1179">
        <w:rPr>
          <w:rFonts w:eastAsia="Times New Roman"/>
          <w:noProof/>
          <w:color w:val="000000" w:themeColor="text1"/>
          <w:lang w:val="en-IE" w:eastAsia="fr-BE"/>
        </w:rPr>
        <w:t>規則を定め、その実施を確保するために必要なすべての措置を講じるものとする。</w:t>
      </w:r>
      <w:r w:rsidRPr="23DF1179">
        <w:rPr>
          <w:rFonts w:eastAsia="Times New Roman"/>
          <w:noProof/>
          <w:color w:val="000000" w:themeColor="text1"/>
          <w:lang w:val="en-IE" w:eastAsia="fr-BE"/>
        </w:rPr>
        <w:t>規定される罰則は、違反の程度および連合市場に置かれた違反製品の台数を考慮し、効果的、比例的かつ抑止的でなければならない。加盟国は、遅くとも［</w:t>
      </w:r>
      <w:r w:rsidRPr="23DF1179">
        <w:rPr>
          <w:rFonts w:eastAsia="Times New Roman"/>
          <w:i/>
          <w:iCs/>
          <w:noProof/>
          <w:color w:val="000000" w:themeColor="text1"/>
          <w:lang w:val="en-IE" w:eastAsia="fr-BE"/>
        </w:rPr>
        <w:t>この規則の適用日から1年後</w:t>
      </w:r>
      <w:r w:rsidRPr="23DF1179">
        <w:rPr>
          <w:rFonts w:eastAsia="Times New Roman"/>
          <w:noProof/>
          <w:color w:val="000000" w:themeColor="text1"/>
          <w:lang w:val="en-IE" w:eastAsia="fr-BE"/>
        </w:rPr>
        <w:t>］までに、これらの規定を欧州委員会に通知するものとし、また、これらの規定に影響を及ぼすその後の改正については、遅滞なく欧州委員会に通知しなければならない。</w:t>
      </w:r>
    </w:p>
    <w:p w14:paraId="48A6E479" w14:textId="77777777" w:rsidR="0038775E" w:rsidRDefault="00FC419C" w:rsidP="002041D4">
      <w:pPr>
        <w:pStyle w:val="Titrearticle"/>
        <w:wordWrap w:val="0"/>
        <w:rPr>
          <w:noProof/>
          <w:lang w:val="en-IE" w:eastAsia="fr-BE"/>
        </w:rPr>
      </w:pPr>
      <w:r w:rsidRPr="00DF5C23">
        <w:rPr>
          <w:noProof/>
          <w:lang w:val="en-IE" w:eastAsia="fr-BE"/>
        </w:rPr>
        <w:t>第</w:t>
      </w:r>
      <w:r w:rsidRPr="00DF5C23">
        <w:rPr>
          <w:noProof/>
          <w:lang w:val="en-IE" w:eastAsia="fr-BE"/>
        </w:rPr>
        <w:t>69</w:t>
      </w:r>
      <w:r w:rsidR="00877B9C" w:rsidRPr="00DF5C23">
        <w:rPr>
          <w:noProof/>
          <w:lang w:val="en-IE" w:eastAsia="fr-BE"/>
        </w:rPr>
        <w:t>条</w:t>
      </w:r>
      <w:r w:rsidR="0077167C" w:rsidRPr="00DF5C23">
        <w:rPr>
          <w:noProof/>
          <w:lang w:eastAsia="ja-JP"/>
        </w:rPr>
        <w:br/>
      </w:r>
      <w:r w:rsidR="00A102BB" w:rsidRPr="00DF5C23">
        <w:rPr>
          <w:noProof/>
          <w:lang w:val="en-IE" w:eastAsia="fr-BE"/>
        </w:rPr>
        <w:t>評価</w:t>
      </w:r>
    </w:p>
    <w:p w14:paraId="4597CF6C" w14:textId="77777777" w:rsidR="0038775E" w:rsidRDefault="00877B9C" w:rsidP="002041D4">
      <w:pPr>
        <w:shd w:val="clear" w:color="auto" w:fill="FFFFFF" w:themeFill="background1"/>
        <w:wordWrap w:val="0"/>
        <w:spacing w:after="0"/>
        <w:rPr>
          <w:rFonts w:eastAsia="Times New Roman"/>
          <w:noProof/>
          <w:color w:val="000000" w:themeColor="text1"/>
          <w:lang w:val="en-IE" w:eastAsia="fr-BE"/>
        </w:rPr>
      </w:pPr>
      <w:r w:rsidRPr="23DF1179">
        <w:rPr>
          <w:rFonts w:eastAsia="Times New Roman"/>
          <w:noProof/>
          <w:color w:val="000000" w:themeColor="text1"/>
          <w:lang w:val="en-IE" w:eastAsia="fr-BE"/>
        </w:rPr>
        <w:t>欧州委員会は、［</w:t>
      </w:r>
      <w:r w:rsidRPr="23DF1179">
        <w:rPr>
          <w:rFonts w:eastAsia="Times New Roman"/>
          <w:i/>
          <w:iCs/>
          <w:noProof/>
          <w:color w:val="000000" w:themeColor="text1"/>
          <w:lang w:val="en-IE" w:eastAsia="fr-BE"/>
        </w:rPr>
        <w:t>本規則の適用日から8年後</w:t>
      </w:r>
      <w:r w:rsidRPr="23DF1179">
        <w:rPr>
          <w:rFonts w:eastAsia="Times New Roman"/>
          <w:noProof/>
          <w:color w:val="000000" w:themeColor="text1"/>
          <w:lang w:val="en-IE" w:eastAsia="fr-BE"/>
        </w:rPr>
        <w:t>］までに、本規則の評価</w:t>
      </w:r>
      <w:r>
        <w:rPr>
          <w:noProof/>
          <w:lang w:eastAsia="ja-JP"/>
        </w:rPr>
        <w:t>、および、域内市場の機能および製品の環境持続可能性の向上に対する本規則の貢献についての評価を実施するものとする。</w:t>
      </w:r>
      <w:r w:rsidRPr="23DF1179">
        <w:rPr>
          <w:rFonts w:eastAsia="Times New Roman"/>
          <w:noProof/>
          <w:color w:val="000000" w:themeColor="text1"/>
          <w:lang w:eastAsia="fr-BE"/>
        </w:rPr>
        <w:t>欧州委員会は、</w:t>
      </w:r>
      <w:r w:rsidRPr="23DF1179">
        <w:rPr>
          <w:rFonts w:eastAsia="Times New Roman"/>
          <w:noProof/>
          <w:color w:val="000000" w:themeColor="text1"/>
          <w:lang w:val="en-IE" w:eastAsia="fr-BE"/>
        </w:rPr>
        <w:t xml:space="preserve">欧州議会、理事会、欧州経済社会委員会および地域委員会に対し、主な調査結果に関する報告書を提出するものとする。加盟国は、その報告書の作成に必要な情報を欧州委員会に提供しなければならない。 </w:t>
      </w:r>
    </w:p>
    <w:p w14:paraId="6BFD376D" w14:textId="77777777" w:rsidR="0038775E" w:rsidRDefault="00877B9C" w:rsidP="002041D4">
      <w:pPr>
        <w:shd w:val="clear" w:color="auto" w:fill="FFFFFF" w:themeFill="background1"/>
        <w:wordWrap w:val="0"/>
        <w:spacing w:after="0"/>
        <w:rPr>
          <w:noProof/>
          <w:lang w:eastAsia="ja-JP"/>
        </w:rPr>
      </w:pPr>
      <w:r>
        <w:rPr>
          <w:noProof/>
          <w:lang w:eastAsia="ja-JP"/>
        </w:rPr>
        <w:t>欧州委員会が適切と認める場合、報告書には、本規則の関連条項の改正に関する立法案を添付するものとする。</w:t>
      </w:r>
    </w:p>
    <w:p w14:paraId="6C443E97" w14:textId="77777777" w:rsidR="0038775E" w:rsidRDefault="00FC419C" w:rsidP="002041D4">
      <w:pPr>
        <w:pStyle w:val="Titrearticle"/>
        <w:wordWrap w:val="0"/>
        <w:rPr>
          <w:noProof/>
          <w:lang w:val="en-IE" w:eastAsia="fr-BE"/>
        </w:rPr>
      </w:pPr>
      <w:r w:rsidRPr="00DF5C23">
        <w:rPr>
          <w:noProof/>
          <w:lang w:val="en-IE" w:eastAsia="fr-BE"/>
        </w:rPr>
        <w:t>第</w:t>
      </w:r>
      <w:r w:rsidRPr="00DF5C23">
        <w:rPr>
          <w:noProof/>
          <w:lang w:val="en-IE" w:eastAsia="fr-BE"/>
        </w:rPr>
        <w:t>70</w:t>
      </w:r>
      <w:r w:rsidR="00877B9C" w:rsidRPr="00DF5C23">
        <w:rPr>
          <w:noProof/>
          <w:lang w:val="en-IE" w:eastAsia="fr-BE"/>
        </w:rPr>
        <w:t>条</w:t>
      </w:r>
      <w:r w:rsidR="0077167C" w:rsidRPr="00DF5C23">
        <w:rPr>
          <w:noProof/>
          <w:lang w:eastAsia="ja-JP"/>
        </w:rPr>
        <w:br/>
      </w:r>
      <w:r w:rsidR="00877B9C" w:rsidRPr="00DF5C23">
        <w:rPr>
          <w:noProof/>
          <w:lang w:val="en-IE" w:eastAsia="fr-BE"/>
        </w:rPr>
        <w:t>廃止</w:t>
      </w:r>
      <w:r w:rsidR="00635F01" w:rsidRPr="00DF5C23">
        <w:rPr>
          <w:noProof/>
          <w:lang w:val="en-IE" w:eastAsia="fr-BE"/>
        </w:rPr>
        <w:t>および経過措置</w:t>
      </w:r>
    </w:p>
    <w:p w14:paraId="11221993" w14:textId="77777777" w:rsidR="0038775E" w:rsidRDefault="00877B9C" w:rsidP="002041D4">
      <w:pPr>
        <w:pStyle w:val="ManualNumPar1"/>
        <w:wordWrap w:val="0"/>
        <w:rPr>
          <w:noProof/>
          <w:lang w:val="en-IE" w:eastAsia="fr-BE"/>
        </w:rPr>
      </w:pPr>
      <w:r w:rsidRPr="004F5E59">
        <w:rPr>
          <w:lang w:eastAsia="ja-JP"/>
        </w:rPr>
        <w:t>1.</w:t>
      </w:r>
      <w:r w:rsidRPr="004F5E59">
        <w:rPr>
          <w:lang w:eastAsia="ja-JP"/>
        </w:rPr>
        <w:tab/>
      </w:r>
      <w:r w:rsidR="00EC7EC3" w:rsidRPr="00DF5C23">
        <w:rPr>
          <w:noProof/>
          <w:lang w:val="en-IE" w:eastAsia="fr-BE"/>
        </w:rPr>
        <w:t>指令</w:t>
      </w:r>
      <w:r w:rsidR="00EC7EC3" w:rsidRPr="00DF5C23">
        <w:rPr>
          <w:noProof/>
          <w:lang w:val="en-IE" w:eastAsia="fr-BE"/>
        </w:rPr>
        <w:t xml:space="preserve"> 2009/125/EC </w:t>
      </w:r>
      <w:r w:rsidR="00EC7EC3" w:rsidRPr="00DF5C23">
        <w:rPr>
          <w:noProof/>
          <w:lang w:val="en-IE" w:eastAsia="fr-BE"/>
        </w:rPr>
        <w:t>は廃止される。</w:t>
      </w:r>
      <w:r w:rsidR="00EC7EC3" w:rsidRPr="00DF5C23">
        <w:rPr>
          <w:noProof/>
          <w:lang w:val="en-IE" w:eastAsia="fr-BE"/>
        </w:rPr>
        <w:t xml:space="preserve"> </w:t>
      </w:r>
    </w:p>
    <w:p w14:paraId="643BD379" w14:textId="77777777" w:rsidR="0038775E" w:rsidRDefault="00877B9C" w:rsidP="002041D4">
      <w:pPr>
        <w:pStyle w:val="ManualNumPar1"/>
        <w:wordWrap w:val="0"/>
        <w:rPr>
          <w:noProof/>
          <w:lang w:val="en-IE" w:eastAsia="fr-BE"/>
        </w:rPr>
      </w:pPr>
      <w:r w:rsidRPr="004F5E59">
        <w:rPr>
          <w:lang w:eastAsia="ja-JP"/>
        </w:rPr>
        <w:t>2.</w:t>
      </w:r>
      <w:r w:rsidRPr="004F5E59">
        <w:rPr>
          <w:lang w:eastAsia="ja-JP"/>
        </w:rPr>
        <w:tab/>
      </w:r>
      <w:r w:rsidR="008D4EE0" w:rsidRPr="00DF5C23">
        <w:rPr>
          <w:noProof/>
          <w:lang w:val="en-IE" w:eastAsia="fr-BE"/>
        </w:rPr>
        <w:t>廃止された指令への言及は、本規則への言及と解釈され、附属書</w:t>
      </w:r>
      <w:r w:rsidR="008D4EE0" w:rsidRPr="00DF5C23">
        <w:rPr>
          <w:noProof/>
          <w:lang w:val="en-IE" w:eastAsia="fr-BE"/>
        </w:rPr>
        <w:t xml:space="preserve"> VIII </w:t>
      </w:r>
      <w:r w:rsidR="008D4EE0" w:rsidRPr="00DF5C23">
        <w:rPr>
          <w:noProof/>
          <w:lang w:val="en-IE" w:eastAsia="fr-BE"/>
        </w:rPr>
        <w:t>の相関表に従って読み替えられるものとする。</w:t>
      </w:r>
    </w:p>
    <w:p w14:paraId="662CB633" w14:textId="046C8418" w:rsidR="0038775E" w:rsidRDefault="00877B9C" w:rsidP="002041D4">
      <w:pPr>
        <w:pStyle w:val="ManualNumPar1"/>
        <w:wordWrap w:val="0"/>
        <w:rPr>
          <w:noProof/>
          <w:lang w:val="en-IE" w:eastAsia="fr-BE"/>
        </w:rPr>
      </w:pPr>
      <w:r w:rsidRPr="004F5E59">
        <w:rPr>
          <w:lang w:eastAsia="ja-JP"/>
        </w:rPr>
        <w:t>3.</w:t>
      </w:r>
      <w:r w:rsidRPr="004F5E59">
        <w:rPr>
          <w:lang w:eastAsia="ja-JP"/>
        </w:rPr>
        <w:tab/>
      </w:r>
      <w:r w:rsidR="00B001DC" w:rsidRPr="00DF5C23">
        <w:rPr>
          <w:noProof/>
          <w:lang w:val="en-IE" w:eastAsia="fr-BE"/>
        </w:rPr>
        <w:t>OP</w:t>
      </w:r>
      <w:r w:rsidR="00B001DC" w:rsidRPr="00DF5C23">
        <w:rPr>
          <w:noProof/>
          <w:lang w:val="en-IE" w:eastAsia="fr-BE"/>
        </w:rPr>
        <w:t>：</w:t>
      </w:r>
      <w:r w:rsidR="00B001DC" w:rsidRPr="00DF5C23">
        <w:rPr>
          <w:i/>
          <w:noProof/>
          <w:lang w:val="en-IE" w:eastAsia="fr-BE"/>
        </w:rPr>
        <w:t>本規則の適用日の前日を挿入して</w:t>
      </w:r>
      <w:r w:rsidR="002041D4">
        <w:rPr>
          <w:i/>
          <w:noProof/>
          <w:lang w:val="en-IE" w:eastAsia="fr-BE"/>
        </w:rPr>
        <w:t>ほしい</w:t>
      </w:r>
      <w:r w:rsidR="00B001DC" w:rsidRPr="00DF5C23">
        <w:rPr>
          <w:noProof/>
          <w:lang w:val="en-IE" w:eastAsia="fr-BE"/>
        </w:rPr>
        <w:t>]</w:t>
      </w:r>
      <w:r w:rsidR="00B001DC" w:rsidRPr="00DF5C23">
        <w:rPr>
          <w:noProof/>
          <w:lang w:val="en-IE" w:eastAsia="fr-BE"/>
        </w:rPr>
        <w:t>に適用される指令</w:t>
      </w:r>
      <w:r w:rsidR="00B001DC" w:rsidRPr="00DF5C23">
        <w:rPr>
          <w:noProof/>
          <w:lang w:val="en-IE" w:eastAsia="fr-BE"/>
        </w:rPr>
        <w:t>2009/125/EC</w:t>
      </w:r>
      <w:r w:rsidR="00B001DC" w:rsidRPr="00DF5C23">
        <w:rPr>
          <w:noProof/>
          <w:lang w:val="en-IE" w:eastAsia="fr-BE"/>
        </w:rPr>
        <w:t>の第</w:t>
      </w:r>
      <w:r w:rsidR="00B001DC" w:rsidRPr="00DF5C23">
        <w:rPr>
          <w:noProof/>
          <w:lang w:val="en-IE" w:eastAsia="fr-BE"/>
        </w:rPr>
        <w:t>1</w:t>
      </w:r>
      <w:r w:rsidR="00B001DC" w:rsidRPr="00DF5C23">
        <w:rPr>
          <w:noProof/>
          <w:lang w:val="en-IE" w:eastAsia="fr-BE"/>
        </w:rPr>
        <w:t>条</w:t>
      </w:r>
      <w:r w:rsidR="00C245A0" w:rsidRPr="00DF5C23">
        <w:rPr>
          <w:noProof/>
          <w:lang w:val="en-IE" w:eastAsia="fr-BE"/>
        </w:rPr>
        <w:t>3</w:t>
      </w:r>
      <w:r w:rsidR="00C245A0" w:rsidRPr="00DF5C23">
        <w:rPr>
          <w:noProof/>
          <w:lang w:val="en-IE" w:eastAsia="fr-BE"/>
        </w:rPr>
        <w:t>項</w:t>
      </w:r>
      <w:r w:rsidR="00B001DC" w:rsidRPr="00DF5C23">
        <w:rPr>
          <w:noProof/>
          <w:lang w:val="en-IE" w:eastAsia="fr-BE"/>
        </w:rPr>
        <w:t>、第</w:t>
      </w:r>
      <w:r w:rsidR="00B001DC" w:rsidRPr="00DF5C23">
        <w:rPr>
          <w:noProof/>
          <w:lang w:val="en-IE" w:eastAsia="fr-BE"/>
        </w:rPr>
        <w:t>2</w:t>
      </w:r>
      <w:r w:rsidR="00B001DC" w:rsidRPr="00DF5C23">
        <w:rPr>
          <w:noProof/>
          <w:lang w:val="en-IE" w:eastAsia="fr-BE"/>
        </w:rPr>
        <w:t>条、第</w:t>
      </w:r>
      <w:r w:rsidR="00B001DC" w:rsidRPr="00DF5C23">
        <w:rPr>
          <w:noProof/>
          <w:lang w:val="en-IE" w:eastAsia="fr-BE"/>
        </w:rPr>
        <w:t>3</w:t>
      </w:r>
      <w:r w:rsidR="00B001DC" w:rsidRPr="00DF5C23">
        <w:rPr>
          <w:noProof/>
          <w:lang w:val="en-IE" w:eastAsia="fr-BE"/>
        </w:rPr>
        <w:t>条</w:t>
      </w:r>
      <w:r w:rsidR="00C245A0" w:rsidRPr="00DF5C23">
        <w:rPr>
          <w:noProof/>
          <w:lang w:val="en-IE" w:eastAsia="fr-BE"/>
        </w:rPr>
        <w:t>1</w:t>
      </w:r>
      <w:r w:rsidR="00C245A0" w:rsidRPr="00DF5C23">
        <w:rPr>
          <w:noProof/>
          <w:lang w:val="en-IE" w:eastAsia="fr-BE"/>
        </w:rPr>
        <w:t>項</w:t>
      </w:r>
      <w:r w:rsidR="00B001DC" w:rsidRPr="00DF5C23">
        <w:rPr>
          <w:noProof/>
          <w:lang w:val="en-IE" w:eastAsia="fr-BE"/>
        </w:rPr>
        <w:t>、第</w:t>
      </w:r>
      <w:r w:rsidR="00B001DC" w:rsidRPr="00DF5C23">
        <w:rPr>
          <w:noProof/>
          <w:lang w:val="en-IE" w:eastAsia="fr-BE"/>
        </w:rPr>
        <w:t>4</w:t>
      </w:r>
      <w:r w:rsidR="00C245A0" w:rsidRPr="00DF5C23">
        <w:rPr>
          <w:noProof/>
          <w:lang w:val="en-IE" w:eastAsia="fr-BE"/>
        </w:rPr>
        <w:t>条、</w:t>
      </w:r>
      <w:r w:rsidR="00B001DC" w:rsidRPr="00DF5C23">
        <w:rPr>
          <w:noProof/>
          <w:lang w:val="en-IE" w:eastAsia="fr-BE"/>
        </w:rPr>
        <w:t>第</w:t>
      </w:r>
      <w:r w:rsidR="00B001DC" w:rsidRPr="00DF5C23">
        <w:rPr>
          <w:noProof/>
          <w:lang w:val="en-IE" w:eastAsia="fr-BE"/>
        </w:rPr>
        <w:t>5</w:t>
      </w:r>
      <w:r w:rsidR="00B001DC" w:rsidRPr="00DF5C23">
        <w:rPr>
          <w:noProof/>
          <w:lang w:val="en-IE" w:eastAsia="fr-BE"/>
        </w:rPr>
        <w:t>条</w:t>
      </w:r>
      <w:r w:rsidR="00C245A0" w:rsidRPr="00DF5C23">
        <w:rPr>
          <w:noProof/>
          <w:lang w:val="en-IE" w:eastAsia="fr-BE"/>
        </w:rPr>
        <w:t>及び</w:t>
      </w:r>
      <w:r w:rsidR="00B001DC" w:rsidRPr="00DF5C23">
        <w:rPr>
          <w:noProof/>
          <w:lang w:val="en-IE" w:eastAsia="fr-BE"/>
        </w:rPr>
        <w:t>第</w:t>
      </w:r>
      <w:r w:rsidR="00B001DC" w:rsidRPr="00DF5C23">
        <w:rPr>
          <w:noProof/>
          <w:lang w:val="en-IE" w:eastAsia="fr-BE"/>
        </w:rPr>
        <w:t>8</w:t>
      </w:r>
      <w:r w:rsidR="00C245A0" w:rsidRPr="00DF5C23">
        <w:rPr>
          <w:noProof/>
          <w:lang w:val="en-IE" w:eastAsia="fr-BE"/>
        </w:rPr>
        <w:t>条</w:t>
      </w:r>
      <w:r w:rsidR="00B001DC" w:rsidRPr="00DF5C23">
        <w:rPr>
          <w:noProof/>
          <w:lang w:val="en-IE" w:eastAsia="fr-BE"/>
        </w:rPr>
        <w:t>、第</w:t>
      </w:r>
      <w:r w:rsidR="00B001DC" w:rsidRPr="00DF5C23">
        <w:rPr>
          <w:noProof/>
          <w:lang w:val="en-IE" w:eastAsia="fr-BE"/>
        </w:rPr>
        <w:t>9</w:t>
      </w:r>
      <w:r w:rsidR="00B001DC" w:rsidRPr="00DF5C23">
        <w:rPr>
          <w:noProof/>
          <w:lang w:val="en-IE" w:eastAsia="fr-BE"/>
        </w:rPr>
        <w:t>条</w:t>
      </w:r>
      <w:r w:rsidR="003078A5" w:rsidRPr="00DF5C23">
        <w:rPr>
          <w:noProof/>
          <w:lang w:val="en-IE" w:eastAsia="fr-BE"/>
        </w:rPr>
        <w:t>3</w:t>
      </w:r>
      <w:r w:rsidR="00C245A0" w:rsidRPr="00DF5C23">
        <w:rPr>
          <w:noProof/>
          <w:lang w:val="en-IE" w:eastAsia="fr-BE"/>
        </w:rPr>
        <w:t>項</w:t>
      </w:r>
      <w:r w:rsidR="00B001DC" w:rsidRPr="00DF5C23">
        <w:rPr>
          <w:noProof/>
          <w:lang w:val="en-IE" w:eastAsia="fr-BE"/>
        </w:rPr>
        <w:t>、第</w:t>
      </w:r>
      <w:r w:rsidR="00B001DC" w:rsidRPr="00DF5C23">
        <w:rPr>
          <w:noProof/>
          <w:lang w:val="en-IE" w:eastAsia="fr-BE"/>
        </w:rPr>
        <w:t>10</w:t>
      </w:r>
      <w:r w:rsidR="00B001DC" w:rsidRPr="00DF5C23">
        <w:rPr>
          <w:noProof/>
          <w:lang w:val="en-IE" w:eastAsia="fr-BE"/>
        </w:rPr>
        <w:t>条</w:t>
      </w:r>
      <w:r w:rsidR="00835A1C" w:rsidRPr="00DF5C23">
        <w:rPr>
          <w:noProof/>
          <w:lang w:val="en-IE" w:eastAsia="fr-BE"/>
        </w:rPr>
        <w:t>並びに</w:t>
      </w:r>
      <w:r w:rsidR="00B001DC" w:rsidRPr="00DF5C23">
        <w:rPr>
          <w:noProof/>
          <w:lang w:val="en-IE" w:eastAsia="fr-BE"/>
        </w:rPr>
        <w:t>付属書</w:t>
      </w:r>
      <w:r w:rsidR="00B001DC" w:rsidRPr="00DF5C23">
        <w:rPr>
          <w:noProof/>
          <w:lang w:val="en-IE" w:eastAsia="fr-BE"/>
        </w:rPr>
        <w:t>IV</w:t>
      </w:r>
      <w:r w:rsidR="00B001DC" w:rsidRPr="00DF5C23">
        <w:rPr>
          <w:noProof/>
          <w:lang w:val="en-IE" w:eastAsia="fr-BE"/>
        </w:rPr>
        <w:t>、</w:t>
      </w:r>
      <w:r w:rsidR="00B001DC" w:rsidRPr="00DF5C23">
        <w:rPr>
          <w:noProof/>
          <w:lang w:val="en-IE" w:eastAsia="fr-BE"/>
        </w:rPr>
        <w:t>V</w:t>
      </w:r>
      <w:r w:rsidR="00B001DC" w:rsidRPr="00DF5C23">
        <w:rPr>
          <w:noProof/>
          <w:lang w:val="en-IE" w:eastAsia="fr-BE"/>
        </w:rPr>
        <w:t>及び</w:t>
      </w:r>
      <w:r w:rsidR="00B001DC" w:rsidRPr="00DF5C23">
        <w:rPr>
          <w:noProof/>
          <w:lang w:val="en-IE" w:eastAsia="fr-BE"/>
        </w:rPr>
        <w:t>VI</w:t>
      </w:r>
      <w:r w:rsidR="00B001DC" w:rsidRPr="00DF5C23">
        <w:rPr>
          <w:noProof/>
          <w:lang w:val="en-IE" w:eastAsia="fr-BE"/>
        </w:rPr>
        <w:t>は、当該指令の第</w:t>
      </w:r>
      <w:r w:rsidR="00B001DC" w:rsidRPr="00DF5C23">
        <w:rPr>
          <w:noProof/>
          <w:lang w:val="en-IE" w:eastAsia="fr-BE"/>
        </w:rPr>
        <w:t>15</w:t>
      </w:r>
      <w:r w:rsidR="00B001DC" w:rsidRPr="00DF5C23">
        <w:rPr>
          <w:noProof/>
          <w:lang w:val="en-IE" w:eastAsia="fr-BE"/>
        </w:rPr>
        <w:t>条に従って採択された実施措置に引き続き適用されるものと</w:t>
      </w:r>
      <w:r w:rsidR="002041D4">
        <w:rPr>
          <w:noProof/>
          <w:lang w:val="en-IE" w:eastAsia="fr-BE"/>
        </w:rPr>
        <w:t>する</w:t>
      </w:r>
      <w:r w:rsidR="00B001DC" w:rsidRPr="00DF5C23">
        <w:rPr>
          <w:noProof/>
          <w:lang w:val="en-IE" w:eastAsia="fr-BE"/>
        </w:rPr>
        <w:t>。</w:t>
      </w:r>
    </w:p>
    <w:p w14:paraId="5C56BC49" w14:textId="77777777" w:rsidR="0038775E" w:rsidRDefault="00877B9C" w:rsidP="002041D4">
      <w:pPr>
        <w:pStyle w:val="ManualNumPar1"/>
        <w:wordWrap w:val="0"/>
        <w:rPr>
          <w:noProof/>
          <w:lang w:val="en-IE" w:eastAsia="fr-BE"/>
        </w:rPr>
      </w:pPr>
      <w:r w:rsidRPr="004F5E59">
        <w:rPr>
          <w:lang w:eastAsia="ja-JP"/>
        </w:rPr>
        <w:lastRenderedPageBreak/>
        <w:t>4.</w:t>
      </w:r>
      <w:r w:rsidRPr="004F5E59">
        <w:rPr>
          <w:lang w:eastAsia="ja-JP"/>
        </w:rPr>
        <w:tab/>
      </w:r>
      <w:r w:rsidR="00930D44" w:rsidRPr="00DF5C23">
        <w:rPr>
          <w:noProof/>
          <w:lang w:val="en-IE" w:eastAsia="fr-BE"/>
        </w:rPr>
        <w:t>本規則の第</w:t>
      </w:r>
      <w:r w:rsidR="00930D44" w:rsidRPr="00DF5C23">
        <w:rPr>
          <w:noProof/>
          <w:lang w:val="en-IE" w:eastAsia="fr-BE"/>
        </w:rPr>
        <w:t xml:space="preserve"> 3 </w:t>
      </w:r>
      <w:r w:rsidR="00C245A0" w:rsidRPr="00DF5C23">
        <w:rPr>
          <w:noProof/>
          <w:lang w:val="en-IE" w:eastAsia="fr-BE"/>
        </w:rPr>
        <w:t>条</w:t>
      </w:r>
      <w:r w:rsidR="00930D44" w:rsidRPr="00DF5C23">
        <w:rPr>
          <w:noProof/>
          <w:lang w:val="en-IE" w:eastAsia="fr-BE"/>
        </w:rPr>
        <w:t>、第</w:t>
      </w:r>
      <w:r w:rsidR="00930D44" w:rsidRPr="00DF5C23">
        <w:rPr>
          <w:noProof/>
          <w:lang w:val="en-IE" w:eastAsia="fr-BE"/>
        </w:rPr>
        <w:t xml:space="preserve"> </w:t>
      </w:r>
      <w:r w:rsidR="00E33AD9" w:rsidRPr="00DF5C23">
        <w:rPr>
          <w:noProof/>
          <w:lang w:val="en-IE" w:eastAsia="fr-BE"/>
        </w:rPr>
        <w:t xml:space="preserve">33 </w:t>
      </w:r>
      <w:r w:rsidR="00E33AD9" w:rsidRPr="00DF5C23">
        <w:rPr>
          <w:noProof/>
          <w:lang w:val="en-IE" w:eastAsia="fr-BE"/>
        </w:rPr>
        <w:t>条</w:t>
      </w:r>
      <w:r w:rsidR="00C245A0" w:rsidRPr="00DF5C23">
        <w:rPr>
          <w:noProof/>
          <w:lang w:val="en-IE" w:eastAsia="fr-BE"/>
        </w:rPr>
        <w:t>及び</w:t>
      </w:r>
      <w:r w:rsidR="00FC419C" w:rsidRPr="00DF5C23">
        <w:rPr>
          <w:noProof/>
          <w:lang w:val="en-IE" w:eastAsia="fr-BE"/>
        </w:rPr>
        <w:t>第</w:t>
      </w:r>
      <w:r w:rsidR="00FC419C" w:rsidRPr="00DF5C23">
        <w:rPr>
          <w:noProof/>
          <w:lang w:val="en-IE" w:eastAsia="fr-BE"/>
        </w:rPr>
        <w:t xml:space="preserve"> </w:t>
      </w:r>
      <w:r w:rsidR="00E33AD9" w:rsidRPr="00DF5C23">
        <w:rPr>
          <w:noProof/>
          <w:lang w:val="en-IE" w:eastAsia="fr-BE"/>
        </w:rPr>
        <w:t xml:space="preserve">59 </w:t>
      </w:r>
      <w:r w:rsidR="00930D44" w:rsidRPr="00DF5C23">
        <w:rPr>
          <w:noProof/>
          <w:lang w:val="en-IE" w:eastAsia="fr-BE"/>
        </w:rPr>
        <w:t>条から第</w:t>
      </w:r>
      <w:r w:rsidR="00930D44" w:rsidRPr="00DF5C23">
        <w:rPr>
          <w:noProof/>
          <w:lang w:val="en-IE" w:eastAsia="fr-BE"/>
        </w:rPr>
        <w:t xml:space="preserve"> </w:t>
      </w:r>
      <w:r w:rsidR="00E33AD9" w:rsidRPr="00DF5C23">
        <w:rPr>
          <w:noProof/>
          <w:lang w:val="en-IE" w:eastAsia="fr-BE"/>
        </w:rPr>
        <w:t xml:space="preserve">65 </w:t>
      </w:r>
      <w:r w:rsidR="00E33AD9" w:rsidRPr="00DF5C23">
        <w:rPr>
          <w:noProof/>
          <w:lang w:val="en-IE" w:eastAsia="fr-BE"/>
        </w:rPr>
        <w:t>条は、</w:t>
      </w:r>
      <w:r w:rsidR="00930D44" w:rsidRPr="00DF5C23">
        <w:rPr>
          <w:noProof/>
          <w:lang w:val="en-IE" w:eastAsia="fr-BE"/>
        </w:rPr>
        <w:t>指令</w:t>
      </w:r>
      <w:r w:rsidR="00930D44" w:rsidRPr="00DF5C23">
        <w:rPr>
          <w:noProof/>
          <w:lang w:val="en-IE" w:eastAsia="fr-BE"/>
        </w:rPr>
        <w:t xml:space="preserve"> 2009/125/EC </w:t>
      </w:r>
      <w:r w:rsidR="00930D44" w:rsidRPr="00DF5C23">
        <w:rPr>
          <w:noProof/>
          <w:lang w:val="en-IE" w:eastAsia="fr-BE"/>
        </w:rPr>
        <w:t>の第</w:t>
      </w:r>
      <w:r w:rsidR="00930D44" w:rsidRPr="00DF5C23">
        <w:rPr>
          <w:noProof/>
          <w:lang w:val="en-IE" w:eastAsia="fr-BE"/>
        </w:rPr>
        <w:t xml:space="preserve"> 15 </w:t>
      </w:r>
      <w:r w:rsidR="00930D44" w:rsidRPr="00DF5C23">
        <w:rPr>
          <w:noProof/>
          <w:lang w:val="en-IE" w:eastAsia="fr-BE"/>
        </w:rPr>
        <w:t>条に基づき採択された実施措置に適用されるものとする。</w:t>
      </w:r>
      <w:r w:rsidR="00930D44" w:rsidRPr="00DF5C23">
        <w:rPr>
          <w:noProof/>
          <w:lang w:val="en-IE" w:eastAsia="fr-BE"/>
        </w:rPr>
        <w:t xml:space="preserve"> </w:t>
      </w:r>
    </w:p>
    <w:p w14:paraId="06821CBB" w14:textId="77777777" w:rsidR="0038775E" w:rsidRDefault="00877B9C" w:rsidP="002041D4">
      <w:pPr>
        <w:pStyle w:val="ManualNumPar1"/>
        <w:wordWrap w:val="0"/>
        <w:rPr>
          <w:noProof/>
          <w:lang w:val="en-IE" w:eastAsia="fr-BE"/>
        </w:rPr>
      </w:pPr>
      <w:r w:rsidRPr="004F5E59">
        <w:rPr>
          <w:lang w:eastAsia="ja-JP"/>
        </w:rPr>
        <w:t>5.</w:t>
      </w:r>
      <w:r w:rsidRPr="004F5E59">
        <w:rPr>
          <w:lang w:eastAsia="ja-JP"/>
        </w:rPr>
        <w:tab/>
      </w:r>
      <w:r w:rsidR="00EC7EC3" w:rsidRPr="00DF5C23">
        <w:rPr>
          <w:noProof/>
          <w:lang w:val="en-IE" w:eastAsia="fr-BE"/>
        </w:rPr>
        <w:t>同一製品を対象とする本規則</w:t>
      </w:r>
      <w:r w:rsidR="00552FE2" w:rsidRPr="00DF5C23">
        <w:rPr>
          <w:noProof/>
          <w:lang w:val="en-IE" w:eastAsia="fr-BE"/>
        </w:rPr>
        <w:t>第</w:t>
      </w:r>
      <w:r w:rsidR="00552FE2" w:rsidRPr="00DF5C23">
        <w:rPr>
          <w:noProof/>
          <w:lang w:val="en-IE" w:eastAsia="fr-BE"/>
        </w:rPr>
        <w:t>4</w:t>
      </w:r>
      <w:r w:rsidR="00552FE2" w:rsidRPr="00DF5C23">
        <w:rPr>
          <w:noProof/>
          <w:lang w:val="en-IE" w:eastAsia="fr-BE"/>
        </w:rPr>
        <w:t>条に従って採択された</w:t>
      </w:r>
      <w:r w:rsidR="00EC7EC3" w:rsidRPr="00DF5C23">
        <w:rPr>
          <w:noProof/>
          <w:lang w:val="en-IE" w:eastAsia="fr-BE"/>
        </w:rPr>
        <w:t>委任法の適用日前に指令</w:t>
      </w:r>
      <w:r w:rsidR="00EC7EC3" w:rsidRPr="00DF5C23">
        <w:rPr>
          <w:noProof/>
          <w:lang w:val="en-IE" w:eastAsia="fr-BE"/>
        </w:rPr>
        <w:t>2009/125/EC</w:t>
      </w:r>
      <w:r w:rsidR="00EC7EC3" w:rsidRPr="00DF5C23">
        <w:rPr>
          <w:noProof/>
          <w:lang w:val="en-IE" w:eastAsia="fr-BE"/>
        </w:rPr>
        <w:t>に従って上市または使用開始された製品について、製造者は、</w:t>
      </w:r>
      <w:r w:rsidR="004D66C4" w:rsidRPr="00DF5C23">
        <w:rPr>
          <w:noProof/>
          <w:lang w:val="en-IE" w:eastAsia="fr-BE"/>
        </w:rPr>
        <w:t>当該製品の</w:t>
      </w:r>
      <w:r w:rsidR="004C1534" w:rsidRPr="00DF5C23">
        <w:rPr>
          <w:noProof/>
          <w:lang w:val="en-IE" w:eastAsia="fr-BE"/>
        </w:rPr>
        <w:t>最後の</w:t>
      </w:r>
      <w:r w:rsidR="00EC7EC3" w:rsidRPr="00DF5C23">
        <w:rPr>
          <w:noProof/>
          <w:lang w:val="en-IE" w:eastAsia="fr-BE"/>
        </w:rPr>
        <w:t>製造日から</w:t>
      </w:r>
      <w:r w:rsidR="00EC7EC3" w:rsidRPr="00DF5C23">
        <w:rPr>
          <w:noProof/>
          <w:lang w:val="en-IE" w:eastAsia="fr-BE"/>
        </w:rPr>
        <w:t>10</w:t>
      </w:r>
      <w:r w:rsidR="00EC7EC3" w:rsidRPr="00DF5C23">
        <w:rPr>
          <w:noProof/>
          <w:lang w:val="en-IE" w:eastAsia="fr-BE"/>
        </w:rPr>
        <w:t>年間、市場監視当局または委員会から受けた要請から</w:t>
      </w:r>
      <w:r w:rsidR="00EC7EC3" w:rsidRPr="00DF5C23">
        <w:rPr>
          <w:noProof/>
          <w:lang w:val="en-IE" w:eastAsia="fr-BE"/>
        </w:rPr>
        <w:t>10</w:t>
      </w:r>
      <w:r w:rsidR="00EC7EC3" w:rsidRPr="00DF5C23">
        <w:rPr>
          <w:noProof/>
          <w:lang w:val="en-IE" w:eastAsia="fr-BE"/>
        </w:rPr>
        <w:t>日以内に適合性評価および適合宣言に関する文書の電子版を閲覧に供しなければならない。</w:t>
      </w:r>
    </w:p>
    <w:p w14:paraId="4894EE1A" w14:textId="77777777" w:rsidR="0038775E" w:rsidRDefault="00FC419C" w:rsidP="002041D4">
      <w:pPr>
        <w:pStyle w:val="Titrearticle"/>
        <w:wordWrap w:val="0"/>
        <w:rPr>
          <w:noProof/>
          <w:lang w:eastAsia="fr-BE"/>
        </w:rPr>
      </w:pPr>
      <w:r w:rsidRPr="00DF5C23">
        <w:rPr>
          <w:noProof/>
          <w:lang w:val="en-IE" w:eastAsia="fr-BE"/>
        </w:rPr>
        <w:t>第</w:t>
      </w:r>
      <w:r w:rsidRPr="00DF5C23">
        <w:rPr>
          <w:noProof/>
          <w:lang w:val="en-IE" w:eastAsia="fr-BE"/>
        </w:rPr>
        <w:t>71</w:t>
      </w:r>
      <w:r w:rsidR="00877B9C" w:rsidRPr="00DF5C23">
        <w:rPr>
          <w:noProof/>
          <w:lang w:val="en-IE" w:eastAsia="fr-BE"/>
        </w:rPr>
        <w:t>条</w:t>
      </w:r>
      <w:r w:rsidR="0077167C" w:rsidRPr="00DF5C23">
        <w:rPr>
          <w:noProof/>
          <w:lang w:eastAsia="ja-JP"/>
        </w:rPr>
        <w:br/>
      </w:r>
      <w:r w:rsidR="00EC7EC3" w:rsidRPr="00DF5C23">
        <w:rPr>
          <w:noProof/>
          <w:lang w:val="en-IE" w:eastAsia="fr-BE"/>
        </w:rPr>
        <w:t>発効</w:t>
      </w:r>
    </w:p>
    <w:p w14:paraId="147F2FD1" w14:textId="77777777" w:rsidR="0038775E" w:rsidRDefault="00877B9C" w:rsidP="002041D4">
      <w:pPr>
        <w:shd w:val="clear" w:color="auto" w:fill="FFFFFF" w:themeFill="background1"/>
        <w:wordWrap w:val="0"/>
        <w:spacing w:after="0"/>
        <w:rPr>
          <w:rFonts w:eastAsiaTheme="majorEastAsia"/>
          <w:noProof/>
          <w:color w:val="000000" w:themeColor="text1"/>
          <w:lang w:val="en-IE" w:eastAsia="fr-BE"/>
        </w:rPr>
      </w:pPr>
      <w:r w:rsidRPr="23DF1179">
        <w:rPr>
          <w:rFonts w:eastAsia="Times New Roman"/>
          <w:noProof/>
          <w:color w:val="000000" w:themeColor="text1"/>
          <w:lang w:val="en-IE" w:eastAsia="fr-BE"/>
        </w:rPr>
        <w:t>本規則は、</w:t>
      </w:r>
      <w:r w:rsidRPr="23DF1179">
        <w:rPr>
          <w:rFonts w:eastAsiaTheme="majorEastAsia"/>
          <w:i/>
          <w:iCs/>
          <w:noProof/>
          <w:color w:val="000000" w:themeColor="text1"/>
          <w:lang w:val="en-IE" w:eastAsia="fr-BE"/>
        </w:rPr>
        <w:t>欧州連合官報に</w:t>
      </w:r>
      <w:r w:rsidRPr="23DF1179">
        <w:rPr>
          <w:rFonts w:eastAsia="Times New Roman"/>
          <w:noProof/>
          <w:color w:val="000000" w:themeColor="text1"/>
          <w:lang w:val="en-IE" w:eastAsia="fr-BE"/>
        </w:rPr>
        <w:t>掲載された日の翌日から20日目に施行されるものとする</w:t>
      </w:r>
      <w:r w:rsidRPr="23DF1179">
        <w:rPr>
          <w:rFonts w:eastAsiaTheme="majorEastAsia"/>
          <w:noProof/>
          <w:color w:val="000000" w:themeColor="text1"/>
          <w:lang w:val="en-IE" w:eastAsia="fr-BE"/>
        </w:rPr>
        <w:t>。</w:t>
      </w:r>
      <w:r w:rsidRPr="23DF1179">
        <w:rPr>
          <w:rFonts w:eastAsiaTheme="majorEastAsia"/>
          <w:noProof/>
          <w:color w:val="000000" w:themeColor="text1"/>
          <w:lang w:val="en-IE" w:eastAsia="fr-BE"/>
        </w:rPr>
        <w:t xml:space="preserve"> </w:t>
      </w:r>
    </w:p>
    <w:p w14:paraId="6E5A2CA1" w14:textId="77777777" w:rsidR="0038775E" w:rsidRDefault="00877B9C" w:rsidP="002041D4">
      <w:pPr>
        <w:pStyle w:val="Applicationdirecte"/>
        <w:wordWrap w:val="0"/>
        <w:rPr>
          <w:noProof/>
          <w:lang w:eastAsia="ja-JP"/>
        </w:rPr>
      </w:pPr>
      <w:r w:rsidRPr="00DF5C23">
        <w:rPr>
          <w:noProof/>
          <w:lang w:eastAsia="ja-JP"/>
        </w:rPr>
        <w:t>本規則は、その全体が拘束力を持ち、すべての加盟国において直接適用されるものとする</w:t>
      </w:r>
      <w:r w:rsidR="00DF15BE" w:rsidRPr="00DF5C23">
        <w:rPr>
          <w:noProof/>
          <w:lang w:eastAsia="ja-JP"/>
        </w:rPr>
        <w:t>。</w:t>
      </w:r>
      <w:r w:rsidR="00DF15BE" w:rsidRPr="00DF5C23">
        <w:rPr>
          <w:noProof/>
          <w:lang w:eastAsia="ja-JP"/>
        </w:rPr>
        <w:t xml:space="preserve"> </w:t>
      </w:r>
    </w:p>
    <w:p w14:paraId="146F162D" w14:textId="77777777" w:rsidR="0038775E" w:rsidRDefault="00877B9C" w:rsidP="002041D4">
      <w:pPr>
        <w:pStyle w:val="Fait"/>
        <w:wordWrap w:val="0"/>
        <w:rPr>
          <w:noProof/>
          <w:lang w:eastAsia="ja-JP"/>
        </w:rPr>
      </w:pPr>
      <w:r w:rsidRPr="003D463A">
        <w:rPr>
          <w:lang w:eastAsia="ja-JP"/>
        </w:rPr>
        <w:t>ブリュッセルで行われた</w:t>
      </w:r>
    </w:p>
    <w:p w14:paraId="04B26F3A" w14:textId="77777777" w:rsidR="0038775E" w:rsidRDefault="00877B9C" w:rsidP="002041D4">
      <w:pPr>
        <w:pStyle w:val="Institutionquisigne"/>
        <w:wordWrap w:val="0"/>
        <w:rPr>
          <w:noProof/>
          <w:lang w:eastAsia="ja-JP"/>
        </w:rPr>
      </w:pPr>
      <w:r w:rsidRPr="00DF5C23">
        <w:rPr>
          <w:noProof/>
          <w:lang w:eastAsia="ja-JP"/>
        </w:rPr>
        <w:t>欧州議会向け</w:t>
      </w:r>
      <w:r w:rsidRPr="00DF5C23">
        <w:rPr>
          <w:noProof/>
          <w:lang w:eastAsia="ja-JP"/>
        </w:rPr>
        <w:t xml:space="preserve"> </w:t>
      </w:r>
      <w:r w:rsidRPr="00DF5C23">
        <w:rPr>
          <w:noProof/>
          <w:lang w:eastAsia="ja-JP"/>
        </w:rPr>
        <w:t>欧州</w:t>
      </w:r>
      <w:r w:rsidRPr="00DF5C23">
        <w:rPr>
          <w:noProof/>
          <w:lang w:eastAsia="ja-JP"/>
        </w:rPr>
        <w:tab/>
      </w:r>
      <w:r w:rsidRPr="00DF5C23">
        <w:rPr>
          <w:noProof/>
          <w:lang w:eastAsia="ja-JP"/>
        </w:rPr>
        <w:t>議会向け</w:t>
      </w:r>
    </w:p>
    <w:p w14:paraId="4C61C45C" w14:textId="77777777" w:rsidR="0038775E" w:rsidRDefault="00877B9C" w:rsidP="002041D4">
      <w:pPr>
        <w:pStyle w:val="Personnequisigne"/>
        <w:wordWrap w:val="0"/>
        <w:rPr>
          <w:noProof/>
          <w:lang w:eastAsia="ja-JP"/>
        </w:rPr>
      </w:pPr>
      <w:r w:rsidRPr="00DF5C23">
        <w:rPr>
          <w:noProof/>
          <w:lang w:eastAsia="ja-JP"/>
        </w:rPr>
        <w:tab/>
      </w:r>
      <w:r w:rsidRPr="00DF5C23">
        <w:rPr>
          <w:noProof/>
          <w:lang w:eastAsia="ja-JP"/>
        </w:rPr>
        <w:t>ザ・プレジデントザ・プレジデント</w:t>
      </w:r>
    </w:p>
    <w:p w14:paraId="2C3A58F1" w14:textId="77777777" w:rsidR="005879E3" w:rsidRPr="00DF5C23" w:rsidRDefault="005879E3" w:rsidP="002041D4">
      <w:pPr>
        <w:wordWrap w:val="0"/>
        <w:rPr>
          <w:noProof/>
          <w:lang w:eastAsia="ja-JP"/>
        </w:rPr>
        <w:sectPr w:rsidR="005879E3" w:rsidRPr="00DF5C23" w:rsidSect="008B42B0">
          <w:pgSz w:w="11907" w:h="16839"/>
          <w:pgMar w:top="1134" w:right="1417" w:bottom="1134" w:left="1417" w:header="709" w:footer="709" w:gutter="0"/>
          <w:cols w:space="708"/>
          <w:docGrid w:linePitch="360"/>
        </w:sectPr>
      </w:pPr>
    </w:p>
    <w:p w14:paraId="0D404C11" w14:textId="77777777" w:rsidR="004304B8" w:rsidRDefault="004304B8" w:rsidP="004304B8">
      <w:pPr>
        <w:pStyle w:val="lmttranslationsastextitem"/>
        <w:numPr>
          <w:ilvl w:val="0"/>
          <w:numId w:val="165"/>
        </w:numPr>
        <w:pBdr>
          <w:top w:val="single" w:sz="2" w:space="0" w:color="auto"/>
          <w:left w:val="single" w:sz="2" w:space="11" w:color="auto"/>
          <w:bottom w:val="single" w:sz="2" w:space="0" w:color="auto"/>
          <w:right w:val="single" w:sz="2" w:space="30" w:color="auto"/>
        </w:pBdr>
        <w:shd w:val="clear" w:color="auto" w:fill="FFFFFF"/>
        <w:ind w:left="795"/>
        <w:rPr>
          <w:rFonts w:ascii="Segoe UI" w:hAnsi="Segoe UI" w:cs="Segoe UI"/>
          <w:color w:val="000000"/>
          <w:sz w:val="39"/>
          <w:szCs w:val="39"/>
        </w:rPr>
      </w:pPr>
      <w:r>
        <w:rPr>
          <w:rFonts w:ascii="Segoe UI" w:hAnsi="Segoe UI" w:cs="Segoe UI"/>
          <w:color w:val="000000"/>
          <w:sz w:val="39"/>
          <w:szCs w:val="39"/>
        </w:rPr>
        <w:lastRenderedPageBreak/>
        <w:t>議決権行使書</w:t>
      </w:r>
    </w:p>
    <w:p w14:paraId="5DB6D16A" w14:textId="36844604" w:rsidR="0038775E" w:rsidRDefault="0038775E" w:rsidP="002041D4">
      <w:pPr>
        <w:pStyle w:val="Fichefinanciretitre"/>
        <w:keepNext/>
        <w:wordWrap w:val="0"/>
        <w:rPr>
          <w:rFonts w:hint="eastAsia"/>
          <w:noProof/>
          <w:lang w:eastAsia="ja-JP"/>
        </w:rPr>
      </w:pPr>
    </w:p>
    <w:p w14:paraId="498CC119" w14:textId="77777777" w:rsidR="0038775E" w:rsidRDefault="00877B9C" w:rsidP="002041D4">
      <w:pPr>
        <w:pStyle w:val="ManualHeading1"/>
        <w:wordWrap w:val="0"/>
        <w:rPr>
          <w:noProof/>
          <w:lang w:eastAsia="ja-JP"/>
        </w:rPr>
      </w:pPr>
      <w:r w:rsidRPr="00DF5C23">
        <w:rPr>
          <w:noProof/>
          <w:lang w:eastAsia="ja-JP"/>
        </w:rPr>
        <w:t>1.</w:t>
      </w:r>
      <w:r w:rsidRPr="00DF5C23">
        <w:rPr>
          <w:noProof/>
          <w:lang w:eastAsia="ja-JP"/>
        </w:rPr>
        <w:tab/>
      </w:r>
      <w:r w:rsidRPr="00DF5C23">
        <w:rPr>
          <w:noProof/>
          <w:lang w:eastAsia="ja-JP"/>
        </w:rPr>
        <w:t>提案・イニシアチブの枠組み</w:t>
      </w:r>
    </w:p>
    <w:p w14:paraId="37D8C402" w14:textId="77777777" w:rsidR="0038775E" w:rsidRDefault="00877B9C" w:rsidP="002041D4">
      <w:pPr>
        <w:pStyle w:val="ManualHeading2"/>
        <w:wordWrap w:val="0"/>
        <w:rPr>
          <w:noProof/>
          <w:lang w:eastAsia="ja-JP"/>
        </w:rPr>
      </w:pPr>
      <w:r w:rsidRPr="00DF5C23">
        <w:rPr>
          <w:noProof/>
          <w:lang w:eastAsia="ja-JP"/>
        </w:rPr>
        <w:tab/>
        <w:t>1.1.</w:t>
      </w:r>
      <w:r w:rsidRPr="00DF5C23">
        <w:rPr>
          <w:noProof/>
          <w:lang w:eastAsia="ja-JP"/>
        </w:rPr>
        <w:tab/>
      </w:r>
      <w:r w:rsidRPr="00DF5C23">
        <w:rPr>
          <w:noProof/>
          <w:lang w:eastAsia="ja-JP"/>
        </w:rPr>
        <w:t>提案</w:t>
      </w:r>
      <w:r w:rsidRPr="00DF5C23">
        <w:rPr>
          <w:noProof/>
          <w:lang w:eastAsia="ja-JP"/>
        </w:rPr>
        <w:t>/</w:t>
      </w:r>
      <w:r w:rsidRPr="00DF5C23">
        <w:rPr>
          <w:noProof/>
          <w:lang w:eastAsia="ja-JP"/>
        </w:rPr>
        <w:t>イニシアチブのタイトル</w:t>
      </w:r>
    </w:p>
    <w:p w14:paraId="11E45819" w14:textId="77777777" w:rsidR="0038775E" w:rsidRDefault="00877B9C" w:rsidP="002041D4">
      <w:pPr>
        <w:pStyle w:val="ManualHeading2"/>
        <w:wordWrap w:val="0"/>
        <w:rPr>
          <w:noProof/>
          <w:lang w:eastAsia="ja-JP"/>
        </w:rPr>
      </w:pPr>
      <w:r w:rsidRPr="00DF5C23">
        <w:rPr>
          <w:noProof/>
          <w:lang w:eastAsia="ja-JP"/>
        </w:rPr>
        <w:tab/>
        <w:t>1.2.</w:t>
      </w:r>
      <w:r w:rsidRPr="00DF5C23">
        <w:rPr>
          <w:noProof/>
          <w:lang w:eastAsia="ja-JP"/>
        </w:rPr>
        <w:tab/>
      </w:r>
      <w:r w:rsidRPr="00DF5C23">
        <w:rPr>
          <w:noProof/>
          <w:lang w:eastAsia="ja-JP"/>
        </w:rPr>
        <w:t>該当する政策分野</w:t>
      </w:r>
    </w:p>
    <w:p w14:paraId="0014629F" w14:textId="77777777" w:rsidR="0038775E" w:rsidRDefault="00877B9C" w:rsidP="002041D4">
      <w:pPr>
        <w:pStyle w:val="ManualHeading2"/>
        <w:wordWrap w:val="0"/>
        <w:rPr>
          <w:noProof/>
          <w:lang w:eastAsia="ja-JP"/>
        </w:rPr>
      </w:pPr>
      <w:r w:rsidRPr="00DF5C23">
        <w:rPr>
          <w:noProof/>
          <w:lang w:eastAsia="ja-JP"/>
        </w:rPr>
        <w:tab/>
        <w:t>1.3.</w:t>
      </w:r>
      <w:r w:rsidRPr="00DF5C23">
        <w:rPr>
          <w:noProof/>
          <w:lang w:eastAsia="ja-JP"/>
        </w:rPr>
        <w:tab/>
      </w:r>
      <w:r w:rsidRPr="00DF5C23">
        <w:rPr>
          <w:noProof/>
          <w:lang w:eastAsia="ja-JP"/>
        </w:rPr>
        <w:t>提案</w:t>
      </w:r>
      <w:r w:rsidRPr="00DF5C23">
        <w:rPr>
          <w:noProof/>
          <w:lang w:eastAsia="ja-JP"/>
        </w:rPr>
        <w:t>/</w:t>
      </w:r>
      <w:r w:rsidRPr="00DF5C23">
        <w:rPr>
          <w:noProof/>
          <w:lang w:eastAsia="ja-JP"/>
        </w:rPr>
        <w:t>イニシアチブに関連するものである：</w:t>
      </w:r>
    </w:p>
    <w:p w14:paraId="29180F55" w14:textId="77777777" w:rsidR="0038775E" w:rsidRDefault="00877B9C" w:rsidP="002041D4">
      <w:pPr>
        <w:pStyle w:val="ManualHeading2"/>
        <w:wordWrap w:val="0"/>
        <w:rPr>
          <w:noProof/>
          <w:lang w:eastAsia="ja-JP"/>
        </w:rPr>
      </w:pPr>
      <w:r w:rsidRPr="00DF5C23">
        <w:rPr>
          <w:noProof/>
          <w:lang w:eastAsia="ja-JP"/>
        </w:rPr>
        <w:tab/>
        <w:t>1.4.</w:t>
      </w:r>
      <w:r w:rsidRPr="00DF5C23">
        <w:rPr>
          <w:noProof/>
          <w:lang w:eastAsia="ja-JP"/>
        </w:rPr>
        <w:tab/>
      </w:r>
      <w:r w:rsidRPr="00DF5C23">
        <w:rPr>
          <w:noProof/>
          <w:lang w:eastAsia="ja-JP"/>
        </w:rPr>
        <w:t>目的</w:t>
      </w:r>
      <w:r w:rsidRPr="00DF5C23">
        <w:rPr>
          <w:noProof/>
          <w:lang w:eastAsia="ja-JP"/>
        </w:rPr>
        <w:t>(s)</w:t>
      </w:r>
    </w:p>
    <w:p w14:paraId="1B10F1BF" w14:textId="77777777" w:rsidR="0038775E" w:rsidRDefault="00877B9C" w:rsidP="002041D4">
      <w:pPr>
        <w:pStyle w:val="ManualHeading3"/>
        <w:wordWrap w:val="0"/>
        <w:rPr>
          <w:noProof/>
          <w:lang w:eastAsia="ja-JP"/>
        </w:rPr>
      </w:pPr>
      <w:r w:rsidRPr="00DF5C23">
        <w:rPr>
          <w:noProof/>
          <w:lang w:eastAsia="ja-JP"/>
        </w:rPr>
        <w:tab/>
        <w:t>1.4.1.</w:t>
      </w:r>
      <w:r w:rsidRPr="00DF5C23">
        <w:rPr>
          <w:noProof/>
          <w:lang w:eastAsia="ja-JP"/>
        </w:rPr>
        <w:tab/>
      </w:r>
      <w:r w:rsidRPr="00DF5C23">
        <w:rPr>
          <w:noProof/>
          <w:lang w:eastAsia="ja-JP"/>
        </w:rPr>
        <w:t>一般的な目的（複数可）</w:t>
      </w:r>
    </w:p>
    <w:p w14:paraId="7416E089" w14:textId="77777777" w:rsidR="0038775E" w:rsidRDefault="00877B9C" w:rsidP="002041D4">
      <w:pPr>
        <w:pStyle w:val="ManualHeading3"/>
        <w:wordWrap w:val="0"/>
        <w:rPr>
          <w:noProof/>
          <w:lang w:eastAsia="ja-JP"/>
        </w:rPr>
      </w:pPr>
      <w:r w:rsidRPr="00DF5C23">
        <w:rPr>
          <w:noProof/>
          <w:lang w:eastAsia="ja-JP"/>
        </w:rPr>
        <w:tab/>
        <w:t>1.4.2.</w:t>
      </w:r>
      <w:r w:rsidRPr="00DF5C23">
        <w:rPr>
          <w:noProof/>
          <w:lang w:eastAsia="ja-JP"/>
        </w:rPr>
        <w:tab/>
      </w:r>
      <w:r w:rsidRPr="00DF5C23">
        <w:rPr>
          <w:noProof/>
          <w:lang w:eastAsia="ja-JP"/>
        </w:rPr>
        <w:t>具体的な目標（複数可）</w:t>
      </w:r>
    </w:p>
    <w:p w14:paraId="2CB0D1CB" w14:textId="77777777" w:rsidR="0038775E" w:rsidRDefault="00877B9C" w:rsidP="002041D4">
      <w:pPr>
        <w:pStyle w:val="ManualHeading3"/>
        <w:wordWrap w:val="0"/>
        <w:rPr>
          <w:noProof/>
          <w:lang w:eastAsia="ja-JP"/>
        </w:rPr>
      </w:pPr>
      <w:r w:rsidRPr="00DF5C23">
        <w:rPr>
          <w:noProof/>
          <w:lang w:eastAsia="ja-JP"/>
        </w:rPr>
        <w:tab/>
        <w:t>1.4.3.</w:t>
      </w:r>
      <w:r w:rsidRPr="00DF5C23">
        <w:rPr>
          <w:noProof/>
          <w:lang w:eastAsia="ja-JP"/>
        </w:rPr>
        <w:tab/>
      </w:r>
      <w:r w:rsidRPr="00DF5C23">
        <w:rPr>
          <w:noProof/>
          <w:lang w:eastAsia="ja-JP"/>
        </w:rPr>
        <w:t>期待される結果および影響</w:t>
      </w:r>
    </w:p>
    <w:p w14:paraId="166D337D" w14:textId="77777777" w:rsidR="0038775E" w:rsidRDefault="00877B9C" w:rsidP="002041D4">
      <w:pPr>
        <w:pStyle w:val="ManualHeading3"/>
        <w:wordWrap w:val="0"/>
        <w:rPr>
          <w:noProof/>
          <w:lang w:eastAsia="ja-JP"/>
        </w:rPr>
      </w:pPr>
      <w:r w:rsidRPr="00DF5C23">
        <w:rPr>
          <w:noProof/>
          <w:lang w:eastAsia="ja-JP"/>
        </w:rPr>
        <w:tab/>
        <w:t>1.4.4.</w:t>
      </w:r>
      <w:r w:rsidRPr="00DF5C23">
        <w:rPr>
          <w:noProof/>
          <w:lang w:eastAsia="ja-JP"/>
        </w:rPr>
        <w:tab/>
      </w:r>
      <w:r w:rsidRPr="00DF5C23">
        <w:rPr>
          <w:noProof/>
          <w:lang w:eastAsia="ja-JP"/>
        </w:rPr>
        <w:t>パフォーマンスの指標となるもの</w:t>
      </w:r>
    </w:p>
    <w:p w14:paraId="765CF49C" w14:textId="77777777" w:rsidR="0038775E" w:rsidRDefault="00877B9C" w:rsidP="002041D4">
      <w:pPr>
        <w:pStyle w:val="ManualHeading2"/>
        <w:wordWrap w:val="0"/>
        <w:rPr>
          <w:noProof/>
          <w:lang w:eastAsia="ja-JP"/>
        </w:rPr>
      </w:pPr>
      <w:r w:rsidRPr="00DF5C23">
        <w:rPr>
          <w:noProof/>
          <w:lang w:eastAsia="ja-JP"/>
        </w:rPr>
        <w:tab/>
        <w:t>1.5.</w:t>
      </w:r>
      <w:r w:rsidRPr="00DF5C23">
        <w:rPr>
          <w:noProof/>
          <w:lang w:eastAsia="ja-JP"/>
        </w:rPr>
        <w:tab/>
      </w:r>
      <w:r w:rsidRPr="00DF5C23">
        <w:rPr>
          <w:noProof/>
          <w:lang w:eastAsia="ja-JP"/>
        </w:rPr>
        <w:t>提案・発案の根拠となるもの</w:t>
      </w:r>
    </w:p>
    <w:p w14:paraId="6720F955" w14:textId="77777777" w:rsidR="0038775E" w:rsidRDefault="00877B9C" w:rsidP="002041D4">
      <w:pPr>
        <w:pStyle w:val="ManualHeading3"/>
        <w:wordWrap w:val="0"/>
        <w:rPr>
          <w:noProof/>
          <w:lang w:eastAsia="ja-JP"/>
        </w:rPr>
      </w:pPr>
      <w:r w:rsidRPr="00DF5C23">
        <w:rPr>
          <w:noProof/>
          <w:lang w:eastAsia="ja-JP"/>
        </w:rPr>
        <w:tab/>
        <w:t>1.5.1.</w:t>
      </w:r>
      <w:r w:rsidRPr="00DF5C23">
        <w:rPr>
          <w:noProof/>
          <w:lang w:eastAsia="ja-JP"/>
        </w:rPr>
        <w:tab/>
      </w:r>
      <w:r w:rsidRPr="00DF5C23">
        <w:rPr>
          <w:noProof/>
          <w:lang w:eastAsia="ja-JP"/>
        </w:rPr>
        <w:t>短期または長期的に満たすべき要件（イニシアチブの実施のロールアウトの詳細なタイムラインを含む）。</w:t>
      </w:r>
    </w:p>
    <w:p w14:paraId="770A2B09" w14:textId="77777777" w:rsidR="0038775E" w:rsidRDefault="00877B9C" w:rsidP="002041D4">
      <w:pPr>
        <w:pStyle w:val="ManualHeading3"/>
        <w:wordWrap w:val="0"/>
        <w:rPr>
          <w:noProof/>
          <w:lang w:eastAsia="ja-JP"/>
        </w:rPr>
      </w:pPr>
      <w:r w:rsidRPr="00DF5C23">
        <w:rPr>
          <w:noProof/>
          <w:lang w:eastAsia="ja-JP"/>
        </w:rPr>
        <w:tab/>
        <w:t>1.5.2.</w:t>
      </w:r>
      <w:r w:rsidRPr="00DF5C23">
        <w:rPr>
          <w:noProof/>
          <w:lang w:eastAsia="ja-JP"/>
        </w:rPr>
        <w:tab/>
      </w:r>
      <w:r w:rsidRPr="00DF5C23">
        <w:rPr>
          <w:noProof/>
          <w:lang w:eastAsia="ja-JP"/>
        </w:rPr>
        <w:t>連合の関与の付加価値（それは、調整の利益、法的確実性、より大きな効果または補完性など、異なる要因から生じる場合がある）。</w:t>
      </w:r>
      <w:r w:rsidRPr="00DF5C23">
        <w:rPr>
          <w:noProof/>
          <w:lang w:eastAsia="ja-JP"/>
        </w:rPr>
        <w:tab/>
      </w:r>
      <w:r w:rsidRPr="00DF5C23">
        <w:rPr>
          <w:noProof/>
          <w:lang w:eastAsia="ja-JP"/>
        </w:rPr>
        <w:t>本項目において、「欧州連合の関与による付加価値」とは、加盟国が単独で創出した</w:t>
      </w:r>
      <w:r w:rsidRPr="00DF5C23">
        <w:rPr>
          <w:noProof/>
          <w:lang w:eastAsia="ja-JP"/>
        </w:rPr>
        <w:lastRenderedPageBreak/>
        <w:t>であろう価値に加え、欧州連合の介入によって</w:t>
      </w:r>
      <w:r w:rsidRPr="00DF5C23">
        <w:rPr>
          <w:noProof/>
          <w:lang w:eastAsia="ja-JP"/>
        </w:rPr>
        <w:tab/>
      </w:r>
      <w:r w:rsidRPr="00DF5C23">
        <w:rPr>
          <w:noProof/>
          <w:lang w:eastAsia="ja-JP"/>
        </w:rPr>
        <w:t>もたらされる価値を指す。</w:t>
      </w:r>
    </w:p>
    <w:p w14:paraId="5C21ED75" w14:textId="77777777" w:rsidR="0038775E" w:rsidRDefault="00877B9C" w:rsidP="002041D4">
      <w:pPr>
        <w:pStyle w:val="ManualHeading3"/>
        <w:wordWrap w:val="0"/>
        <w:rPr>
          <w:noProof/>
          <w:lang w:eastAsia="ja-JP"/>
        </w:rPr>
      </w:pPr>
      <w:r w:rsidRPr="00DF5C23">
        <w:rPr>
          <w:noProof/>
          <w:lang w:eastAsia="ja-JP"/>
        </w:rPr>
        <w:tab/>
        <w:t>1.5.3.</w:t>
      </w:r>
      <w:r w:rsidRPr="00DF5C23">
        <w:rPr>
          <w:noProof/>
          <w:lang w:eastAsia="ja-JP"/>
        </w:rPr>
        <w:tab/>
      </w:r>
      <w:r w:rsidRPr="00DF5C23">
        <w:rPr>
          <w:noProof/>
          <w:lang w:eastAsia="ja-JP"/>
        </w:rPr>
        <w:t>過去の類似の経験から得た教訓</w:t>
      </w:r>
    </w:p>
    <w:p w14:paraId="1C9F7EA4" w14:textId="77777777" w:rsidR="0038775E" w:rsidRDefault="00877B9C" w:rsidP="002041D4">
      <w:pPr>
        <w:pStyle w:val="ManualHeading3"/>
        <w:wordWrap w:val="0"/>
        <w:rPr>
          <w:noProof/>
          <w:lang w:eastAsia="ja-JP"/>
        </w:rPr>
      </w:pPr>
      <w:r w:rsidRPr="00DF5C23">
        <w:rPr>
          <w:noProof/>
          <w:lang w:eastAsia="ja-JP"/>
        </w:rPr>
        <w:tab/>
        <w:t>1.5.4.</w:t>
      </w:r>
      <w:r w:rsidRPr="00DF5C23">
        <w:rPr>
          <w:noProof/>
          <w:lang w:eastAsia="ja-JP"/>
        </w:rPr>
        <w:tab/>
      </w:r>
      <w:r w:rsidRPr="00DF5C23">
        <w:rPr>
          <w:noProof/>
          <w:lang w:eastAsia="ja-JP"/>
        </w:rPr>
        <w:t>多年間財政フレームワークとの整合性、他の適切な手段との相乗効果の可能性</w:t>
      </w:r>
    </w:p>
    <w:p w14:paraId="2DCA2AF4" w14:textId="77777777" w:rsidR="0038775E" w:rsidRDefault="00877B9C" w:rsidP="002041D4">
      <w:pPr>
        <w:pStyle w:val="ManualHeading3"/>
        <w:wordWrap w:val="0"/>
        <w:rPr>
          <w:noProof/>
          <w:lang w:eastAsia="ja-JP"/>
        </w:rPr>
      </w:pPr>
      <w:r w:rsidRPr="00DF5C23">
        <w:rPr>
          <w:noProof/>
          <w:lang w:eastAsia="ja-JP"/>
        </w:rPr>
        <w:tab/>
        <w:t>1.5.5.</w:t>
      </w:r>
      <w:r w:rsidRPr="00DF5C23">
        <w:rPr>
          <w:noProof/>
          <w:lang w:eastAsia="ja-JP"/>
        </w:rPr>
        <w:tab/>
      </w:r>
      <w:r w:rsidRPr="00DF5C23">
        <w:rPr>
          <w:noProof/>
          <w:lang w:eastAsia="ja-JP"/>
        </w:rPr>
        <w:t>再展開の範囲を含む、利用可能なさまざまな資金調達オプションの評価</w:t>
      </w:r>
    </w:p>
    <w:p w14:paraId="3FDE9028" w14:textId="77777777" w:rsidR="0038775E" w:rsidRDefault="00877B9C" w:rsidP="002041D4">
      <w:pPr>
        <w:pStyle w:val="ManualHeading2"/>
        <w:wordWrap w:val="0"/>
        <w:rPr>
          <w:noProof/>
          <w:lang w:eastAsia="ja-JP"/>
        </w:rPr>
      </w:pPr>
      <w:r w:rsidRPr="00DF5C23">
        <w:rPr>
          <w:noProof/>
          <w:lang w:eastAsia="ja-JP"/>
        </w:rPr>
        <w:tab/>
        <w:t>1.6.</w:t>
      </w:r>
      <w:r w:rsidRPr="00DF5C23">
        <w:rPr>
          <w:noProof/>
          <w:lang w:eastAsia="ja-JP"/>
        </w:rPr>
        <w:tab/>
      </w:r>
      <w:r w:rsidRPr="00DF5C23">
        <w:rPr>
          <w:noProof/>
          <w:lang w:eastAsia="ja-JP"/>
        </w:rPr>
        <w:t>提案</w:t>
      </w:r>
      <w:r w:rsidRPr="00DF5C23">
        <w:rPr>
          <w:noProof/>
          <w:lang w:eastAsia="ja-JP"/>
        </w:rPr>
        <w:t>/</w:t>
      </w:r>
      <w:r w:rsidRPr="00DF5C23">
        <w:rPr>
          <w:noProof/>
          <w:lang w:eastAsia="ja-JP"/>
        </w:rPr>
        <w:t>イニシアチブの期間と財務的影響</w:t>
      </w:r>
    </w:p>
    <w:p w14:paraId="584D2D3D" w14:textId="77777777" w:rsidR="0038775E" w:rsidRDefault="00877B9C" w:rsidP="002041D4">
      <w:pPr>
        <w:pStyle w:val="ManualHeading2"/>
        <w:wordWrap w:val="0"/>
        <w:rPr>
          <w:noProof/>
          <w:lang w:eastAsia="ja-JP"/>
        </w:rPr>
      </w:pPr>
      <w:r w:rsidRPr="00DF5C23">
        <w:rPr>
          <w:noProof/>
          <w:lang w:eastAsia="ja-JP"/>
        </w:rPr>
        <w:tab/>
        <w:t>1.7.</w:t>
      </w:r>
      <w:r w:rsidRPr="00DF5C23">
        <w:rPr>
          <w:noProof/>
          <w:lang w:eastAsia="ja-JP"/>
        </w:rPr>
        <w:tab/>
      </w:r>
      <w:r w:rsidRPr="00DF5C23">
        <w:rPr>
          <w:noProof/>
          <w:lang w:eastAsia="ja-JP"/>
        </w:rPr>
        <w:t>マネジメントモード（予定</w:t>
      </w:r>
    </w:p>
    <w:p w14:paraId="23CD6DC8" w14:textId="77777777" w:rsidR="0038775E" w:rsidRDefault="00877B9C" w:rsidP="002041D4">
      <w:pPr>
        <w:pStyle w:val="ManualHeading1"/>
        <w:wordWrap w:val="0"/>
        <w:rPr>
          <w:noProof/>
          <w:lang w:eastAsia="ja-JP"/>
        </w:rPr>
      </w:pPr>
      <w:r w:rsidRPr="00DF5C23">
        <w:rPr>
          <w:noProof/>
          <w:lang w:eastAsia="ja-JP"/>
        </w:rPr>
        <w:tab/>
        <w:t>2.</w:t>
      </w:r>
      <w:r w:rsidRPr="00DF5C23">
        <w:rPr>
          <w:noProof/>
          <w:lang w:eastAsia="ja-JP"/>
        </w:rPr>
        <w:tab/>
      </w:r>
      <w:r w:rsidRPr="00DF5C23">
        <w:rPr>
          <w:noProof/>
          <w:lang w:eastAsia="ja-JP"/>
        </w:rPr>
        <w:t>マネジメント施策</w:t>
      </w:r>
    </w:p>
    <w:p w14:paraId="1AF9455C" w14:textId="77777777" w:rsidR="0038775E" w:rsidRDefault="00877B9C" w:rsidP="002041D4">
      <w:pPr>
        <w:pStyle w:val="ManualHeading2"/>
        <w:wordWrap w:val="0"/>
        <w:rPr>
          <w:noProof/>
          <w:lang w:eastAsia="ja-JP"/>
        </w:rPr>
      </w:pPr>
      <w:r w:rsidRPr="00DF5C23">
        <w:rPr>
          <w:noProof/>
          <w:lang w:eastAsia="ja-JP"/>
        </w:rPr>
        <w:tab/>
        <w:t>2.1.</w:t>
      </w:r>
      <w:r w:rsidRPr="00DF5C23">
        <w:rPr>
          <w:noProof/>
          <w:lang w:eastAsia="ja-JP"/>
        </w:rPr>
        <w:tab/>
      </w:r>
      <w:r w:rsidRPr="00DF5C23">
        <w:rPr>
          <w:noProof/>
          <w:lang w:eastAsia="ja-JP"/>
        </w:rPr>
        <w:t>監視・報告ルール</w:t>
      </w:r>
    </w:p>
    <w:p w14:paraId="67E69AA2" w14:textId="77777777" w:rsidR="0038775E" w:rsidRDefault="00877B9C" w:rsidP="002041D4">
      <w:pPr>
        <w:pStyle w:val="ManualHeading2"/>
        <w:wordWrap w:val="0"/>
        <w:rPr>
          <w:noProof/>
          <w:lang w:eastAsia="ja-JP"/>
        </w:rPr>
      </w:pPr>
      <w:r w:rsidRPr="00DF5C23">
        <w:rPr>
          <w:noProof/>
          <w:lang w:eastAsia="ja-JP"/>
        </w:rPr>
        <w:tab/>
        <w:t>2.2.</w:t>
      </w:r>
      <w:r w:rsidRPr="00DF5C23">
        <w:rPr>
          <w:noProof/>
          <w:lang w:eastAsia="ja-JP"/>
        </w:rPr>
        <w:tab/>
      </w:r>
      <w:r w:rsidRPr="00DF5C23">
        <w:rPr>
          <w:noProof/>
          <w:lang w:eastAsia="ja-JP"/>
        </w:rPr>
        <w:t>管理・統制システム（複数可）</w:t>
      </w:r>
    </w:p>
    <w:p w14:paraId="14C72C3E" w14:textId="77777777" w:rsidR="0038775E" w:rsidRDefault="00877B9C" w:rsidP="002041D4">
      <w:pPr>
        <w:pStyle w:val="ManualHeading3"/>
        <w:wordWrap w:val="0"/>
        <w:rPr>
          <w:noProof/>
          <w:lang w:eastAsia="ja-JP"/>
        </w:rPr>
      </w:pPr>
      <w:r w:rsidRPr="00DF5C23">
        <w:rPr>
          <w:noProof/>
          <w:lang w:eastAsia="ja-JP"/>
        </w:rPr>
        <w:tab/>
        <w:t>2.2.1.</w:t>
      </w:r>
      <w:r w:rsidRPr="00DF5C23">
        <w:rPr>
          <w:noProof/>
          <w:lang w:eastAsia="ja-JP"/>
        </w:rPr>
        <w:tab/>
      </w:r>
      <w:r w:rsidRPr="00DF5C23">
        <w:rPr>
          <w:noProof/>
          <w:lang w:eastAsia="ja-JP"/>
        </w:rPr>
        <w:t>管理方法、資金調達の実施メカニズム、支払い方法、および提案された管理戦略の正当性。</w:t>
      </w:r>
    </w:p>
    <w:p w14:paraId="37F915E0" w14:textId="77777777" w:rsidR="0038775E" w:rsidRDefault="00877B9C" w:rsidP="002041D4">
      <w:pPr>
        <w:pStyle w:val="ManualHeading3"/>
        <w:wordWrap w:val="0"/>
        <w:rPr>
          <w:noProof/>
          <w:lang w:eastAsia="ja-JP"/>
        </w:rPr>
      </w:pPr>
      <w:r w:rsidRPr="00DF5C23">
        <w:rPr>
          <w:noProof/>
          <w:lang w:eastAsia="ja-JP"/>
        </w:rPr>
        <w:tab/>
        <w:t>2.2.2.</w:t>
      </w:r>
      <w:r w:rsidRPr="00DF5C23">
        <w:rPr>
          <w:noProof/>
          <w:lang w:eastAsia="ja-JP"/>
        </w:rPr>
        <w:tab/>
      </w:r>
      <w:r w:rsidRPr="00DF5C23">
        <w:rPr>
          <w:noProof/>
          <w:lang w:eastAsia="ja-JP"/>
        </w:rPr>
        <w:t>特定されたリスク及びそれを軽減するために設定された内部統</w:t>
      </w:r>
      <w:r w:rsidRPr="00DF5C23">
        <w:rPr>
          <w:noProof/>
          <w:lang w:eastAsia="ja-JP"/>
        </w:rPr>
        <w:t>制システムに関する情報を提供する。</w:t>
      </w:r>
    </w:p>
    <w:p w14:paraId="69C8F38F" w14:textId="77777777" w:rsidR="0038775E" w:rsidRDefault="00877B9C" w:rsidP="002041D4">
      <w:pPr>
        <w:pStyle w:val="ManualHeading3"/>
        <w:wordWrap w:val="0"/>
        <w:rPr>
          <w:noProof/>
          <w:lang w:eastAsia="ja-JP"/>
        </w:rPr>
      </w:pPr>
      <w:r w:rsidRPr="00DF5C23">
        <w:rPr>
          <w:noProof/>
          <w:lang w:eastAsia="ja-JP"/>
        </w:rPr>
        <w:tab/>
        <w:t>2.2.3.</w:t>
      </w:r>
      <w:r w:rsidRPr="00DF5C23">
        <w:rPr>
          <w:noProof/>
          <w:lang w:eastAsia="ja-JP"/>
        </w:rPr>
        <w:tab/>
      </w:r>
      <w:r w:rsidRPr="00DF5C23">
        <w:rPr>
          <w:noProof/>
          <w:lang w:eastAsia="ja-JP"/>
        </w:rPr>
        <w:t>管理の費用対効果（「管理費用</w:t>
      </w:r>
      <w:r w:rsidRPr="00DF5C23">
        <w:rPr>
          <w:noProof/>
          <w:lang w:eastAsia="ja-JP"/>
        </w:rPr>
        <w:t>÷</w:t>
      </w:r>
      <w:r w:rsidRPr="00DF5C23">
        <w:rPr>
          <w:noProof/>
          <w:lang w:eastAsia="ja-JP"/>
        </w:rPr>
        <w:tab/>
      </w:r>
      <w:r w:rsidRPr="00DF5C23">
        <w:rPr>
          <w:noProof/>
          <w:lang w:eastAsia="ja-JP"/>
        </w:rPr>
        <w:t>管理する関連資金の価値」の比率）の見積もりと正当化、および（支払時・閉鎖時の）予想されるエラーリスクレベルの評価。</w:t>
      </w:r>
    </w:p>
    <w:p w14:paraId="5D34B633" w14:textId="77777777" w:rsidR="0038775E" w:rsidRDefault="00877B9C" w:rsidP="002041D4">
      <w:pPr>
        <w:pStyle w:val="ManualHeading2"/>
        <w:wordWrap w:val="0"/>
        <w:rPr>
          <w:noProof/>
          <w:lang w:eastAsia="ja-JP"/>
        </w:rPr>
      </w:pPr>
      <w:r w:rsidRPr="00DF5C23">
        <w:rPr>
          <w:noProof/>
          <w:lang w:eastAsia="ja-JP"/>
        </w:rPr>
        <w:tab/>
        <w:t>2.3.</w:t>
      </w:r>
      <w:r w:rsidRPr="00DF5C23">
        <w:rPr>
          <w:noProof/>
          <w:lang w:eastAsia="ja-JP"/>
        </w:rPr>
        <w:tab/>
      </w:r>
      <w:r w:rsidRPr="00DF5C23">
        <w:rPr>
          <w:noProof/>
          <w:lang w:eastAsia="ja-JP"/>
        </w:rPr>
        <w:t>不正・不祥事防止のための対策</w:t>
      </w:r>
    </w:p>
    <w:p w14:paraId="4A3EA907" w14:textId="77777777" w:rsidR="0038775E" w:rsidRDefault="00877B9C" w:rsidP="002041D4">
      <w:pPr>
        <w:pStyle w:val="ManualHeading1"/>
        <w:wordWrap w:val="0"/>
        <w:rPr>
          <w:noProof/>
          <w:lang w:eastAsia="ja-JP"/>
        </w:rPr>
      </w:pPr>
      <w:r w:rsidRPr="00DF5C23">
        <w:rPr>
          <w:noProof/>
          <w:lang w:eastAsia="ja-JP"/>
        </w:rPr>
        <w:t>3.</w:t>
      </w:r>
      <w:r w:rsidRPr="00DF5C23">
        <w:rPr>
          <w:noProof/>
          <w:lang w:eastAsia="ja-JP"/>
        </w:rPr>
        <w:tab/>
      </w:r>
      <w:r w:rsidRPr="00DF5C23">
        <w:rPr>
          <w:noProof/>
          <w:lang w:eastAsia="ja-JP"/>
        </w:rPr>
        <w:t>提案</w:t>
      </w:r>
      <w:r w:rsidRPr="00DF5C23">
        <w:rPr>
          <w:noProof/>
          <w:lang w:eastAsia="ja-JP"/>
        </w:rPr>
        <w:t>/</w:t>
      </w:r>
      <w:r w:rsidRPr="00DF5C23">
        <w:rPr>
          <w:noProof/>
          <w:lang w:eastAsia="ja-JP"/>
        </w:rPr>
        <w:t>イニシアチブの財務的影響の見積もり</w:t>
      </w:r>
      <w:r w:rsidRPr="00DF5C23">
        <w:rPr>
          <w:noProof/>
          <w:lang w:eastAsia="ja-JP"/>
        </w:rPr>
        <w:tab/>
      </w:r>
    </w:p>
    <w:p w14:paraId="60E75DF6" w14:textId="77777777" w:rsidR="0038775E" w:rsidRDefault="00877B9C" w:rsidP="002041D4">
      <w:pPr>
        <w:pStyle w:val="ManualHeading2"/>
        <w:wordWrap w:val="0"/>
        <w:rPr>
          <w:noProof/>
          <w:lang w:eastAsia="ja-JP"/>
        </w:rPr>
      </w:pPr>
      <w:r w:rsidRPr="00DF5C23">
        <w:rPr>
          <w:noProof/>
          <w:lang w:eastAsia="ja-JP"/>
        </w:rPr>
        <w:tab/>
        <w:t>3.1.</w:t>
      </w:r>
      <w:r w:rsidRPr="00DF5C23">
        <w:rPr>
          <w:noProof/>
          <w:lang w:eastAsia="ja-JP"/>
        </w:rPr>
        <w:tab/>
      </w:r>
      <w:r w:rsidRPr="00DF5C23">
        <w:rPr>
          <w:noProof/>
          <w:lang w:eastAsia="ja-JP"/>
        </w:rPr>
        <w:t>影響を受ける多年次財政フレームワークと支出予算ラインの見出し（複数可</w:t>
      </w:r>
    </w:p>
    <w:p w14:paraId="270CA034" w14:textId="77777777" w:rsidR="0038775E" w:rsidRDefault="00877B9C" w:rsidP="002041D4">
      <w:pPr>
        <w:pStyle w:val="ManualHeading2"/>
        <w:wordWrap w:val="0"/>
        <w:rPr>
          <w:noProof/>
          <w:lang w:eastAsia="ja-JP"/>
        </w:rPr>
      </w:pPr>
      <w:r w:rsidRPr="00DF5C23">
        <w:rPr>
          <w:noProof/>
          <w:lang w:eastAsia="ja-JP"/>
        </w:rPr>
        <w:tab/>
        <w:t>3.2.</w:t>
      </w:r>
      <w:r w:rsidRPr="00DF5C23">
        <w:rPr>
          <w:noProof/>
          <w:lang w:eastAsia="ja-JP"/>
        </w:rPr>
        <w:tab/>
      </w:r>
      <w:r w:rsidRPr="00DF5C23">
        <w:rPr>
          <w:noProof/>
          <w:lang w:eastAsia="ja-JP"/>
        </w:rPr>
        <w:t>本提案が充当する財務上の影響の見積もり</w:t>
      </w:r>
    </w:p>
    <w:p w14:paraId="2A6AABB5" w14:textId="77777777" w:rsidR="0038775E" w:rsidRDefault="00877B9C" w:rsidP="002041D4">
      <w:pPr>
        <w:pStyle w:val="ManualHeading3"/>
        <w:wordWrap w:val="0"/>
        <w:rPr>
          <w:noProof/>
          <w:lang w:eastAsia="ja-JP"/>
        </w:rPr>
      </w:pPr>
      <w:r w:rsidRPr="00DF5C23">
        <w:rPr>
          <w:noProof/>
          <w:lang w:eastAsia="ja-JP"/>
        </w:rPr>
        <w:tab/>
        <w:t>3.2.1.</w:t>
      </w:r>
      <w:r w:rsidRPr="00DF5C23">
        <w:rPr>
          <w:noProof/>
          <w:lang w:eastAsia="ja-JP"/>
        </w:rPr>
        <w:tab/>
      </w:r>
      <w:r w:rsidRPr="00DF5C23">
        <w:rPr>
          <w:noProof/>
          <w:lang w:eastAsia="ja-JP"/>
        </w:rPr>
        <w:t>運営費交付金への影響試算の概要</w:t>
      </w:r>
    </w:p>
    <w:p w14:paraId="5949F6CD" w14:textId="77777777" w:rsidR="0038775E" w:rsidRDefault="00877B9C" w:rsidP="002041D4">
      <w:pPr>
        <w:pStyle w:val="ManualHeading3"/>
        <w:wordWrap w:val="0"/>
        <w:rPr>
          <w:noProof/>
          <w:lang w:eastAsia="ja-JP"/>
        </w:rPr>
      </w:pPr>
      <w:r w:rsidRPr="00DF5C23">
        <w:rPr>
          <w:noProof/>
          <w:lang w:eastAsia="ja-JP"/>
        </w:rPr>
        <w:tab/>
        <w:t>3.2.2.</w:t>
      </w:r>
      <w:r w:rsidRPr="00DF5C23">
        <w:rPr>
          <w:noProof/>
          <w:lang w:eastAsia="ja-JP"/>
        </w:rPr>
        <w:tab/>
      </w:r>
      <w:r w:rsidRPr="00DF5C23">
        <w:rPr>
          <w:noProof/>
          <w:lang w:eastAsia="ja-JP"/>
        </w:rPr>
        <w:t>運営費交付金で賄われる</w:t>
      </w:r>
      <w:r w:rsidRPr="00DF5C23">
        <w:rPr>
          <w:noProof/>
          <w:lang w:eastAsia="ja-JP"/>
        </w:rPr>
        <w:t>アウトプットの見積もり</w:t>
      </w:r>
    </w:p>
    <w:p w14:paraId="058DEB38" w14:textId="77777777" w:rsidR="0038775E" w:rsidRDefault="00877B9C" w:rsidP="002041D4">
      <w:pPr>
        <w:pStyle w:val="ManualHeading3"/>
        <w:wordWrap w:val="0"/>
        <w:rPr>
          <w:noProof/>
          <w:lang w:eastAsia="ja-JP"/>
        </w:rPr>
      </w:pPr>
      <w:r w:rsidRPr="00DF5C23">
        <w:rPr>
          <w:noProof/>
          <w:lang w:eastAsia="ja-JP"/>
        </w:rPr>
        <w:tab/>
        <w:t>3.2.3.</w:t>
      </w:r>
      <w:r w:rsidRPr="00DF5C23">
        <w:rPr>
          <w:noProof/>
          <w:lang w:eastAsia="ja-JP"/>
        </w:rPr>
        <w:tab/>
      </w:r>
      <w:r w:rsidRPr="00DF5C23">
        <w:rPr>
          <w:noProof/>
          <w:lang w:eastAsia="ja-JP"/>
        </w:rPr>
        <w:t>行政処分への影響試算の概要</w:t>
      </w:r>
    </w:p>
    <w:p w14:paraId="30858788" w14:textId="77777777" w:rsidR="0038775E" w:rsidRDefault="00877B9C" w:rsidP="002041D4">
      <w:pPr>
        <w:pStyle w:val="ManualHeading3"/>
        <w:wordWrap w:val="0"/>
        <w:rPr>
          <w:noProof/>
          <w:lang w:eastAsia="ja-JP"/>
        </w:rPr>
      </w:pPr>
      <w:r w:rsidRPr="00DF5C23">
        <w:rPr>
          <w:noProof/>
          <w:lang w:eastAsia="ja-JP"/>
        </w:rPr>
        <w:tab/>
        <w:t>3.2.4.</w:t>
      </w:r>
      <w:r w:rsidRPr="00DF5C23">
        <w:rPr>
          <w:noProof/>
          <w:lang w:eastAsia="ja-JP"/>
        </w:rPr>
        <w:tab/>
      </w:r>
      <w:r w:rsidRPr="00DF5C23">
        <w:rPr>
          <w:noProof/>
          <w:lang w:eastAsia="ja-JP"/>
        </w:rPr>
        <w:t>現行の多年度財政フレームワークとの整合性</w:t>
      </w:r>
    </w:p>
    <w:p w14:paraId="0DAD2B20" w14:textId="77777777" w:rsidR="0038775E" w:rsidRDefault="00877B9C" w:rsidP="002041D4">
      <w:pPr>
        <w:pStyle w:val="ManualHeading3"/>
        <w:wordWrap w:val="0"/>
        <w:rPr>
          <w:noProof/>
          <w:lang w:eastAsia="ja-JP"/>
        </w:rPr>
      </w:pPr>
      <w:r w:rsidRPr="00DF5C23">
        <w:rPr>
          <w:noProof/>
          <w:lang w:eastAsia="ja-JP"/>
        </w:rPr>
        <w:tab/>
        <w:t>3.2.5.</w:t>
      </w:r>
      <w:r w:rsidRPr="00DF5C23">
        <w:rPr>
          <w:noProof/>
          <w:lang w:eastAsia="ja-JP"/>
        </w:rPr>
        <w:tab/>
      </w:r>
      <w:r w:rsidRPr="00DF5C23">
        <w:rPr>
          <w:noProof/>
          <w:lang w:eastAsia="ja-JP"/>
        </w:rPr>
        <w:t>第三者への提供</w:t>
      </w:r>
    </w:p>
    <w:p w14:paraId="475C1F60" w14:textId="77777777" w:rsidR="0038775E" w:rsidRDefault="00877B9C" w:rsidP="002041D4">
      <w:pPr>
        <w:pStyle w:val="ManualHeading2"/>
        <w:wordWrap w:val="0"/>
        <w:rPr>
          <w:noProof/>
          <w:lang w:eastAsia="ja-JP"/>
        </w:rPr>
      </w:pPr>
      <w:r w:rsidRPr="00DF5C23">
        <w:rPr>
          <w:noProof/>
          <w:lang w:eastAsia="ja-JP"/>
        </w:rPr>
        <w:tab/>
        <w:t>3.3.</w:t>
      </w:r>
      <w:r w:rsidRPr="00DF5C23">
        <w:rPr>
          <w:noProof/>
          <w:lang w:eastAsia="ja-JP"/>
        </w:rPr>
        <w:tab/>
      </w:r>
      <w:r w:rsidRPr="00DF5C23">
        <w:rPr>
          <w:noProof/>
          <w:lang w:eastAsia="ja-JP"/>
        </w:rPr>
        <w:t>収益への影響試算</w:t>
      </w:r>
    </w:p>
    <w:p w14:paraId="2C3A5914" w14:textId="77777777" w:rsidR="005879E3" w:rsidRPr="00DF5C23" w:rsidRDefault="005879E3" w:rsidP="002041D4">
      <w:pPr>
        <w:wordWrap w:val="0"/>
        <w:rPr>
          <w:noProof/>
          <w:lang w:eastAsia="ja-JP"/>
        </w:rPr>
        <w:sectPr w:rsidR="005879E3" w:rsidRPr="00DF5C23" w:rsidSect="008B42B0">
          <w:pgSz w:w="11907" w:h="16840" w:code="9"/>
          <w:pgMar w:top="1134" w:right="1418" w:bottom="1134" w:left="1418" w:header="709" w:footer="709" w:gutter="0"/>
          <w:cols w:space="708"/>
          <w:docGrid w:linePitch="360"/>
        </w:sectPr>
      </w:pPr>
    </w:p>
    <w:p w14:paraId="342C7AEB" w14:textId="77777777" w:rsidR="0038775E" w:rsidRDefault="00877B9C" w:rsidP="002041D4">
      <w:pPr>
        <w:pStyle w:val="ManualHeading1"/>
        <w:wordWrap w:val="0"/>
        <w:rPr>
          <w:noProof/>
          <w:lang w:eastAsia="ja-JP"/>
        </w:rPr>
      </w:pPr>
      <w:bookmarkStart w:id="1" w:name="_Toc514938007"/>
      <w:bookmarkStart w:id="2" w:name="_Toc520485025"/>
      <w:bookmarkStart w:id="3" w:name="_Toc514938011"/>
      <w:bookmarkStart w:id="4" w:name="_Toc520485027"/>
      <w:r w:rsidRPr="004F5E59">
        <w:rPr>
          <w:lang w:eastAsia="ja-JP"/>
        </w:rPr>
        <w:lastRenderedPageBreak/>
        <w:t>1.</w:t>
      </w:r>
      <w:r w:rsidRPr="004F5E59">
        <w:rPr>
          <w:lang w:eastAsia="ja-JP"/>
        </w:rPr>
        <w:tab/>
      </w:r>
      <w:r w:rsidR="003102BB" w:rsidRPr="00DF5C23">
        <w:rPr>
          <w:noProof/>
          <w:lang w:eastAsia="ja-JP"/>
        </w:rPr>
        <w:t>提案・イニシアチブの枠組み</w:t>
      </w:r>
      <w:r w:rsidR="003102BB" w:rsidRPr="00DF5C23">
        <w:rPr>
          <w:noProof/>
          <w:lang w:eastAsia="ja-JP"/>
        </w:rPr>
        <w:t xml:space="preserve"> </w:t>
      </w:r>
      <w:bookmarkEnd w:id="1"/>
      <w:bookmarkEnd w:id="2"/>
    </w:p>
    <w:p w14:paraId="2974696E" w14:textId="77777777" w:rsidR="0038775E" w:rsidRDefault="00877B9C" w:rsidP="002041D4">
      <w:pPr>
        <w:pStyle w:val="ManualHeading2"/>
        <w:wordWrap w:val="0"/>
        <w:rPr>
          <w:noProof/>
          <w:lang w:eastAsia="ja-JP"/>
        </w:rPr>
      </w:pPr>
      <w:bookmarkStart w:id="5" w:name="_Toc514938008"/>
      <w:bookmarkStart w:id="6" w:name="_Toc520485026"/>
      <w:r w:rsidRPr="004F5E59">
        <w:rPr>
          <w:lang w:eastAsia="ja-JP"/>
        </w:rPr>
        <w:t>1.1.</w:t>
      </w:r>
      <w:r w:rsidRPr="004F5E59">
        <w:rPr>
          <w:lang w:eastAsia="ja-JP"/>
        </w:rPr>
        <w:tab/>
      </w:r>
      <w:r w:rsidR="003102BB" w:rsidRPr="00DF5C23">
        <w:rPr>
          <w:noProof/>
          <w:lang w:eastAsia="ja-JP"/>
        </w:rPr>
        <w:t>提案</w:t>
      </w:r>
      <w:r w:rsidR="003102BB" w:rsidRPr="00DF5C23">
        <w:rPr>
          <w:noProof/>
          <w:lang w:eastAsia="ja-JP"/>
        </w:rPr>
        <w:t>/</w:t>
      </w:r>
      <w:r w:rsidR="003102BB" w:rsidRPr="00DF5C23">
        <w:rPr>
          <w:noProof/>
          <w:lang w:eastAsia="ja-JP"/>
        </w:rPr>
        <w:t>イニシアチブのタイトル</w:t>
      </w:r>
      <w:bookmarkEnd w:id="5"/>
      <w:bookmarkEnd w:id="6"/>
    </w:p>
    <w:p w14:paraId="71FD758D" w14:textId="77777777" w:rsidR="0038775E" w:rsidRDefault="00877B9C" w:rsidP="002041D4">
      <w:pPr>
        <w:keepNext/>
        <w:wordWrap w:val="0"/>
        <w:ind w:left="720"/>
        <w:outlineLvl w:val="1"/>
        <w:rPr>
          <w:rFonts w:eastAsia="Calibri"/>
          <w:noProof/>
          <w:lang w:eastAsia="ja-JP"/>
        </w:rPr>
      </w:pPr>
      <w:r w:rsidRPr="00DF5C23">
        <w:rPr>
          <w:rFonts w:eastAsia="Calibri"/>
          <w:noProof/>
          <w:lang w:eastAsia="ja-JP"/>
        </w:rPr>
        <w:t>持続可能な製品に対するエコデザインの要求事項を設定するための枠組みを確立し、指令</w:t>
      </w:r>
      <w:r w:rsidRPr="00DF5C23">
        <w:rPr>
          <w:rFonts w:eastAsia="Calibri"/>
          <w:noProof/>
          <w:lang w:eastAsia="ja-JP"/>
        </w:rPr>
        <w:t>2009/125</w:t>
      </w:r>
      <w:r w:rsidR="00BF1765" w:rsidRPr="00DF5C23">
        <w:rPr>
          <w:rFonts w:eastAsia="Calibri"/>
          <w:noProof/>
          <w:lang w:eastAsia="ja-JP"/>
        </w:rPr>
        <w:t>/</w:t>
      </w:r>
      <w:r w:rsidRPr="00DF5C23">
        <w:rPr>
          <w:rFonts w:eastAsia="Calibri"/>
          <w:noProof/>
          <w:lang w:eastAsia="ja-JP"/>
        </w:rPr>
        <w:t>EC</w:t>
      </w:r>
      <w:r w:rsidRPr="00DF5C23">
        <w:rPr>
          <w:rFonts w:eastAsia="Calibri"/>
          <w:noProof/>
          <w:lang w:eastAsia="ja-JP"/>
        </w:rPr>
        <w:t>を廃止するための欧州議会および理事会規則の提案書</w:t>
      </w:r>
      <w:r w:rsidRPr="00DF5C23">
        <w:rPr>
          <w:rFonts w:eastAsia="Calibri"/>
          <w:noProof/>
          <w:lang w:eastAsia="ja-JP"/>
        </w:rPr>
        <w:t xml:space="preserve"> </w:t>
      </w:r>
    </w:p>
    <w:p w14:paraId="2393A533" w14:textId="77777777" w:rsidR="0038775E" w:rsidRDefault="00877B9C" w:rsidP="002041D4">
      <w:pPr>
        <w:pStyle w:val="ManualHeading2"/>
        <w:wordWrap w:val="0"/>
        <w:rPr>
          <w:i/>
          <w:noProof/>
          <w:lang w:eastAsia="ja-JP"/>
        </w:rPr>
      </w:pPr>
      <w:bookmarkStart w:id="7" w:name="_Toc514938014"/>
      <w:bookmarkStart w:id="8" w:name="_Toc520485028"/>
      <w:bookmarkEnd w:id="3"/>
      <w:bookmarkEnd w:id="4"/>
      <w:r w:rsidRPr="004F5E59">
        <w:rPr>
          <w:lang w:eastAsia="ja-JP"/>
        </w:rPr>
        <w:t>1.2.</w:t>
      </w:r>
      <w:r w:rsidRPr="004F5E59">
        <w:rPr>
          <w:lang w:eastAsia="ja-JP"/>
        </w:rPr>
        <w:tab/>
      </w:r>
      <w:r w:rsidR="003102BB" w:rsidRPr="00DF5C23">
        <w:rPr>
          <w:i/>
          <w:noProof/>
          <w:lang w:eastAsia="ja-JP"/>
        </w:rPr>
        <w:t>関係する</w:t>
      </w:r>
      <w:r w:rsidR="003102BB" w:rsidRPr="00DF5C23">
        <w:rPr>
          <w:noProof/>
          <w:lang w:eastAsia="ja-JP"/>
        </w:rPr>
        <w:t>政策領域（複数可</w:t>
      </w:r>
      <w:r w:rsidR="003102BB" w:rsidRPr="00DF5C23">
        <w:rPr>
          <w:noProof/>
          <w:lang w:eastAsia="ja-JP"/>
        </w:rPr>
        <w:t xml:space="preserve"> </w:t>
      </w:r>
    </w:p>
    <w:p w14:paraId="72355C7B" w14:textId="77777777" w:rsidR="0038775E" w:rsidRDefault="00877B9C" w:rsidP="002041D4">
      <w:pPr>
        <w:wordWrap w:val="0"/>
        <w:ind w:left="850"/>
        <w:rPr>
          <w:rFonts w:eastAsia="Calibri"/>
          <w:noProof/>
          <w:lang w:eastAsia="ja-JP"/>
        </w:rPr>
      </w:pPr>
      <w:r w:rsidRPr="00DF5C23">
        <w:rPr>
          <w:rFonts w:eastAsia="Calibri"/>
          <w:noProof/>
          <w:lang w:eastAsia="ja-JP"/>
        </w:rPr>
        <w:t xml:space="preserve">03 - </w:t>
      </w:r>
      <w:r w:rsidRPr="00DF5C23">
        <w:rPr>
          <w:rFonts w:eastAsia="Calibri"/>
          <w:noProof/>
          <w:lang w:eastAsia="ja-JP"/>
        </w:rPr>
        <w:t>シングルマーケット</w:t>
      </w:r>
    </w:p>
    <w:p w14:paraId="0429DB6A" w14:textId="77777777" w:rsidR="0038775E" w:rsidRDefault="00877B9C" w:rsidP="002041D4">
      <w:pPr>
        <w:wordWrap w:val="0"/>
        <w:ind w:left="850"/>
        <w:rPr>
          <w:rFonts w:eastAsia="Calibri"/>
          <w:noProof/>
          <w:lang w:eastAsia="ja-JP"/>
        </w:rPr>
      </w:pPr>
      <w:r w:rsidRPr="00DF5C23">
        <w:rPr>
          <w:rFonts w:eastAsia="Calibri"/>
          <w:noProof/>
          <w:lang w:eastAsia="ja-JP"/>
        </w:rPr>
        <w:t xml:space="preserve">09 - </w:t>
      </w:r>
      <w:r w:rsidRPr="00DF5C23">
        <w:rPr>
          <w:rFonts w:eastAsia="Calibri"/>
          <w:noProof/>
          <w:lang w:eastAsia="ja-JP"/>
        </w:rPr>
        <w:t>環境・気候変動対策</w:t>
      </w:r>
    </w:p>
    <w:bookmarkEnd w:id="7"/>
    <w:bookmarkEnd w:id="8"/>
    <w:p w14:paraId="54D32761" w14:textId="77777777" w:rsidR="0038775E" w:rsidRDefault="00877B9C" w:rsidP="002041D4">
      <w:pPr>
        <w:pStyle w:val="ManualHeading2"/>
        <w:wordWrap w:val="0"/>
        <w:rPr>
          <w:bCs/>
          <w:noProof/>
          <w:szCs w:val="24"/>
          <w:lang w:eastAsia="ja-JP"/>
        </w:rPr>
      </w:pPr>
      <w:r w:rsidRPr="004F5E59">
        <w:rPr>
          <w:lang w:eastAsia="ja-JP"/>
        </w:rPr>
        <w:t>1.3.</w:t>
      </w:r>
      <w:r w:rsidRPr="004F5E59">
        <w:rPr>
          <w:lang w:eastAsia="ja-JP"/>
        </w:rPr>
        <w:tab/>
      </w:r>
      <w:r w:rsidR="003102BB" w:rsidRPr="00DF5C23">
        <w:rPr>
          <w:noProof/>
          <w:lang w:eastAsia="ja-JP"/>
        </w:rPr>
        <w:t>提案・イニシアチブは、以下のことに関連する：</w:t>
      </w:r>
      <w:r w:rsidR="003102BB" w:rsidRPr="00DF5C23">
        <w:rPr>
          <w:noProof/>
          <w:lang w:eastAsia="ja-JP"/>
        </w:rPr>
        <w:t xml:space="preserve"> </w:t>
      </w:r>
    </w:p>
    <w:p w14:paraId="439AA515" w14:textId="77777777" w:rsidR="0038775E" w:rsidRDefault="00877B9C" w:rsidP="002041D4">
      <w:pPr>
        <w:wordWrap w:val="0"/>
        <w:ind w:left="850"/>
        <w:rPr>
          <w:rFonts w:eastAsia="Calibri"/>
          <w:b/>
          <w:noProof/>
          <w:sz w:val="22"/>
        </w:rPr>
      </w:pPr>
      <w:r w:rsidRPr="00DF5C23">
        <w:rPr>
          <w:rFonts w:eastAsia="Calibri"/>
          <w:noProof/>
          <w:sz w:val="22"/>
        </w:rPr>
        <w:sym w:font="Wingdings" w:char="F0A8"/>
      </w:r>
      <w:r w:rsidRPr="00DF5C23">
        <w:rPr>
          <w:rFonts w:eastAsia="Calibri"/>
          <w:b/>
          <w:noProof/>
          <w:sz w:val="22"/>
        </w:rPr>
        <w:t>しんこうさく</w:t>
      </w:r>
      <w:r w:rsidRPr="00DF5C23">
        <w:rPr>
          <w:rFonts w:eastAsia="Calibri"/>
          <w:b/>
          <w:noProof/>
          <w:sz w:val="22"/>
        </w:rPr>
        <w:t xml:space="preserve"> </w:t>
      </w:r>
    </w:p>
    <w:p w14:paraId="1EBBDF3D" w14:textId="77777777" w:rsidR="0038775E" w:rsidRDefault="00877B9C" w:rsidP="002041D4">
      <w:pPr>
        <w:wordWrap w:val="0"/>
        <w:ind w:left="850"/>
        <w:rPr>
          <w:rFonts w:eastAsia="Calibri"/>
          <w:noProof/>
          <w:sz w:val="22"/>
        </w:rPr>
      </w:pPr>
      <w:r w:rsidRPr="00DF5C23">
        <w:rPr>
          <w:rFonts w:eastAsia="Calibri"/>
          <w:noProof/>
          <w:sz w:val="22"/>
        </w:rPr>
        <w:sym w:font="Wingdings" w:char="F0A8"/>
      </w:r>
      <w:r w:rsidRPr="00DF5C23">
        <w:rPr>
          <w:rFonts w:eastAsia="Calibri"/>
          <w:b/>
          <w:bCs/>
          <w:noProof/>
        </w:rPr>
        <w:t>a pilot project/preparatory action</w:t>
      </w:r>
      <w:r w:rsidRPr="00DF5C23">
        <w:rPr>
          <w:rFonts w:eastAsia="Calibri"/>
          <w:b/>
          <w:bCs/>
          <w:noProof/>
        </w:rPr>
        <w:t>に続く新しいアクション</w:t>
      </w:r>
      <w:r w:rsidRPr="00DF5C23">
        <w:rPr>
          <w:rFonts w:eastAsia="Calibri"/>
          <w:b/>
          <w:bCs/>
          <w:noProof/>
        </w:rPr>
        <w:t xml:space="preserve"> </w:t>
      </w:r>
      <w:r w:rsidR="00C41ADE" w:rsidRPr="00DF5C23">
        <w:rPr>
          <w:rStyle w:val="afa"/>
          <w:rFonts w:eastAsia="Calibri"/>
          <w:b/>
          <w:bCs/>
          <w:noProof/>
        </w:rPr>
        <w:footnoteReference w:id="87"/>
      </w:r>
    </w:p>
    <w:p w14:paraId="6631D03D" w14:textId="77777777" w:rsidR="0038775E" w:rsidRDefault="00877B9C" w:rsidP="002041D4">
      <w:pPr>
        <w:wordWrap w:val="0"/>
        <w:ind w:left="850"/>
        <w:rPr>
          <w:rFonts w:eastAsia="Calibri"/>
          <w:noProof/>
          <w:sz w:val="22"/>
        </w:rPr>
      </w:pPr>
      <w:r w:rsidRPr="00DF5C23">
        <w:rPr>
          <w:rFonts w:eastAsia="Calibri"/>
          <w:noProof/>
          <w:sz w:val="22"/>
        </w:rPr>
        <w:sym w:font="Wingdings" w:char="F0FE"/>
      </w:r>
      <w:r w:rsidRPr="00DF5C23">
        <w:rPr>
          <w:rFonts w:eastAsia="Calibri"/>
          <w:b/>
          <w:noProof/>
        </w:rPr>
        <w:t>えんこ</w:t>
      </w:r>
      <w:r w:rsidRPr="00DF5C23">
        <w:rPr>
          <w:rFonts w:eastAsia="Calibri"/>
          <w:noProof/>
          <w:sz w:val="22"/>
        </w:rPr>
        <w:t>う</w:t>
      </w:r>
      <w:r w:rsidRPr="00DF5C23">
        <w:rPr>
          <w:rFonts w:eastAsia="Calibri"/>
          <w:noProof/>
          <w:sz w:val="22"/>
        </w:rPr>
        <w:t xml:space="preserve"> </w:t>
      </w:r>
    </w:p>
    <w:p w14:paraId="200E9F4F" w14:textId="77777777" w:rsidR="0038775E" w:rsidRDefault="00877B9C" w:rsidP="002041D4">
      <w:pPr>
        <w:wordWrap w:val="0"/>
        <w:ind w:left="850"/>
        <w:rPr>
          <w:rFonts w:eastAsia="Calibri"/>
          <w:noProof/>
        </w:rPr>
      </w:pPr>
      <w:r w:rsidRPr="00DF5C23">
        <w:rPr>
          <w:rFonts w:eastAsia="Calibri"/>
          <w:noProof/>
          <w:sz w:val="22"/>
        </w:rPr>
        <w:sym w:font="Wingdings" w:char="F0FE"/>
      </w:r>
      <w:r w:rsidRPr="00DF5C23">
        <w:rPr>
          <w:rFonts w:eastAsia="Calibri"/>
          <w:noProof/>
        </w:rPr>
        <w:t>合従連衡</w:t>
      </w:r>
      <w:r w:rsidRPr="00DF5C23">
        <w:rPr>
          <w:rFonts w:eastAsia="Calibri"/>
          <w:noProof/>
        </w:rPr>
        <w:t xml:space="preserve"> </w:t>
      </w:r>
    </w:p>
    <w:p w14:paraId="6C0269CC" w14:textId="77777777" w:rsidR="0038775E" w:rsidRDefault="00877B9C" w:rsidP="002041D4">
      <w:pPr>
        <w:pStyle w:val="ManualHeading2"/>
        <w:wordWrap w:val="0"/>
        <w:rPr>
          <w:bCs/>
          <w:noProof/>
          <w:szCs w:val="24"/>
        </w:rPr>
      </w:pPr>
      <w:bookmarkStart w:id="9" w:name="_Toc514938015"/>
      <w:bookmarkStart w:id="10" w:name="_Toc520485029"/>
      <w:bookmarkStart w:id="11" w:name="_Toc514938018"/>
      <w:bookmarkStart w:id="12" w:name="_Toc520485031"/>
      <w:r w:rsidRPr="004F5E59">
        <w:t>1.4.</w:t>
      </w:r>
      <w:r w:rsidRPr="004F5E59">
        <w:tab/>
      </w:r>
      <w:r w:rsidR="003102BB" w:rsidRPr="00DF5C23">
        <w:rPr>
          <w:noProof/>
        </w:rPr>
        <w:t>目的</w:t>
      </w:r>
      <w:r w:rsidR="003102BB" w:rsidRPr="00DF5C23">
        <w:rPr>
          <w:noProof/>
        </w:rPr>
        <w:t>(</w:t>
      </w:r>
      <w:r w:rsidR="003102BB" w:rsidRPr="00DF5C23">
        <w:rPr>
          <w:noProof/>
        </w:rPr>
        <w:t>複数</w:t>
      </w:r>
      <w:r w:rsidR="003102BB" w:rsidRPr="00DF5C23">
        <w:rPr>
          <w:noProof/>
        </w:rPr>
        <w:t>)</w:t>
      </w:r>
      <w:bookmarkEnd w:id="9"/>
      <w:bookmarkEnd w:id="10"/>
    </w:p>
    <w:p w14:paraId="33A1979E" w14:textId="77777777" w:rsidR="0038775E" w:rsidRDefault="00877B9C" w:rsidP="002041D4">
      <w:pPr>
        <w:pStyle w:val="ManualHeading3"/>
        <w:wordWrap w:val="0"/>
        <w:rPr>
          <w:noProof/>
        </w:rPr>
      </w:pPr>
      <w:bookmarkStart w:id="13" w:name="_Toc514938016"/>
      <w:bookmarkStart w:id="14" w:name="_Toc520485030"/>
      <w:r w:rsidRPr="004F5E59">
        <w:t>1.4.1.</w:t>
      </w:r>
      <w:r w:rsidRPr="004F5E59">
        <w:tab/>
      </w:r>
      <w:r w:rsidR="003102BB" w:rsidRPr="00DF5C23">
        <w:rPr>
          <w:noProof/>
        </w:rPr>
        <w:t>一般的な目的</w:t>
      </w:r>
      <w:r w:rsidR="003102BB" w:rsidRPr="00DF5C23">
        <w:rPr>
          <w:noProof/>
        </w:rPr>
        <w:t>(</w:t>
      </w:r>
      <w:r w:rsidR="003102BB" w:rsidRPr="00DF5C23">
        <w:rPr>
          <w:noProof/>
        </w:rPr>
        <w:t>複数可</w:t>
      </w:r>
      <w:r w:rsidR="003102BB" w:rsidRPr="00DF5C23">
        <w:rPr>
          <w:noProof/>
        </w:rPr>
        <w:t>)</w:t>
      </w:r>
      <w:bookmarkEnd w:id="13"/>
      <w:bookmarkEnd w:id="14"/>
    </w:p>
    <w:p w14:paraId="59426070" w14:textId="77777777" w:rsidR="0038775E" w:rsidRDefault="00877B9C" w:rsidP="002041D4">
      <w:pPr>
        <w:wordWrap w:val="0"/>
        <w:ind w:left="850"/>
        <w:rPr>
          <w:rFonts w:eastAsia="Calibri"/>
          <w:noProof/>
          <w:lang w:val="en-IE" w:eastAsia="fr-BE"/>
        </w:rPr>
      </w:pPr>
      <w:r w:rsidRPr="00DF5C23">
        <w:rPr>
          <w:rFonts w:eastAsia="Calibri"/>
          <w:noProof/>
          <w:lang w:val="en-IE" w:eastAsia="fr-BE"/>
        </w:rPr>
        <w:t>本規則の目的は、</w:t>
      </w:r>
      <w:r w:rsidR="00BC51D8" w:rsidRPr="00DF5C23">
        <w:rPr>
          <w:noProof/>
          <w:lang w:val="en-IE" w:eastAsia="ja-JP"/>
        </w:rPr>
        <w:t>製品の環境持続可能性を</w:t>
      </w:r>
      <w:r w:rsidRPr="00DF5C23">
        <w:rPr>
          <w:rFonts w:eastAsia="Calibri"/>
          <w:noProof/>
          <w:lang w:val="en-IE" w:eastAsia="fr-BE"/>
        </w:rPr>
        <w:t>向上さ</w:t>
      </w:r>
      <w:r w:rsidRPr="00DF5C23">
        <w:rPr>
          <w:rFonts w:eastAsia="Calibri"/>
          <w:noProof/>
          <w:lang w:val="en-IE" w:eastAsia="fr-BE"/>
        </w:rPr>
        <w:t>せ、持続可能性の要求が設定された製品の域内市場における自由な移動を確保することである。</w:t>
      </w:r>
      <w:r w:rsidRPr="00DF5C23">
        <w:rPr>
          <w:rFonts w:eastAsia="Calibri"/>
          <w:noProof/>
          <w:lang w:val="en-IE" w:eastAsia="fr-BE"/>
        </w:rPr>
        <w:t xml:space="preserve"> </w:t>
      </w:r>
    </w:p>
    <w:p w14:paraId="627A92EF" w14:textId="1A49F003" w:rsidR="0038775E" w:rsidRDefault="00877B9C" w:rsidP="002041D4">
      <w:pPr>
        <w:wordWrap w:val="0"/>
        <w:ind w:left="850"/>
        <w:rPr>
          <w:rFonts w:eastAsia="Calibri"/>
          <w:noProof/>
          <w:lang w:eastAsia="ja-JP"/>
        </w:rPr>
      </w:pPr>
      <w:r w:rsidRPr="00DF5C23">
        <w:rPr>
          <w:rFonts w:eastAsia="Calibri"/>
          <w:noProof/>
          <w:lang w:val="en-IE" w:eastAsia="fr-BE"/>
        </w:rPr>
        <w:t>これは、製品の耐久性、再利用性、アップグレード性、修理可能性、製品中の懸念物質の存在、製品のエネルギーおよび資源効率、製品中のリサイクル含有量、製品の再製造および高品質のリサイクル、製品の炭素および環境フットプリント削減に関する要件を含む委任法の採択を規定することで実現されて</w:t>
      </w:r>
      <w:r w:rsidR="002041D4">
        <w:rPr>
          <w:rFonts w:ascii="ＭＳ 明朝" w:eastAsia="ＭＳ 明朝" w:hAnsi="ＭＳ 明朝" w:cs="ＭＳ 明朝" w:hint="eastAsia"/>
          <w:noProof/>
          <w:lang w:val="en-IE" w:eastAsia="fr-BE"/>
        </w:rPr>
        <w:t>いる。</w:t>
      </w:r>
      <w:r w:rsidRPr="00DF5C23">
        <w:rPr>
          <w:rFonts w:eastAsia="Calibri"/>
          <w:noProof/>
          <w:lang w:val="en-IE" w:eastAsia="fr-BE"/>
        </w:rPr>
        <w:t>また、デジタル製品パスポート（「製品パスポート」）の作成、グリーン公共調達の必須基準の設定、売れ残った消費者製品の廃棄を防ぐための枠組みの</w:t>
      </w:r>
      <w:r w:rsidRPr="00DF5C23">
        <w:rPr>
          <w:rFonts w:eastAsia="Calibri"/>
          <w:noProof/>
          <w:lang w:val="en-IE" w:eastAsia="fr-BE"/>
        </w:rPr>
        <w:t>構築についても規定して</w:t>
      </w:r>
      <w:r w:rsidR="002041D4">
        <w:rPr>
          <w:rFonts w:ascii="ＭＳ 明朝" w:eastAsia="ＭＳ 明朝" w:hAnsi="ＭＳ 明朝" w:cs="ＭＳ 明朝" w:hint="eastAsia"/>
          <w:noProof/>
          <w:lang w:val="en-IE" w:eastAsia="fr-BE"/>
        </w:rPr>
        <w:t>いる。</w:t>
      </w:r>
    </w:p>
    <w:bookmarkEnd w:id="11"/>
    <w:bookmarkEnd w:id="12"/>
    <w:p w14:paraId="1363CA65" w14:textId="77777777" w:rsidR="0038775E" w:rsidRDefault="00877B9C" w:rsidP="002041D4">
      <w:pPr>
        <w:pStyle w:val="ManualHeading3"/>
        <w:wordWrap w:val="0"/>
        <w:rPr>
          <w:noProof/>
          <w:lang w:eastAsia="ja-JP"/>
        </w:rPr>
      </w:pPr>
      <w:r w:rsidRPr="004F5E59">
        <w:rPr>
          <w:lang w:eastAsia="ja-JP"/>
        </w:rPr>
        <w:t>1.4.2.</w:t>
      </w:r>
      <w:r w:rsidRPr="004F5E59">
        <w:rPr>
          <w:lang w:eastAsia="ja-JP"/>
        </w:rPr>
        <w:tab/>
      </w:r>
      <w:r w:rsidR="003102BB" w:rsidRPr="00DF5C23">
        <w:rPr>
          <w:noProof/>
          <w:lang w:eastAsia="ja-JP"/>
        </w:rPr>
        <w:t>具体的な目標（複数可）</w:t>
      </w:r>
    </w:p>
    <w:p w14:paraId="765849EC" w14:textId="1E99714A" w:rsidR="0038775E" w:rsidRDefault="00877B9C" w:rsidP="002041D4">
      <w:pPr>
        <w:pBdr>
          <w:top w:val="single" w:sz="4" w:space="1" w:color="auto"/>
          <w:left w:val="single" w:sz="4" w:space="4" w:color="auto"/>
          <w:bottom w:val="single" w:sz="4" w:space="1" w:color="auto"/>
          <w:right w:val="single" w:sz="4" w:space="4" w:color="auto"/>
        </w:pBdr>
        <w:wordWrap w:val="0"/>
        <w:ind w:left="850"/>
        <w:rPr>
          <w:rFonts w:eastAsia="Calibri"/>
          <w:noProof/>
          <w:lang w:eastAsia="ja-JP"/>
        </w:rPr>
      </w:pPr>
      <w:r w:rsidRPr="00DF5C23">
        <w:rPr>
          <w:rFonts w:eastAsia="Calibri"/>
          <w:noProof/>
          <w:lang w:eastAsia="ja-JP"/>
        </w:rPr>
        <w:t>一般的な目的に続いて、具体的な目的は以下の通り</w:t>
      </w:r>
      <w:r w:rsidR="002041D4">
        <w:rPr>
          <w:rFonts w:ascii="ＭＳ 明朝" w:eastAsia="ＭＳ 明朝" w:hAnsi="ＭＳ 明朝" w:cs="ＭＳ 明朝" w:hint="eastAsia"/>
          <w:noProof/>
          <w:lang w:eastAsia="ja-JP"/>
        </w:rPr>
        <w:t>である</w:t>
      </w:r>
      <w:r w:rsidRPr="00DF5C23">
        <w:rPr>
          <w:rFonts w:eastAsia="Calibri"/>
          <w:noProof/>
          <w:lang w:eastAsia="ja-JP"/>
        </w:rPr>
        <w:t>：</w:t>
      </w:r>
      <w:r w:rsidRPr="00DF5C23">
        <w:rPr>
          <w:rFonts w:eastAsia="Calibri"/>
          <w:noProof/>
          <w:lang w:eastAsia="ja-JP"/>
        </w:rPr>
        <w:t xml:space="preserve"> </w:t>
      </w:r>
    </w:p>
    <w:p w14:paraId="3418DCA5" w14:textId="77777777" w:rsidR="0038775E" w:rsidRDefault="00877B9C" w:rsidP="002041D4">
      <w:pPr>
        <w:pStyle w:val="Bullet1"/>
        <w:numPr>
          <w:ilvl w:val="0"/>
          <w:numId w:val="92"/>
        </w:numPr>
        <w:pBdr>
          <w:top w:val="single" w:sz="4" w:space="1" w:color="auto"/>
          <w:left w:val="single" w:sz="4" w:space="4" w:color="auto"/>
          <w:bottom w:val="single" w:sz="4" w:space="1" w:color="auto"/>
          <w:right w:val="single" w:sz="4" w:space="4" w:color="auto"/>
        </w:pBdr>
        <w:wordWrap w:val="0"/>
        <w:rPr>
          <w:noProof/>
          <w:lang w:eastAsia="ja-JP"/>
        </w:rPr>
      </w:pPr>
      <w:r w:rsidRPr="00DF5C23">
        <w:rPr>
          <w:rFonts w:eastAsia="Calibri"/>
          <w:noProof/>
          <w:lang w:eastAsia="ja-JP"/>
        </w:rPr>
        <w:t>サプライチェーンにおける製品の環境サステナビリティとサステナビリティ情報へのアクセスを改善する。</w:t>
      </w:r>
    </w:p>
    <w:p w14:paraId="38D56DCC" w14:textId="77777777" w:rsidR="0038775E" w:rsidRDefault="00877B9C" w:rsidP="002041D4">
      <w:pPr>
        <w:pStyle w:val="Bullet1"/>
        <w:pBdr>
          <w:top w:val="single" w:sz="4" w:space="1" w:color="auto"/>
          <w:left w:val="single" w:sz="4" w:space="4" w:color="auto"/>
          <w:bottom w:val="single" w:sz="4" w:space="1" w:color="auto"/>
          <w:right w:val="single" w:sz="4" w:space="4" w:color="auto"/>
        </w:pBdr>
        <w:wordWrap w:val="0"/>
        <w:rPr>
          <w:noProof/>
          <w:lang w:eastAsia="ja-JP"/>
        </w:rPr>
      </w:pPr>
      <w:r w:rsidRPr="00DF5C23">
        <w:rPr>
          <w:rFonts w:eastAsia="Calibri"/>
          <w:noProof/>
          <w:lang w:eastAsia="ja-JP"/>
        </w:rPr>
        <w:t>より持続可能な製品やビジネスモデルを奨励し、価値保持を向上させる。</w:t>
      </w:r>
    </w:p>
    <w:p w14:paraId="6EE20C5D" w14:textId="77777777" w:rsidR="0038775E" w:rsidRDefault="00877B9C" w:rsidP="002041D4">
      <w:pPr>
        <w:pStyle w:val="Bullet1"/>
        <w:pBdr>
          <w:top w:val="single" w:sz="4" w:space="1" w:color="auto"/>
          <w:left w:val="single" w:sz="4" w:space="4" w:color="auto"/>
          <w:bottom w:val="single" w:sz="4" w:space="1" w:color="auto"/>
          <w:right w:val="single" w:sz="4" w:space="4" w:color="auto"/>
        </w:pBdr>
        <w:wordWrap w:val="0"/>
        <w:rPr>
          <w:noProof/>
          <w:lang w:eastAsia="ja-JP"/>
        </w:rPr>
      </w:pPr>
      <w:r w:rsidRPr="00DF5C23">
        <w:rPr>
          <w:rFonts w:eastAsia="Calibri"/>
          <w:noProof/>
          <w:lang w:eastAsia="ja-JP"/>
        </w:rPr>
        <w:t>持続可能な製品に関する法的枠組みの適用を改善する</w:t>
      </w:r>
    </w:p>
    <w:p w14:paraId="71014325" w14:textId="77777777" w:rsidR="0038775E" w:rsidRDefault="00877B9C" w:rsidP="002041D4">
      <w:pPr>
        <w:pStyle w:val="ManualHeading3"/>
        <w:wordWrap w:val="0"/>
        <w:rPr>
          <w:noProof/>
          <w:lang w:eastAsia="ja-JP"/>
        </w:rPr>
      </w:pPr>
      <w:bookmarkStart w:id="15" w:name="_Toc514938019"/>
      <w:bookmarkStart w:id="16" w:name="_Toc520485032"/>
      <w:r w:rsidRPr="004F5E59">
        <w:rPr>
          <w:lang w:eastAsia="ja-JP"/>
        </w:rPr>
        <w:t>1.4.3.</w:t>
      </w:r>
      <w:r w:rsidRPr="004F5E59">
        <w:rPr>
          <w:lang w:eastAsia="ja-JP"/>
        </w:rPr>
        <w:tab/>
      </w:r>
      <w:r w:rsidR="00BF1765" w:rsidRPr="00DF5C23">
        <w:rPr>
          <w:noProof/>
          <w:lang w:eastAsia="ja-JP"/>
        </w:rPr>
        <w:t>期待される成果および影響</w:t>
      </w:r>
      <w:bookmarkEnd w:id="15"/>
      <w:bookmarkEnd w:id="16"/>
    </w:p>
    <w:p w14:paraId="5879C9EB" w14:textId="77777777" w:rsidR="0038775E" w:rsidRDefault="00877B9C" w:rsidP="002041D4">
      <w:pPr>
        <w:wordWrap w:val="0"/>
        <w:ind w:left="850"/>
        <w:rPr>
          <w:rFonts w:eastAsia="Calibri"/>
          <w:i/>
          <w:noProof/>
          <w:sz w:val="20"/>
          <w:lang w:eastAsia="ja-JP"/>
        </w:rPr>
      </w:pPr>
      <w:r w:rsidRPr="00DF5C23">
        <w:rPr>
          <w:rFonts w:eastAsia="Calibri"/>
          <w:i/>
          <w:noProof/>
          <w:sz w:val="20"/>
          <w:lang w:eastAsia="ja-JP"/>
        </w:rPr>
        <w:t>提案</w:t>
      </w:r>
      <w:r w:rsidRPr="00DF5C23">
        <w:rPr>
          <w:rFonts w:eastAsia="Calibri"/>
          <w:i/>
          <w:noProof/>
          <w:sz w:val="20"/>
          <w:lang w:eastAsia="ja-JP"/>
        </w:rPr>
        <w:t>/</w:t>
      </w:r>
      <w:r w:rsidRPr="00DF5C23">
        <w:rPr>
          <w:rFonts w:eastAsia="Calibri"/>
          <w:i/>
          <w:noProof/>
          <w:sz w:val="20"/>
          <w:lang w:eastAsia="ja-JP"/>
        </w:rPr>
        <w:t>イニシアティブが対象とする受益者</w:t>
      </w:r>
      <w:r w:rsidRPr="00DF5C23">
        <w:rPr>
          <w:rFonts w:eastAsia="Calibri"/>
          <w:i/>
          <w:noProof/>
          <w:sz w:val="20"/>
          <w:lang w:eastAsia="ja-JP"/>
        </w:rPr>
        <w:t>/</w:t>
      </w:r>
      <w:r w:rsidRPr="00DF5C23">
        <w:rPr>
          <w:rFonts w:eastAsia="Calibri"/>
          <w:i/>
          <w:noProof/>
          <w:sz w:val="20"/>
          <w:lang w:eastAsia="ja-JP"/>
        </w:rPr>
        <w:t>グループに与えるべき効果を明示する。</w:t>
      </w:r>
    </w:p>
    <w:p w14:paraId="5344105D" w14:textId="77777777" w:rsidR="0038775E" w:rsidRDefault="00877B9C" w:rsidP="002041D4">
      <w:pPr>
        <w:pBdr>
          <w:top w:val="single" w:sz="4" w:space="1" w:color="auto"/>
          <w:left w:val="single" w:sz="4" w:space="4" w:color="auto"/>
          <w:bottom w:val="single" w:sz="4" w:space="1" w:color="auto"/>
          <w:right w:val="single" w:sz="4" w:space="4" w:color="auto"/>
        </w:pBdr>
        <w:wordWrap w:val="0"/>
        <w:ind w:left="850"/>
        <w:rPr>
          <w:rFonts w:eastAsia="Calibri"/>
          <w:noProof/>
          <w:lang w:eastAsia="ja-JP"/>
        </w:rPr>
      </w:pPr>
      <w:r w:rsidRPr="00DF5C23">
        <w:rPr>
          <w:rFonts w:eastAsia="Calibri"/>
          <w:noProof/>
          <w:lang w:eastAsia="ja-JP"/>
        </w:rPr>
        <w:lastRenderedPageBreak/>
        <w:t>本規則の実施により期待される成果及び影響は以下の通りである：</w:t>
      </w:r>
    </w:p>
    <w:p w14:paraId="7534B160" w14:textId="77777777" w:rsidR="0038775E" w:rsidRDefault="00877B9C" w:rsidP="002041D4">
      <w:pPr>
        <w:pBdr>
          <w:top w:val="single" w:sz="4" w:space="1" w:color="auto"/>
          <w:left w:val="single" w:sz="4" w:space="4" w:color="auto"/>
          <w:bottom w:val="single" w:sz="4" w:space="1" w:color="auto"/>
          <w:right w:val="single" w:sz="4" w:space="4" w:color="auto"/>
        </w:pBdr>
        <w:wordWrap w:val="0"/>
        <w:ind w:left="850"/>
        <w:rPr>
          <w:rFonts w:eastAsia="Calibri"/>
          <w:noProof/>
          <w:u w:val="single"/>
          <w:lang w:eastAsia="ja-JP"/>
        </w:rPr>
      </w:pPr>
      <w:r w:rsidRPr="00DF5C23">
        <w:rPr>
          <w:rFonts w:eastAsia="Calibri"/>
          <w:noProof/>
          <w:u w:val="single"/>
          <w:lang w:eastAsia="ja-JP"/>
        </w:rPr>
        <w:t>製品の環境サステナビリティの向上と、サプライチェーンにおけるサステナビリティ情報へのアクセスという点で</w:t>
      </w:r>
    </w:p>
    <w:p w14:paraId="018597CE" w14:textId="77777777" w:rsidR="0038775E" w:rsidRDefault="00877B9C" w:rsidP="002041D4">
      <w:pPr>
        <w:pStyle w:val="Bullet1"/>
        <w:pBdr>
          <w:top w:val="single" w:sz="4" w:space="1" w:color="auto"/>
          <w:left w:val="single" w:sz="4" w:space="4" w:color="auto"/>
          <w:bottom w:val="single" w:sz="4" w:space="1" w:color="auto"/>
          <w:right w:val="single" w:sz="4" w:space="4" w:color="auto"/>
        </w:pBdr>
        <w:wordWrap w:val="0"/>
        <w:rPr>
          <w:noProof/>
          <w:lang w:eastAsia="ja-JP"/>
        </w:rPr>
      </w:pPr>
      <w:r w:rsidRPr="00DF5C23">
        <w:rPr>
          <w:noProof/>
          <w:lang w:eastAsia="ja-JP"/>
        </w:rPr>
        <w:t>対象商品（非食品）の増加</w:t>
      </w:r>
    </w:p>
    <w:p w14:paraId="7D1D6AE9" w14:textId="77777777" w:rsidR="0038775E" w:rsidRDefault="00877B9C" w:rsidP="002041D4">
      <w:pPr>
        <w:pStyle w:val="Bullet1"/>
        <w:pBdr>
          <w:top w:val="single" w:sz="4" w:space="1" w:color="auto"/>
          <w:left w:val="single" w:sz="4" w:space="4" w:color="auto"/>
          <w:bottom w:val="single" w:sz="4" w:space="1" w:color="auto"/>
          <w:right w:val="single" w:sz="4" w:space="4" w:color="auto"/>
        </w:pBdr>
        <w:wordWrap w:val="0"/>
        <w:rPr>
          <w:noProof/>
          <w:lang w:eastAsia="ja-JP"/>
        </w:rPr>
      </w:pPr>
      <w:r w:rsidRPr="00DF5C23">
        <w:rPr>
          <w:noProof/>
          <w:lang w:eastAsia="ja-JP"/>
        </w:rPr>
        <w:t>製品のバリューチェーン、循環の側面、持続可能性情報へのアクセスをよりよくカバーする製品要件</w:t>
      </w:r>
    </w:p>
    <w:p w14:paraId="6C9B6BDF" w14:textId="77777777" w:rsidR="0038775E" w:rsidRDefault="00877B9C" w:rsidP="002041D4">
      <w:pPr>
        <w:pStyle w:val="Bullet1"/>
        <w:pBdr>
          <w:top w:val="single" w:sz="4" w:space="1" w:color="auto"/>
          <w:left w:val="single" w:sz="4" w:space="4" w:color="auto"/>
          <w:bottom w:val="single" w:sz="4" w:space="1" w:color="auto"/>
          <w:right w:val="single" w:sz="4" w:space="4" w:color="auto"/>
        </w:pBdr>
        <w:wordWrap w:val="0"/>
        <w:rPr>
          <w:noProof/>
          <w:lang w:eastAsia="ja-JP"/>
        </w:rPr>
      </w:pPr>
      <w:r w:rsidRPr="00DF5C23">
        <w:rPr>
          <w:noProof/>
          <w:lang w:eastAsia="ja-JP"/>
        </w:rPr>
        <w:t>製品のライフサイクルにおける環境負荷の低減、エネルギー・資源効率の向上（製品寿命や使用材料への対応を含む）。</w:t>
      </w:r>
    </w:p>
    <w:p w14:paraId="21863FBA" w14:textId="77777777" w:rsidR="0038775E" w:rsidRDefault="00877B9C" w:rsidP="002041D4">
      <w:pPr>
        <w:pBdr>
          <w:top w:val="single" w:sz="4" w:space="1" w:color="auto"/>
          <w:left w:val="single" w:sz="4" w:space="4" w:color="auto"/>
          <w:bottom w:val="single" w:sz="4" w:space="1" w:color="auto"/>
          <w:right w:val="single" w:sz="4" w:space="4" w:color="auto"/>
        </w:pBdr>
        <w:wordWrap w:val="0"/>
        <w:ind w:left="850"/>
        <w:rPr>
          <w:rFonts w:eastAsia="Calibri"/>
          <w:noProof/>
          <w:u w:val="single"/>
          <w:lang w:eastAsia="ja-JP"/>
        </w:rPr>
      </w:pPr>
      <w:r w:rsidRPr="00DF5C23">
        <w:rPr>
          <w:rFonts w:eastAsia="Calibri"/>
          <w:noProof/>
          <w:u w:val="single"/>
          <w:lang w:eastAsia="ja-JP"/>
        </w:rPr>
        <w:t>より持続可能な製品やビジネスモデルへのイ</w:t>
      </w:r>
      <w:r w:rsidRPr="00DF5C23">
        <w:rPr>
          <w:rFonts w:eastAsia="Calibri"/>
          <w:noProof/>
          <w:u w:val="single"/>
          <w:lang w:eastAsia="ja-JP"/>
        </w:rPr>
        <w:t>ンセンティブという点で</w:t>
      </w:r>
      <w:r w:rsidRPr="00DF5C23">
        <w:rPr>
          <w:rFonts w:eastAsia="Calibri"/>
          <w:noProof/>
          <w:u w:val="single"/>
          <w:lang w:eastAsia="ja-JP"/>
        </w:rPr>
        <w:t xml:space="preserve"> </w:t>
      </w:r>
    </w:p>
    <w:p w14:paraId="364783D5" w14:textId="77777777" w:rsidR="0038775E" w:rsidRDefault="00877B9C" w:rsidP="002041D4">
      <w:pPr>
        <w:pStyle w:val="Bullet1"/>
        <w:pBdr>
          <w:top w:val="single" w:sz="4" w:space="1" w:color="auto"/>
          <w:left w:val="single" w:sz="4" w:space="4" w:color="auto"/>
          <w:bottom w:val="single" w:sz="4" w:space="1" w:color="auto"/>
          <w:right w:val="single" w:sz="4" w:space="4" w:color="auto"/>
        </w:pBdr>
        <w:wordWrap w:val="0"/>
        <w:rPr>
          <w:noProof/>
          <w:lang w:eastAsia="ja-JP"/>
        </w:rPr>
      </w:pPr>
      <w:r w:rsidRPr="00DF5C23">
        <w:rPr>
          <w:noProof/>
          <w:lang w:eastAsia="ja-JP"/>
        </w:rPr>
        <w:t>より持続可能な製品の設計、生産、アフターサービスへの投資が増加し、その市場シェアが高まる。</w:t>
      </w:r>
    </w:p>
    <w:p w14:paraId="7099643C" w14:textId="77777777" w:rsidR="0038775E" w:rsidRDefault="00877B9C" w:rsidP="002041D4">
      <w:pPr>
        <w:pStyle w:val="Bullet1"/>
        <w:pBdr>
          <w:top w:val="single" w:sz="4" w:space="1" w:color="auto"/>
          <w:left w:val="single" w:sz="4" w:space="4" w:color="auto"/>
          <w:bottom w:val="single" w:sz="4" w:space="1" w:color="auto"/>
          <w:right w:val="single" w:sz="4" w:space="4" w:color="auto"/>
        </w:pBdr>
        <w:wordWrap w:val="0"/>
        <w:rPr>
          <w:noProof/>
          <w:lang w:eastAsia="ja-JP"/>
        </w:rPr>
      </w:pPr>
      <w:r w:rsidRPr="00DF5C23">
        <w:rPr>
          <w:noProof/>
          <w:lang w:eastAsia="ja-JP"/>
        </w:rPr>
        <w:t>リサイクル、修理・</w:t>
      </w:r>
      <w:r w:rsidR="00AB244C" w:rsidRPr="00DF5C23">
        <w:rPr>
          <w:noProof/>
          <w:lang w:eastAsia="ja-JP"/>
        </w:rPr>
        <w:t>再利用</w:t>
      </w:r>
      <w:r w:rsidRPr="00DF5C23">
        <w:rPr>
          <w:noProof/>
          <w:lang w:eastAsia="ja-JP"/>
        </w:rPr>
        <w:t>分野の経済価値の向上</w:t>
      </w:r>
    </w:p>
    <w:p w14:paraId="47A7342D" w14:textId="77777777" w:rsidR="0038775E" w:rsidRDefault="00877B9C" w:rsidP="002041D4">
      <w:pPr>
        <w:pBdr>
          <w:top w:val="single" w:sz="4" w:space="1" w:color="auto"/>
          <w:left w:val="single" w:sz="4" w:space="4" w:color="auto"/>
          <w:bottom w:val="single" w:sz="4" w:space="1" w:color="auto"/>
          <w:right w:val="single" w:sz="4" w:space="4" w:color="auto"/>
        </w:pBdr>
        <w:wordWrap w:val="0"/>
        <w:ind w:left="850"/>
        <w:rPr>
          <w:rFonts w:eastAsia="Calibri"/>
          <w:noProof/>
          <w:u w:val="single"/>
          <w:lang w:eastAsia="ja-JP"/>
        </w:rPr>
      </w:pPr>
      <w:r w:rsidRPr="00DF5C23">
        <w:rPr>
          <w:rFonts w:eastAsia="Calibri"/>
          <w:noProof/>
          <w:u w:val="single"/>
          <w:lang w:eastAsia="ja-JP"/>
        </w:rPr>
        <w:t>サステイナブル製品に関する法律の枠組みの適用を改善するという点で</w:t>
      </w:r>
    </w:p>
    <w:p w14:paraId="74898F37" w14:textId="77777777" w:rsidR="0038775E" w:rsidRDefault="00877B9C" w:rsidP="002041D4">
      <w:pPr>
        <w:pStyle w:val="Bullet1"/>
        <w:pBdr>
          <w:top w:val="single" w:sz="4" w:space="1" w:color="auto"/>
          <w:left w:val="single" w:sz="4" w:space="4" w:color="auto"/>
          <w:bottom w:val="single" w:sz="4" w:space="1" w:color="auto"/>
          <w:right w:val="single" w:sz="4" w:space="4" w:color="auto"/>
        </w:pBdr>
        <w:wordWrap w:val="0"/>
        <w:rPr>
          <w:noProof/>
          <w:lang w:eastAsia="ja-JP"/>
        </w:rPr>
      </w:pPr>
      <w:r w:rsidRPr="00DF5C23">
        <w:rPr>
          <w:noProof/>
          <w:lang w:eastAsia="ja-JP"/>
        </w:rPr>
        <w:t>サステナビリティ要求の対象となる製品数の増加</w:t>
      </w:r>
    </w:p>
    <w:p w14:paraId="5C482E42" w14:textId="77777777" w:rsidR="0038775E" w:rsidRDefault="00877B9C" w:rsidP="002041D4">
      <w:pPr>
        <w:pStyle w:val="Bullet1"/>
        <w:pBdr>
          <w:top w:val="single" w:sz="4" w:space="1" w:color="auto"/>
          <w:left w:val="single" w:sz="4" w:space="4" w:color="auto"/>
          <w:bottom w:val="single" w:sz="4" w:space="1" w:color="auto"/>
          <w:right w:val="single" w:sz="4" w:space="4" w:color="auto"/>
        </w:pBdr>
        <w:wordWrap w:val="0"/>
        <w:rPr>
          <w:noProof/>
          <w:lang w:eastAsia="ja-JP"/>
        </w:rPr>
      </w:pPr>
      <w:r w:rsidRPr="00DF5C23">
        <w:rPr>
          <w:noProof/>
          <w:lang w:eastAsia="ja-JP"/>
        </w:rPr>
        <w:t>製品のバリューチェーン、循環の側面、持続可能性情報へのアクセスをよりよくカバーする製品要件</w:t>
      </w:r>
    </w:p>
    <w:p w14:paraId="58238ECA" w14:textId="77777777" w:rsidR="0038775E" w:rsidRDefault="00877B9C" w:rsidP="002041D4">
      <w:pPr>
        <w:pStyle w:val="Bullet1"/>
        <w:pBdr>
          <w:top w:val="single" w:sz="4" w:space="1" w:color="auto"/>
          <w:left w:val="single" w:sz="4" w:space="4" w:color="auto"/>
          <w:bottom w:val="single" w:sz="4" w:space="1" w:color="auto"/>
          <w:right w:val="single" w:sz="4" w:space="4" w:color="auto"/>
        </w:pBdr>
        <w:wordWrap w:val="0"/>
        <w:rPr>
          <w:noProof/>
          <w:lang w:eastAsia="ja-JP"/>
        </w:rPr>
      </w:pPr>
      <w:r w:rsidRPr="00DF5C23">
        <w:rPr>
          <w:noProof/>
          <w:lang w:eastAsia="ja-JP"/>
        </w:rPr>
        <w:t>EU</w:t>
      </w:r>
      <w:r w:rsidRPr="00DF5C23">
        <w:rPr>
          <w:noProof/>
          <w:lang w:eastAsia="ja-JP"/>
        </w:rPr>
        <w:t>市場に投入される製品の持続可能性要件に対する不遵守のレベルが低下した。</w:t>
      </w:r>
    </w:p>
    <w:p w14:paraId="6729BC0A" w14:textId="56889C9F" w:rsidR="0038775E" w:rsidRDefault="00877B9C" w:rsidP="002041D4">
      <w:pPr>
        <w:pBdr>
          <w:top w:val="single" w:sz="4" w:space="1" w:color="auto"/>
          <w:left w:val="single" w:sz="4" w:space="4" w:color="auto"/>
          <w:bottom w:val="single" w:sz="4" w:space="1" w:color="auto"/>
          <w:right w:val="single" w:sz="4" w:space="4" w:color="auto"/>
        </w:pBdr>
        <w:wordWrap w:val="0"/>
        <w:ind w:left="850"/>
        <w:rPr>
          <w:rFonts w:eastAsia="Calibri"/>
          <w:noProof/>
          <w:lang w:eastAsia="ja-JP"/>
        </w:rPr>
      </w:pPr>
      <w:r w:rsidRPr="00DF5C23">
        <w:rPr>
          <w:rFonts w:eastAsia="Calibri"/>
          <w:noProof/>
          <w:lang w:eastAsia="ja-JP"/>
        </w:rPr>
        <w:t>EU</w:t>
      </w:r>
      <w:r w:rsidRPr="00DF5C23">
        <w:rPr>
          <w:rFonts w:eastAsia="Calibri"/>
          <w:noProof/>
          <w:lang w:eastAsia="ja-JP"/>
        </w:rPr>
        <w:t>の国境を越えて活動する企業にとって、</w:t>
      </w:r>
      <w:r w:rsidRPr="00DF5C23">
        <w:rPr>
          <w:rFonts w:eastAsia="Calibri"/>
          <w:noProof/>
          <w:lang w:eastAsia="ja-JP"/>
        </w:rPr>
        <w:t>EU</w:t>
      </w:r>
      <w:r w:rsidRPr="00DF5C23">
        <w:rPr>
          <w:rFonts w:eastAsia="Calibri"/>
          <w:noProof/>
          <w:lang w:eastAsia="ja-JP"/>
        </w:rPr>
        <w:t>レベルでの調和された要件は、国レベルでの様々な既存または計画された要件に取って代わるため、全体的なコンプライアンスコストを削減する可能性がある。また、一次原料から二次原料への加工、製品の生産からメンテナンス、</w:t>
      </w:r>
      <w:r w:rsidR="00AB244C" w:rsidRPr="00DF5C23">
        <w:rPr>
          <w:rFonts w:eastAsia="Calibri"/>
          <w:noProof/>
          <w:lang w:eastAsia="ja-JP"/>
        </w:rPr>
        <w:t>再利用</w:t>
      </w:r>
      <w:r w:rsidRPr="00DF5C23">
        <w:rPr>
          <w:rFonts w:eastAsia="Calibri"/>
          <w:noProof/>
          <w:lang w:eastAsia="ja-JP"/>
        </w:rPr>
        <w:t>、改装、修理、中古品販売への活動の移行など、企業の競争力にも直接的なメリットがあり、これらの分野での活動が活発な中小企業には大きなメリットが期待さ</w:t>
      </w:r>
      <w:r w:rsidR="002041D4">
        <w:rPr>
          <w:rFonts w:ascii="ＭＳ 明朝" w:eastAsia="ＭＳ 明朝" w:hAnsi="ＭＳ 明朝" w:cs="ＭＳ 明朝" w:hint="eastAsia"/>
          <w:noProof/>
          <w:lang w:eastAsia="ja-JP"/>
        </w:rPr>
        <w:t>れる</w:t>
      </w:r>
      <w:r w:rsidRPr="00DF5C23">
        <w:rPr>
          <w:rFonts w:eastAsia="Calibri"/>
          <w:noProof/>
          <w:lang w:eastAsia="ja-JP"/>
        </w:rPr>
        <w:t>。</w:t>
      </w:r>
    </w:p>
    <w:p w14:paraId="471FB19C" w14:textId="49173D07" w:rsidR="0038775E" w:rsidRDefault="00877B9C" w:rsidP="002041D4">
      <w:pPr>
        <w:pBdr>
          <w:top w:val="single" w:sz="4" w:space="1" w:color="auto"/>
          <w:left w:val="single" w:sz="4" w:space="4" w:color="auto"/>
          <w:bottom w:val="single" w:sz="4" w:space="1" w:color="auto"/>
          <w:right w:val="single" w:sz="4" w:space="4" w:color="auto"/>
        </w:pBdr>
        <w:wordWrap w:val="0"/>
        <w:ind w:left="850"/>
        <w:rPr>
          <w:rFonts w:eastAsia="Calibri"/>
          <w:noProof/>
          <w:lang w:val="en-IE" w:eastAsia="ja-JP"/>
        </w:rPr>
      </w:pPr>
      <w:r w:rsidRPr="00DF5C23">
        <w:rPr>
          <w:rFonts w:eastAsia="Calibri"/>
          <w:noProof/>
          <w:lang w:val="en-IE" w:eastAsia="ja-JP"/>
        </w:rPr>
        <w:t>また、この規則が消費者</w:t>
      </w:r>
      <w:r w:rsidRPr="00DF5C23">
        <w:rPr>
          <w:rFonts w:eastAsia="Calibri"/>
          <w:noProof/>
          <w:lang w:val="en-IE" w:eastAsia="ja-JP"/>
        </w:rPr>
        <w:t>の行動を変えることも期待されて</w:t>
      </w:r>
      <w:r w:rsidR="002041D4">
        <w:rPr>
          <w:rFonts w:ascii="ＭＳ 明朝" w:eastAsia="ＭＳ 明朝" w:hAnsi="ＭＳ 明朝" w:cs="ＭＳ 明朝" w:hint="eastAsia"/>
          <w:noProof/>
          <w:lang w:val="en-IE" w:eastAsia="ja-JP"/>
        </w:rPr>
        <w:t>いる。</w:t>
      </w:r>
      <w:r w:rsidRPr="00DF5C23">
        <w:rPr>
          <w:rFonts w:eastAsia="Calibri"/>
          <w:noProof/>
          <w:lang w:val="en-IE" w:eastAsia="ja-JP"/>
        </w:rPr>
        <w:t>経済事業者や市民が持続可能な</w:t>
      </w:r>
      <w:r w:rsidR="000F1803" w:rsidRPr="00DF5C23">
        <w:rPr>
          <w:rFonts w:eastAsia="Calibri"/>
          <w:noProof/>
          <w:lang w:val="en-IE" w:eastAsia="ja-JP"/>
        </w:rPr>
        <w:t>購買を</w:t>
      </w:r>
      <w:r w:rsidRPr="00DF5C23">
        <w:rPr>
          <w:rFonts w:eastAsia="Calibri"/>
          <w:noProof/>
          <w:lang w:val="en-IE" w:eastAsia="ja-JP"/>
        </w:rPr>
        <w:t>選択するには、関連する情報や手頃な価格の選択肢が不足しているため、まだ困難であるという特定された問題に対応するものである。持続可能性の低い製品を市場から排除</w:t>
      </w:r>
      <w:r w:rsidRPr="00DF5C23">
        <w:rPr>
          <w:rFonts w:eastAsia="Times New Roman"/>
          <w:noProof/>
          <w:lang w:val="en-IE" w:eastAsia="ja-JP"/>
        </w:rPr>
        <w:t>し</w:t>
      </w:r>
      <w:r w:rsidRPr="00DF5C23">
        <w:rPr>
          <w:rFonts w:eastAsia="Calibri"/>
          <w:noProof/>
          <w:lang w:val="en-IE" w:eastAsia="ja-JP"/>
        </w:rPr>
        <w:t>（したがって消費者の選択を簡素化する）</w:t>
      </w:r>
      <w:r w:rsidRPr="00DF5C23">
        <w:rPr>
          <w:rFonts w:eastAsia="Times New Roman"/>
          <w:noProof/>
          <w:lang w:val="en-IE" w:eastAsia="ja-JP"/>
        </w:rPr>
        <w:t>、一部の製品については性能等級や場合によっては関連ラベルを含む、より明確でアクセスしやすい情報を提供することにより、</w:t>
      </w:r>
      <w:r w:rsidRPr="00DF5C23">
        <w:rPr>
          <w:rFonts w:eastAsia="Calibri"/>
          <w:noProof/>
          <w:lang w:val="en-IE" w:eastAsia="ja-JP"/>
        </w:rPr>
        <w:t>消費者をより環境に優しい購入へと導くことがで</w:t>
      </w:r>
      <w:r w:rsidR="002041D4">
        <w:rPr>
          <w:rFonts w:ascii="ＭＳ 明朝" w:eastAsia="ＭＳ 明朝" w:hAnsi="ＭＳ 明朝" w:cs="ＭＳ 明朝" w:hint="eastAsia"/>
          <w:noProof/>
          <w:lang w:val="en-IE" w:eastAsia="ja-JP"/>
        </w:rPr>
        <w:t>く</w:t>
      </w:r>
      <w:r w:rsidRPr="00DF5C23">
        <w:rPr>
          <w:rFonts w:eastAsia="Calibri"/>
          <w:noProof/>
          <w:lang w:val="en-IE" w:eastAsia="ja-JP"/>
        </w:rPr>
        <w:t>。デジタル製品パスポートは、利用可能な情報をさらに増やし、アクセスを容易にする</w:t>
      </w:r>
      <w:r w:rsidRPr="00DF5C23">
        <w:rPr>
          <w:rFonts w:eastAsia="Calibri"/>
          <w:noProof/>
          <w:lang w:val="en-IE" w:eastAsia="ja-JP"/>
        </w:rPr>
        <w:t>もの</w:t>
      </w:r>
      <w:r w:rsidR="002041D4">
        <w:rPr>
          <w:rFonts w:ascii="ＭＳ 明朝" w:eastAsia="ＭＳ 明朝" w:hAnsi="ＭＳ 明朝" w:cs="ＭＳ 明朝" w:hint="eastAsia"/>
          <w:noProof/>
          <w:lang w:val="en-IE" w:eastAsia="ja-JP"/>
        </w:rPr>
        <w:t>である</w:t>
      </w:r>
      <w:r w:rsidRPr="00DF5C23">
        <w:rPr>
          <w:rFonts w:eastAsia="Calibri"/>
          <w:noProof/>
          <w:lang w:val="en-IE" w:eastAsia="ja-JP"/>
        </w:rPr>
        <w:t>。これにより、民間事業者は、消費者の製品評価や比較の能力を向上させるアプリやサービスを開発できるようにな</w:t>
      </w:r>
      <w:r w:rsidR="002041D4">
        <w:rPr>
          <w:rFonts w:ascii="ＭＳ 明朝" w:eastAsia="ＭＳ 明朝" w:hAnsi="ＭＳ 明朝" w:cs="ＭＳ 明朝" w:hint="eastAsia"/>
          <w:noProof/>
          <w:lang w:val="en-IE" w:eastAsia="ja-JP"/>
        </w:rPr>
        <w:t>る</w:t>
      </w:r>
      <w:r w:rsidRPr="00DF5C23">
        <w:rPr>
          <w:rFonts w:eastAsia="Calibri"/>
          <w:noProof/>
          <w:lang w:val="en-IE" w:eastAsia="ja-JP"/>
        </w:rPr>
        <w:t>。</w:t>
      </w:r>
    </w:p>
    <w:p w14:paraId="25ED8FAE" w14:textId="3AF74C6E" w:rsidR="0038775E" w:rsidRDefault="00877B9C" w:rsidP="002041D4">
      <w:pPr>
        <w:pBdr>
          <w:top w:val="single" w:sz="4" w:space="1" w:color="auto"/>
          <w:left w:val="single" w:sz="4" w:space="4" w:color="auto"/>
          <w:bottom w:val="single" w:sz="4" w:space="1" w:color="auto"/>
          <w:right w:val="single" w:sz="4" w:space="4" w:color="auto"/>
        </w:pBdr>
        <w:wordWrap w:val="0"/>
        <w:ind w:left="850"/>
        <w:rPr>
          <w:rFonts w:eastAsia="Calibri"/>
          <w:noProof/>
          <w:lang w:val="en-IE" w:eastAsia="ja-JP"/>
        </w:rPr>
      </w:pPr>
      <w:r w:rsidRPr="00DF5C23">
        <w:rPr>
          <w:rFonts w:eastAsia="Calibri"/>
          <w:noProof/>
          <w:szCs w:val="24"/>
          <w:lang w:val="en-IE" w:eastAsia="ja-JP"/>
        </w:rPr>
        <w:t>また、デジタル製品パスポートは、</w:t>
      </w:r>
      <w:r w:rsidRPr="00DF5C23">
        <w:rPr>
          <w:rFonts w:eastAsia="Calibri"/>
          <w:noProof/>
          <w:lang w:eastAsia="ja-JP"/>
        </w:rPr>
        <w:t>関連する製品情報を市場監視当局（</w:t>
      </w:r>
      <w:r w:rsidRPr="00DF5C23">
        <w:rPr>
          <w:rFonts w:eastAsia="Calibri"/>
          <w:noProof/>
          <w:lang w:eastAsia="ja-JP"/>
        </w:rPr>
        <w:t>MSA</w:t>
      </w:r>
      <w:r w:rsidRPr="00DF5C23">
        <w:rPr>
          <w:rFonts w:eastAsia="Calibri"/>
          <w:noProof/>
          <w:lang w:eastAsia="ja-JP"/>
        </w:rPr>
        <w:t>）および</w:t>
      </w:r>
      <w:r w:rsidR="00B709D3" w:rsidRPr="00DF5C23">
        <w:rPr>
          <w:noProof/>
          <w:lang w:eastAsia="ja-JP"/>
        </w:rPr>
        <w:t>場合によっては</w:t>
      </w:r>
      <w:r w:rsidRPr="00DF5C23">
        <w:rPr>
          <w:rFonts w:eastAsia="Calibri"/>
          <w:noProof/>
          <w:lang w:eastAsia="ja-JP"/>
        </w:rPr>
        <w:t>税関当局がデジタルで利用できるようにし、コンプライアンスの検証を容易にし、加盟国による執行活動の効率を向上させ</w:t>
      </w:r>
      <w:r w:rsidR="002041D4">
        <w:rPr>
          <w:rFonts w:ascii="ＭＳ 明朝" w:eastAsia="ＭＳ 明朝" w:hAnsi="ＭＳ 明朝" w:cs="ＭＳ 明朝" w:hint="eastAsia"/>
          <w:noProof/>
          <w:lang w:eastAsia="ja-JP"/>
        </w:rPr>
        <w:t>る。</w:t>
      </w:r>
      <w:r w:rsidRPr="00DF5C23">
        <w:rPr>
          <w:rFonts w:eastAsia="Calibri"/>
          <w:noProof/>
          <w:lang w:eastAsia="ja-JP"/>
        </w:rPr>
        <w:t>しかし、より高い持続可能性を目指すエコデザインの枠組みは、欧州委</w:t>
      </w:r>
      <w:r w:rsidRPr="00DF5C23">
        <w:rPr>
          <w:rFonts w:eastAsia="Calibri"/>
          <w:noProof/>
          <w:lang w:eastAsia="ja-JP"/>
        </w:rPr>
        <w:lastRenderedPageBreak/>
        <w:t>員会と加盟国双方のリソースがその目標に見合ったレベルまで強化されなければ成功しない。</w:t>
      </w:r>
    </w:p>
    <w:p w14:paraId="25ADD02B" w14:textId="77777777" w:rsidR="0038775E" w:rsidRDefault="00877B9C" w:rsidP="002041D4">
      <w:pPr>
        <w:pStyle w:val="ManualHeading3"/>
        <w:wordWrap w:val="0"/>
        <w:rPr>
          <w:noProof/>
          <w:lang w:eastAsia="ja-JP"/>
        </w:rPr>
      </w:pPr>
      <w:bookmarkStart w:id="17" w:name="_Toc514938023"/>
      <w:bookmarkStart w:id="18" w:name="_Toc520485033"/>
      <w:r w:rsidRPr="004F5E59">
        <w:rPr>
          <w:lang w:eastAsia="ja-JP"/>
        </w:rPr>
        <w:t>1.4.4.</w:t>
      </w:r>
      <w:r w:rsidRPr="004F5E59">
        <w:rPr>
          <w:lang w:eastAsia="ja-JP"/>
        </w:rPr>
        <w:tab/>
      </w:r>
      <w:r w:rsidR="00BF1765" w:rsidRPr="00DF5C23">
        <w:rPr>
          <w:noProof/>
          <w:lang w:eastAsia="ja-JP"/>
        </w:rPr>
        <w:t>性能に関する指標</w:t>
      </w:r>
      <w:bookmarkEnd w:id="17"/>
      <w:bookmarkEnd w:id="18"/>
    </w:p>
    <w:p w14:paraId="1817BFD0" w14:textId="77777777" w:rsidR="0038775E" w:rsidRDefault="00877B9C" w:rsidP="002041D4">
      <w:pPr>
        <w:wordWrap w:val="0"/>
        <w:ind w:left="850"/>
        <w:rPr>
          <w:rFonts w:eastAsia="Calibri"/>
          <w:i/>
          <w:noProof/>
          <w:sz w:val="20"/>
          <w:lang w:eastAsia="ja-JP"/>
        </w:rPr>
      </w:pPr>
      <w:r w:rsidRPr="00DF5C23">
        <w:rPr>
          <w:rFonts w:eastAsia="Calibri"/>
          <w:i/>
          <w:noProof/>
          <w:sz w:val="20"/>
          <w:lang w:eastAsia="ja-JP"/>
        </w:rPr>
        <w:t>進捗と成果をモニタリングするための指標を明記する。</w:t>
      </w:r>
    </w:p>
    <w:p w14:paraId="62265F42" w14:textId="74FB2AE8" w:rsidR="0038775E" w:rsidRDefault="00877B9C" w:rsidP="002041D4">
      <w:pPr>
        <w:pBdr>
          <w:top w:val="single" w:sz="4" w:space="1" w:color="auto"/>
          <w:left w:val="single" w:sz="4" w:space="4" w:color="auto"/>
          <w:bottom w:val="single" w:sz="4" w:space="1" w:color="auto"/>
          <w:right w:val="single" w:sz="4" w:space="4" w:color="auto"/>
        </w:pBdr>
        <w:wordWrap w:val="0"/>
        <w:ind w:left="850"/>
        <w:rPr>
          <w:rFonts w:eastAsia="Calibri"/>
          <w:noProof/>
          <w:lang w:eastAsia="ja-JP"/>
        </w:rPr>
      </w:pPr>
      <w:r w:rsidRPr="00DF5C23">
        <w:rPr>
          <w:rFonts w:eastAsia="Calibri"/>
          <w:noProof/>
          <w:lang w:eastAsia="ja-JP"/>
        </w:rPr>
        <w:t>本規則の実施と影響を監視するために、以下の中核的な指標セットを使用</w:t>
      </w:r>
      <w:r w:rsidR="002041D4">
        <w:rPr>
          <w:rFonts w:ascii="ＭＳ 明朝" w:eastAsia="ＭＳ 明朝" w:hAnsi="ＭＳ 明朝" w:cs="ＭＳ 明朝" w:hint="eastAsia"/>
          <w:noProof/>
          <w:lang w:eastAsia="ja-JP"/>
        </w:rPr>
        <w:t>する</w:t>
      </w:r>
      <w:r w:rsidRPr="00DF5C23">
        <w:rPr>
          <w:rFonts w:eastAsia="Calibri"/>
          <w:noProof/>
          <w:lang w:eastAsia="ja-JP"/>
        </w:rPr>
        <w:t>：</w:t>
      </w:r>
    </w:p>
    <w:p w14:paraId="752158DD" w14:textId="77777777" w:rsidR="0038775E" w:rsidRDefault="00877B9C" w:rsidP="002041D4">
      <w:pPr>
        <w:pBdr>
          <w:top w:val="single" w:sz="4" w:space="1" w:color="auto"/>
          <w:left w:val="single" w:sz="4" w:space="4" w:color="auto"/>
          <w:bottom w:val="single" w:sz="4" w:space="1" w:color="auto"/>
          <w:right w:val="single" w:sz="4" w:space="4" w:color="auto"/>
        </w:pBdr>
        <w:wordWrap w:val="0"/>
        <w:ind w:left="850"/>
        <w:rPr>
          <w:rFonts w:eastAsia="Calibri"/>
          <w:noProof/>
          <w:u w:val="single"/>
          <w:lang w:eastAsia="ja-JP"/>
        </w:rPr>
      </w:pPr>
      <w:r w:rsidRPr="00DF5C23">
        <w:rPr>
          <w:rFonts w:eastAsia="Calibri"/>
          <w:noProof/>
          <w:u w:val="single"/>
          <w:lang w:eastAsia="ja-JP"/>
        </w:rPr>
        <w:t>製品の環境サステナビリティの向上と、サプライチェーンにおけるサステナビリティ情報へのアクセスという点で</w:t>
      </w:r>
    </w:p>
    <w:p w14:paraId="1B5B1A16" w14:textId="77777777" w:rsidR="0038775E" w:rsidRDefault="00877B9C" w:rsidP="002041D4">
      <w:pPr>
        <w:pStyle w:val="Bullet1"/>
        <w:pBdr>
          <w:top w:val="single" w:sz="4" w:space="1" w:color="auto"/>
          <w:left w:val="single" w:sz="4" w:space="4" w:color="auto"/>
          <w:bottom w:val="single" w:sz="4" w:space="1" w:color="auto"/>
          <w:right w:val="single" w:sz="4" w:space="4" w:color="auto"/>
        </w:pBdr>
        <w:wordWrap w:val="0"/>
        <w:rPr>
          <w:noProof/>
          <w:lang w:eastAsia="ja-JP"/>
        </w:rPr>
      </w:pPr>
      <w:r w:rsidRPr="00DF5C23">
        <w:rPr>
          <w:noProof/>
          <w:lang w:eastAsia="ja-JP"/>
        </w:rPr>
        <w:t>第</w:t>
      </w:r>
      <w:r w:rsidRPr="00DF5C23">
        <w:rPr>
          <w:noProof/>
          <w:lang w:eastAsia="ja-JP"/>
        </w:rPr>
        <w:t>5</w:t>
      </w:r>
      <w:r w:rsidRPr="00DF5C23">
        <w:rPr>
          <w:noProof/>
          <w:lang w:eastAsia="ja-JP"/>
        </w:rPr>
        <w:t>条の規定に基づき委任された法律が適用される製品グループの数</w:t>
      </w:r>
    </w:p>
    <w:p w14:paraId="110484F4" w14:textId="77777777" w:rsidR="0038775E" w:rsidRDefault="00877B9C" w:rsidP="002041D4">
      <w:pPr>
        <w:pStyle w:val="Bullet1"/>
        <w:pBdr>
          <w:top w:val="single" w:sz="4" w:space="1" w:color="auto"/>
          <w:left w:val="single" w:sz="4" w:space="4" w:color="auto"/>
          <w:bottom w:val="single" w:sz="4" w:space="1" w:color="auto"/>
          <w:right w:val="single" w:sz="4" w:space="4" w:color="auto"/>
        </w:pBdr>
        <w:wordWrap w:val="0"/>
        <w:rPr>
          <w:noProof/>
          <w:lang w:eastAsia="ja-JP"/>
        </w:rPr>
      </w:pPr>
      <w:r w:rsidRPr="00DF5C23">
        <w:rPr>
          <w:noProof/>
          <w:lang w:eastAsia="ja-JP"/>
        </w:rPr>
        <w:t>EU</w:t>
      </w:r>
      <w:r w:rsidRPr="00DF5C23">
        <w:rPr>
          <w:noProof/>
          <w:lang w:eastAsia="ja-JP"/>
        </w:rPr>
        <w:t>域内市場に規制対象製品を供給する製造バリューチェーンからの汚染物質および温室効果ガス（</w:t>
      </w:r>
      <w:r w:rsidRPr="00DF5C23">
        <w:rPr>
          <w:noProof/>
          <w:lang w:eastAsia="ja-JP"/>
        </w:rPr>
        <w:t>GHG</w:t>
      </w:r>
      <w:r w:rsidRPr="00DF5C23">
        <w:rPr>
          <w:noProof/>
          <w:lang w:eastAsia="ja-JP"/>
        </w:rPr>
        <w:t>）排出量</w:t>
      </w:r>
      <w:r w:rsidR="00153B4C" w:rsidRPr="00DF5C23">
        <w:rPr>
          <w:noProof/>
          <w:lang w:eastAsia="ja-JP"/>
        </w:rPr>
        <w:t>（除去を含む）の</w:t>
      </w:r>
      <w:r w:rsidRPr="00DF5C23">
        <w:rPr>
          <w:noProof/>
          <w:lang w:eastAsia="ja-JP"/>
        </w:rPr>
        <w:t>推定変化量。</w:t>
      </w:r>
      <w:r w:rsidRPr="00DF5C23">
        <w:rPr>
          <w:noProof/>
          <w:lang w:eastAsia="ja-JP"/>
        </w:rPr>
        <w:t xml:space="preserve"> </w:t>
      </w:r>
    </w:p>
    <w:p w14:paraId="756D38A3" w14:textId="77777777" w:rsidR="0038775E" w:rsidRDefault="00877B9C" w:rsidP="002041D4">
      <w:pPr>
        <w:pStyle w:val="Bullet1"/>
        <w:pBdr>
          <w:top w:val="single" w:sz="4" w:space="1" w:color="auto"/>
          <w:left w:val="single" w:sz="4" w:space="4" w:color="auto"/>
          <w:bottom w:val="single" w:sz="4" w:space="1" w:color="auto"/>
          <w:right w:val="single" w:sz="4" w:space="4" w:color="auto"/>
        </w:pBdr>
        <w:wordWrap w:val="0"/>
        <w:rPr>
          <w:noProof/>
          <w:lang w:eastAsia="ja-JP"/>
        </w:rPr>
      </w:pPr>
      <w:r w:rsidRPr="00DF5C23">
        <w:rPr>
          <w:noProof/>
          <w:lang w:eastAsia="ja-JP"/>
        </w:rPr>
        <w:t>EU</w:t>
      </w:r>
      <w:r w:rsidRPr="00DF5C23">
        <w:rPr>
          <w:noProof/>
          <w:lang w:eastAsia="ja-JP"/>
        </w:rPr>
        <w:t>域内市場に投入された規制対象製品のエネルギー使用量と効率、水使用量と効率、資源生産性（材料効率）の推定変化量</w:t>
      </w:r>
    </w:p>
    <w:p w14:paraId="7A22C7A9" w14:textId="77777777" w:rsidR="0038775E" w:rsidRDefault="00877B9C" w:rsidP="002041D4">
      <w:pPr>
        <w:pStyle w:val="Bullet1"/>
        <w:pBdr>
          <w:top w:val="single" w:sz="4" w:space="1" w:color="auto"/>
          <w:left w:val="single" w:sz="4" w:space="4" w:color="auto"/>
          <w:bottom w:val="single" w:sz="4" w:space="1" w:color="auto"/>
          <w:right w:val="single" w:sz="4" w:space="4" w:color="auto"/>
        </w:pBdr>
        <w:wordWrap w:val="0"/>
        <w:rPr>
          <w:noProof/>
          <w:lang w:eastAsia="ja-JP"/>
        </w:rPr>
      </w:pPr>
      <w:r w:rsidRPr="00DF5C23">
        <w:rPr>
          <w:noProof/>
          <w:lang w:eastAsia="ja-JP"/>
        </w:rPr>
        <w:t xml:space="preserve">(1) </w:t>
      </w:r>
      <w:r w:rsidRPr="00DF5C23">
        <w:rPr>
          <w:noProof/>
          <w:lang w:eastAsia="ja-JP"/>
        </w:rPr>
        <w:t>本来の耐久性、</w:t>
      </w:r>
      <w:r w:rsidRPr="00DF5C23">
        <w:rPr>
          <w:noProof/>
          <w:lang w:eastAsia="ja-JP"/>
        </w:rPr>
        <w:t xml:space="preserve">(2) </w:t>
      </w:r>
      <w:r w:rsidRPr="00DF5C23">
        <w:rPr>
          <w:noProof/>
          <w:lang w:eastAsia="ja-JP"/>
        </w:rPr>
        <w:t>メンテナンス、修理、アップグレード作業、</w:t>
      </w:r>
      <w:r w:rsidRPr="00DF5C23">
        <w:rPr>
          <w:noProof/>
          <w:lang w:eastAsia="ja-JP"/>
        </w:rPr>
        <w:t xml:space="preserve">(3) </w:t>
      </w:r>
      <w:r w:rsidRPr="00DF5C23">
        <w:rPr>
          <w:noProof/>
          <w:lang w:eastAsia="ja-JP"/>
        </w:rPr>
        <w:t>歴代使用者の数の結果として、関連する規制対象製品の平均寿命。</w:t>
      </w:r>
    </w:p>
    <w:p w14:paraId="2352A7BD" w14:textId="77777777" w:rsidR="0038775E" w:rsidRDefault="00877B9C" w:rsidP="002041D4">
      <w:pPr>
        <w:pStyle w:val="Bullet1"/>
        <w:pBdr>
          <w:top w:val="single" w:sz="4" w:space="1" w:color="auto"/>
          <w:left w:val="single" w:sz="4" w:space="4" w:color="auto"/>
          <w:bottom w:val="single" w:sz="4" w:space="1" w:color="auto"/>
          <w:right w:val="single" w:sz="4" w:space="4" w:color="auto"/>
        </w:pBdr>
        <w:wordWrap w:val="0"/>
        <w:rPr>
          <w:noProof/>
          <w:lang w:eastAsia="ja-JP"/>
        </w:rPr>
      </w:pPr>
      <w:r w:rsidRPr="00DF5C23">
        <w:rPr>
          <w:noProof/>
          <w:lang w:eastAsia="ja-JP"/>
        </w:rPr>
        <w:t>非貴金属、重要原材料、プラスチックの内部市場の原材料需要に対する消費者再利用後の材料の貢献度。</w:t>
      </w:r>
    </w:p>
    <w:p w14:paraId="34F9D58D" w14:textId="77777777" w:rsidR="0038775E" w:rsidRDefault="00877B9C" w:rsidP="002041D4">
      <w:pPr>
        <w:pStyle w:val="Bullet1"/>
        <w:pBdr>
          <w:top w:val="single" w:sz="4" w:space="1" w:color="auto"/>
          <w:left w:val="single" w:sz="4" w:space="4" w:color="auto"/>
          <w:bottom w:val="single" w:sz="4" w:space="1" w:color="auto"/>
          <w:right w:val="single" w:sz="4" w:space="4" w:color="auto"/>
        </w:pBdr>
        <w:wordWrap w:val="0"/>
        <w:rPr>
          <w:noProof/>
          <w:lang w:eastAsia="ja-JP"/>
        </w:rPr>
      </w:pPr>
      <w:r w:rsidRPr="00DF5C23">
        <w:rPr>
          <w:noProof/>
          <w:lang w:eastAsia="ja-JP"/>
        </w:rPr>
        <w:t>循環型材料使用率</w:t>
      </w:r>
      <w:r w:rsidRPr="00DF5C23">
        <w:rPr>
          <w:noProof/>
          <w:lang w:eastAsia="ja-JP"/>
        </w:rPr>
        <w:t>-</w:t>
      </w:r>
      <w:r w:rsidRPr="00DF5C23">
        <w:rPr>
          <w:noProof/>
          <w:lang w:eastAsia="ja-JP"/>
        </w:rPr>
        <w:t>二次原材料が材料需要を満たす割合（全材料使用量に占める割合）</w:t>
      </w:r>
      <w:r w:rsidRPr="00DF5C23">
        <w:rPr>
          <w:noProof/>
          <w:lang w:eastAsia="ja-JP"/>
        </w:rPr>
        <w:t xml:space="preserve"> </w:t>
      </w:r>
    </w:p>
    <w:p w14:paraId="6F825E88" w14:textId="77777777" w:rsidR="0038775E" w:rsidRDefault="00877B9C" w:rsidP="002041D4">
      <w:pPr>
        <w:pBdr>
          <w:top w:val="single" w:sz="4" w:space="1" w:color="auto"/>
          <w:left w:val="single" w:sz="4" w:space="4" w:color="auto"/>
          <w:bottom w:val="single" w:sz="4" w:space="1" w:color="auto"/>
          <w:right w:val="single" w:sz="4" w:space="4" w:color="auto"/>
        </w:pBdr>
        <w:wordWrap w:val="0"/>
        <w:ind w:left="850"/>
        <w:rPr>
          <w:rFonts w:eastAsia="Calibri"/>
          <w:noProof/>
          <w:u w:val="single"/>
          <w:lang w:eastAsia="ja-JP"/>
        </w:rPr>
      </w:pPr>
      <w:r w:rsidRPr="00DF5C23">
        <w:rPr>
          <w:rFonts w:eastAsia="Calibri"/>
          <w:noProof/>
          <w:u w:val="single"/>
          <w:lang w:eastAsia="ja-JP"/>
        </w:rPr>
        <w:t>より持続可能な製品やビジネスモデルへのインセンティブという点で</w:t>
      </w:r>
      <w:r w:rsidRPr="00DF5C23">
        <w:rPr>
          <w:rFonts w:eastAsia="Calibri"/>
          <w:noProof/>
          <w:u w:val="single"/>
          <w:lang w:eastAsia="ja-JP"/>
        </w:rPr>
        <w:t xml:space="preserve"> </w:t>
      </w:r>
    </w:p>
    <w:p w14:paraId="77717F37" w14:textId="77777777" w:rsidR="0038775E" w:rsidRDefault="00877B9C" w:rsidP="002041D4">
      <w:pPr>
        <w:pStyle w:val="Bullet1"/>
        <w:pBdr>
          <w:top w:val="single" w:sz="4" w:space="1" w:color="auto"/>
          <w:left w:val="single" w:sz="4" w:space="4" w:color="auto"/>
          <w:bottom w:val="single" w:sz="4" w:space="1" w:color="auto"/>
          <w:right w:val="single" w:sz="4" w:space="4" w:color="auto"/>
        </w:pBdr>
        <w:wordWrap w:val="0"/>
        <w:rPr>
          <w:noProof/>
          <w:lang w:eastAsia="ja-JP"/>
        </w:rPr>
      </w:pPr>
      <w:r w:rsidRPr="00DF5C23">
        <w:rPr>
          <w:noProof/>
          <w:lang w:eastAsia="ja-JP"/>
        </w:rPr>
        <w:t>活動別の付加価</w:t>
      </w:r>
      <w:r w:rsidRPr="00DF5C23">
        <w:rPr>
          <w:noProof/>
          <w:lang w:eastAsia="ja-JP"/>
        </w:rPr>
        <w:t>値とその構成要素</w:t>
      </w:r>
      <w:r w:rsidRPr="00DF5C23">
        <w:rPr>
          <w:noProof/>
          <w:lang w:eastAsia="ja-JP"/>
        </w:rPr>
        <w:t xml:space="preserve"> </w:t>
      </w:r>
    </w:p>
    <w:p w14:paraId="582A4BE7" w14:textId="77777777" w:rsidR="0038775E" w:rsidRDefault="00877B9C" w:rsidP="002041D4">
      <w:pPr>
        <w:pStyle w:val="Bullet1"/>
        <w:pBdr>
          <w:top w:val="single" w:sz="4" w:space="1" w:color="auto"/>
          <w:left w:val="single" w:sz="4" w:space="4" w:color="auto"/>
          <w:bottom w:val="single" w:sz="4" w:space="1" w:color="auto"/>
          <w:right w:val="single" w:sz="4" w:space="4" w:color="auto"/>
        </w:pBdr>
        <w:wordWrap w:val="0"/>
        <w:rPr>
          <w:noProof/>
          <w:lang w:eastAsia="ja-JP"/>
        </w:rPr>
      </w:pPr>
      <w:r w:rsidRPr="00DF5C23">
        <w:rPr>
          <w:noProof/>
          <w:lang w:eastAsia="ja-JP"/>
        </w:rPr>
        <w:t>グリーン公共調達</w:t>
      </w:r>
      <w:r w:rsidRPr="00DF5C23">
        <w:rPr>
          <w:noProof/>
          <w:lang w:eastAsia="ja-JP"/>
        </w:rPr>
        <w:t>-EU</w:t>
      </w:r>
      <w:r w:rsidRPr="00DF5C23">
        <w:rPr>
          <w:noProof/>
          <w:lang w:eastAsia="ja-JP"/>
        </w:rPr>
        <w:t>の基準値を超える公共調達手続きのうち、環境要素を含む手続きの割合（件数・金額）。</w:t>
      </w:r>
    </w:p>
    <w:p w14:paraId="69AEBE8C" w14:textId="77777777" w:rsidR="0038775E" w:rsidRDefault="00877B9C" w:rsidP="002041D4">
      <w:pPr>
        <w:pStyle w:val="Bullet1"/>
        <w:pBdr>
          <w:top w:val="single" w:sz="4" w:space="1" w:color="auto"/>
          <w:left w:val="single" w:sz="4" w:space="4" w:color="auto"/>
          <w:bottom w:val="single" w:sz="4" w:space="1" w:color="auto"/>
          <w:right w:val="single" w:sz="4" w:space="4" w:color="auto"/>
        </w:pBdr>
        <w:wordWrap w:val="0"/>
        <w:rPr>
          <w:noProof/>
          <w:lang w:eastAsia="ja-JP"/>
        </w:rPr>
      </w:pPr>
      <w:r w:rsidRPr="00DF5C23">
        <w:rPr>
          <w:noProof/>
          <w:lang w:eastAsia="ja-JP"/>
        </w:rPr>
        <w:t>製品のコスト変化や使用による価値の変化による消費者への影響</w:t>
      </w:r>
    </w:p>
    <w:p w14:paraId="6FD0F4B2" w14:textId="77777777" w:rsidR="0038775E" w:rsidRDefault="00877B9C" w:rsidP="002041D4">
      <w:pPr>
        <w:pStyle w:val="Bullet1"/>
        <w:pBdr>
          <w:top w:val="single" w:sz="4" w:space="1" w:color="auto"/>
          <w:left w:val="single" w:sz="4" w:space="4" w:color="auto"/>
          <w:bottom w:val="single" w:sz="4" w:space="1" w:color="auto"/>
          <w:right w:val="single" w:sz="4" w:space="4" w:color="auto"/>
        </w:pBdr>
        <w:wordWrap w:val="0"/>
        <w:rPr>
          <w:noProof/>
          <w:lang w:eastAsia="ja-JP"/>
        </w:rPr>
      </w:pPr>
      <w:r w:rsidRPr="00DF5C23">
        <w:rPr>
          <w:noProof/>
          <w:lang w:eastAsia="ja-JP"/>
        </w:rPr>
        <w:t>リサイクル部門と修理・</w:t>
      </w:r>
      <w:r w:rsidR="00AB244C" w:rsidRPr="00DF5C23">
        <w:rPr>
          <w:noProof/>
          <w:lang w:eastAsia="ja-JP"/>
        </w:rPr>
        <w:t>再利用部門の</w:t>
      </w:r>
      <w:r w:rsidRPr="00DF5C23">
        <w:rPr>
          <w:noProof/>
          <w:lang w:eastAsia="ja-JP"/>
        </w:rPr>
        <w:t>「有形固定資産への総投資額」「雇用者数」「要素費用による付加価値額」。</w:t>
      </w:r>
    </w:p>
    <w:p w14:paraId="3E4849D3" w14:textId="77777777" w:rsidR="0038775E" w:rsidRDefault="00877B9C" w:rsidP="002041D4">
      <w:pPr>
        <w:pBdr>
          <w:top w:val="single" w:sz="4" w:space="1" w:color="auto"/>
          <w:left w:val="single" w:sz="4" w:space="4" w:color="auto"/>
          <w:bottom w:val="single" w:sz="4" w:space="1" w:color="auto"/>
          <w:right w:val="single" w:sz="4" w:space="4" w:color="auto"/>
        </w:pBdr>
        <w:wordWrap w:val="0"/>
        <w:ind w:left="850"/>
        <w:rPr>
          <w:rFonts w:eastAsia="Calibri"/>
          <w:noProof/>
          <w:u w:val="single"/>
          <w:lang w:eastAsia="ja-JP"/>
        </w:rPr>
      </w:pPr>
      <w:r w:rsidRPr="00DF5C23">
        <w:rPr>
          <w:rFonts w:eastAsia="Calibri"/>
          <w:noProof/>
          <w:u w:val="single"/>
          <w:lang w:eastAsia="ja-JP"/>
        </w:rPr>
        <w:t>サステイナブル製品に関する法律の枠組みの適用を改善するという点で</w:t>
      </w:r>
    </w:p>
    <w:p w14:paraId="7644F28D" w14:textId="77777777" w:rsidR="0038775E" w:rsidRDefault="00877B9C" w:rsidP="002041D4">
      <w:pPr>
        <w:pStyle w:val="Bullet1"/>
        <w:pBdr>
          <w:top w:val="single" w:sz="4" w:space="1" w:color="auto"/>
          <w:left w:val="single" w:sz="4" w:space="4" w:color="auto"/>
          <w:bottom w:val="single" w:sz="4" w:space="1" w:color="auto"/>
          <w:right w:val="single" w:sz="4" w:space="4" w:color="auto"/>
        </w:pBdr>
        <w:wordWrap w:val="0"/>
        <w:rPr>
          <w:noProof/>
          <w:lang w:eastAsia="ja-JP"/>
        </w:rPr>
      </w:pPr>
      <w:r w:rsidRPr="00DF5C23">
        <w:rPr>
          <w:noProof/>
          <w:lang w:eastAsia="ja-JP"/>
        </w:rPr>
        <w:t>デジタルプロダクトパスポートを含む各種要件セット</w:t>
      </w:r>
    </w:p>
    <w:p w14:paraId="4E19EF54" w14:textId="77777777" w:rsidR="0038775E" w:rsidRDefault="00877B9C" w:rsidP="002041D4">
      <w:pPr>
        <w:pStyle w:val="Bullet1"/>
        <w:pBdr>
          <w:top w:val="single" w:sz="4" w:space="1" w:color="auto"/>
          <w:left w:val="single" w:sz="4" w:space="4" w:color="auto"/>
          <w:bottom w:val="single" w:sz="4" w:space="1" w:color="auto"/>
          <w:right w:val="single" w:sz="4" w:space="4" w:color="auto"/>
        </w:pBdr>
        <w:wordWrap w:val="0"/>
        <w:rPr>
          <w:noProof/>
          <w:lang w:eastAsia="ja-JP"/>
        </w:rPr>
      </w:pPr>
      <w:r w:rsidRPr="00DF5C23">
        <w:rPr>
          <w:noProof/>
          <w:lang w:eastAsia="ja-JP"/>
        </w:rPr>
        <w:t>委任された法律が適用される製品に設定された要求事項への不適合率</w:t>
      </w:r>
    </w:p>
    <w:p w14:paraId="53FF36C4" w14:textId="77777777" w:rsidR="0038775E" w:rsidRDefault="00877B9C" w:rsidP="002041D4">
      <w:pPr>
        <w:pStyle w:val="ManualHeading2"/>
        <w:wordWrap w:val="0"/>
        <w:rPr>
          <w:bCs/>
          <w:noProof/>
          <w:szCs w:val="24"/>
          <w:lang w:eastAsia="ja-JP"/>
        </w:rPr>
      </w:pPr>
      <w:bookmarkStart w:id="19" w:name="_Toc514938025"/>
      <w:bookmarkStart w:id="20" w:name="_Toc520485034"/>
      <w:bookmarkStart w:id="21" w:name="_Toc514938026"/>
      <w:bookmarkStart w:id="22" w:name="_Toc520485035"/>
      <w:r w:rsidRPr="004F5E59">
        <w:rPr>
          <w:lang w:eastAsia="ja-JP"/>
        </w:rPr>
        <w:t>1.5.</w:t>
      </w:r>
      <w:r w:rsidRPr="004F5E59">
        <w:rPr>
          <w:lang w:eastAsia="ja-JP"/>
        </w:rPr>
        <w:tab/>
      </w:r>
      <w:r w:rsidR="003102BB" w:rsidRPr="00DF5C23">
        <w:rPr>
          <w:noProof/>
          <w:lang w:eastAsia="ja-JP"/>
        </w:rPr>
        <w:t>提案・発案の根拠</w:t>
      </w:r>
      <w:r w:rsidR="003102BB" w:rsidRPr="00DF5C23">
        <w:rPr>
          <w:noProof/>
          <w:lang w:eastAsia="ja-JP"/>
        </w:rPr>
        <w:t xml:space="preserve"> </w:t>
      </w:r>
      <w:bookmarkEnd w:id="19"/>
      <w:bookmarkEnd w:id="20"/>
    </w:p>
    <w:p w14:paraId="00E4E176" w14:textId="77777777" w:rsidR="0038775E" w:rsidRDefault="00877B9C" w:rsidP="002041D4">
      <w:pPr>
        <w:pStyle w:val="ManualHeading3"/>
        <w:wordWrap w:val="0"/>
        <w:rPr>
          <w:noProof/>
          <w:lang w:eastAsia="ja-JP"/>
        </w:rPr>
      </w:pPr>
      <w:r w:rsidRPr="004F5E59">
        <w:rPr>
          <w:lang w:eastAsia="ja-JP"/>
        </w:rPr>
        <w:t>1.5.1.</w:t>
      </w:r>
      <w:r w:rsidRPr="004F5E59">
        <w:rPr>
          <w:lang w:eastAsia="ja-JP"/>
        </w:rPr>
        <w:tab/>
      </w:r>
      <w:r w:rsidR="00BF1765" w:rsidRPr="00DF5C23">
        <w:rPr>
          <w:noProof/>
          <w:lang w:eastAsia="ja-JP"/>
        </w:rPr>
        <w:t>短期的または長期的に満たすべき要件（イニシアチブの実施のロールアウトの詳細なタイムラインを含む）。</w:t>
      </w:r>
      <w:bookmarkEnd w:id="21"/>
      <w:bookmarkEnd w:id="22"/>
    </w:p>
    <w:p w14:paraId="67AA20B1" w14:textId="0DB0B2FC" w:rsidR="0038775E" w:rsidRDefault="00877B9C" w:rsidP="002041D4">
      <w:pPr>
        <w:pBdr>
          <w:top w:val="single" w:sz="4" w:space="1" w:color="auto"/>
          <w:left w:val="single" w:sz="4" w:space="4" w:color="auto"/>
          <w:bottom w:val="single" w:sz="4" w:space="1" w:color="auto"/>
          <w:right w:val="single" w:sz="4" w:space="4" w:color="auto"/>
        </w:pBdr>
        <w:wordWrap w:val="0"/>
        <w:ind w:left="850"/>
        <w:rPr>
          <w:rFonts w:eastAsia="Calibri"/>
          <w:noProof/>
          <w:lang w:eastAsia="ja-JP"/>
        </w:rPr>
      </w:pPr>
      <w:r w:rsidRPr="00DF5C23">
        <w:rPr>
          <w:rFonts w:eastAsia="Calibri"/>
          <w:noProof/>
          <w:lang w:eastAsia="ja-JP"/>
        </w:rPr>
        <w:t>この提案は、</w:t>
      </w:r>
      <w:r w:rsidRPr="00DF5C23">
        <w:rPr>
          <w:rFonts w:eastAsia="Calibri"/>
          <w:noProof/>
          <w:lang w:eastAsia="ja-JP"/>
        </w:rPr>
        <w:t>15</w:t>
      </w:r>
      <w:r w:rsidRPr="00DF5C23">
        <w:rPr>
          <w:rFonts w:eastAsia="Calibri"/>
          <w:noProof/>
          <w:lang w:eastAsia="ja-JP"/>
        </w:rPr>
        <w:t>年以上にわたって二次法を通じてエネルギー関連製品を規制するために使用されてきた既存の指令と構造を基盤として</w:t>
      </w:r>
      <w:r w:rsidR="002041D4">
        <w:rPr>
          <w:rFonts w:ascii="ＭＳ 明朝" w:eastAsia="ＭＳ 明朝" w:hAnsi="ＭＳ 明朝" w:cs="ＭＳ 明朝" w:hint="eastAsia"/>
          <w:noProof/>
          <w:lang w:eastAsia="ja-JP"/>
        </w:rPr>
        <w:t>いる。</w:t>
      </w:r>
      <w:r w:rsidRPr="00DF5C23">
        <w:rPr>
          <w:rFonts w:eastAsia="Calibri"/>
          <w:noProof/>
          <w:lang w:eastAsia="ja-JP"/>
        </w:rPr>
        <w:t>同様に、この規則で導入されるほとんどの措置は直ちに適用されるものではなく、委任</w:t>
      </w:r>
      <w:r w:rsidRPr="00DF5C23">
        <w:rPr>
          <w:rFonts w:eastAsia="Calibri"/>
          <w:noProof/>
          <w:lang w:eastAsia="ja-JP"/>
        </w:rPr>
        <w:lastRenderedPageBreak/>
        <w:t>法および実施法の採択を通じて、法律行為の採択に従うべきである。直ちに適用されるのは、回避に関する措置と、売れ残った</w:t>
      </w:r>
      <w:r w:rsidR="00B709D3" w:rsidRPr="00DF5C23">
        <w:rPr>
          <w:rFonts w:eastAsia="Calibri"/>
          <w:noProof/>
          <w:lang w:eastAsia="ja-JP"/>
        </w:rPr>
        <w:t>消費者製品の</w:t>
      </w:r>
      <w:r w:rsidRPr="00DF5C23">
        <w:rPr>
          <w:rFonts w:eastAsia="Calibri"/>
          <w:noProof/>
          <w:lang w:eastAsia="ja-JP"/>
        </w:rPr>
        <w:t>破棄の開示に関する措置のみである。</w:t>
      </w:r>
    </w:p>
    <w:p w14:paraId="04B50251" w14:textId="77777777" w:rsidR="0038775E" w:rsidRDefault="00877B9C" w:rsidP="002041D4">
      <w:pPr>
        <w:pBdr>
          <w:top w:val="single" w:sz="4" w:space="1" w:color="auto"/>
          <w:left w:val="single" w:sz="4" w:space="4" w:color="auto"/>
          <w:bottom w:val="single" w:sz="4" w:space="1" w:color="auto"/>
          <w:right w:val="single" w:sz="4" w:space="4" w:color="auto"/>
        </w:pBdr>
        <w:wordWrap w:val="0"/>
        <w:ind w:left="850"/>
        <w:rPr>
          <w:noProof/>
          <w:lang w:eastAsia="ja-JP"/>
        </w:rPr>
      </w:pPr>
      <w:r w:rsidRPr="00DF5C23">
        <w:rPr>
          <w:noProof/>
          <w:lang w:eastAsia="ja-JP"/>
        </w:rPr>
        <w:t>法律が採択された後、欧州委員</w:t>
      </w:r>
      <w:r w:rsidRPr="00DF5C23">
        <w:rPr>
          <w:noProof/>
          <w:lang w:eastAsia="ja-JP"/>
        </w:rPr>
        <w:t>会は、第</w:t>
      </w:r>
      <w:r w:rsidRPr="00DF5C23">
        <w:rPr>
          <w:noProof/>
          <w:lang w:eastAsia="ja-JP"/>
        </w:rPr>
        <w:t>4</w:t>
      </w:r>
      <w:r w:rsidRPr="00DF5C23">
        <w:rPr>
          <w:noProof/>
          <w:lang w:eastAsia="ja-JP"/>
        </w:rPr>
        <w:t>条に従って委任法を採択する予定の製品群の指標となるリストを記載した作業計画を採択しなければならない</w:t>
      </w:r>
      <w:r w:rsidR="00552FE2" w:rsidRPr="00DF5C23">
        <w:rPr>
          <w:noProof/>
          <w:lang w:eastAsia="ja-JP"/>
        </w:rPr>
        <w:t>。</w:t>
      </w:r>
      <w:r w:rsidRPr="00DF5C23">
        <w:rPr>
          <w:noProof/>
          <w:lang w:eastAsia="ja-JP"/>
        </w:rPr>
        <w:t>これにより、新規則の下で行われる現行の指令に基づく継続的な作業が引き継がれることになる。</w:t>
      </w:r>
    </w:p>
    <w:p w14:paraId="2F269E77" w14:textId="77777777" w:rsidR="0038775E" w:rsidRDefault="00877B9C" w:rsidP="002041D4">
      <w:pPr>
        <w:pBdr>
          <w:top w:val="single" w:sz="4" w:space="1" w:color="auto"/>
          <w:left w:val="single" w:sz="4" w:space="4" w:color="auto"/>
          <w:bottom w:val="single" w:sz="4" w:space="1" w:color="auto"/>
          <w:right w:val="single" w:sz="4" w:space="4" w:color="auto"/>
        </w:pBdr>
        <w:wordWrap w:val="0"/>
        <w:ind w:left="850"/>
        <w:rPr>
          <w:rFonts w:eastAsia="Calibri"/>
          <w:noProof/>
          <w:lang w:eastAsia="ja-JP"/>
        </w:rPr>
      </w:pPr>
      <w:r w:rsidRPr="00DF5C23">
        <w:rPr>
          <w:rFonts w:eastAsia="Calibri"/>
          <w:noProof/>
          <w:lang w:eastAsia="ja-JP"/>
        </w:rPr>
        <w:t>これらの委任法は、特定の製品群に適用される</w:t>
      </w:r>
      <w:r w:rsidR="00397ED5" w:rsidRPr="00DF5C23">
        <w:rPr>
          <w:rFonts w:eastAsia="Calibri"/>
          <w:noProof/>
          <w:lang w:eastAsia="ja-JP"/>
        </w:rPr>
        <w:t>エコデザイン</w:t>
      </w:r>
      <w:r w:rsidRPr="00DF5C23">
        <w:rPr>
          <w:rFonts w:eastAsia="Calibri"/>
          <w:noProof/>
          <w:lang w:eastAsia="ja-JP"/>
        </w:rPr>
        <w:t>要件、または製品群に共通する</w:t>
      </w:r>
      <w:r w:rsidR="00397ED5" w:rsidRPr="00DF5C23">
        <w:rPr>
          <w:rFonts w:eastAsia="Calibri"/>
          <w:noProof/>
          <w:lang w:eastAsia="ja-JP"/>
        </w:rPr>
        <w:t>エコデザイン</w:t>
      </w:r>
      <w:r w:rsidRPr="00DF5C23">
        <w:rPr>
          <w:rFonts w:eastAsia="Calibri"/>
          <w:noProof/>
          <w:lang w:eastAsia="ja-JP"/>
        </w:rPr>
        <w:t>要件の設定を可能にする類似性がある場合、一連の製品群に適用される</w:t>
      </w:r>
      <w:r w:rsidR="00397ED5" w:rsidRPr="00DF5C23">
        <w:rPr>
          <w:rFonts w:eastAsia="Calibri"/>
          <w:noProof/>
          <w:lang w:eastAsia="ja-JP"/>
        </w:rPr>
        <w:t>エコデザイン要件を</w:t>
      </w:r>
      <w:r w:rsidRPr="00DF5C23">
        <w:rPr>
          <w:rFonts w:eastAsia="Calibri"/>
          <w:noProof/>
          <w:lang w:eastAsia="ja-JP"/>
        </w:rPr>
        <w:t>定めるものとする。これらの委任法には、公</w:t>
      </w:r>
      <w:r w:rsidR="00560BC8" w:rsidRPr="00DF5C23">
        <w:rPr>
          <w:rFonts w:eastAsia="Calibri"/>
          <w:noProof/>
          <w:lang w:eastAsia="ja-JP"/>
        </w:rPr>
        <w:t>契約や</w:t>
      </w:r>
      <w:r w:rsidRPr="00DF5C23">
        <w:rPr>
          <w:rFonts w:eastAsia="Calibri"/>
          <w:noProof/>
          <w:lang w:eastAsia="ja-JP"/>
        </w:rPr>
        <w:t>デジタル製品パスポートの作成に適用される</w:t>
      </w:r>
      <w:r w:rsidRPr="00DF5C23">
        <w:rPr>
          <w:rFonts w:eastAsia="Calibri"/>
          <w:noProof/>
          <w:lang w:eastAsia="ja-JP"/>
        </w:rPr>
        <w:t>要件が含まれる場合がある。</w:t>
      </w:r>
      <w:r w:rsidRPr="00DF5C23">
        <w:rPr>
          <w:rFonts w:eastAsia="Calibri"/>
          <w:noProof/>
          <w:lang w:eastAsia="ja-JP"/>
        </w:rPr>
        <w:t xml:space="preserve"> </w:t>
      </w:r>
    </w:p>
    <w:p w14:paraId="779A082E" w14:textId="77777777" w:rsidR="0038775E" w:rsidRDefault="00877B9C" w:rsidP="002041D4">
      <w:pPr>
        <w:pBdr>
          <w:top w:val="single" w:sz="4" w:space="1" w:color="auto"/>
          <w:left w:val="single" w:sz="4" w:space="4" w:color="auto"/>
          <w:bottom w:val="single" w:sz="4" w:space="1" w:color="auto"/>
          <w:right w:val="single" w:sz="4" w:space="4" w:color="auto"/>
        </w:pBdr>
        <w:wordWrap w:val="0"/>
        <w:ind w:left="850"/>
        <w:rPr>
          <w:rFonts w:eastAsia="Calibri"/>
          <w:noProof/>
          <w:lang w:val="en-IE" w:eastAsia="fr-BE"/>
        </w:rPr>
      </w:pPr>
      <w:r w:rsidRPr="00DF5C23">
        <w:rPr>
          <w:rFonts w:eastAsia="Calibri"/>
          <w:noProof/>
          <w:lang w:eastAsia="ja-JP"/>
        </w:rPr>
        <w:t>また、</w:t>
      </w:r>
      <w:r w:rsidRPr="00DF5C23">
        <w:rPr>
          <w:rFonts w:eastAsia="Calibri"/>
          <w:noProof/>
          <w:lang w:val="en-IE" w:eastAsia="fr-BE"/>
        </w:rPr>
        <w:t>売れ残った</w:t>
      </w:r>
      <w:r w:rsidR="00560BC8" w:rsidRPr="00DF5C23">
        <w:rPr>
          <w:rFonts w:eastAsia="Calibri"/>
          <w:noProof/>
          <w:lang w:val="en-IE" w:eastAsia="fr-BE"/>
        </w:rPr>
        <w:t>消費財の</w:t>
      </w:r>
      <w:r w:rsidRPr="00DF5C23">
        <w:rPr>
          <w:rFonts w:eastAsia="Calibri"/>
          <w:noProof/>
          <w:lang w:val="en-IE" w:eastAsia="fr-BE"/>
        </w:rPr>
        <w:t>廃棄の禁止や、市場監視当局が実施するチェックの回数についても、</w:t>
      </w:r>
      <w:r w:rsidRPr="00DF5C23">
        <w:rPr>
          <w:rFonts w:eastAsia="Calibri"/>
          <w:noProof/>
          <w:lang w:eastAsia="ja-JP"/>
        </w:rPr>
        <w:t>委任法を採択することができる。</w:t>
      </w:r>
    </w:p>
    <w:p w14:paraId="6B38BB74" w14:textId="77777777" w:rsidR="0038775E" w:rsidRDefault="00877B9C" w:rsidP="002041D4">
      <w:pPr>
        <w:pBdr>
          <w:top w:val="single" w:sz="4" w:space="1" w:color="auto"/>
          <w:left w:val="single" w:sz="4" w:space="4" w:color="auto"/>
          <w:bottom w:val="single" w:sz="4" w:space="1" w:color="auto"/>
          <w:right w:val="single" w:sz="4" w:space="4" w:color="auto"/>
        </w:pBdr>
        <w:wordWrap w:val="0"/>
        <w:ind w:left="850"/>
        <w:rPr>
          <w:rFonts w:eastAsia="Calibri"/>
          <w:noProof/>
          <w:lang w:eastAsia="fr-BE"/>
        </w:rPr>
      </w:pPr>
      <w:r w:rsidRPr="00DF5C23">
        <w:rPr>
          <w:rFonts w:eastAsia="Calibri"/>
          <w:noProof/>
          <w:lang w:eastAsia="ja-JP"/>
        </w:rPr>
        <w:t>売れ残った</w:t>
      </w:r>
      <w:r w:rsidR="00D10B22" w:rsidRPr="00DF5C23">
        <w:rPr>
          <w:rFonts w:eastAsia="Calibri"/>
          <w:noProof/>
          <w:lang w:val="en-IE" w:eastAsia="fr-BE"/>
        </w:rPr>
        <w:t>消費財の</w:t>
      </w:r>
      <w:r w:rsidRPr="00DF5C23">
        <w:rPr>
          <w:rFonts w:eastAsia="Calibri"/>
          <w:noProof/>
          <w:lang w:eastAsia="ja-JP"/>
        </w:rPr>
        <w:t>廃棄に関する情報の開示形式を規定し、加盟国が</w:t>
      </w:r>
      <w:r w:rsidRPr="00DF5C23">
        <w:rPr>
          <w:rFonts w:eastAsia="Calibri"/>
          <w:noProof/>
          <w:lang w:eastAsia="fr-BE"/>
        </w:rPr>
        <w:t>市場監視活動の優先事項</w:t>
      </w:r>
      <w:r w:rsidRPr="00DF5C23">
        <w:rPr>
          <w:rFonts w:eastAsia="Calibri"/>
          <w:noProof/>
          <w:lang w:eastAsia="ja-JP"/>
        </w:rPr>
        <w:t>として少なくとも考慮しなければならない</w:t>
      </w:r>
      <w:r w:rsidRPr="00DF5C23">
        <w:rPr>
          <w:rFonts w:eastAsia="Calibri"/>
          <w:noProof/>
          <w:lang w:eastAsia="fr-BE"/>
        </w:rPr>
        <w:t>製品</w:t>
      </w:r>
      <w:r w:rsidRPr="00DF5C23">
        <w:rPr>
          <w:rFonts w:eastAsia="Calibri"/>
          <w:noProof/>
          <w:lang w:eastAsia="ja-JP"/>
        </w:rPr>
        <w:t>または要件を列挙する</w:t>
      </w:r>
      <w:r w:rsidRPr="00DF5C23">
        <w:rPr>
          <w:rFonts w:eastAsia="Calibri"/>
          <w:noProof/>
          <w:lang w:val="en-IE" w:eastAsia="fr-BE"/>
        </w:rPr>
        <w:t>ために、実施法を採択することができる。</w:t>
      </w:r>
    </w:p>
    <w:p w14:paraId="7A7C3CF6" w14:textId="19E976BD" w:rsidR="0038775E" w:rsidRDefault="00877B9C" w:rsidP="002041D4">
      <w:pPr>
        <w:pBdr>
          <w:top w:val="single" w:sz="4" w:space="1" w:color="auto"/>
          <w:left w:val="single" w:sz="4" w:space="4" w:color="auto"/>
          <w:bottom w:val="single" w:sz="4" w:space="1" w:color="auto"/>
          <w:right w:val="single" w:sz="4" w:space="4" w:color="auto"/>
        </w:pBdr>
        <w:wordWrap w:val="0"/>
        <w:ind w:left="850"/>
        <w:rPr>
          <w:rFonts w:eastAsia="Calibri"/>
          <w:noProof/>
          <w:lang w:eastAsia="fr-BE"/>
        </w:rPr>
      </w:pPr>
      <w:r w:rsidRPr="00DF5C23">
        <w:rPr>
          <w:rFonts w:eastAsia="Calibri"/>
          <w:noProof/>
          <w:lang w:eastAsia="fr-BE"/>
        </w:rPr>
        <w:t>委任法および</w:t>
      </w:r>
      <w:r w:rsidR="009F3CE5" w:rsidRPr="00DF5C23">
        <w:rPr>
          <w:rFonts w:eastAsia="Calibri"/>
          <w:noProof/>
          <w:lang w:eastAsia="fr-BE"/>
        </w:rPr>
        <w:t>必要に応じて</w:t>
      </w:r>
      <w:r w:rsidRPr="00DF5C23">
        <w:rPr>
          <w:rFonts w:eastAsia="Calibri"/>
          <w:noProof/>
          <w:lang w:eastAsia="fr-BE"/>
        </w:rPr>
        <w:t>実施法は、「</w:t>
      </w:r>
      <w:r w:rsidRPr="00DF5C23">
        <w:rPr>
          <w:rFonts w:eastAsia="Calibri"/>
          <w:noProof/>
          <w:lang w:eastAsia="fr-BE"/>
        </w:rPr>
        <w:t>Better Regulation</w:t>
      </w:r>
      <w:r w:rsidRPr="00DF5C23">
        <w:rPr>
          <w:rFonts w:eastAsia="Calibri"/>
          <w:noProof/>
          <w:lang w:eastAsia="fr-BE"/>
        </w:rPr>
        <w:t>」のガイドラインに沿って、影響の徹底的な評価と利害関係者の協議を経て採択さ</w:t>
      </w:r>
      <w:r w:rsidR="002041D4">
        <w:rPr>
          <w:rFonts w:ascii="ＭＳ 明朝" w:eastAsia="ＭＳ 明朝" w:hAnsi="ＭＳ 明朝" w:cs="ＭＳ 明朝" w:hint="eastAsia"/>
          <w:noProof/>
          <w:lang w:eastAsia="fr-BE"/>
        </w:rPr>
        <w:t>れる</w:t>
      </w:r>
      <w:r w:rsidRPr="00DF5C23">
        <w:rPr>
          <w:rFonts w:eastAsia="Calibri"/>
          <w:noProof/>
          <w:lang w:eastAsia="fr-BE"/>
        </w:rPr>
        <w:t>。</w:t>
      </w:r>
    </w:p>
    <w:p w14:paraId="0B3B91E5" w14:textId="77777777" w:rsidR="0038775E" w:rsidRDefault="008D205D" w:rsidP="002041D4">
      <w:pPr>
        <w:pBdr>
          <w:top w:val="single" w:sz="4" w:space="1" w:color="auto"/>
          <w:left w:val="single" w:sz="4" w:space="4" w:color="auto"/>
          <w:bottom w:val="single" w:sz="4" w:space="1" w:color="auto"/>
          <w:right w:val="single" w:sz="4" w:space="4" w:color="auto"/>
        </w:pBdr>
        <w:wordWrap w:val="0"/>
        <w:ind w:left="850"/>
        <w:rPr>
          <w:rFonts w:eastAsia="Calibri"/>
          <w:noProof/>
          <w:lang w:eastAsia="ja-JP"/>
        </w:rPr>
      </w:pPr>
      <w:r w:rsidRPr="00DF5C23">
        <w:rPr>
          <w:rFonts w:eastAsia="Calibri"/>
          <w:noProof/>
          <w:lang w:val="en-IE" w:eastAsia="fr-BE"/>
        </w:rPr>
        <w:t>エコデザインの</w:t>
      </w:r>
      <w:r w:rsidR="00877B9C" w:rsidRPr="00DF5C23">
        <w:rPr>
          <w:rFonts w:eastAsia="Calibri"/>
          <w:noProof/>
          <w:lang w:val="en-IE" w:eastAsia="fr-BE"/>
        </w:rPr>
        <w:t>要件と売れ</w:t>
      </w:r>
      <w:r w:rsidR="00877B9C" w:rsidRPr="00DF5C23">
        <w:rPr>
          <w:rFonts w:eastAsia="Calibri"/>
          <w:noProof/>
          <w:lang w:val="en-IE" w:eastAsia="fr-BE"/>
        </w:rPr>
        <w:t>残った</w:t>
      </w:r>
      <w:r w:rsidR="00D10B22" w:rsidRPr="00DF5C23">
        <w:rPr>
          <w:rFonts w:eastAsia="Calibri"/>
          <w:noProof/>
          <w:lang w:val="en-IE" w:eastAsia="fr-BE"/>
        </w:rPr>
        <w:t>消費財の</w:t>
      </w:r>
      <w:r w:rsidR="00877B9C" w:rsidRPr="00DF5C23">
        <w:rPr>
          <w:rFonts w:eastAsia="Calibri"/>
          <w:noProof/>
          <w:lang w:val="en-IE" w:eastAsia="fr-BE"/>
        </w:rPr>
        <w:t>廃棄の禁止に関する委任法は、経済主体、特に製造業者、輸入業者、流通業者によって実施される。産業界は、</w:t>
      </w:r>
      <w:r w:rsidR="00877B9C" w:rsidRPr="00DF5C23">
        <w:rPr>
          <w:rFonts w:eastAsia="Calibri"/>
          <w:bCs/>
          <w:iCs/>
          <w:noProof/>
          <w:lang w:eastAsia="ja-JP"/>
        </w:rPr>
        <w:t>循環型ビジネスモデル</w:t>
      </w:r>
      <w:r w:rsidR="00877B9C" w:rsidRPr="00DF5C23">
        <w:rPr>
          <w:rFonts w:eastAsia="Calibri"/>
          <w:noProof/>
          <w:lang w:eastAsia="ja-JP"/>
        </w:rPr>
        <w:t>（</w:t>
      </w:r>
      <w:r w:rsidR="00877B9C" w:rsidRPr="00DF5C23">
        <w:rPr>
          <w:rFonts w:eastAsia="Calibri"/>
          <w:noProof/>
          <w:lang w:eastAsia="ja-JP"/>
        </w:rPr>
        <w:t>CBM</w:t>
      </w:r>
      <w:r w:rsidR="00877B9C" w:rsidRPr="00DF5C23">
        <w:rPr>
          <w:rFonts w:eastAsia="Calibri"/>
          <w:bCs/>
          <w:iCs/>
          <w:noProof/>
          <w:lang w:eastAsia="ja-JP"/>
        </w:rPr>
        <w:t>）に関するガイドラインの</w:t>
      </w:r>
      <w:r w:rsidR="00877B9C" w:rsidRPr="00DF5C23">
        <w:rPr>
          <w:rFonts w:eastAsia="Calibri"/>
          <w:noProof/>
          <w:lang w:eastAsia="ja-JP"/>
        </w:rPr>
        <w:t>提供によって</w:t>
      </w:r>
      <w:r w:rsidR="00877B9C" w:rsidRPr="00DF5C23">
        <w:rPr>
          <w:rFonts w:eastAsia="Calibri"/>
          <w:noProof/>
          <w:lang w:val="en-IE" w:eastAsia="fr-BE"/>
        </w:rPr>
        <w:t>支援され、</w:t>
      </w:r>
      <w:r w:rsidR="00877B9C" w:rsidRPr="00DF5C23">
        <w:rPr>
          <w:rFonts w:eastAsia="Calibri"/>
          <w:bCs/>
          <w:iCs/>
          <w:noProof/>
          <w:lang w:eastAsia="ja-JP"/>
        </w:rPr>
        <w:t>循環型ビジネスモデルの導入を支援する</w:t>
      </w:r>
      <w:r w:rsidR="00877B9C" w:rsidRPr="00DF5C23">
        <w:rPr>
          <w:rFonts w:eastAsia="Calibri"/>
          <w:bCs/>
          <w:iCs/>
          <w:noProof/>
          <w:lang w:eastAsia="ja-JP"/>
        </w:rPr>
        <w:t>EU</w:t>
      </w:r>
      <w:r w:rsidR="00877B9C" w:rsidRPr="00DF5C23">
        <w:rPr>
          <w:rFonts w:eastAsia="Calibri"/>
          <w:bCs/>
          <w:iCs/>
          <w:noProof/>
          <w:lang w:eastAsia="ja-JP"/>
        </w:rPr>
        <w:t>全体のハブによって</w:t>
      </w:r>
      <w:r w:rsidR="00877B9C" w:rsidRPr="00DF5C23">
        <w:rPr>
          <w:rFonts w:eastAsia="Calibri"/>
          <w:noProof/>
          <w:lang w:eastAsia="ja-JP"/>
        </w:rPr>
        <w:t>、啓発、協力、研修の提供、成功事例の交換などの情報やサービスが提供される。</w:t>
      </w:r>
      <w:r w:rsidR="00877B9C" w:rsidRPr="00DF5C23">
        <w:rPr>
          <w:rFonts w:eastAsia="Calibri"/>
          <w:noProof/>
          <w:lang w:eastAsia="ja-JP"/>
        </w:rPr>
        <w:t xml:space="preserve"> </w:t>
      </w:r>
    </w:p>
    <w:p w14:paraId="0758C0A8" w14:textId="77777777" w:rsidR="0038775E" w:rsidRDefault="00877B9C" w:rsidP="002041D4">
      <w:pPr>
        <w:pStyle w:val="ManualHeading3"/>
        <w:wordWrap w:val="0"/>
        <w:rPr>
          <w:bCs/>
          <w:noProof/>
          <w:szCs w:val="24"/>
          <w:lang w:eastAsia="ja-JP"/>
        </w:rPr>
      </w:pPr>
      <w:bookmarkStart w:id="23" w:name="_Toc514938029"/>
      <w:bookmarkStart w:id="24" w:name="_Toc520485036"/>
      <w:r w:rsidRPr="004F5E59">
        <w:rPr>
          <w:lang w:eastAsia="ja-JP"/>
        </w:rPr>
        <w:t>1.5.2.</w:t>
      </w:r>
      <w:r w:rsidRPr="004F5E59">
        <w:rPr>
          <w:lang w:eastAsia="ja-JP"/>
        </w:rPr>
        <w:tab/>
      </w:r>
      <w:r w:rsidR="003102BB" w:rsidRPr="00DF5C23">
        <w:rPr>
          <w:noProof/>
          <w:lang w:eastAsia="ja-JP"/>
        </w:rPr>
        <w:t>欧州連合が関与することによる付加価値（それは、調整の利益、法的確実性、より大きな効果、補完性など、さまざまな要因から生じる可能性がある）。本項目において、「欧州連合の関与による付加価値」とは、加盟国が単独で創出したであろう価値に加え、欧州連合の介入によってもたらされる価値のことである。</w:t>
      </w:r>
      <w:bookmarkEnd w:id="23"/>
      <w:bookmarkEnd w:id="24"/>
    </w:p>
    <w:p w14:paraId="72E3A4ED" w14:textId="77777777" w:rsidR="0038775E" w:rsidRDefault="00877B9C" w:rsidP="002041D4">
      <w:pPr>
        <w:pBdr>
          <w:top w:val="single" w:sz="4" w:space="1" w:color="auto"/>
          <w:left w:val="single" w:sz="4" w:space="4" w:color="auto"/>
          <w:bottom w:val="single" w:sz="4" w:space="1" w:color="auto"/>
          <w:right w:val="single" w:sz="4" w:space="4" w:color="auto"/>
        </w:pBdr>
        <w:wordWrap w:val="0"/>
        <w:ind w:left="850"/>
        <w:rPr>
          <w:rFonts w:eastAsia="Calibri"/>
          <w:noProof/>
          <w:color w:val="0000FF"/>
          <w:lang w:eastAsia="ja-JP"/>
        </w:rPr>
      </w:pPr>
      <w:r w:rsidRPr="00DF5C23">
        <w:rPr>
          <w:rFonts w:eastAsia="Calibri"/>
          <w:noProof/>
          <w:lang w:eastAsia="ja-JP"/>
        </w:rPr>
        <w:t>欧州レベルでの行動（事前）の理由</w:t>
      </w:r>
      <w:r w:rsidRPr="00DF5C23">
        <w:rPr>
          <w:rFonts w:eastAsia="Calibri"/>
          <w:noProof/>
          <w:lang w:eastAsia="ja-JP"/>
        </w:rPr>
        <w:t xml:space="preserve"> </w:t>
      </w:r>
    </w:p>
    <w:p w14:paraId="223B0545" w14:textId="5CBA4DD6" w:rsidR="0038775E" w:rsidRDefault="00877B9C" w:rsidP="002041D4">
      <w:pPr>
        <w:pBdr>
          <w:top w:val="single" w:sz="4" w:space="1" w:color="auto"/>
          <w:left w:val="single" w:sz="4" w:space="4" w:color="auto"/>
          <w:bottom w:val="single" w:sz="4" w:space="1" w:color="auto"/>
          <w:right w:val="single" w:sz="4" w:space="4" w:color="auto"/>
        </w:pBdr>
        <w:wordWrap w:val="0"/>
        <w:ind w:left="850"/>
        <w:rPr>
          <w:rFonts w:eastAsia="Calibri"/>
          <w:noProof/>
          <w:lang w:eastAsia="ja-JP"/>
        </w:rPr>
      </w:pPr>
      <w:r w:rsidRPr="00DF5C23">
        <w:rPr>
          <w:rFonts w:eastAsia="Calibri"/>
          <w:noProof/>
          <w:lang w:eastAsia="ja-JP"/>
        </w:rPr>
        <w:t>既存のエコデザイン法の根拠と同様に、加盟国だけでは、経済事業者に対する要求事項の乖離、製品の自由な移動に対する障害、経済事業者に対する規制負担や過剰なコストを生じることなく、適切な措置を制</w:t>
      </w:r>
      <w:r w:rsidRPr="00DF5C23">
        <w:rPr>
          <w:rFonts w:eastAsia="Calibri"/>
          <w:noProof/>
          <w:lang w:eastAsia="ja-JP"/>
        </w:rPr>
        <w:t>定する可能性はないだろう。さらに、加盟国だけで開発したツールは、必然的に乖離し、消費者の選択をより複雑なものにするだろう。したがって、加盟国が個別に行動する場合、特に域内市場で取引される製品について、異なる手法やアプローチに基づく競合するシステムが存在することになり、市場の断片化が生じ、製品の環境性能に関する認識や情報レベルが</w:t>
      </w:r>
      <w:r w:rsidRPr="00DF5C23">
        <w:rPr>
          <w:rFonts w:eastAsia="Calibri"/>
          <w:noProof/>
          <w:lang w:eastAsia="ja-JP"/>
        </w:rPr>
        <w:t>EU</w:t>
      </w:r>
      <w:r w:rsidRPr="00DF5C23">
        <w:rPr>
          <w:rFonts w:eastAsia="Calibri"/>
          <w:noProof/>
          <w:lang w:eastAsia="ja-JP"/>
        </w:rPr>
        <w:t>全体で不均一になり、国境を越えて取引する企業にとって追加コストが生じる可能性が高くな</w:t>
      </w:r>
      <w:r w:rsidR="002041D4">
        <w:rPr>
          <w:rFonts w:ascii="ＭＳ 明朝" w:eastAsia="ＭＳ 明朝" w:hAnsi="ＭＳ 明朝" w:cs="ＭＳ 明朝" w:hint="eastAsia"/>
          <w:noProof/>
          <w:lang w:eastAsia="ja-JP"/>
        </w:rPr>
        <w:t>る</w:t>
      </w:r>
      <w:r w:rsidRPr="00DF5C23">
        <w:rPr>
          <w:rFonts w:eastAsia="Calibri"/>
          <w:noProof/>
          <w:lang w:eastAsia="ja-JP"/>
        </w:rPr>
        <w:t>。</w:t>
      </w:r>
    </w:p>
    <w:p w14:paraId="4D45F491" w14:textId="77777777" w:rsidR="0038775E" w:rsidRDefault="00877B9C" w:rsidP="002041D4">
      <w:pPr>
        <w:pBdr>
          <w:top w:val="single" w:sz="4" w:space="1" w:color="auto"/>
          <w:left w:val="single" w:sz="4" w:space="4" w:color="auto"/>
          <w:bottom w:val="single" w:sz="4" w:space="1" w:color="auto"/>
          <w:right w:val="single" w:sz="4" w:space="4" w:color="auto"/>
        </w:pBdr>
        <w:wordWrap w:val="0"/>
        <w:ind w:left="850"/>
        <w:rPr>
          <w:rFonts w:eastAsia="Calibri"/>
          <w:noProof/>
          <w:lang w:eastAsia="ja-JP"/>
        </w:rPr>
      </w:pPr>
      <w:r w:rsidRPr="00DF5C23">
        <w:rPr>
          <w:rFonts w:eastAsia="Calibri"/>
          <w:noProof/>
          <w:lang w:eastAsia="ja-JP"/>
        </w:rPr>
        <w:t>期待されるユニオン付加価値の創出（事後的）</w:t>
      </w:r>
      <w:r w:rsidRPr="00DF5C23">
        <w:rPr>
          <w:rFonts w:eastAsia="Calibri"/>
          <w:noProof/>
          <w:lang w:eastAsia="ja-JP"/>
        </w:rPr>
        <w:t xml:space="preserve"> </w:t>
      </w:r>
    </w:p>
    <w:p w14:paraId="0FC449FA" w14:textId="326AD4C0" w:rsidR="0038775E" w:rsidRDefault="00877B9C" w:rsidP="002041D4">
      <w:pPr>
        <w:pBdr>
          <w:top w:val="single" w:sz="4" w:space="1" w:color="auto"/>
          <w:left w:val="single" w:sz="4" w:space="4" w:color="auto"/>
          <w:bottom w:val="single" w:sz="4" w:space="1" w:color="auto"/>
          <w:right w:val="single" w:sz="4" w:space="4" w:color="auto"/>
        </w:pBdr>
        <w:wordWrap w:val="0"/>
        <w:ind w:left="850"/>
        <w:rPr>
          <w:rFonts w:eastAsia="Calibri"/>
          <w:noProof/>
          <w:lang w:eastAsia="ja-JP"/>
        </w:rPr>
      </w:pPr>
      <w:r w:rsidRPr="00DF5C23">
        <w:rPr>
          <w:rFonts w:eastAsia="Calibri"/>
          <w:noProof/>
          <w:szCs w:val="24"/>
          <w:lang w:eastAsia="ja-JP"/>
        </w:rPr>
        <w:lastRenderedPageBreak/>
        <w:t>EU</w:t>
      </w:r>
      <w:r w:rsidRPr="00DF5C23">
        <w:rPr>
          <w:rFonts w:eastAsia="Calibri"/>
          <w:noProof/>
          <w:szCs w:val="24"/>
          <w:lang w:eastAsia="ja-JP"/>
        </w:rPr>
        <w:t>の行動のみが、調和された共通の製品要</w:t>
      </w:r>
      <w:r w:rsidRPr="00DF5C23">
        <w:rPr>
          <w:rFonts w:eastAsia="Calibri"/>
          <w:noProof/>
          <w:szCs w:val="24"/>
          <w:lang w:eastAsia="ja-JP"/>
        </w:rPr>
        <w:t>件と持続可能性の特性に関する情報要件を設定し、商品の自由な移動を保証し、消費者がどの加盟国で購入した製品であっても、持続可能な特性や循環型の特徴に関する適切で信頼できる情報を処分できるようにできる</w:t>
      </w:r>
      <w:r w:rsidRPr="00DF5C23">
        <w:rPr>
          <w:rFonts w:eastAsia="Calibri"/>
          <w:noProof/>
          <w:szCs w:val="24"/>
          <w:lang w:eastAsia="ja-JP"/>
        </w:rPr>
        <w:t>ため、国レベルの行動よりも</w:t>
      </w:r>
      <w:r w:rsidRPr="00DF5C23">
        <w:rPr>
          <w:rFonts w:eastAsia="Calibri"/>
          <w:noProof/>
          <w:szCs w:val="24"/>
          <w:lang w:eastAsia="ja-JP"/>
        </w:rPr>
        <w:t>EU</w:t>
      </w:r>
      <w:r w:rsidRPr="00DF5C23">
        <w:rPr>
          <w:rFonts w:eastAsia="Calibri"/>
          <w:noProof/>
          <w:szCs w:val="24"/>
          <w:lang w:eastAsia="ja-JP"/>
        </w:rPr>
        <w:t>レベルの行動のほうが効果的である。</w:t>
      </w:r>
      <w:r w:rsidRPr="00DF5C23">
        <w:rPr>
          <w:rFonts w:eastAsia="Calibri"/>
          <w:noProof/>
          <w:szCs w:val="24"/>
          <w:lang w:eastAsia="ja-JP"/>
        </w:rPr>
        <w:t>EU</w:t>
      </w:r>
      <w:r w:rsidRPr="00DF5C23">
        <w:rPr>
          <w:rFonts w:eastAsia="Calibri"/>
          <w:noProof/>
          <w:szCs w:val="24"/>
          <w:lang w:eastAsia="ja-JP"/>
        </w:rPr>
        <w:t>レベルで共通の要求事項を設定することには、明確な付加価値があ</w:t>
      </w:r>
      <w:r w:rsidR="002041D4">
        <w:rPr>
          <w:rFonts w:ascii="ＭＳ 明朝" w:eastAsia="ＭＳ 明朝" w:hAnsi="ＭＳ 明朝" w:cs="ＭＳ 明朝" w:hint="eastAsia"/>
          <w:noProof/>
          <w:szCs w:val="24"/>
          <w:lang w:eastAsia="ja-JP"/>
        </w:rPr>
        <w:t>る</w:t>
      </w:r>
      <w:r w:rsidRPr="00DF5C23">
        <w:rPr>
          <w:rFonts w:eastAsia="Calibri"/>
          <w:noProof/>
          <w:szCs w:val="24"/>
          <w:lang w:eastAsia="ja-JP"/>
        </w:rPr>
        <w:t>。なぜなら、これによって、すべての加盟国において調和され、十分に機能する域内市場が確保され、</w:t>
      </w:r>
      <w:r w:rsidR="002A76DC" w:rsidRPr="00DF5C23">
        <w:rPr>
          <w:rFonts w:eastAsia="Arial Unicode MS"/>
          <w:noProof/>
          <w:lang w:eastAsia="ja-JP"/>
        </w:rPr>
        <w:t>域内市場で</w:t>
      </w:r>
      <w:r w:rsidR="002A76DC" w:rsidRPr="00DF5C23">
        <w:rPr>
          <w:noProof/>
          <w:lang w:eastAsia="ja-JP"/>
        </w:rPr>
        <w:t>活動する企業にとって</w:t>
      </w:r>
      <w:r w:rsidRPr="00DF5C23">
        <w:rPr>
          <w:rFonts w:eastAsia="Calibri"/>
          <w:noProof/>
          <w:szCs w:val="24"/>
          <w:lang w:eastAsia="ja-JP"/>
        </w:rPr>
        <w:t>公平な競争条件が確保されるから</w:t>
      </w:r>
      <w:r w:rsidR="002041D4">
        <w:rPr>
          <w:rFonts w:ascii="ＭＳ 明朝" w:eastAsia="ＭＳ 明朝" w:hAnsi="ＭＳ 明朝" w:cs="ＭＳ 明朝" w:hint="eastAsia"/>
          <w:noProof/>
          <w:szCs w:val="24"/>
          <w:lang w:eastAsia="ja-JP"/>
        </w:rPr>
        <w:t>である</w:t>
      </w:r>
      <w:r w:rsidRPr="00DF5C23">
        <w:rPr>
          <w:rFonts w:eastAsia="Calibri"/>
          <w:noProof/>
          <w:szCs w:val="24"/>
          <w:lang w:eastAsia="ja-JP"/>
        </w:rPr>
        <w:t>。</w:t>
      </w:r>
      <w:r w:rsidRPr="00DF5C23">
        <w:rPr>
          <w:rFonts w:eastAsia="Calibri"/>
          <w:noProof/>
          <w:szCs w:val="24"/>
          <w:lang w:eastAsia="ja-JP"/>
        </w:rPr>
        <w:t>EU</w:t>
      </w:r>
      <w:r w:rsidRPr="00DF5C23">
        <w:rPr>
          <w:rFonts w:eastAsia="Calibri"/>
          <w:noProof/>
          <w:szCs w:val="24"/>
          <w:lang w:eastAsia="ja-JP"/>
        </w:rPr>
        <w:t>レベルで設定される調</w:t>
      </w:r>
      <w:r w:rsidRPr="00DF5C23">
        <w:rPr>
          <w:rFonts w:eastAsia="Calibri"/>
          <w:noProof/>
          <w:szCs w:val="24"/>
          <w:lang w:eastAsia="ja-JP"/>
        </w:rPr>
        <w:t>和された最低要件と情報要件により、持続可能な製品と循環型社会がすべての加盟国で促進され、より大きく効率的な市場が形成され、したがって、産業界がそれらを開発するインセンティブが高ま</w:t>
      </w:r>
      <w:r w:rsidR="002041D4">
        <w:rPr>
          <w:rFonts w:ascii="ＭＳ 明朝" w:eastAsia="ＭＳ 明朝" w:hAnsi="ＭＳ 明朝" w:cs="ＭＳ 明朝" w:hint="eastAsia"/>
          <w:noProof/>
          <w:szCs w:val="24"/>
          <w:lang w:eastAsia="ja-JP"/>
        </w:rPr>
        <w:t>る</w:t>
      </w:r>
      <w:r w:rsidRPr="00DF5C23">
        <w:rPr>
          <w:rFonts w:eastAsia="Calibri"/>
          <w:noProof/>
          <w:szCs w:val="24"/>
          <w:lang w:eastAsia="ja-JP"/>
        </w:rPr>
        <w:t>。最後に、域内市場の規模は、</w:t>
      </w:r>
      <w:r w:rsidRPr="00DF5C23">
        <w:rPr>
          <w:rFonts w:eastAsia="Calibri"/>
          <w:noProof/>
          <w:szCs w:val="24"/>
          <w:lang w:eastAsia="ja-JP"/>
        </w:rPr>
        <w:t>EU</w:t>
      </w:r>
      <w:r w:rsidRPr="00DF5C23">
        <w:rPr>
          <w:rFonts w:eastAsia="Calibri"/>
          <w:noProof/>
          <w:szCs w:val="24"/>
          <w:lang w:eastAsia="ja-JP"/>
        </w:rPr>
        <w:t>が製品の持続可能性を促進し、世界中の製品設計やバリューチェーン・マネジメントに影響を与えることを可能にするクリティカルマスである</w:t>
      </w:r>
      <w:r w:rsidRPr="00DF5C23">
        <w:rPr>
          <w:rFonts w:eastAsia="Calibri"/>
          <w:noProof/>
          <w:color w:val="0000FF"/>
          <w:lang w:eastAsia="ja-JP"/>
        </w:rPr>
        <w:t>。</w:t>
      </w:r>
      <w:r w:rsidRPr="00DF5C23">
        <w:rPr>
          <w:rFonts w:eastAsia="Calibri"/>
          <w:noProof/>
          <w:color w:val="0000FF"/>
          <w:lang w:eastAsia="ja-JP"/>
        </w:rPr>
        <w:t xml:space="preserve"> </w:t>
      </w:r>
    </w:p>
    <w:p w14:paraId="7856B37D" w14:textId="77777777" w:rsidR="0038775E" w:rsidRDefault="00877B9C" w:rsidP="002041D4">
      <w:pPr>
        <w:pStyle w:val="ManualHeading3"/>
        <w:wordWrap w:val="0"/>
        <w:rPr>
          <w:noProof/>
          <w:lang w:eastAsia="ja-JP"/>
        </w:rPr>
      </w:pPr>
      <w:bookmarkStart w:id="25" w:name="_Toc514938030"/>
      <w:bookmarkStart w:id="26" w:name="_Toc520485037"/>
      <w:r w:rsidRPr="004F5E59">
        <w:rPr>
          <w:lang w:eastAsia="ja-JP"/>
        </w:rPr>
        <w:t>1.5.3.</w:t>
      </w:r>
      <w:r w:rsidRPr="004F5E59">
        <w:rPr>
          <w:lang w:eastAsia="ja-JP"/>
        </w:rPr>
        <w:tab/>
      </w:r>
      <w:r w:rsidR="00BF1765" w:rsidRPr="00DF5C23">
        <w:rPr>
          <w:noProof/>
          <w:lang w:eastAsia="ja-JP"/>
        </w:rPr>
        <w:t>過去の類似の経験から学んだ教訓</w:t>
      </w:r>
      <w:bookmarkEnd w:id="25"/>
      <w:bookmarkEnd w:id="26"/>
    </w:p>
    <w:p w14:paraId="3130C10A" w14:textId="7AB43A8A" w:rsidR="0038775E" w:rsidRDefault="00877B9C" w:rsidP="002041D4">
      <w:pPr>
        <w:pBdr>
          <w:top w:val="single" w:sz="4" w:space="1" w:color="auto"/>
          <w:left w:val="single" w:sz="4" w:space="4" w:color="auto"/>
          <w:bottom w:val="single" w:sz="4" w:space="1" w:color="auto"/>
          <w:right w:val="single" w:sz="4" w:space="4" w:color="auto"/>
        </w:pBdr>
        <w:wordWrap w:val="0"/>
        <w:ind w:left="850"/>
        <w:rPr>
          <w:rFonts w:eastAsia="Calibri"/>
          <w:noProof/>
          <w:lang w:eastAsia="ja-JP"/>
        </w:rPr>
      </w:pPr>
      <w:r w:rsidRPr="00DF5C23">
        <w:rPr>
          <w:rFonts w:eastAsia="Calibri"/>
          <w:noProof/>
          <w:lang w:eastAsia="ja-JP"/>
        </w:rPr>
        <w:t>EU</w:t>
      </w:r>
      <w:r w:rsidRPr="00DF5C23">
        <w:rPr>
          <w:rFonts w:eastAsia="Calibri"/>
          <w:noProof/>
          <w:lang w:eastAsia="ja-JP"/>
        </w:rPr>
        <w:t>レベルでは、まずエネルギーを使用する製品、次にエネルギー関連製品を規制してきた長い経験があ</w:t>
      </w:r>
      <w:r w:rsidR="002041D4">
        <w:rPr>
          <w:rFonts w:ascii="ＭＳ 明朝" w:eastAsia="ＭＳ 明朝" w:hAnsi="ＭＳ 明朝" w:cs="ＭＳ 明朝" w:hint="eastAsia"/>
          <w:noProof/>
          <w:lang w:eastAsia="ja-JP"/>
        </w:rPr>
        <w:t>る</w:t>
      </w:r>
      <w:r w:rsidRPr="00DF5C23">
        <w:rPr>
          <w:rFonts w:eastAsia="Calibri"/>
          <w:noProof/>
          <w:lang w:eastAsia="ja-JP"/>
        </w:rPr>
        <w:t>。現行の指令</w:t>
      </w:r>
      <w:r w:rsidRPr="00DF5C23">
        <w:rPr>
          <w:rFonts w:eastAsia="Calibri"/>
          <w:noProof/>
          <w:lang w:eastAsia="ja-JP"/>
        </w:rPr>
        <w:t>20</w:t>
      </w:r>
      <w:r w:rsidRPr="00DF5C23">
        <w:rPr>
          <w:rFonts w:eastAsia="Calibri"/>
          <w:noProof/>
          <w:lang w:eastAsia="ja-JP"/>
        </w:rPr>
        <w:t>09/125</w:t>
      </w:r>
      <w:r w:rsidRPr="00DF5C23">
        <w:rPr>
          <w:rFonts w:eastAsia="Calibri"/>
          <w:noProof/>
          <w:lang w:eastAsia="ja-JP"/>
        </w:rPr>
        <w:t>、エコデザイン指令は、これまで採用されてきた製品別対策の基礎となるもの</w:t>
      </w:r>
      <w:r w:rsidR="002041D4">
        <w:rPr>
          <w:rFonts w:ascii="ＭＳ 明朝" w:eastAsia="ＭＳ 明朝" w:hAnsi="ＭＳ 明朝" w:cs="ＭＳ 明朝" w:hint="eastAsia"/>
          <w:noProof/>
          <w:lang w:eastAsia="ja-JP"/>
        </w:rPr>
        <w:t>である</w:t>
      </w:r>
      <w:r w:rsidRPr="00DF5C23">
        <w:rPr>
          <w:rFonts w:eastAsia="Calibri"/>
          <w:noProof/>
          <w:lang w:eastAsia="ja-JP"/>
        </w:rPr>
        <w:t>。その効果は、毎年発行されるエコデザイン影響評価報告書に記載されており、主にエネルギー面での効果に加え、その他の排出量や資源面での効果も示されて</w:t>
      </w:r>
      <w:r w:rsidR="002041D4">
        <w:rPr>
          <w:rFonts w:ascii="ＭＳ 明朝" w:eastAsia="ＭＳ 明朝" w:hAnsi="ＭＳ 明朝" w:cs="ＭＳ 明朝" w:hint="eastAsia"/>
          <w:noProof/>
          <w:lang w:eastAsia="ja-JP"/>
        </w:rPr>
        <w:t>いる。</w:t>
      </w:r>
      <w:r w:rsidRPr="00DF5C23">
        <w:rPr>
          <w:rFonts w:eastAsia="Calibri"/>
          <w:noProof/>
          <w:lang w:eastAsia="ja-JP"/>
        </w:rPr>
        <w:t xml:space="preserve"> </w:t>
      </w:r>
    </w:p>
    <w:p w14:paraId="366A7593" w14:textId="20D9C7DF" w:rsidR="0038775E" w:rsidRDefault="00877B9C" w:rsidP="002041D4">
      <w:pPr>
        <w:pBdr>
          <w:top w:val="single" w:sz="4" w:space="1" w:color="auto"/>
          <w:left w:val="single" w:sz="4" w:space="4" w:color="auto"/>
          <w:bottom w:val="single" w:sz="4" w:space="1" w:color="auto"/>
          <w:right w:val="single" w:sz="4" w:space="4" w:color="auto"/>
        </w:pBdr>
        <w:wordWrap w:val="0"/>
        <w:ind w:left="850"/>
        <w:rPr>
          <w:rFonts w:eastAsia="Calibri"/>
          <w:noProof/>
          <w:lang w:eastAsia="ja-JP"/>
        </w:rPr>
      </w:pPr>
      <w:r w:rsidRPr="00DF5C23">
        <w:rPr>
          <w:rFonts w:eastAsia="Calibri"/>
          <w:noProof/>
          <w:lang w:eastAsia="ja-JP"/>
        </w:rPr>
        <w:t>エコデザイン指令に関する多くの評価では、規制ツールとしての明確な関連性と有効性が確認されている一方で、その実施と執行を改善する可能性が指摘されて</w:t>
      </w:r>
      <w:r w:rsidR="002041D4">
        <w:rPr>
          <w:rFonts w:ascii="ＭＳ 明朝" w:eastAsia="ＭＳ 明朝" w:hAnsi="ＭＳ 明朝" w:cs="ＭＳ 明朝" w:hint="eastAsia"/>
          <w:noProof/>
          <w:lang w:eastAsia="ja-JP"/>
        </w:rPr>
        <w:t>いる。</w:t>
      </w:r>
      <w:r w:rsidRPr="00DF5C23">
        <w:rPr>
          <w:rFonts w:eastAsia="Calibri"/>
          <w:noProof/>
          <w:lang w:eastAsia="ja-JP"/>
        </w:rPr>
        <w:t>例えば、</w:t>
      </w:r>
      <w:r w:rsidRPr="00DF5C23">
        <w:rPr>
          <w:rFonts w:eastAsia="Calibri"/>
          <w:noProof/>
          <w:lang w:eastAsia="ja-JP"/>
        </w:rPr>
        <w:t>2012</w:t>
      </w:r>
      <w:r w:rsidRPr="00DF5C23">
        <w:rPr>
          <w:rFonts w:eastAsia="Calibri"/>
          <w:noProof/>
          <w:lang w:eastAsia="ja-JP"/>
        </w:rPr>
        <w:t>年の評価では、「</w:t>
      </w:r>
      <w:r w:rsidRPr="00DF5C23">
        <w:rPr>
          <w:rFonts w:eastAsia="Calibri"/>
          <w:noProof/>
          <w:lang w:eastAsia="ja-JP"/>
        </w:rPr>
        <w:t>SCP/SIP</w:t>
      </w:r>
      <w:r w:rsidRPr="00DF5C23">
        <w:rPr>
          <w:rFonts w:eastAsia="Calibri"/>
          <w:noProof/>
          <w:lang w:eastAsia="ja-JP"/>
        </w:rPr>
        <w:t>行動計画や</w:t>
      </w:r>
      <w:r w:rsidRPr="00DF5C23">
        <w:rPr>
          <w:rFonts w:eastAsia="Calibri"/>
          <w:noProof/>
          <w:lang w:eastAsia="ja-JP"/>
        </w:rPr>
        <w:t>EU</w:t>
      </w:r>
      <w:r w:rsidRPr="00DF5C23">
        <w:rPr>
          <w:rFonts w:eastAsia="Calibri"/>
          <w:noProof/>
          <w:lang w:eastAsia="ja-JP"/>
        </w:rPr>
        <w:t>の資源効率政策のエネルギー効率の側面は、エコデザイン指令と</w:t>
      </w:r>
      <w:r w:rsidRPr="00DF5C23">
        <w:rPr>
          <w:rFonts w:eastAsia="Calibri"/>
          <w:noProof/>
          <w:lang w:eastAsia="ja-JP"/>
        </w:rPr>
        <w:t>その実施措置によって果たされることが広く認識されているが、一部の加盟国の代表や環境</w:t>
      </w:r>
      <w:r w:rsidRPr="00DF5C23">
        <w:rPr>
          <w:rFonts w:eastAsia="Calibri"/>
          <w:noProof/>
          <w:lang w:eastAsia="ja-JP"/>
        </w:rPr>
        <w:t>NGO</w:t>
      </w:r>
      <w:r w:rsidRPr="00DF5C23">
        <w:rPr>
          <w:rFonts w:eastAsia="Calibri"/>
          <w:noProof/>
          <w:lang w:eastAsia="ja-JP"/>
        </w:rPr>
        <w:t>からは、その他の環境側面に関する実施措置の適用範囲が限られている結果、機会を逸しているという指摘もある」と指摘している。また、エネルギー効率以外の側面にも対応する指令の未開拓の可能性も強調されており、同じ評価では「製品範囲、政策選択、基礎的な技術分析の結果として、対応できなかった非エネルギー改善があったかもしれない」と結論付けている。さらなる取り組みの機会があることは間違いないが、これは常に、利用可能な資源と最大のメリッ</w:t>
      </w:r>
      <w:r w:rsidRPr="00DF5C23">
        <w:rPr>
          <w:rFonts w:eastAsia="Calibri"/>
          <w:noProof/>
          <w:lang w:eastAsia="ja-JP"/>
        </w:rPr>
        <w:t>トに焦点を当てた文脈で見る必要がある。</w:t>
      </w:r>
    </w:p>
    <w:p w14:paraId="2D2D532F" w14:textId="4C440B4D" w:rsidR="0038775E" w:rsidRDefault="00877B9C" w:rsidP="002041D4">
      <w:pPr>
        <w:pBdr>
          <w:top w:val="single" w:sz="4" w:space="1" w:color="auto"/>
          <w:left w:val="single" w:sz="4" w:space="4" w:color="auto"/>
          <w:bottom w:val="single" w:sz="4" w:space="1" w:color="auto"/>
          <w:right w:val="single" w:sz="4" w:space="4" w:color="auto"/>
        </w:pBdr>
        <w:wordWrap w:val="0"/>
        <w:ind w:left="850"/>
        <w:rPr>
          <w:rFonts w:eastAsia="Calibri"/>
          <w:noProof/>
          <w:lang w:eastAsia="ja-JP"/>
        </w:rPr>
      </w:pPr>
      <w:r w:rsidRPr="00DF5C23">
        <w:rPr>
          <w:rFonts w:eastAsia="Calibri"/>
          <w:noProof/>
          <w:lang w:eastAsia="ja-JP"/>
        </w:rPr>
        <w:t>2019</w:t>
      </w:r>
      <w:r w:rsidRPr="00DF5C23">
        <w:rPr>
          <w:rFonts w:eastAsia="Calibri"/>
          <w:noProof/>
          <w:lang w:eastAsia="ja-JP"/>
        </w:rPr>
        <w:t>年</w:t>
      </w:r>
      <w:r w:rsidRPr="00DF5C23">
        <w:rPr>
          <w:rFonts w:eastAsia="Calibri"/>
          <w:noProof/>
          <w:lang w:eastAsia="ja-JP"/>
        </w:rPr>
        <w:t>3</w:t>
      </w:r>
      <w:r w:rsidRPr="00DF5C23">
        <w:rPr>
          <w:rFonts w:eastAsia="Calibri"/>
          <w:noProof/>
          <w:lang w:eastAsia="ja-JP"/>
        </w:rPr>
        <w:t>月、欧州委員会は「循環型経済における持続可能な製品</w:t>
      </w:r>
      <w:r w:rsidRPr="00DF5C23">
        <w:rPr>
          <w:rFonts w:eastAsia="Calibri"/>
          <w:noProof/>
          <w:lang w:eastAsia="ja-JP"/>
        </w:rPr>
        <w:t>-</w:t>
      </w:r>
      <w:r w:rsidRPr="00DF5C23">
        <w:rPr>
          <w:rFonts w:eastAsia="Calibri"/>
          <w:noProof/>
          <w:lang w:eastAsia="ja-JP"/>
        </w:rPr>
        <w:t>循環型経済に貢献する</w:t>
      </w:r>
      <w:r w:rsidRPr="00DF5C23">
        <w:rPr>
          <w:rFonts w:eastAsia="Calibri"/>
          <w:noProof/>
          <w:lang w:eastAsia="ja-JP"/>
        </w:rPr>
        <w:t>EU</w:t>
      </w:r>
      <w:r w:rsidRPr="00DF5C23">
        <w:rPr>
          <w:rFonts w:eastAsia="Calibri"/>
          <w:noProof/>
          <w:lang w:eastAsia="ja-JP"/>
        </w:rPr>
        <w:t>製品政策フレームワークに向けて」と題するスタッフ作業文書を発表した。これは、製品に影響を与える</w:t>
      </w:r>
      <w:r w:rsidRPr="00DF5C23">
        <w:rPr>
          <w:rFonts w:eastAsia="Calibri"/>
          <w:noProof/>
          <w:lang w:eastAsia="ja-JP"/>
        </w:rPr>
        <w:t>EU</w:t>
      </w:r>
      <w:r w:rsidRPr="00DF5C23">
        <w:rPr>
          <w:rFonts w:eastAsia="Calibri"/>
          <w:noProof/>
          <w:lang w:eastAsia="ja-JP"/>
        </w:rPr>
        <w:t>の政策が、循環型経済への移行にどの程度貢献しているか、また、例えば、より一貫した実施、政策介入間のより良い相乗効果、政策手段による製品のより良いカバーなどを通じて、より強い貢献ができる可能性があるのはどこか、特に多くの特定の製品グループについて深く考察した。その結果、すべての製品の持続</w:t>
      </w:r>
      <w:r w:rsidRPr="00DF5C23">
        <w:rPr>
          <w:rFonts w:eastAsia="Calibri"/>
          <w:noProof/>
          <w:lang w:eastAsia="ja-JP"/>
        </w:rPr>
        <w:t>可能な生産と消費、および／または消費者が入手できるこれらの製品に関する情報の信頼性をカバーする、包括的で統合された</w:t>
      </w:r>
      <w:r w:rsidRPr="00DF5C23">
        <w:rPr>
          <w:rFonts w:eastAsia="Calibri"/>
          <w:noProof/>
          <w:lang w:eastAsia="ja-JP"/>
        </w:rPr>
        <w:t>EU</w:t>
      </w:r>
      <w:r w:rsidRPr="00DF5C23">
        <w:rPr>
          <w:rFonts w:eastAsia="Calibri"/>
          <w:noProof/>
          <w:lang w:eastAsia="ja-JP"/>
        </w:rPr>
        <w:t>の政策手段は存在しないことがわかった。その代わりに、製品の循環性に関連する特定の側面に対処でき</w:t>
      </w:r>
      <w:r w:rsidRPr="00DF5C23">
        <w:rPr>
          <w:rFonts w:eastAsia="Calibri"/>
          <w:noProof/>
          <w:lang w:eastAsia="ja-JP"/>
        </w:rPr>
        <w:lastRenderedPageBreak/>
        <w:t>るものの、それにもかかわらず、追加的な作業を行う余地を提供するツールのパッチワークが確認された。また、関連性の高い特定の分野（繊維や家具など）では、循環性を体系的に対象とするツールが存在しないこと、エネルギー関連製品の循環性を刺激するエコデザイン政策の成功は、他の関連分野ではまだ適用されていないこと</w:t>
      </w:r>
      <w:r w:rsidRPr="00DF5C23">
        <w:rPr>
          <w:rFonts w:eastAsia="Calibri"/>
          <w:noProof/>
          <w:lang w:eastAsia="ja-JP"/>
        </w:rPr>
        <w:t>を指摘し</w:t>
      </w:r>
      <w:r w:rsidR="002041D4">
        <w:rPr>
          <w:rFonts w:ascii="ＭＳ 明朝" w:eastAsia="ＭＳ 明朝" w:hAnsi="ＭＳ 明朝" w:cs="ＭＳ 明朝" w:hint="eastAsia"/>
          <w:noProof/>
          <w:lang w:eastAsia="ja-JP"/>
        </w:rPr>
        <w:t>た。</w:t>
      </w:r>
    </w:p>
    <w:p w14:paraId="3EDCF031" w14:textId="77777777" w:rsidR="0038775E" w:rsidRDefault="00877B9C" w:rsidP="002041D4">
      <w:pPr>
        <w:pStyle w:val="ManualHeading3"/>
        <w:wordWrap w:val="0"/>
        <w:rPr>
          <w:noProof/>
          <w:lang w:eastAsia="ja-JP"/>
        </w:rPr>
      </w:pPr>
      <w:bookmarkStart w:id="27" w:name="_Toc514938033"/>
      <w:bookmarkStart w:id="28" w:name="_Toc520485038"/>
      <w:r w:rsidRPr="004F5E59">
        <w:rPr>
          <w:lang w:eastAsia="ja-JP"/>
        </w:rPr>
        <w:t>1.5.4.</w:t>
      </w:r>
      <w:r w:rsidRPr="004F5E59">
        <w:rPr>
          <w:lang w:eastAsia="ja-JP"/>
        </w:rPr>
        <w:tab/>
      </w:r>
      <w:r w:rsidR="00BF1765" w:rsidRPr="00DF5C23">
        <w:rPr>
          <w:noProof/>
          <w:lang w:eastAsia="ja-JP"/>
        </w:rPr>
        <w:t>多年度財政フレームワークとの整合性及び他の適切な手段との相乗効果の可能性</w:t>
      </w:r>
      <w:bookmarkEnd w:id="27"/>
      <w:bookmarkEnd w:id="28"/>
    </w:p>
    <w:p w14:paraId="3CF75188" w14:textId="635701F7" w:rsidR="0038775E" w:rsidRDefault="00877B9C" w:rsidP="002041D4">
      <w:pPr>
        <w:pBdr>
          <w:top w:val="single" w:sz="4" w:space="1" w:color="auto"/>
          <w:left w:val="single" w:sz="4" w:space="4" w:color="auto"/>
          <w:bottom w:val="single" w:sz="4" w:space="1" w:color="auto"/>
          <w:right w:val="single" w:sz="4" w:space="4" w:color="auto"/>
        </w:pBdr>
        <w:wordWrap w:val="0"/>
        <w:ind w:left="850"/>
        <w:rPr>
          <w:rFonts w:eastAsia="Calibri"/>
          <w:noProof/>
          <w:lang w:eastAsia="ja-JP"/>
        </w:rPr>
      </w:pPr>
      <w:r w:rsidRPr="00DF5C23">
        <w:rPr>
          <w:rFonts w:eastAsia="Calibri"/>
          <w:noProof/>
          <w:lang w:eastAsia="ja-JP"/>
        </w:rPr>
        <w:t>欧州連合（</w:t>
      </w:r>
      <w:r w:rsidRPr="00DF5C23">
        <w:rPr>
          <w:rFonts w:eastAsia="Calibri"/>
          <w:noProof/>
          <w:lang w:eastAsia="ja-JP"/>
        </w:rPr>
        <w:t>EU</w:t>
      </w:r>
      <w:r w:rsidRPr="00DF5C23">
        <w:rPr>
          <w:rFonts w:eastAsia="Calibri"/>
          <w:noProof/>
          <w:lang w:eastAsia="ja-JP"/>
        </w:rPr>
        <w:t>）は、次期多年次財政枠組みのための強化された長期予算と新たな復興手段である「ネクストジェネレーション</w:t>
      </w:r>
      <w:r w:rsidRPr="00DF5C23">
        <w:rPr>
          <w:rFonts w:eastAsia="Calibri"/>
          <w:noProof/>
          <w:lang w:eastAsia="ja-JP"/>
        </w:rPr>
        <w:t>EU</w:t>
      </w:r>
      <w:r w:rsidRPr="00DF5C23">
        <w:rPr>
          <w:rFonts w:eastAsia="Calibri"/>
          <w:noProof/>
          <w:lang w:eastAsia="ja-JP"/>
        </w:rPr>
        <w:t>」に基づく大規模な復興計画を承認し</w:t>
      </w:r>
      <w:r w:rsidR="002041D4">
        <w:rPr>
          <w:rFonts w:ascii="ＭＳ 明朝" w:eastAsia="ＭＳ 明朝" w:hAnsi="ＭＳ 明朝" w:cs="ＭＳ 明朝" w:hint="eastAsia"/>
          <w:noProof/>
          <w:lang w:eastAsia="ja-JP"/>
        </w:rPr>
        <w:t>た。</w:t>
      </w:r>
    </w:p>
    <w:p w14:paraId="76FF9E0D" w14:textId="26FBA872" w:rsidR="0038775E" w:rsidRDefault="00877B9C" w:rsidP="002041D4">
      <w:pPr>
        <w:pBdr>
          <w:top w:val="single" w:sz="4" w:space="1" w:color="auto"/>
          <w:left w:val="single" w:sz="4" w:space="4" w:color="auto"/>
          <w:bottom w:val="single" w:sz="4" w:space="1" w:color="auto"/>
          <w:right w:val="single" w:sz="4" w:space="4" w:color="auto"/>
        </w:pBdr>
        <w:wordWrap w:val="0"/>
        <w:ind w:left="850"/>
        <w:rPr>
          <w:rFonts w:eastAsia="Calibri"/>
          <w:noProof/>
          <w:lang w:eastAsia="ja-JP"/>
        </w:rPr>
      </w:pPr>
      <w:r w:rsidRPr="00DF5C23">
        <w:rPr>
          <w:rFonts w:eastAsia="Calibri"/>
          <w:noProof/>
          <w:lang w:eastAsia="ja-JP"/>
        </w:rPr>
        <w:t>このイニシアチブは、</w:t>
      </w:r>
      <w:r w:rsidRPr="00DF5C23">
        <w:rPr>
          <w:rFonts w:eastAsia="Calibri"/>
          <w:noProof/>
          <w:lang w:eastAsia="ja-JP"/>
        </w:rPr>
        <w:t>EU</w:t>
      </w:r>
      <w:r w:rsidRPr="00DF5C23">
        <w:rPr>
          <w:rFonts w:eastAsia="Calibri"/>
          <w:noProof/>
          <w:lang w:eastAsia="ja-JP"/>
        </w:rPr>
        <w:t>の復興戦略の指針となる</w:t>
      </w:r>
      <w:r w:rsidRPr="00DF5C23">
        <w:rPr>
          <w:rFonts w:eastAsia="Calibri"/>
          <w:b/>
          <w:noProof/>
          <w:lang w:eastAsia="ja-JP"/>
        </w:rPr>
        <w:t>欧州グリーンディールの傘下にあ</w:t>
      </w:r>
      <w:r w:rsidR="002041D4">
        <w:rPr>
          <w:rFonts w:ascii="ＭＳ 明朝" w:eastAsia="ＭＳ 明朝" w:hAnsi="ＭＳ 明朝" w:cs="ＭＳ 明朝" w:hint="eastAsia"/>
          <w:b/>
          <w:noProof/>
          <w:lang w:eastAsia="ja-JP"/>
        </w:rPr>
        <w:t>る</w:t>
      </w:r>
      <w:r w:rsidRPr="00DF5C23">
        <w:rPr>
          <w:rFonts w:eastAsia="Calibri"/>
          <w:b/>
          <w:noProof/>
          <w:lang w:eastAsia="ja-JP"/>
        </w:rPr>
        <w:t>。</w:t>
      </w:r>
      <w:r w:rsidRPr="00DF5C23">
        <w:rPr>
          <w:rFonts w:eastAsia="Calibri"/>
          <w:noProof/>
          <w:lang w:eastAsia="ja-JP"/>
        </w:rPr>
        <w:t>グリーンディールは、より公平で環境に優しく、よりデジタルな欧州を構築することで、競争力のある持続可能性に投資することの利点を認識している。これはまた、グローバル</w:t>
      </w:r>
      <w:r w:rsidRPr="00DF5C23">
        <w:rPr>
          <w:rFonts w:eastAsia="Calibri"/>
          <w:noProof/>
          <w:lang w:eastAsia="ja-JP"/>
        </w:rPr>
        <w:t>なバリューチェーンの持続可能性を確保するために第三国や貿易パートナーを巻き込み、炭素集約的な生産を欧州外に押し出すのではなく、欧州の排出削減が世界の排出量減少に寄与することを保証することを意味している。これにより、効率的で手頃な価格、長持ちし、環境にも優しい高品質の製品を市民に提供することができるようにな</w:t>
      </w:r>
      <w:r w:rsidR="002041D4">
        <w:rPr>
          <w:rFonts w:ascii="ＭＳ 明朝" w:eastAsia="ＭＳ 明朝" w:hAnsi="ＭＳ 明朝" w:cs="ＭＳ 明朝" w:hint="eastAsia"/>
          <w:noProof/>
          <w:lang w:eastAsia="ja-JP"/>
        </w:rPr>
        <w:t>る</w:t>
      </w:r>
      <w:r w:rsidRPr="00DF5C23">
        <w:rPr>
          <w:rFonts w:eastAsia="Calibri"/>
          <w:noProof/>
          <w:lang w:eastAsia="ja-JP"/>
        </w:rPr>
        <w:t>。</w:t>
      </w:r>
      <w:r w:rsidRPr="00DF5C23">
        <w:rPr>
          <w:rFonts w:eastAsia="Calibri"/>
          <w:noProof/>
          <w:lang w:eastAsia="ja-JP"/>
        </w:rPr>
        <w:t xml:space="preserve"> </w:t>
      </w:r>
    </w:p>
    <w:p w14:paraId="475F5C26" w14:textId="22E4833F" w:rsidR="0038775E" w:rsidRDefault="00877B9C" w:rsidP="002041D4">
      <w:pPr>
        <w:pBdr>
          <w:top w:val="single" w:sz="4" w:space="1" w:color="auto"/>
          <w:left w:val="single" w:sz="4" w:space="4" w:color="auto"/>
          <w:bottom w:val="single" w:sz="4" w:space="1" w:color="auto"/>
          <w:right w:val="single" w:sz="4" w:space="4" w:color="auto"/>
        </w:pBdr>
        <w:wordWrap w:val="0"/>
        <w:ind w:left="850"/>
        <w:rPr>
          <w:rFonts w:eastAsia="Calibri"/>
          <w:noProof/>
          <w:lang w:eastAsia="ja-JP"/>
        </w:rPr>
      </w:pPr>
      <w:r w:rsidRPr="00DF5C23">
        <w:rPr>
          <w:rFonts w:eastAsia="Calibri"/>
          <w:noProof/>
          <w:lang w:eastAsia="ja-JP"/>
        </w:rPr>
        <w:t>このイニシアティブは、多年次財政枠組みのタイトル</w:t>
      </w:r>
      <w:r w:rsidRPr="00DF5C23">
        <w:rPr>
          <w:rFonts w:eastAsia="Calibri"/>
          <w:noProof/>
          <w:lang w:eastAsia="ja-JP"/>
        </w:rPr>
        <w:t>3</w:t>
      </w:r>
      <w:r w:rsidRPr="00DF5C23">
        <w:rPr>
          <w:rFonts w:eastAsia="Calibri"/>
          <w:noProof/>
          <w:lang w:eastAsia="ja-JP"/>
        </w:rPr>
        <w:t>（単一市場）の見出し</w:t>
      </w:r>
      <w:r w:rsidRPr="00DF5C23">
        <w:rPr>
          <w:rFonts w:eastAsia="Calibri"/>
          <w:noProof/>
          <w:lang w:eastAsia="ja-JP"/>
        </w:rPr>
        <w:t>1</w:t>
      </w:r>
      <w:r w:rsidRPr="00DF5C23">
        <w:rPr>
          <w:rFonts w:eastAsia="Calibri"/>
          <w:noProof/>
          <w:lang w:eastAsia="ja-JP"/>
        </w:rPr>
        <w:t>（単一市場、イノベーション、デジタル）およびタイトル</w:t>
      </w:r>
      <w:r w:rsidRPr="00DF5C23">
        <w:rPr>
          <w:rFonts w:eastAsia="Calibri"/>
          <w:noProof/>
          <w:lang w:eastAsia="ja-JP"/>
        </w:rPr>
        <w:t>9</w:t>
      </w:r>
      <w:r w:rsidRPr="00DF5C23">
        <w:rPr>
          <w:rFonts w:eastAsia="Calibri"/>
          <w:noProof/>
          <w:lang w:eastAsia="ja-JP"/>
        </w:rPr>
        <w:t>（環境と気候変動）の見出し</w:t>
      </w:r>
      <w:r w:rsidRPr="00DF5C23">
        <w:rPr>
          <w:rFonts w:eastAsia="Calibri"/>
          <w:noProof/>
          <w:lang w:eastAsia="ja-JP"/>
        </w:rPr>
        <w:t>3</w:t>
      </w:r>
      <w:r w:rsidRPr="00DF5C23">
        <w:rPr>
          <w:rFonts w:eastAsia="Calibri"/>
          <w:noProof/>
          <w:lang w:eastAsia="ja-JP"/>
        </w:rPr>
        <w:t>（天然資源と環境）に該当する。以下に詳述</w:t>
      </w:r>
      <w:r w:rsidRPr="00DF5C23">
        <w:rPr>
          <w:rFonts w:eastAsia="Calibri"/>
          <w:noProof/>
          <w:lang w:eastAsia="ja-JP"/>
        </w:rPr>
        <w:t>するように、この法律の実施には、追加の人的資源といくつかの支援費が必要とな</w:t>
      </w:r>
      <w:r w:rsidR="002041D4">
        <w:rPr>
          <w:rFonts w:ascii="ＭＳ 明朝" w:eastAsia="ＭＳ 明朝" w:hAnsi="ＭＳ 明朝" w:cs="ＭＳ 明朝" w:hint="eastAsia"/>
          <w:noProof/>
          <w:lang w:eastAsia="ja-JP"/>
        </w:rPr>
        <w:t>る</w:t>
      </w:r>
      <w:r w:rsidRPr="00DF5C23">
        <w:rPr>
          <w:rFonts w:eastAsia="Calibri"/>
          <w:noProof/>
          <w:lang w:eastAsia="ja-JP"/>
        </w:rPr>
        <w:t>。</w:t>
      </w:r>
      <w:r w:rsidRPr="00DF5C23">
        <w:rPr>
          <w:rFonts w:eastAsia="Calibri"/>
          <w:noProof/>
          <w:lang w:eastAsia="ja-JP"/>
        </w:rPr>
        <w:t xml:space="preserve"> </w:t>
      </w:r>
    </w:p>
    <w:p w14:paraId="305EE85C" w14:textId="6427B96F" w:rsidR="0038775E" w:rsidRDefault="00877B9C" w:rsidP="002041D4">
      <w:pPr>
        <w:pBdr>
          <w:top w:val="single" w:sz="4" w:space="1" w:color="auto"/>
          <w:left w:val="single" w:sz="4" w:space="4" w:color="auto"/>
          <w:bottom w:val="single" w:sz="4" w:space="1" w:color="auto"/>
          <w:right w:val="single" w:sz="4" w:space="4" w:color="auto"/>
        </w:pBdr>
        <w:wordWrap w:val="0"/>
        <w:ind w:left="850"/>
        <w:rPr>
          <w:rFonts w:eastAsia="Calibri"/>
          <w:noProof/>
          <w:lang w:val="en-IE" w:eastAsia="fr-BE"/>
        </w:rPr>
      </w:pPr>
      <w:r w:rsidRPr="00DF5C23">
        <w:rPr>
          <w:rFonts w:eastAsia="Calibri"/>
          <w:noProof/>
          <w:lang w:eastAsia="ja-JP"/>
        </w:rPr>
        <w:t>他の政策分野もサポートを提供し、特に</w:t>
      </w:r>
      <w:r w:rsidRPr="00DF5C23">
        <w:rPr>
          <w:rFonts w:eastAsia="Calibri"/>
          <w:noProof/>
          <w:lang w:val="en-IE" w:eastAsia="fr-BE"/>
        </w:rPr>
        <w:t>EU</w:t>
      </w:r>
      <w:r w:rsidRPr="00DF5C23">
        <w:rPr>
          <w:rFonts w:eastAsia="Calibri"/>
          <w:noProof/>
          <w:lang w:val="en-IE" w:eastAsia="fr-BE"/>
        </w:rPr>
        <w:t>の</w:t>
      </w:r>
      <w:r w:rsidRPr="00DF5C23">
        <w:rPr>
          <w:rFonts w:eastAsia="Calibri"/>
          <w:noProof/>
          <w:lang w:eastAsia="ja-JP"/>
        </w:rPr>
        <w:t>資金はイノベーションと企業への投資について提供さ</w:t>
      </w:r>
      <w:r w:rsidR="002041D4">
        <w:rPr>
          <w:rFonts w:ascii="ＭＳ 明朝" w:eastAsia="ＭＳ 明朝" w:hAnsi="ＭＳ 明朝" w:cs="ＭＳ 明朝" w:hint="eastAsia"/>
          <w:noProof/>
          <w:lang w:eastAsia="ja-JP"/>
        </w:rPr>
        <w:t>れる</w:t>
      </w:r>
      <w:r w:rsidRPr="00DF5C23">
        <w:rPr>
          <w:rFonts w:eastAsia="Calibri"/>
          <w:noProof/>
          <w:lang w:eastAsia="ja-JP"/>
        </w:rPr>
        <w:t>。</w:t>
      </w:r>
      <w:r w:rsidRPr="00DF5C23">
        <w:rPr>
          <w:rFonts w:eastAsia="Calibri"/>
          <w:b/>
          <w:noProof/>
          <w:lang w:eastAsia="ja-JP"/>
        </w:rPr>
        <w:t>欧州地域開発</w:t>
      </w:r>
      <w:r w:rsidRPr="00DF5C23">
        <w:rPr>
          <w:rFonts w:eastAsia="Calibri"/>
          <w:noProof/>
          <w:lang w:eastAsia="ja-JP"/>
        </w:rPr>
        <w:t>基金は、スマートスペシャリゼーション、</w:t>
      </w:r>
      <w:r w:rsidRPr="00DF5C23">
        <w:rPr>
          <w:rFonts w:eastAsia="Calibri"/>
          <w:b/>
          <w:noProof/>
          <w:lang w:eastAsia="ja-JP"/>
        </w:rPr>
        <w:t>LIFE</w:t>
      </w:r>
      <w:r w:rsidRPr="00DF5C23">
        <w:rPr>
          <w:rFonts w:eastAsia="Calibri"/>
          <w:noProof/>
          <w:lang w:eastAsia="ja-JP"/>
        </w:rPr>
        <w:t>、</w:t>
      </w:r>
      <w:r w:rsidRPr="00DF5C23">
        <w:rPr>
          <w:rFonts w:eastAsia="Calibri"/>
          <w:b/>
          <w:noProof/>
          <w:lang w:eastAsia="ja-JP"/>
        </w:rPr>
        <w:t>ホライゾンヨーロッパを通じて、</w:t>
      </w:r>
      <w:r w:rsidRPr="00DF5C23">
        <w:rPr>
          <w:rFonts w:eastAsia="Calibri"/>
          <w:noProof/>
          <w:lang w:eastAsia="ja-JP"/>
        </w:rPr>
        <w:t>民間のイノベーション資金を補完し、ソリューションを市場に投入することを目的としたイノベーションサイクル全体をサポートする。</w:t>
      </w:r>
      <w:r w:rsidRPr="00DF5C23">
        <w:rPr>
          <w:rFonts w:eastAsia="Calibri"/>
          <w:b/>
          <w:noProof/>
          <w:lang w:eastAsia="ja-JP"/>
        </w:rPr>
        <w:t>デジタル・ヨーロッパ・</w:t>
      </w:r>
      <w:r w:rsidRPr="00DF5C23">
        <w:rPr>
          <w:rFonts w:eastAsia="Calibri"/>
          <w:noProof/>
          <w:lang w:eastAsia="ja-JP"/>
        </w:rPr>
        <w:t>プログラムは、分野横断的な相互運用性の要件を含む、</w:t>
      </w:r>
      <w:r w:rsidRPr="00DF5C23">
        <w:rPr>
          <w:rFonts w:eastAsia="Calibri"/>
          <w:noProof/>
          <w:lang w:eastAsia="ja-JP"/>
        </w:rPr>
        <w:t>3</w:t>
      </w:r>
      <w:r w:rsidRPr="00DF5C23">
        <w:rPr>
          <w:rFonts w:eastAsia="Calibri"/>
          <w:noProof/>
          <w:lang w:eastAsia="ja-JP"/>
        </w:rPr>
        <w:t>つの分野におけるデジタル製品パスポートの設計とプロトタイプを提案し、関係者と合意するための</w:t>
      </w:r>
      <w:r w:rsidRPr="00DF5C23">
        <w:rPr>
          <w:rFonts w:eastAsia="Calibri"/>
          <w:noProof/>
          <w:lang w:eastAsia="ja-JP"/>
        </w:rPr>
        <w:t>18</w:t>
      </w:r>
      <w:r w:rsidRPr="00DF5C23">
        <w:rPr>
          <w:rFonts w:eastAsia="Calibri"/>
          <w:noProof/>
          <w:lang w:eastAsia="ja-JP"/>
        </w:rPr>
        <w:t>ヶ月にわたる協調行動を</w:t>
      </w:r>
      <w:r w:rsidRPr="00DF5C23">
        <w:rPr>
          <w:rFonts w:eastAsia="Calibri"/>
          <w:noProof/>
          <w:lang w:eastAsia="ja-JP"/>
        </w:rPr>
        <w:t>2022</w:t>
      </w:r>
      <w:r w:rsidRPr="00DF5C23">
        <w:rPr>
          <w:rFonts w:eastAsia="Calibri"/>
          <w:noProof/>
          <w:lang w:eastAsia="ja-JP"/>
        </w:rPr>
        <w:t>年末までに開始する予定である。</w:t>
      </w:r>
      <w:r w:rsidRPr="00DF5C23">
        <w:rPr>
          <w:rFonts w:eastAsia="Calibri"/>
          <w:b/>
          <w:noProof/>
          <w:lang w:eastAsia="ja-JP"/>
        </w:rPr>
        <w:t>イノベーション</w:t>
      </w:r>
      <w:r w:rsidRPr="00DF5C23">
        <w:rPr>
          <w:rFonts w:eastAsia="Calibri"/>
          <w:noProof/>
          <w:lang w:eastAsia="ja-JP"/>
        </w:rPr>
        <w:t>ファンドは、革新的な低炭素技術やソリューションの実証のための世界最大の資金調達プログラムの一つ</w:t>
      </w:r>
      <w:r w:rsidR="002041D4">
        <w:rPr>
          <w:rFonts w:ascii="ＭＳ 明朝" w:eastAsia="ＭＳ 明朝" w:hAnsi="ＭＳ 明朝" w:cs="ＭＳ 明朝" w:hint="eastAsia"/>
          <w:noProof/>
          <w:lang w:eastAsia="ja-JP"/>
        </w:rPr>
        <w:t>である</w:t>
      </w:r>
      <w:r w:rsidRPr="00DF5C23">
        <w:rPr>
          <w:rFonts w:eastAsia="Calibri"/>
          <w:noProof/>
          <w:lang w:eastAsia="ja-JP"/>
        </w:rPr>
        <w:t>。</w:t>
      </w:r>
      <w:r w:rsidRPr="00DF5C23">
        <w:rPr>
          <w:rFonts w:eastAsia="Calibri"/>
          <w:noProof/>
          <w:lang w:eastAsia="ja-JP"/>
        </w:rPr>
        <w:t>2020</w:t>
      </w:r>
      <w:r w:rsidRPr="00DF5C23">
        <w:rPr>
          <w:rFonts w:eastAsia="Calibri"/>
          <w:noProof/>
          <w:lang w:eastAsia="ja-JP"/>
        </w:rPr>
        <w:t>年から</w:t>
      </w:r>
      <w:r w:rsidRPr="00DF5C23">
        <w:rPr>
          <w:rFonts w:eastAsia="Calibri"/>
          <w:noProof/>
          <w:lang w:eastAsia="ja-JP"/>
        </w:rPr>
        <w:t>2030</w:t>
      </w:r>
      <w:r w:rsidRPr="00DF5C23">
        <w:rPr>
          <w:rFonts w:eastAsia="Calibri"/>
          <w:noProof/>
          <w:lang w:eastAsia="ja-JP"/>
        </w:rPr>
        <w:t>年にかけて約</w:t>
      </w:r>
      <w:r w:rsidRPr="00DF5C23">
        <w:rPr>
          <w:rFonts w:eastAsia="Calibri"/>
          <w:noProof/>
          <w:lang w:eastAsia="ja-JP"/>
        </w:rPr>
        <w:t>100</w:t>
      </w:r>
      <w:r w:rsidRPr="00DF5C23">
        <w:rPr>
          <w:rFonts w:eastAsia="Calibri"/>
          <w:noProof/>
          <w:lang w:eastAsia="ja-JP"/>
        </w:rPr>
        <w:t>億ユーロ</w:t>
      </w:r>
      <w:r w:rsidRPr="00DF5C23">
        <w:rPr>
          <w:rFonts w:eastAsia="Calibri"/>
          <w:noProof/>
          <w:lang w:eastAsia="ja-JP"/>
        </w:rPr>
        <w:t>の支援を行う予定で、欧州の脱炭素化を実現し、気候ニュートラルへの移行を支援する産業ソリューションを市場に投入することを目的として</w:t>
      </w:r>
      <w:r w:rsidR="002041D4">
        <w:rPr>
          <w:rFonts w:ascii="ＭＳ 明朝" w:eastAsia="ＭＳ 明朝" w:hAnsi="ＭＳ 明朝" w:cs="ＭＳ 明朝" w:hint="eastAsia"/>
          <w:noProof/>
          <w:lang w:eastAsia="ja-JP"/>
        </w:rPr>
        <w:t>いる。</w:t>
      </w:r>
    </w:p>
    <w:p w14:paraId="2C3A5963" w14:textId="77777777" w:rsidR="00BF1765" w:rsidRPr="00DF5C23" w:rsidRDefault="00BF1765" w:rsidP="002041D4">
      <w:pPr>
        <w:pBdr>
          <w:top w:val="single" w:sz="4" w:space="1" w:color="auto"/>
          <w:left w:val="single" w:sz="4" w:space="4" w:color="auto"/>
          <w:bottom w:val="single" w:sz="4" w:space="1" w:color="auto"/>
          <w:right w:val="single" w:sz="4" w:space="4" w:color="auto"/>
        </w:pBdr>
        <w:wordWrap w:val="0"/>
        <w:ind w:left="850"/>
        <w:rPr>
          <w:rFonts w:eastAsia="Calibri"/>
          <w:noProof/>
          <w:lang w:eastAsia="ja-JP"/>
        </w:rPr>
      </w:pPr>
    </w:p>
    <w:p w14:paraId="4404E0FF" w14:textId="77777777" w:rsidR="0038775E" w:rsidRDefault="00877B9C" w:rsidP="002041D4">
      <w:pPr>
        <w:pStyle w:val="ManualHeading3"/>
        <w:wordWrap w:val="0"/>
        <w:rPr>
          <w:noProof/>
          <w:lang w:eastAsia="ja-JP"/>
        </w:rPr>
      </w:pPr>
      <w:bookmarkStart w:id="29" w:name="_Toc514938036"/>
      <w:bookmarkStart w:id="30" w:name="_Toc520485039"/>
      <w:r w:rsidRPr="004F5E59">
        <w:rPr>
          <w:lang w:eastAsia="ja-JP"/>
        </w:rPr>
        <w:t>1.5.5.</w:t>
      </w:r>
      <w:r w:rsidRPr="004F5E59">
        <w:rPr>
          <w:lang w:eastAsia="ja-JP"/>
        </w:rPr>
        <w:tab/>
      </w:r>
      <w:r w:rsidR="00BF1765" w:rsidRPr="00DF5C23">
        <w:rPr>
          <w:noProof/>
          <w:lang w:eastAsia="ja-JP"/>
        </w:rPr>
        <w:t>再展開の範囲を含む、利用可能なさまざまな資金調達の選択肢の評価</w:t>
      </w:r>
      <w:bookmarkEnd w:id="29"/>
      <w:bookmarkEnd w:id="30"/>
    </w:p>
    <w:p w14:paraId="0A386CBC" w14:textId="37D0758A" w:rsidR="0038775E" w:rsidRDefault="00877B9C" w:rsidP="002041D4">
      <w:pPr>
        <w:pBdr>
          <w:top w:val="single" w:sz="4" w:space="1" w:color="auto"/>
          <w:left w:val="single" w:sz="4" w:space="4" w:color="auto"/>
          <w:bottom w:val="single" w:sz="4" w:space="1" w:color="auto"/>
          <w:right w:val="single" w:sz="4" w:space="4" w:color="auto"/>
        </w:pBdr>
        <w:wordWrap w:val="0"/>
        <w:ind w:left="850"/>
        <w:rPr>
          <w:rFonts w:eastAsia="Calibri"/>
          <w:noProof/>
          <w:lang w:eastAsia="ja-JP"/>
        </w:rPr>
      </w:pPr>
      <w:r w:rsidRPr="00DF5C23">
        <w:rPr>
          <w:rFonts w:eastAsia="Calibri"/>
          <w:noProof/>
          <w:lang w:eastAsia="ja-JP"/>
        </w:rPr>
        <w:t>予算への影響は、主に以下の要因によるもの</w:t>
      </w:r>
      <w:r w:rsidR="002041D4">
        <w:rPr>
          <w:rFonts w:ascii="ＭＳ 明朝" w:eastAsia="ＭＳ 明朝" w:hAnsi="ＭＳ 明朝" w:cs="ＭＳ 明朝" w:hint="eastAsia"/>
          <w:noProof/>
          <w:lang w:eastAsia="ja-JP"/>
        </w:rPr>
        <w:t>である</w:t>
      </w:r>
      <w:r w:rsidRPr="00DF5C23">
        <w:rPr>
          <w:rFonts w:eastAsia="Calibri"/>
          <w:noProof/>
          <w:lang w:eastAsia="ja-JP"/>
        </w:rPr>
        <w:t>：</w:t>
      </w:r>
    </w:p>
    <w:p w14:paraId="31B01076" w14:textId="77777777" w:rsidR="0038775E" w:rsidRDefault="00877B9C" w:rsidP="002041D4">
      <w:pPr>
        <w:pStyle w:val="Tiret1"/>
        <w:numPr>
          <w:ilvl w:val="0"/>
          <w:numId w:val="93"/>
        </w:numPr>
        <w:pBdr>
          <w:top w:val="single" w:sz="4" w:space="1" w:color="auto"/>
          <w:left w:val="single" w:sz="4" w:space="4" w:color="auto"/>
          <w:bottom w:val="single" w:sz="4" w:space="1" w:color="auto"/>
          <w:right w:val="single" w:sz="4" w:space="4" w:color="auto"/>
        </w:pBdr>
        <w:wordWrap w:val="0"/>
        <w:rPr>
          <w:noProof/>
          <w:lang w:eastAsia="ja-JP"/>
        </w:rPr>
      </w:pPr>
      <w:r w:rsidRPr="00DF5C23">
        <w:rPr>
          <w:noProof/>
          <w:lang w:eastAsia="ja-JP"/>
        </w:rPr>
        <w:lastRenderedPageBreak/>
        <w:t>2022</w:t>
      </w:r>
      <w:r w:rsidRPr="00DF5C23">
        <w:rPr>
          <w:noProof/>
          <w:lang w:eastAsia="ja-JP"/>
        </w:rPr>
        <w:t>年から</w:t>
      </w:r>
      <w:r w:rsidRPr="00DF5C23">
        <w:rPr>
          <w:noProof/>
          <w:lang w:eastAsia="ja-JP"/>
        </w:rPr>
        <w:t>2026</w:t>
      </w:r>
      <w:r w:rsidRPr="00DF5C23">
        <w:rPr>
          <w:noProof/>
          <w:lang w:eastAsia="ja-JP"/>
        </w:rPr>
        <w:t>年にかけて、現行のエコデザイン指令に基づく</w:t>
      </w:r>
      <w:r w:rsidR="00397ED5" w:rsidRPr="00DF5C23">
        <w:rPr>
          <w:noProof/>
          <w:lang w:eastAsia="ja-JP"/>
        </w:rPr>
        <w:t>33</w:t>
      </w:r>
      <w:r w:rsidR="00397ED5" w:rsidRPr="00DF5C23">
        <w:rPr>
          <w:noProof/>
          <w:lang w:eastAsia="ja-JP"/>
        </w:rPr>
        <w:t>の</w:t>
      </w:r>
      <w:r w:rsidRPr="00DF5C23">
        <w:rPr>
          <w:noProof/>
          <w:lang w:eastAsia="ja-JP"/>
        </w:rPr>
        <w:t>欧州委員会規則の見直しと、</w:t>
      </w:r>
      <w:r w:rsidRPr="00DF5C23">
        <w:rPr>
          <w:noProof/>
          <w:lang w:eastAsia="ja-JP"/>
        </w:rPr>
        <w:t>2022</w:t>
      </w:r>
      <w:r w:rsidRPr="00DF5C23">
        <w:rPr>
          <w:noProof/>
          <w:lang w:eastAsia="ja-JP"/>
        </w:rPr>
        <w:t>年から</w:t>
      </w:r>
      <w:r w:rsidRPr="00DF5C23">
        <w:rPr>
          <w:noProof/>
          <w:lang w:eastAsia="ja-JP"/>
        </w:rPr>
        <w:t>2023</w:t>
      </w:r>
      <w:r w:rsidRPr="00DF5C23">
        <w:rPr>
          <w:noProof/>
          <w:lang w:eastAsia="ja-JP"/>
        </w:rPr>
        <w:t>年にかけての</w:t>
      </w:r>
      <w:r w:rsidRPr="00DF5C23">
        <w:rPr>
          <w:noProof/>
          <w:lang w:eastAsia="ja-JP"/>
        </w:rPr>
        <w:t>5</w:t>
      </w:r>
      <w:r w:rsidRPr="00DF5C23">
        <w:rPr>
          <w:noProof/>
          <w:lang w:eastAsia="ja-JP"/>
        </w:rPr>
        <w:t>つの新規則の採択は、現在エコデザインの実施に割り当てられているスタッフだけでは対応できない。</w:t>
      </w:r>
      <w:r w:rsidRPr="00DF5C23">
        <w:rPr>
          <w:noProof/>
          <w:lang w:eastAsia="ja-JP"/>
        </w:rPr>
        <w:t>2021</w:t>
      </w:r>
      <w:r w:rsidRPr="00DF5C23">
        <w:rPr>
          <w:noProof/>
          <w:lang w:eastAsia="ja-JP"/>
        </w:rPr>
        <w:t>年に見直した</w:t>
      </w:r>
      <w:r w:rsidRPr="00DF5C23">
        <w:rPr>
          <w:noProof/>
          <w:lang w:eastAsia="ja-JP"/>
        </w:rPr>
        <w:t>14</w:t>
      </w:r>
      <w:r w:rsidRPr="00DF5C23">
        <w:rPr>
          <w:noProof/>
          <w:lang w:eastAsia="ja-JP"/>
        </w:rPr>
        <w:t>の欧州委員会規則は、標準化や関係者への指導といったタスクにも引き続きスタッフの影響がある；</w:t>
      </w:r>
    </w:p>
    <w:p w14:paraId="4A744021" w14:textId="71C5292A" w:rsidR="0038775E" w:rsidRDefault="00877B9C" w:rsidP="002041D4">
      <w:pPr>
        <w:pStyle w:val="Tiret1"/>
        <w:pBdr>
          <w:top w:val="single" w:sz="4" w:space="1" w:color="auto"/>
          <w:left w:val="single" w:sz="4" w:space="4" w:color="auto"/>
          <w:bottom w:val="single" w:sz="4" w:space="1" w:color="auto"/>
          <w:right w:val="single" w:sz="4" w:space="4" w:color="auto"/>
        </w:pBdr>
        <w:wordWrap w:val="0"/>
        <w:rPr>
          <w:noProof/>
          <w:lang w:eastAsia="ja-JP"/>
        </w:rPr>
      </w:pPr>
      <w:r w:rsidRPr="00DF5C23">
        <w:rPr>
          <w:noProof/>
          <w:lang w:eastAsia="ja-JP"/>
        </w:rPr>
        <w:t>2024</w:t>
      </w:r>
      <w:r w:rsidRPr="00DF5C23">
        <w:rPr>
          <w:noProof/>
          <w:lang w:eastAsia="ja-JP"/>
        </w:rPr>
        <w:t>年から</w:t>
      </w:r>
      <w:r w:rsidRPr="00DF5C23">
        <w:rPr>
          <w:noProof/>
          <w:lang w:eastAsia="ja-JP"/>
        </w:rPr>
        <w:t>2027</w:t>
      </w:r>
      <w:r w:rsidRPr="00DF5C23">
        <w:rPr>
          <w:noProof/>
          <w:lang w:eastAsia="ja-JP"/>
        </w:rPr>
        <w:t>年にかけて、最大</w:t>
      </w:r>
      <w:r w:rsidR="00397ED5" w:rsidRPr="00DF5C23">
        <w:rPr>
          <w:noProof/>
          <w:lang w:eastAsia="ja-JP"/>
        </w:rPr>
        <w:t>18</w:t>
      </w:r>
      <w:r w:rsidR="00397ED5" w:rsidRPr="00DF5C23">
        <w:rPr>
          <w:noProof/>
          <w:lang w:eastAsia="ja-JP"/>
        </w:rPr>
        <w:t>の</w:t>
      </w:r>
      <w:r w:rsidRPr="00DF5C23">
        <w:rPr>
          <w:noProof/>
          <w:lang w:eastAsia="ja-JP"/>
        </w:rPr>
        <w:t>新しい委任法を準備し、採択する。多年度の作業計画は、製品グループを定義し、優先順位をつけるための重要なステップである。</w:t>
      </w:r>
      <w:r w:rsidR="00397ED5" w:rsidRPr="00DF5C23">
        <w:rPr>
          <w:noProof/>
          <w:lang w:eastAsia="ja-JP"/>
        </w:rPr>
        <w:t>12 2028</w:t>
      </w:r>
      <w:r w:rsidR="00397ED5" w:rsidRPr="00DF5C23">
        <w:rPr>
          <w:noProof/>
          <w:lang w:eastAsia="ja-JP"/>
        </w:rPr>
        <w:t>年から</w:t>
      </w:r>
      <w:r w:rsidR="00397ED5" w:rsidRPr="00DF5C23">
        <w:rPr>
          <w:noProof/>
          <w:lang w:eastAsia="ja-JP"/>
        </w:rPr>
        <w:t>2030</w:t>
      </w:r>
      <w:r w:rsidR="00397ED5" w:rsidRPr="00DF5C23">
        <w:rPr>
          <w:noProof/>
          <w:lang w:eastAsia="ja-JP"/>
        </w:rPr>
        <w:t>年の間に委任法も採択され、</w:t>
      </w:r>
      <w:r w:rsidR="00397ED5" w:rsidRPr="00DF5C23">
        <w:rPr>
          <w:noProof/>
          <w:lang w:eastAsia="ja-JP"/>
        </w:rPr>
        <w:t>2025</w:t>
      </w:r>
      <w:r w:rsidR="00397ED5" w:rsidRPr="00DF5C23">
        <w:rPr>
          <w:noProof/>
          <w:lang w:eastAsia="ja-JP"/>
        </w:rPr>
        <w:t>年から</w:t>
      </w:r>
      <w:r w:rsidR="00397ED5" w:rsidRPr="00DF5C23">
        <w:rPr>
          <w:noProof/>
          <w:lang w:eastAsia="ja-JP"/>
        </w:rPr>
        <w:t>2027</w:t>
      </w:r>
      <w:r w:rsidR="00397ED5" w:rsidRPr="00DF5C23">
        <w:rPr>
          <w:noProof/>
          <w:lang w:eastAsia="ja-JP"/>
        </w:rPr>
        <w:t>年にかけてスタッフおよび予算が影響するはず</w:t>
      </w:r>
      <w:r w:rsidR="002041D4">
        <w:rPr>
          <w:noProof/>
          <w:lang w:eastAsia="ja-JP"/>
        </w:rPr>
        <w:t>である</w:t>
      </w:r>
      <w:r w:rsidR="00397ED5" w:rsidRPr="00DF5C23">
        <w:rPr>
          <w:noProof/>
          <w:lang w:eastAsia="ja-JP"/>
        </w:rPr>
        <w:t>。</w:t>
      </w:r>
    </w:p>
    <w:p w14:paraId="68CD13D8" w14:textId="77777777" w:rsidR="0038775E" w:rsidRDefault="00877B9C" w:rsidP="002041D4">
      <w:pPr>
        <w:pStyle w:val="Tiret1"/>
        <w:pBdr>
          <w:top w:val="single" w:sz="4" w:space="1" w:color="auto"/>
          <w:left w:val="single" w:sz="4" w:space="4" w:color="auto"/>
          <w:bottom w:val="single" w:sz="4" w:space="1" w:color="auto"/>
          <w:right w:val="single" w:sz="4" w:space="4" w:color="auto"/>
        </w:pBdr>
        <w:wordWrap w:val="0"/>
        <w:rPr>
          <w:noProof/>
          <w:lang w:eastAsia="ja-JP"/>
        </w:rPr>
      </w:pPr>
      <w:r w:rsidRPr="00DF5C23">
        <w:rPr>
          <w:noProof/>
          <w:lang w:eastAsia="ja-JP"/>
        </w:rPr>
        <w:t xml:space="preserve"> </w:t>
      </w:r>
      <w:r w:rsidRPr="00DF5C23">
        <w:rPr>
          <w:noProof/>
          <w:lang w:eastAsia="ja-JP"/>
        </w:rPr>
        <w:t>市場監視、売れ残り消費財の破棄に関する情報の開示、自主規制措置の承認など、本規則の実施のための統一的な条件を確保するために必要な場合、実施法を作成する（</w:t>
      </w:r>
      <w:r w:rsidRPr="00DF5C23">
        <w:rPr>
          <w:noProof/>
          <w:lang w:eastAsia="ja-JP"/>
        </w:rPr>
        <w:t>2024</w:t>
      </w:r>
      <w:r w:rsidRPr="00DF5C23">
        <w:rPr>
          <w:noProof/>
          <w:lang w:eastAsia="ja-JP"/>
        </w:rPr>
        <w:t>年から平均して</w:t>
      </w:r>
      <w:r w:rsidRPr="00DF5C23">
        <w:rPr>
          <w:noProof/>
          <w:lang w:eastAsia="ja-JP"/>
        </w:rPr>
        <w:t>1</w:t>
      </w:r>
      <w:r w:rsidRPr="00DF5C23">
        <w:rPr>
          <w:noProof/>
          <w:lang w:eastAsia="ja-JP"/>
        </w:rPr>
        <w:t>年に</w:t>
      </w:r>
      <w:r w:rsidRPr="00DF5C23">
        <w:rPr>
          <w:noProof/>
          <w:lang w:eastAsia="ja-JP"/>
        </w:rPr>
        <w:t>1</w:t>
      </w:r>
      <w:r w:rsidRPr="00DF5C23">
        <w:rPr>
          <w:noProof/>
          <w:lang w:eastAsia="ja-JP"/>
        </w:rPr>
        <w:t>回）こと。</w:t>
      </w:r>
    </w:p>
    <w:p w14:paraId="1E7F27DA" w14:textId="77777777" w:rsidR="0038775E" w:rsidRDefault="00877B9C" w:rsidP="002041D4">
      <w:pPr>
        <w:pStyle w:val="Tiret1"/>
        <w:pBdr>
          <w:top w:val="single" w:sz="4" w:space="1" w:color="auto"/>
          <w:left w:val="single" w:sz="4" w:space="4" w:color="auto"/>
          <w:bottom w:val="single" w:sz="4" w:space="1" w:color="auto"/>
          <w:right w:val="single" w:sz="4" w:space="4" w:color="auto"/>
        </w:pBdr>
        <w:wordWrap w:val="0"/>
        <w:rPr>
          <w:noProof/>
          <w:lang w:eastAsia="ja-JP"/>
        </w:rPr>
      </w:pPr>
      <w:r w:rsidRPr="00DF5C23">
        <w:rPr>
          <w:noProof/>
          <w:lang w:eastAsia="ja-JP"/>
        </w:rPr>
        <w:t>デジタル製品パスポート、市場監視と税関管理、製品設計と製造に循環性を取り入れるための経済主体間の経験交換を支援する欧州循環ビジネスハブに関する水平方向のタスクを実行する。</w:t>
      </w:r>
    </w:p>
    <w:p w14:paraId="0F289CA2" w14:textId="21A7E8A5" w:rsidR="0038775E" w:rsidRDefault="00877B9C" w:rsidP="002041D4">
      <w:pPr>
        <w:pBdr>
          <w:top w:val="single" w:sz="4" w:space="1" w:color="auto"/>
          <w:left w:val="single" w:sz="4" w:space="4" w:color="auto"/>
          <w:bottom w:val="single" w:sz="4" w:space="1" w:color="auto"/>
          <w:right w:val="single" w:sz="4" w:space="4" w:color="auto"/>
        </w:pBdr>
        <w:wordWrap w:val="0"/>
        <w:ind w:left="850"/>
        <w:rPr>
          <w:rFonts w:eastAsia="Calibri"/>
          <w:noProof/>
          <w:lang w:eastAsia="ja-JP"/>
        </w:rPr>
      </w:pPr>
      <w:r w:rsidRPr="00DF5C23">
        <w:rPr>
          <w:rFonts w:eastAsia="Calibri"/>
          <w:noProof/>
          <w:lang w:eastAsia="ja-JP"/>
        </w:rPr>
        <w:t>既存の規制の見直しについては、経験に基づく合理的な見積もりでは、</w:t>
      </w:r>
      <w:r w:rsidRPr="00DF5C23">
        <w:rPr>
          <w:rFonts w:eastAsia="Calibri"/>
          <w:noProof/>
          <w:lang w:eastAsia="ja-JP"/>
        </w:rPr>
        <w:t>1</w:t>
      </w:r>
      <w:r w:rsidRPr="00DF5C23">
        <w:rPr>
          <w:rFonts w:eastAsia="Calibri"/>
          <w:noProof/>
          <w:lang w:eastAsia="ja-JP"/>
        </w:rPr>
        <w:t>つの製品をカバーするために平均で</w:t>
      </w:r>
      <w:r w:rsidRPr="00DF5C23">
        <w:rPr>
          <w:rFonts w:eastAsia="Calibri"/>
          <w:noProof/>
          <w:lang w:eastAsia="ja-JP"/>
        </w:rPr>
        <w:t>約</w:t>
      </w:r>
      <w:r w:rsidRPr="00DF5C23">
        <w:rPr>
          <w:rFonts w:eastAsia="Calibri"/>
          <w:noProof/>
          <w:lang w:eastAsia="ja-JP"/>
        </w:rPr>
        <w:t>0.5FTE</w:t>
      </w:r>
      <w:r w:rsidRPr="00DF5C23">
        <w:rPr>
          <w:rFonts w:eastAsia="Calibri"/>
          <w:noProof/>
          <w:lang w:eastAsia="ja-JP"/>
        </w:rPr>
        <w:t>（＋アシスタントサポート）が必要であり、標準化に関する作業を含むが、外注している見直しに伴う技術評価を除く。現在、</w:t>
      </w:r>
      <w:r w:rsidRPr="00DF5C23">
        <w:rPr>
          <w:rFonts w:eastAsia="Calibri"/>
          <w:noProof/>
          <w:lang w:eastAsia="ja-JP"/>
        </w:rPr>
        <w:t>3</w:t>
      </w:r>
      <w:r w:rsidRPr="00DF5C23">
        <w:rPr>
          <w:rFonts w:eastAsia="Calibri"/>
          <w:noProof/>
          <w:lang w:eastAsia="ja-JP"/>
        </w:rPr>
        <w:t>つの</w:t>
      </w:r>
      <w:r w:rsidRPr="00DF5C23">
        <w:rPr>
          <w:rFonts w:eastAsia="Calibri"/>
          <w:noProof/>
          <w:lang w:eastAsia="ja-JP"/>
        </w:rPr>
        <w:t>DG</w:t>
      </w:r>
      <w:r w:rsidRPr="00DF5C23">
        <w:rPr>
          <w:rFonts w:eastAsia="Calibri"/>
          <w:noProof/>
          <w:lang w:eastAsia="ja-JP"/>
        </w:rPr>
        <w:t>でエコデザインに割り当てられている</w:t>
      </w:r>
      <w:r w:rsidRPr="00DF5C23">
        <w:rPr>
          <w:rFonts w:eastAsia="Calibri"/>
          <w:noProof/>
          <w:lang w:eastAsia="ja-JP"/>
        </w:rPr>
        <w:t>11,5</w:t>
      </w:r>
      <w:r w:rsidRPr="00DF5C23">
        <w:rPr>
          <w:rFonts w:eastAsia="Calibri"/>
          <w:noProof/>
          <w:lang w:eastAsia="ja-JP"/>
        </w:rPr>
        <w:t>人（</w:t>
      </w:r>
      <w:r w:rsidRPr="00DF5C23">
        <w:rPr>
          <w:rFonts w:eastAsia="Calibri"/>
          <w:noProof/>
          <w:lang w:eastAsia="ja-JP"/>
        </w:rPr>
        <w:t>FTE</w:t>
      </w:r>
      <w:r w:rsidRPr="00DF5C23">
        <w:rPr>
          <w:rFonts w:eastAsia="Calibri"/>
          <w:noProof/>
          <w:lang w:eastAsia="ja-JP"/>
        </w:rPr>
        <w:t>）は、法的義務を果たすには十分では</w:t>
      </w:r>
      <w:r w:rsidR="002041D4">
        <w:rPr>
          <w:rFonts w:ascii="ＭＳ 明朝" w:eastAsia="ＭＳ 明朝" w:hAnsi="ＭＳ 明朝" w:cs="ＭＳ 明朝" w:hint="eastAsia"/>
          <w:noProof/>
          <w:lang w:eastAsia="ja-JP"/>
        </w:rPr>
        <w:t>ない</w:t>
      </w:r>
      <w:r w:rsidRPr="00DF5C23">
        <w:rPr>
          <w:rFonts w:eastAsia="Calibri"/>
          <w:noProof/>
          <w:lang w:eastAsia="ja-JP"/>
        </w:rPr>
        <w:t>。</w:t>
      </w:r>
      <w:r w:rsidRPr="00DF5C23">
        <w:rPr>
          <w:rFonts w:eastAsia="Calibri"/>
          <w:noProof/>
          <w:lang w:eastAsia="ja-JP"/>
        </w:rPr>
        <w:t>2022</w:t>
      </w:r>
      <w:r w:rsidRPr="00DF5C23">
        <w:rPr>
          <w:rFonts w:eastAsia="Calibri"/>
          <w:noProof/>
          <w:lang w:eastAsia="ja-JP"/>
        </w:rPr>
        <w:t>年に</w:t>
      </w:r>
      <w:r w:rsidR="007A6D05" w:rsidRPr="00DF5C23">
        <w:rPr>
          <w:rFonts w:eastAsia="Calibri"/>
          <w:noProof/>
          <w:lang w:eastAsia="ja-JP"/>
        </w:rPr>
        <w:t>13F</w:t>
      </w:r>
      <w:r w:rsidRPr="00DF5C23">
        <w:rPr>
          <w:rFonts w:eastAsia="Calibri"/>
          <w:noProof/>
          <w:lang w:eastAsia="ja-JP"/>
        </w:rPr>
        <w:t>TE</w:t>
      </w:r>
      <w:r w:rsidRPr="00DF5C23">
        <w:rPr>
          <w:rFonts w:eastAsia="Calibri"/>
          <w:noProof/>
          <w:lang w:eastAsia="ja-JP"/>
        </w:rPr>
        <w:t>、</w:t>
      </w:r>
      <w:r w:rsidRPr="00DF5C23">
        <w:rPr>
          <w:rFonts w:eastAsia="Calibri"/>
          <w:noProof/>
          <w:lang w:eastAsia="ja-JP"/>
        </w:rPr>
        <w:t>2023</w:t>
      </w:r>
      <w:r w:rsidRPr="00DF5C23">
        <w:rPr>
          <w:rFonts w:eastAsia="Calibri"/>
          <w:noProof/>
          <w:lang w:eastAsia="ja-JP"/>
        </w:rPr>
        <w:t>年に</w:t>
      </w:r>
      <w:r w:rsidRPr="00DF5C23">
        <w:rPr>
          <w:rFonts w:eastAsia="Calibri"/>
          <w:noProof/>
          <w:lang w:eastAsia="ja-JP"/>
        </w:rPr>
        <w:t>24FTE</w:t>
      </w:r>
      <w:r w:rsidRPr="00DF5C23">
        <w:rPr>
          <w:rFonts w:eastAsia="Calibri"/>
          <w:noProof/>
          <w:lang w:eastAsia="ja-JP"/>
        </w:rPr>
        <w:t>、</w:t>
      </w:r>
      <w:r w:rsidRPr="00DF5C23">
        <w:rPr>
          <w:rFonts w:eastAsia="Calibri"/>
          <w:noProof/>
          <w:lang w:eastAsia="ja-JP"/>
        </w:rPr>
        <w:t>2027</w:t>
      </w:r>
      <w:r w:rsidRPr="00DF5C23">
        <w:rPr>
          <w:rFonts w:eastAsia="Calibri"/>
          <w:noProof/>
          <w:lang w:eastAsia="ja-JP"/>
        </w:rPr>
        <w:t>年に</w:t>
      </w:r>
      <w:r w:rsidRPr="00DF5C23">
        <w:rPr>
          <w:rFonts w:eastAsia="Calibri"/>
          <w:noProof/>
          <w:lang w:eastAsia="ja-JP"/>
        </w:rPr>
        <w:t>19FTE</w:t>
      </w:r>
      <w:r w:rsidRPr="00DF5C23">
        <w:rPr>
          <w:rFonts w:eastAsia="Calibri"/>
          <w:noProof/>
          <w:lang w:eastAsia="ja-JP"/>
        </w:rPr>
        <w:t>と段階的に減少する追加リソースを、再配置と研究のアウトソーシングに加えて要求している。</w:t>
      </w:r>
      <w:r w:rsidRPr="00DF5C23">
        <w:rPr>
          <w:rFonts w:eastAsia="Calibri"/>
          <w:noProof/>
          <w:lang w:eastAsia="ja-JP"/>
        </w:rPr>
        <w:t xml:space="preserve">  </w:t>
      </w:r>
    </w:p>
    <w:p w14:paraId="240D9C70" w14:textId="624DA8D5" w:rsidR="0038775E" w:rsidRDefault="00877B9C" w:rsidP="002041D4">
      <w:pPr>
        <w:pBdr>
          <w:top w:val="single" w:sz="4" w:space="1" w:color="auto"/>
          <w:left w:val="single" w:sz="4" w:space="4" w:color="auto"/>
          <w:bottom w:val="single" w:sz="4" w:space="1" w:color="auto"/>
          <w:right w:val="single" w:sz="4" w:space="4" w:color="auto"/>
        </w:pBdr>
        <w:wordWrap w:val="0"/>
        <w:ind w:left="850"/>
        <w:rPr>
          <w:rFonts w:eastAsia="Calibri"/>
          <w:noProof/>
          <w:lang w:eastAsia="ja-JP"/>
        </w:rPr>
      </w:pPr>
      <w:r w:rsidRPr="00DF5C23">
        <w:rPr>
          <w:rFonts w:eastAsia="Calibri"/>
          <w:noProof/>
          <w:lang w:eastAsia="ja-JP"/>
        </w:rPr>
        <w:t>SPI</w:t>
      </w:r>
      <w:r w:rsidRPr="00DF5C23">
        <w:rPr>
          <w:rFonts w:eastAsia="Calibri"/>
          <w:noProof/>
          <w:lang w:eastAsia="ja-JP"/>
        </w:rPr>
        <w:t>の新製品群に関しては、新規要件と評価タスクの分析により、新製品</w:t>
      </w:r>
      <w:r w:rsidRPr="00DF5C23">
        <w:rPr>
          <w:rFonts w:eastAsia="Calibri"/>
          <w:noProof/>
          <w:lang w:eastAsia="ja-JP"/>
        </w:rPr>
        <w:t>1</w:t>
      </w:r>
      <w:r w:rsidRPr="00DF5C23">
        <w:rPr>
          <w:rFonts w:eastAsia="Calibri"/>
          <w:noProof/>
          <w:lang w:eastAsia="ja-JP"/>
        </w:rPr>
        <w:t>つあたり約</w:t>
      </w:r>
      <w:r w:rsidRPr="00DF5C23">
        <w:rPr>
          <w:rFonts w:eastAsia="Calibri"/>
          <w:noProof/>
          <w:lang w:eastAsia="ja-JP"/>
        </w:rPr>
        <w:t>0.9FTE</w:t>
      </w:r>
      <w:r w:rsidRPr="00DF5C23">
        <w:rPr>
          <w:rFonts w:eastAsia="Calibri"/>
          <w:noProof/>
          <w:lang w:eastAsia="ja-JP"/>
        </w:rPr>
        <w:t>（＋アシスタントサポー</w:t>
      </w:r>
      <w:r w:rsidRPr="00DF5C23">
        <w:rPr>
          <w:rFonts w:eastAsia="Calibri"/>
          <w:noProof/>
          <w:lang w:eastAsia="ja-JP"/>
        </w:rPr>
        <w:t>ト）の見積もりが出された。</w:t>
      </w:r>
      <w:r w:rsidRPr="00DF5C23">
        <w:rPr>
          <w:rFonts w:eastAsia="Calibri"/>
          <w:noProof/>
          <w:lang w:eastAsia="ja-JP"/>
        </w:rPr>
        <w:t>IA</w:t>
      </w:r>
      <w:r w:rsidRPr="00DF5C23">
        <w:rPr>
          <w:rFonts w:eastAsia="Calibri"/>
          <w:noProof/>
          <w:lang w:eastAsia="ja-JP"/>
        </w:rPr>
        <w:t>分析により、</w:t>
      </w:r>
      <w:r w:rsidRPr="00DF5C23">
        <w:rPr>
          <w:rFonts w:eastAsia="Calibri"/>
          <w:noProof/>
          <w:lang w:eastAsia="ja-JP"/>
        </w:rPr>
        <w:t>SPI</w:t>
      </w:r>
      <w:r w:rsidRPr="00DF5C23">
        <w:rPr>
          <w:rFonts w:eastAsia="Calibri"/>
          <w:noProof/>
          <w:lang w:eastAsia="ja-JP"/>
        </w:rPr>
        <w:t>の対象となる新製品グループまたは水平方向の施策は約</w:t>
      </w:r>
      <w:r w:rsidRPr="00DF5C23">
        <w:rPr>
          <w:rFonts w:eastAsia="Calibri"/>
          <w:noProof/>
          <w:lang w:eastAsia="ja-JP"/>
        </w:rPr>
        <w:t>30</w:t>
      </w:r>
      <w:r w:rsidRPr="00DF5C23">
        <w:rPr>
          <w:rFonts w:eastAsia="Calibri"/>
          <w:noProof/>
          <w:lang w:eastAsia="ja-JP"/>
        </w:rPr>
        <w:t>と見積もられ</w:t>
      </w:r>
      <w:r w:rsidR="002041D4">
        <w:rPr>
          <w:rFonts w:ascii="ＭＳ 明朝" w:eastAsia="ＭＳ 明朝" w:hAnsi="ＭＳ 明朝" w:cs="ＭＳ 明朝" w:hint="eastAsia"/>
          <w:noProof/>
          <w:lang w:eastAsia="ja-JP"/>
        </w:rPr>
        <w:t>た。</w:t>
      </w:r>
      <w:r w:rsidRPr="00DF5C23">
        <w:rPr>
          <w:rFonts w:eastAsia="Calibri"/>
          <w:noProof/>
          <w:lang w:eastAsia="ja-JP"/>
        </w:rPr>
        <w:t>このため、</w:t>
      </w:r>
      <w:r w:rsidRPr="00DF5C23">
        <w:rPr>
          <w:rFonts w:eastAsia="Calibri"/>
          <w:noProof/>
          <w:lang w:eastAsia="ja-JP"/>
        </w:rPr>
        <w:t>2023</w:t>
      </w:r>
      <w:r w:rsidRPr="00DF5C23">
        <w:rPr>
          <w:rFonts w:eastAsia="Calibri"/>
          <w:noProof/>
          <w:lang w:eastAsia="ja-JP"/>
        </w:rPr>
        <w:t>年には</w:t>
      </w:r>
      <w:r w:rsidRPr="00DF5C23">
        <w:rPr>
          <w:rFonts w:eastAsia="Calibri"/>
          <w:noProof/>
          <w:lang w:eastAsia="ja-JP"/>
        </w:rPr>
        <w:t>16FTE</w:t>
      </w:r>
      <w:r w:rsidRPr="00DF5C23">
        <w:rPr>
          <w:rFonts w:eastAsia="Calibri"/>
          <w:noProof/>
          <w:lang w:eastAsia="ja-JP"/>
        </w:rPr>
        <w:t>が必要となり、</w:t>
      </w:r>
      <w:r w:rsidRPr="00DF5C23">
        <w:rPr>
          <w:rFonts w:eastAsia="Calibri"/>
          <w:noProof/>
          <w:lang w:eastAsia="ja-JP"/>
        </w:rPr>
        <w:t>2027</w:t>
      </w:r>
      <w:r w:rsidRPr="00DF5C23">
        <w:rPr>
          <w:rFonts w:eastAsia="Calibri"/>
          <w:noProof/>
          <w:lang w:eastAsia="ja-JP"/>
        </w:rPr>
        <w:t>年には</w:t>
      </w:r>
      <w:r w:rsidRPr="00DF5C23">
        <w:rPr>
          <w:rFonts w:eastAsia="Calibri"/>
          <w:noProof/>
          <w:lang w:eastAsia="ja-JP"/>
        </w:rPr>
        <w:t>28.5FTE</w:t>
      </w:r>
      <w:r w:rsidRPr="00DF5C23">
        <w:rPr>
          <w:rFonts w:eastAsia="Calibri"/>
          <w:noProof/>
          <w:lang w:eastAsia="ja-JP"/>
        </w:rPr>
        <w:t>まで増加すると見積もられて</w:t>
      </w:r>
      <w:r w:rsidR="002041D4">
        <w:rPr>
          <w:rFonts w:ascii="ＭＳ 明朝" w:eastAsia="ＭＳ 明朝" w:hAnsi="ＭＳ 明朝" w:cs="ＭＳ 明朝" w:hint="eastAsia"/>
          <w:noProof/>
          <w:lang w:eastAsia="ja-JP"/>
        </w:rPr>
        <w:t>いる。</w:t>
      </w:r>
      <w:r w:rsidRPr="00DF5C23">
        <w:rPr>
          <w:rFonts w:eastAsia="Calibri"/>
          <w:noProof/>
          <w:lang w:eastAsia="ja-JP"/>
        </w:rPr>
        <w:t>さらに、現在</w:t>
      </w:r>
      <w:r w:rsidRPr="00DF5C23">
        <w:rPr>
          <w:rFonts w:eastAsia="Calibri"/>
          <w:noProof/>
          <w:lang w:eastAsia="ja-JP"/>
        </w:rPr>
        <w:t>3</w:t>
      </w:r>
      <w:r w:rsidRPr="00DF5C23">
        <w:rPr>
          <w:rFonts w:eastAsia="Calibri"/>
          <w:noProof/>
          <w:lang w:eastAsia="ja-JP"/>
        </w:rPr>
        <w:t>つの主管部門において</w:t>
      </w:r>
      <w:r w:rsidRPr="00DF5C23">
        <w:rPr>
          <w:rFonts w:eastAsia="Calibri"/>
          <w:noProof/>
          <w:lang w:eastAsia="ja-JP"/>
        </w:rPr>
        <w:t>SPI</w:t>
      </w:r>
      <w:r w:rsidRPr="00DF5C23">
        <w:rPr>
          <w:rFonts w:eastAsia="Calibri"/>
          <w:noProof/>
          <w:lang w:eastAsia="ja-JP"/>
        </w:rPr>
        <w:t>の準備やその他のタスクに割り当てられている</w:t>
      </w:r>
      <w:r w:rsidRPr="00DF5C23">
        <w:rPr>
          <w:rFonts w:eastAsia="Calibri"/>
          <w:noProof/>
          <w:lang w:eastAsia="ja-JP"/>
        </w:rPr>
        <w:t>8.5FTE</w:t>
      </w:r>
      <w:r w:rsidRPr="00DF5C23">
        <w:rPr>
          <w:rFonts w:eastAsia="Calibri"/>
          <w:noProof/>
          <w:lang w:eastAsia="ja-JP"/>
        </w:rPr>
        <w:t>が再配備されることにな</w:t>
      </w:r>
      <w:r w:rsidR="002041D4">
        <w:rPr>
          <w:rFonts w:ascii="ＭＳ 明朝" w:eastAsia="ＭＳ 明朝" w:hAnsi="ＭＳ 明朝" w:cs="ＭＳ 明朝" w:hint="eastAsia"/>
          <w:noProof/>
          <w:lang w:eastAsia="ja-JP"/>
        </w:rPr>
        <w:t>る</w:t>
      </w:r>
      <w:r w:rsidRPr="00DF5C23">
        <w:rPr>
          <w:rFonts w:eastAsia="Calibri"/>
          <w:noProof/>
          <w:lang w:eastAsia="ja-JP"/>
        </w:rPr>
        <w:t>。次の表は、</w:t>
      </w:r>
      <w:r w:rsidRPr="00DF5C23">
        <w:rPr>
          <w:rFonts w:eastAsia="Calibri"/>
          <w:noProof/>
          <w:lang w:eastAsia="ja-JP"/>
        </w:rPr>
        <w:t>1</w:t>
      </w:r>
      <w:r w:rsidRPr="00DF5C23">
        <w:rPr>
          <w:rFonts w:eastAsia="Calibri"/>
          <w:noProof/>
          <w:lang w:eastAsia="ja-JP"/>
        </w:rPr>
        <w:t>年ごとの追加ニーズの見積もりである。</w:t>
      </w:r>
    </w:p>
    <w:tbl>
      <w:tblPr>
        <w:tblStyle w:val="TableGrid1"/>
        <w:tblW w:w="0" w:type="auto"/>
        <w:tblInd w:w="850" w:type="dxa"/>
        <w:tblLook w:val="04A0" w:firstRow="1" w:lastRow="0" w:firstColumn="1" w:lastColumn="0" w:noHBand="0" w:noVBand="1"/>
      </w:tblPr>
      <w:tblGrid>
        <w:gridCol w:w="2445"/>
        <w:gridCol w:w="964"/>
        <w:gridCol w:w="964"/>
        <w:gridCol w:w="964"/>
        <w:gridCol w:w="965"/>
        <w:gridCol w:w="964"/>
        <w:gridCol w:w="945"/>
      </w:tblGrid>
      <w:tr w:rsidR="00BF1765" w:rsidRPr="00DF5C23" w14:paraId="2C3A5973" w14:textId="77777777" w:rsidTr="00EC0E40">
        <w:tc>
          <w:tcPr>
            <w:tcW w:w="2519" w:type="dxa"/>
            <w:tcBorders>
              <w:bottom w:val="single" w:sz="4" w:space="0" w:color="auto"/>
            </w:tcBorders>
          </w:tcPr>
          <w:p w14:paraId="2C3A596C" w14:textId="77777777" w:rsidR="00BF1765" w:rsidRPr="00DF5C23" w:rsidRDefault="00BF1765" w:rsidP="002041D4">
            <w:pPr>
              <w:wordWrap w:val="0"/>
              <w:rPr>
                <w:noProof/>
              </w:rPr>
            </w:pPr>
          </w:p>
        </w:tc>
        <w:tc>
          <w:tcPr>
            <w:tcW w:w="992" w:type="dxa"/>
          </w:tcPr>
          <w:p w14:paraId="39374742" w14:textId="77777777" w:rsidR="0038775E" w:rsidRDefault="00877B9C" w:rsidP="002041D4">
            <w:pPr>
              <w:wordWrap w:val="0"/>
              <w:rPr>
                <w:noProof/>
              </w:rPr>
            </w:pPr>
            <w:r w:rsidRPr="00DF5C23">
              <w:rPr>
                <w:noProof/>
              </w:rPr>
              <w:t>2022</w:t>
            </w:r>
          </w:p>
        </w:tc>
        <w:tc>
          <w:tcPr>
            <w:tcW w:w="992" w:type="dxa"/>
          </w:tcPr>
          <w:p w14:paraId="18B58F43" w14:textId="77777777" w:rsidR="0038775E" w:rsidRDefault="00877B9C" w:rsidP="002041D4">
            <w:pPr>
              <w:wordWrap w:val="0"/>
              <w:rPr>
                <w:noProof/>
              </w:rPr>
            </w:pPr>
            <w:r w:rsidRPr="00DF5C23">
              <w:rPr>
                <w:noProof/>
              </w:rPr>
              <w:t>2023</w:t>
            </w:r>
          </w:p>
        </w:tc>
        <w:tc>
          <w:tcPr>
            <w:tcW w:w="992" w:type="dxa"/>
          </w:tcPr>
          <w:p w14:paraId="0845C07B" w14:textId="77777777" w:rsidR="0038775E" w:rsidRDefault="00877B9C" w:rsidP="002041D4">
            <w:pPr>
              <w:wordWrap w:val="0"/>
              <w:rPr>
                <w:noProof/>
              </w:rPr>
            </w:pPr>
            <w:r w:rsidRPr="00DF5C23">
              <w:rPr>
                <w:noProof/>
              </w:rPr>
              <w:t>2024</w:t>
            </w:r>
          </w:p>
        </w:tc>
        <w:tc>
          <w:tcPr>
            <w:tcW w:w="993" w:type="dxa"/>
          </w:tcPr>
          <w:p w14:paraId="76F5D891" w14:textId="77777777" w:rsidR="0038775E" w:rsidRDefault="00877B9C" w:rsidP="002041D4">
            <w:pPr>
              <w:wordWrap w:val="0"/>
              <w:rPr>
                <w:noProof/>
              </w:rPr>
            </w:pPr>
            <w:r w:rsidRPr="00DF5C23">
              <w:rPr>
                <w:noProof/>
              </w:rPr>
              <w:t>2025</w:t>
            </w:r>
          </w:p>
        </w:tc>
        <w:tc>
          <w:tcPr>
            <w:tcW w:w="992" w:type="dxa"/>
          </w:tcPr>
          <w:p w14:paraId="5082211F" w14:textId="77777777" w:rsidR="0038775E" w:rsidRDefault="00877B9C" w:rsidP="002041D4">
            <w:pPr>
              <w:wordWrap w:val="0"/>
              <w:rPr>
                <w:noProof/>
              </w:rPr>
            </w:pPr>
            <w:r w:rsidRPr="00DF5C23">
              <w:rPr>
                <w:noProof/>
              </w:rPr>
              <w:t>2026</w:t>
            </w:r>
          </w:p>
        </w:tc>
        <w:tc>
          <w:tcPr>
            <w:tcW w:w="957" w:type="dxa"/>
          </w:tcPr>
          <w:p w14:paraId="2B3D7236" w14:textId="77777777" w:rsidR="0038775E" w:rsidRDefault="00877B9C" w:rsidP="002041D4">
            <w:pPr>
              <w:wordWrap w:val="0"/>
              <w:rPr>
                <w:noProof/>
              </w:rPr>
            </w:pPr>
            <w:r w:rsidRPr="00DF5C23">
              <w:rPr>
                <w:noProof/>
              </w:rPr>
              <w:t>2027年と続く。</w:t>
            </w:r>
          </w:p>
        </w:tc>
      </w:tr>
      <w:tr w:rsidR="005C61BF" w:rsidRPr="00DF5C23" w14:paraId="2C3A597B" w14:textId="77777777" w:rsidTr="00EC0E40">
        <w:tc>
          <w:tcPr>
            <w:tcW w:w="2519" w:type="dxa"/>
            <w:tcBorders>
              <w:bottom w:val="nil"/>
            </w:tcBorders>
          </w:tcPr>
          <w:p w14:paraId="6F535430" w14:textId="77777777" w:rsidR="0038775E" w:rsidRDefault="00877B9C" w:rsidP="002041D4">
            <w:pPr>
              <w:wordWrap w:val="0"/>
              <w:rPr>
                <w:noProof/>
              </w:rPr>
            </w:pPr>
            <w:r w:rsidRPr="00DF5C23">
              <w:rPr>
                <w:noProof/>
              </w:rPr>
              <w:t>既存製品のエコデザインも</w:t>
            </w:r>
            <w:r w:rsidR="009E22E2" w:rsidRPr="00DF5C23">
              <w:rPr>
                <w:noProof/>
              </w:rPr>
              <w:t>含む</w:t>
            </w:r>
          </w:p>
        </w:tc>
        <w:tc>
          <w:tcPr>
            <w:tcW w:w="992" w:type="dxa"/>
            <w:vAlign w:val="center"/>
          </w:tcPr>
          <w:p w14:paraId="6AD195B8" w14:textId="77777777" w:rsidR="0038775E" w:rsidRDefault="003941D7" w:rsidP="002041D4">
            <w:pPr>
              <w:wordWrap w:val="0"/>
              <w:rPr>
                <w:rFonts w:ascii="Calibri" w:hAnsi="Calibri" w:cs="Calibri"/>
                <w:noProof/>
                <w:color w:val="000000"/>
                <w:sz w:val="22"/>
              </w:rPr>
            </w:pPr>
            <w:r w:rsidRPr="00DF5C23">
              <w:rPr>
                <w:rFonts w:ascii="Calibri" w:hAnsi="Calibri" w:cs="Calibri"/>
                <w:noProof/>
                <w:color w:val="000000"/>
                <w:sz w:val="22"/>
                <w:szCs w:val="22"/>
              </w:rPr>
              <w:t>13</w:t>
            </w:r>
          </w:p>
        </w:tc>
        <w:tc>
          <w:tcPr>
            <w:tcW w:w="992" w:type="dxa"/>
            <w:vAlign w:val="center"/>
          </w:tcPr>
          <w:p w14:paraId="05699D6C" w14:textId="77777777" w:rsidR="0038775E" w:rsidRDefault="00877B9C" w:rsidP="002041D4">
            <w:pPr>
              <w:wordWrap w:val="0"/>
              <w:rPr>
                <w:rFonts w:ascii="Calibri" w:hAnsi="Calibri" w:cs="Calibri"/>
                <w:noProof/>
                <w:color w:val="000000"/>
                <w:sz w:val="22"/>
              </w:rPr>
            </w:pPr>
            <w:r w:rsidRPr="00DF5C23">
              <w:rPr>
                <w:rFonts w:ascii="Calibri" w:hAnsi="Calibri" w:cs="Calibri"/>
                <w:noProof/>
                <w:color w:val="000000"/>
                <w:sz w:val="22"/>
                <w:szCs w:val="22"/>
              </w:rPr>
              <w:t>24</w:t>
            </w:r>
          </w:p>
        </w:tc>
        <w:tc>
          <w:tcPr>
            <w:tcW w:w="992" w:type="dxa"/>
            <w:vAlign w:val="center"/>
          </w:tcPr>
          <w:p w14:paraId="3FC8E92A" w14:textId="77777777" w:rsidR="0038775E" w:rsidRDefault="00877B9C" w:rsidP="002041D4">
            <w:pPr>
              <w:wordWrap w:val="0"/>
              <w:rPr>
                <w:noProof/>
              </w:rPr>
            </w:pPr>
            <w:r w:rsidRPr="00DF5C23">
              <w:rPr>
                <w:rFonts w:ascii="Calibri" w:hAnsi="Calibri" w:cs="Calibri"/>
                <w:noProof/>
                <w:color w:val="000000"/>
                <w:sz w:val="22"/>
                <w:szCs w:val="22"/>
              </w:rPr>
              <w:t>23</w:t>
            </w:r>
          </w:p>
        </w:tc>
        <w:tc>
          <w:tcPr>
            <w:tcW w:w="993" w:type="dxa"/>
            <w:vAlign w:val="center"/>
          </w:tcPr>
          <w:p w14:paraId="19A5BB30" w14:textId="77777777" w:rsidR="0038775E" w:rsidRDefault="00877B9C" w:rsidP="002041D4">
            <w:pPr>
              <w:wordWrap w:val="0"/>
              <w:rPr>
                <w:noProof/>
              </w:rPr>
            </w:pPr>
            <w:r w:rsidRPr="00DF5C23">
              <w:rPr>
                <w:rFonts w:ascii="Calibri" w:hAnsi="Calibri" w:cs="Calibri"/>
                <w:noProof/>
                <w:color w:val="000000"/>
                <w:sz w:val="22"/>
                <w:szCs w:val="22"/>
              </w:rPr>
              <w:t>21</w:t>
            </w:r>
          </w:p>
        </w:tc>
        <w:tc>
          <w:tcPr>
            <w:tcW w:w="992" w:type="dxa"/>
            <w:vAlign w:val="center"/>
          </w:tcPr>
          <w:p w14:paraId="060AEC7E" w14:textId="77777777" w:rsidR="0038775E" w:rsidRDefault="00877B9C" w:rsidP="002041D4">
            <w:pPr>
              <w:wordWrap w:val="0"/>
              <w:rPr>
                <w:noProof/>
              </w:rPr>
            </w:pPr>
            <w:r w:rsidRPr="00DF5C23">
              <w:rPr>
                <w:rFonts w:ascii="Calibri" w:hAnsi="Calibri" w:cs="Calibri"/>
                <w:noProof/>
                <w:color w:val="000000"/>
                <w:sz w:val="22"/>
                <w:szCs w:val="22"/>
              </w:rPr>
              <w:t>20</w:t>
            </w:r>
          </w:p>
        </w:tc>
        <w:tc>
          <w:tcPr>
            <w:tcW w:w="957" w:type="dxa"/>
            <w:vAlign w:val="center"/>
          </w:tcPr>
          <w:p w14:paraId="6C1F5F42" w14:textId="77777777" w:rsidR="0038775E" w:rsidRDefault="00877B9C" w:rsidP="002041D4">
            <w:pPr>
              <w:wordWrap w:val="0"/>
              <w:rPr>
                <w:noProof/>
              </w:rPr>
            </w:pPr>
            <w:r w:rsidRPr="00DF5C23">
              <w:rPr>
                <w:rFonts w:ascii="Calibri" w:hAnsi="Calibri" w:cs="Calibri"/>
                <w:noProof/>
                <w:color w:val="000000"/>
                <w:sz w:val="22"/>
                <w:szCs w:val="22"/>
              </w:rPr>
              <w:t>19</w:t>
            </w:r>
          </w:p>
        </w:tc>
      </w:tr>
      <w:tr w:rsidR="00BC1665" w:rsidRPr="00DF5C23" w14:paraId="2C3A5983" w14:textId="77777777" w:rsidTr="00EC0E40">
        <w:tc>
          <w:tcPr>
            <w:tcW w:w="2519" w:type="dxa"/>
            <w:tcBorders>
              <w:top w:val="nil"/>
              <w:bottom w:val="nil"/>
            </w:tcBorders>
          </w:tcPr>
          <w:p w14:paraId="0A965DBE" w14:textId="77777777" w:rsidR="0038775E" w:rsidRDefault="00877B9C" w:rsidP="002041D4">
            <w:pPr>
              <w:wordWrap w:val="0"/>
              <w:jc w:val="right"/>
              <w:rPr>
                <w:noProof/>
              </w:rPr>
            </w:pPr>
            <w:r w:rsidRPr="00DF5C23">
              <w:rPr>
                <w:noProof/>
              </w:rPr>
              <w:t>DG GROW</w:t>
            </w:r>
          </w:p>
        </w:tc>
        <w:tc>
          <w:tcPr>
            <w:tcW w:w="992" w:type="dxa"/>
            <w:vAlign w:val="center"/>
          </w:tcPr>
          <w:p w14:paraId="4596F1C1" w14:textId="77777777" w:rsidR="0038775E" w:rsidRDefault="00877B9C" w:rsidP="002041D4">
            <w:pPr>
              <w:wordWrap w:val="0"/>
              <w:rPr>
                <w:rFonts w:ascii="Calibri" w:hAnsi="Calibri" w:cs="Calibri"/>
                <w:noProof/>
                <w:color w:val="000000"/>
                <w:sz w:val="22"/>
              </w:rPr>
            </w:pPr>
            <w:r w:rsidRPr="00DF5C23">
              <w:rPr>
                <w:rFonts w:ascii="Calibri" w:hAnsi="Calibri" w:cs="Calibri"/>
                <w:noProof/>
                <w:color w:val="000000"/>
                <w:sz w:val="22"/>
              </w:rPr>
              <w:t>4,5</w:t>
            </w:r>
          </w:p>
        </w:tc>
        <w:tc>
          <w:tcPr>
            <w:tcW w:w="992" w:type="dxa"/>
            <w:vAlign w:val="center"/>
          </w:tcPr>
          <w:p w14:paraId="4AC547A3" w14:textId="77777777" w:rsidR="0038775E" w:rsidRDefault="00877B9C" w:rsidP="002041D4">
            <w:pPr>
              <w:wordWrap w:val="0"/>
              <w:rPr>
                <w:rFonts w:ascii="Calibri" w:hAnsi="Calibri" w:cs="Calibri"/>
                <w:noProof/>
                <w:color w:val="000000"/>
                <w:sz w:val="22"/>
              </w:rPr>
            </w:pPr>
            <w:r w:rsidRPr="00DF5C23">
              <w:rPr>
                <w:rFonts w:ascii="Calibri" w:hAnsi="Calibri" w:cs="Calibri"/>
                <w:noProof/>
                <w:color w:val="000000"/>
                <w:sz w:val="22"/>
              </w:rPr>
              <w:t>7</w:t>
            </w:r>
          </w:p>
        </w:tc>
        <w:tc>
          <w:tcPr>
            <w:tcW w:w="992" w:type="dxa"/>
            <w:vAlign w:val="center"/>
          </w:tcPr>
          <w:p w14:paraId="0D5A1FD8" w14:textId="77777777" w:rsidR="0038775E" w:rsidRDefault="00877B9C" w:rsidP="002041D4">
            <w:pPr>
              <w:wordWrap w:val="0"/>
              <w:rPr>
                <w:rFonts w:ascii="Calibri" w:hAnsi="Calibri" w:cs="Calibri"/>
                <w:noProof/>
                <w:color w:val="000000"/>
                <w:sz w:val="22"/>
              </w:rPr>
            </w:pPr>
            <w:r w:rsidRPr="00DF5C23">
              <w:rPr>
                <w:rFonts w:ascii="Calibri" w:hAnsi="Calibri" w:cs="Calibri"/>
                <w:noProof/>
                <w:color w:val="000000"/>
                <w:sz w:val="22"/>
              </w:rPr>
              <w:t>6,5</w:t>
            </w:r>
          </w:p>
        </w:tc>
        <w:tc>
          <w:tcPr>
            <w:tcW w:w="993" w:type="dxa"/>
            <w:vAlign w:val="center"/>
          </w:tcPr>
          <w:p w14:paraId="55845CF6" w14:textId="77777777" w:rsidR="0038775E" w:rsidRDefault="00877B9C" w:rsidP="002041D4">
            <w:pPr>
              <w:wordWrap w:val="0"/>
              <w:rPr>
                <w:rFonts w:ascii="Calibri" w:hAnsi="Calibri" w:cs="Calibri"/>
                <w:noProof/>
                <w:color w:val="000000"/>
                <w:sz w:val="22"/>
              </w:rPr>
            </w:pPr>
            <w:r w:rsidRPr="00DF5C23">
              <w:rPr>
                <w:rFonts w:ascii="Calibri" w:hAnsi="Calibri" w:cs="Calibri"/>
                <w:noProof/>
                <w:color w:val="000000"/>
                <w:sz w:val="22"/>
              </w:rPr>
              <w:t>5,5</w:t>
            </w:r>
          </w:p>
        </w:tc>
        <w:tc>
          <w:tcPr>
            <w:tcW w:w="992" w:type="dxa"/>
            <w:vAlign w:val="center"/>
          </w:tcPr>
          <w:p w14:paraId="51EF2BBF" w14:textId="77777777" w:rsidR="0038775E" w:rsidRDefault="00877B9C" w:rsidP="002041D4">
            <w:pPr>
              <w:wordWrap w:val="0"/>
              <w:rPr>
                <w:rFonts w:ascii="Calibri" w:hAnsi="Calibri" w:cs="Calibri"/>
                <w:noProof/>
                <w:color w:val="000000"/>
                <w:sz w:val="22"/>
              </w:rPr>
            </w:pPr>
            <w:r w:rsidRPr="00DF5C23">
              <w:rPr>
                <w:rFonts w:ascii="Calibri" w:hAnsi="Calibri" w:cs="Calibri"/>
                <w:noProof/>
                <w:color w:val="000000"/>
                <w:sz w:val="22"/>
              </w:rPr>
              <w:t>4,5</w:t>
            </w:r>
          </w:p>
        </w:tc>
        <w:tc>
          <w:tcPr>
            <w:tcW w:w="957" w:type="dxa"/>
            <w:vAlign w:val="center"/>
          </w:tcPr>
          <w:p w14:paraId="5F6E2B2E" w14:textId="77777777" w:rsidR="0038775E" w:rsidRDefault="00877B9C" w:rsidP="002041D4">
            <w:pPr>
              <w:wordWrap w:val="0"/>
              <w:rPr>
                <w:rFonts w:ascii="Calibri" w:hAnsi="Calibri" w:cs="Calibri"/>
                <w:noProof/>
                <w:color w:val="000000"/>
                <w:sz w:val="22"/>
              </w:rPr>
            </w:pPr>
            <w:r w:rsidRPr="00DF5C23">
              <w:rPr>
                <w:rFonts w:ascii="Calibri" w:hAnsi="Calibri" w:cs="Calibri"/>
                <w:noProof/>
                <w:color w:val="000000"/>
                <w:sz w:val="22"/>
              </w:rPr>
              <w:t>3,5</w:t>
            </w:r>
          </w:p>
        </w:tc>
      </w:tr>
      <w:tr w:rsidR="00BC1665" w:rsidRPr="00DF5C23" w14:paraId="2C3A598B" w14:textId="77777777" w:rsidTr="00EC0E40">
        <w:tc>
          <w:tcPr>
            <w:tcW w:w="2519" w:type="dxa"/>
            <w:tcBorders>
              <w:top w:val="nil"/>
              <w:bottom w:val="nil"/>
            </w:tcBorders>
          </w:tcPr>
          <w:p w14:paraId="207B7A06" w14:textId="77777777" w:rsidR="0038775E" w:rsidRDefault="00877B9C" w:rsidP="002041D4">
            <w:pPr>
              <w:wordWrap w:val="0"/>
              <w:jc w:val="right"/>
              <w:rPr>
                <w:noProof/>
              </w:rPr>
            </w:pPr>
            <w:r w:rsidRPr="00DF5C23">
              <w:rPr>
                <w:noProof/>
              </w:rPr>
              <w:t>DG ENV</w:t>
            </w:r>
          </w:p>
        </w:tc>
        <w:tc>
          <w:tcPr>
            <w:tcW w:w="992" w:type="dxa"/>
            <w:vAlign w:val="center"/>
          </w:tcPr>
          <w:p w14:paraId="3C050AC0" w14:textId="77777777" w:rsidR="0038775E" w:rsidRDefault="00877B9C" w:rsidP="002041D4">
            <w:pPr>
              <w:wordWrap w:val="0"/>
              <w:rPr>
                <w:rFonts w:ascii="Calibri" w:hAnsi="Calibri" w:cs="Calibri"/>
                <w:noProof/>
                <w:color w:val="000000"/>
                <w:sz w:val="22"/>
              </w:rPr>
            </w:pPr>
            <w:r w:rsidRPr="00DF5C23">
              <w:rPr>
                <w:rFonts w:ascii="Calibri" w:hAnsi="Calibri" w:cs="Calibri"/>
                <w:noProof/>
                <w:color w:val="000000"/>
                <w:sz w:val="22"/>
              </w:rPr>
              <w:t>4</w:t>
            </w:r>
          </w:p>
        </w:tc>
        <w:tc>
          <w:tcPr>
            <w:tcW w:w="992" w:type="dxa"/>
            <w:vAlign w:val="center"/>
          </w:tcPr>
          <w:p w14:paraId="287A4809" w14:textId="77777777" w:rsidR="0038775E" w:rsidRDefault="00877B9C" w:rsidP="002041D4">
            <w:pPr>
              <w:wordWrap w:val="0"/>
              <w:rPr>
                <w:rFonts w:ascii="Calibri" w:hAnsi="Calibri" w:cs="Calibri"/>
                <w:noProof/>
                <w:color w:val="000000"/>
                <w:sz w:val="22"/>
              </w:rPr>
            </w:pPr>
            <w:r w:rsidRPr="00DF5C23">
              <w:rPr>
                <w:rFonts w:ascii="Calibri" w:hAnsi="Calibri" w:cs="Calibri"/>
                <w:noProof/>
                <w:color w:val="000000"/>
                <w:sz w:val="22"/>
              </w:rPr>
              <w:t>5</w:t>
            </w:r>
          </w:p>
        </w:tc>
        <w:tc>
          <w:tcPr>
            <w:tcW w:w="992" w:type="dxa"/>
            <w:vAlign w:val="center"/>
          </w:tcPr>
          <w:p w14:paraId="762A4467" w14:textId="77777777" w:rsidR="0038775E" w:rsidRDefault="00877B9C" w:rsidP="002041D4">
            <w:pPr>
              <w:wordWrap w:val="0"/>
              <w:rPr>
                <w:rFonts w:ascii="Calibri" w:hAnsi="Calibri" w:cs="Calibri"/>
                <w:noProof/>
                <w:color w:val="000000"/>
                <w:sz w:val="22"/>
              </w:rPr>
            </w:pPr>
            <w:r w:rsidRPr="00DF5C23">
              <w:rPr>
                <w:rFonts w:ascii="Calibri" w:hAnsi="Calibri" w:cs="Calibri"/>
                <w:noProof/>
                <w:color w:val="000000"/>
                <w:sz w:val="22"/>
              </w:rPr>
              <w:t>4,5</w:t>
            </w:r>
          </w:p>
        </w:tc>
        <w:tc>
          <w:tcPr>
            <w:tcW w:w="993" w:type="dxa"/>
            <w:vAlign w:val="center"/>
          </w:tcPr>
          <w:p w14:paraId="4E8F1A07" w14:textId="77777777" w:rsidR="0038775E" w:rsidRDefault="00877B9C" w:rsidP="002041D4">
            <w:pPr>
              <w:wordWrap w:val="0"/>
              <w:rPr>
                <w:rFonts w:ascii="Calibri" w:hAnsi="Calibri" w:cs="Calibri"/>
                <w:noProof/>
                <w:color w:val="000000"/>
                <w:sz w:val="22"/>
              </w:rPr>
            </w:pPr>
            <w:r w:rsidRPr="00DF5C23">
              <w:rPr>
                <w:rFonts w:ascii="Calibri" w:hAnsi="Calibri" w:cs="Calibri"/>
                <w:noProof/>
                <w:color w:val="000000"/>
                <w:sz w:val="22"/>
              </w:rPr>
              <w:t>3,5</w:t>
            </w:r>
          </w:p>
        </w:tc>
        <w:tc>
          <w:tcPr>
            <w:tcW w:w="992" w:type="dxa"/>
            <w:vAlign w:val="center"/>
          </w:tcPr>
          <w:p w14:paraId="62E66D0F" w14:textId="77777777" w:rsidR="0038775E" w:rsidRDefault="00877B9C" w:rsidP="002041D4">
            <w:pPr>
              <w:wordWrap w:val="0"/>
              <w:rPr>
                <w:rFonts w:ascii="Calibri" w:hAnsi="Calibri" w:cs="Calibri"/>
                <w:noProof/>
                <w:color w:val="000000"/>
                <w:sz w:val="22"/>
              </w:rPr>
            </w:pPr>
            <w:r w:rsidRPr="00DF5C23">
              <w:rPr>
                <w:rFonts w:ascii="Calibri" w:hAnsi="Calibri" w:cs="Calibri"/>
                <w:noProof/>
                <w:color w:val="000000"/>
                <w:sz w:val="22"/>
              </w:rPr>
              <w:t>3,5</w:t>
            </w:r>
          </w:p>
        </w:tc>
        <w:tc>
          <w:tcPr>
            <w:tcW w:w="957" w:type="dxa"/>
            <w:vAlign w:val="center"/>
          </w:tcPr>
          <w:p w14:paraId="3CF2D594" w14:textId="77777777" w:rsidR="0038775E" w:rsidRDefault="00877B9C" w:rsidP="002041D4">
            <w:pPr>
              <w:wordWrap w:val="0"/>
              <w:rPr>
                <w:rFonts w:ascii="Calibri" w:hAnsi="Calibri" w:cs="Calibri"/>
                <w:noProof/>
                <w:color w:val="000000"/>
                <w:sz w:val="22"/>
              </w:rPr>
            </w:pPr>
            <w:r w:rsidRPr="00DF5C23">
              <w:rPr>
                <w:rFonts w:ascii="Calibri" w:hAnsi="Calibri" w:cs="Calibri"/>
                <w:noProof/>
                <w:color w:val="000000"/>
                <w:sz w:val="22"/>
              </w:rPr>
              <w:t>3,5</w:t>
            </w:r>
          </w:p>
        </w:tc>
      </w:tr>
      <w:tr w:rsidR="00BC1665" w:rsidRPr="00DF5C23" w14:paraId="2C3A5993" w14:textId="77777777" w:rsidTr="00EC0E40">
        <w:tc>
          <w:tcPr>
            <w:tcW w:w="2519" w:type="dxa"/>
            <w:tcBorders>
              <w:top w:val="nil"/>
              <w:bottom w:val="single" w:sz="4" w:space="0" w:color="auto"/>
            </w:tcBorders>
          </w:tcPr>
          <w:p w14:paraId="4AF875A4" w14:textId="77777777" w:rsidR="0038775E" w:rsidRDefault="00877B9C" w:rsidP="002041D4">
            <w:pPr>
              <w:wordWrap w:val="0"/>
              <w:jc w:val="right"/>
              <w:rPr>
                <w:noProof/>
              </w:rPr>
            </w:pPr>
            <w:r w:rsidRPr="00DF5C23">
              <w:rPr>
                <w:noProof/>
              </w:rPr>
              <w:t>DG ENER</w:t>
            </w:r>
          </w:p>
        </w:tc>
        <w:tc>
          <w:tcPr>
            <w:tcW w:w="992" w:type="dxa"/>
            <w:vAlign w:val="center"/>
          </w:tcPr>
          <w:p w14:paraId="38C5FD7A" w14:textId="77777777" w:rsidR="0038775E" w:rsidRDefault="00877B9C" w:rsidP="002041D4">
            <w:pPr>
              <w:wordWrap w:val="0"/>
              <w:rPr>
                <w:rFonts w:ascii="Calibri" w:hAnsi="Calibri" w:cs="Calibri"/>
                <w:noProof/>
                <w:color w:val="000000"/>
                <w:sz w:val="22"/>
              </w:rPr>
            </w:pPr>
            <w:r w:rsidRPr="00DF5C23">
              <w:rPr>
                <w:rFonts w:ascii="Calibri" w:hAnsi="Calibri" w:cs="Calibri"/>
                <w:noProof/>
                <w:color w:val="000000"/>
                <w:sz w:val="22"/>
              </w:rPr>
              <w:t>4,5</w:t>
            </w:r>
          </w:p>
        </w:tc>
        <w:tc>
          <w:tcPr>
            <w:tcW w:w="992" w:type="dxa"/>
            <w:vAlign w:val="center"/>
          </w:tcPr>
          <w:p w14:paraId="1E9A168D" w14:textId="77777777" w:rsidR="0038775E" w:rsidRDefault="00877B9C" w:rsidP="002041D4">
            <w:pPr>
              <w:wordWrap w:val="0"/>
              <w:rPr>
                <w:rFonts w:ascii="Calibri" w:hAnsi="Calibri" w:cs="Calibri"/>
                <w:noProof/>
                <w:color w:val="000000"/>
                <w:sz w:val="22"/>
              </w:rPr>
            </w:pPr>
            <w:r w:rsidRPr="00DF5C23">
              <w:rPr>
                <w:rFonts w:ascii="Calibri" w:hAnsi="Calibri" w:cs="Calibri"/>
                <w:noProof/>
                <w:color w:val="000000"/>
                <w:sz w:val="22"/>
              </w:rPr>
              <w:t>12</w:t>
            </w:r>
          </w:p>
        </w:tc>
        <w:tc>
          <w:tcPr>
            <w:tcW w:w="992" w:type="dxa"/>
            <w:vAlign w:val="center"/>
          </w:tcPr>
          <w:p w14:paraId="185FE1E9" w14:textId="77777777" w:rsidR="0038775E" w:rsidRDefault="00877B9C" w:rsidP="002041D4">
            <w:pPr>
              <w:wordWrap w:val="0"/>
              <w:rPr>
                <w:rFonts w:ascii="Calibri" w:hAnsi="Calibri" w:cs="Calibri"/>
                <w:noProof/>
                <w:color w:val="000000"/>
                <w:sz w:val="22"/>
              </w:rPr>
            </w:pPr>
            <w:r w:rsidRPr="00DF5C23">
              <w:rPr>
                <w:rFonts w:ascii="Calibri" w:hAnsi="Calibri" w:cs="Calibri"/>
                <w:noProof/>
                <w:color w:val="000000"/>
                <w:sz w:val="22"/>
              </w:rPr>
              <w:t>12</w:t>
            </w:r>
          </w:p>
        </w:tc>
        <w:tc>
          <w:tcPr>
            <w:tcW w:w="993" w:type="dxa"/>
            <w:vAlign w:val="center"/>
          </w:tcPr>
          <w:p w14:paraId="316A7472" w14:textId="77777777" w:rsidR="0038775E" w:rsidRDefault="00877B9C" w:rsidP="002041D4">
            <w:pPr>
              <w:wordWrap w:val="0"/>
              <w:rPr>
                <w:rFonts w:ascii="Calibri" w:hAnsi="Calibri" w:cs="Calibri"/>
                <w:noProof/>
                <w:color w:val="000000"/>
                <w:sz w:val="22"/>
              </w:rPr>
            </w:pPr>
            <w:r w:rsidRPr="00DF5C23">
              <w:rPr>
                <w:rFonts w:ascii="Calibri" w:hAnsi="Calibri" w:cs="Calibri"/>
                <w:noProof/>
                <w:color w:val="000000"/>
                <w:sz w:val="22"/>
              </w:rPr>
              <w:t>12</w:t>
            </w:r>
          </w:p>
        </w:tc>
        <w:tc>
          <w:tcPr>
            <w:tcW w:w="992" w:type="dxa"/>
            <w:vAlign w:val="center"/>
          </w:tcPr>
          <w:p w14:paraId="5C021A38" w14:textId="77777777" w:rsidR="0038775E" w:rsidRDefault="00877B9C" w:rsidP="002041D4">
            <w:pPr>
              <w:wordWrap w:val="0"/>
              <w:rPr>
                <w:rFonts w:ascii="Calibri" w:hAnsi="Calibri" w:cs="Calibri"/>
                <w:noProof/>
                <w:color w:val="000000"/>
                <w:sz w:val="22"/>
              </w:rPr>
            </w:pPr>
            <w:r w:rsidRPr="00DF5C23">
              <w:rPr>
                <w:rFonts w:ascii="Calibri" w:hAnsi="Calibri" w:cs="Calibri"/>
                <w:noProof/>
                <w:color w:val="000000"/>
                <w:sz w:val="22"/>
              </w:rPr>
              <w:t>12</w:t>
            </w:r>
          </w:p>
        </w:tc>
        <w:tc>
          <w:tcPr>
            <w:tcW w:w="957" w:type="dxa"/>
            <w:vAlign w:val="center"/>
          </w:tcPr>
          <w:p w14:paraId="57B4CA42" w14:textId="77777777" w:rsidR="0038775E" w:rsidRDefault="00877B9C" w:rsidP="002041D4">
            <w:pPr>
              <w:wordWrap w:val="0"/>
              <w:rPr>
                <w:rFonts w:ascii="Calibri" w:hAnsi="Calibri" w:cs="Calibri"/>
                <w:noProof/>
                <w:color w:val="000000"/>
                <w:sz w:val="22"/>
              </w:rPr>
            </w:pPr>
            <w:r w:rsidRPr="00DF5C23">
              <w:rPr>
                <w:rFonts w:ascii="Calibri" w:hAnsi="Calibri" w:cs="Calibri"/>
                <w:noProof/>
                <w:color w:val="000000"/>
                <w:sz w:val="22"/>
              </w:rPr>
              <w:t>12</w:t>
            </w:r>
          </w:p>
        </w:tc>
      </w:tr>
      <w:tr w:rsidR="005C61BF" w:rsidRPr="00DF5C23" w14:paraId="2C3A599B" w14:textId="77777777" w:rsidTr="00EC0E40">
        <w:tc>
          <w:tcPr>
            <w:tcW w:w="2519" w:type="dxa"/>
            <w:tcBorders>
              <w:bottom w:val="nil"/>
            </w:tcBorders>
          </w:tcPr>
          <w:p w14:paraId="4DC01FBD" w14:textId="77777777" w:rsidR="0038775E" w:rsidRDefault="00877B9C" w:rsidP="002041D4">
            <w:pPr>
              <w:wordWrap w:val="0"/>
              <w:rPr>
                <w:noProof/>
              </w:rPr>
            </w:pPr>
            <w:r w:rsidRPr="00DF5C23">
              <w:rPr>
                <w:noProof/>
              </w:rPr>
              <w:lastRenderedPageBreak/>
              <w:t>SPI新製品を</w:t>
            </w:r>
            <w:r w:rsidR="009E22E2" w:rsidRPr="00DF5C23">
              <w:rPr>
                <w:noProof/>
              </w:rPr>
              <w:t>含む。</w:t>
            </w:r>
          </w:p>
        </w:tc>
        <w:tc>
          <w:tcPr>
            <w:tcW w:w="992" w:type="dxa"/>
            <w:vAlign w:val="center"/>
          </w:tcPr>
          <w:p w14:paraId="5E8E86BA" w14:textId="77777777" w:rsidR="0038775E" w:rsidRDefault="00877B9C" w:rsidP="002041D4">
            <w:pPr>
              <w:wordWrap w:val="0"/>
              <w:rPr>
                <w:rFonts w:ascii="Calibri" w:hAnsi="Calibri" w:cs="Calibri"/>
                <w:noProof/>
                <w:color w:val="000000"/>
                <w:sz w:val="22"/>
              </w:rPr>
            </w:pPr>
            <w:r w:rsidRPr="00DF5C23">
              <w:rPr>
                <w:rFonts w:ascii="Calibri" w:hAnsi="Calibri" w:cs="Calibri"/>
                <w:noProof/>
                <w:color w:val="000000"/>
                <w:sz w:val="22"/>
                <w:szCs w:val="22"/>
              </w:rPr>
              <w:t>0</w:t>
            </w:r>
          </w:p>
        </w:tc>
        <w:tc>
          <w:tcPr>
            <w:tcW w:w="992" w:type="dxa"/>
            <w:vAlign w:val="center"/>
          </w:tcPr>
          <w:p w14:paraId="1CD36B15" w14:textId="77777777" w:rsidR="0038775E" w:rsidRDefault="00877B9C" w:rsidP="002041D4">
            <w:pPr>
              <w:wordWrap w:val="0"/>
              <w:rPr>
                <w:rFonts w:ascii="Calibri" w:hAnsi="Calibri" w:cs="Calibri"/>
                <w:noProof/>
                <w:color w:val="000000"/>
                <w:sz w:val="22"/>
              </w:rPr>
            </w:pPr>
            <w:r w:rsidRPr="00DF5C23">
              <w:rPr>
                <w:rFonts w:ascii="Calibri" w:hAnsi="Calibri" w:cs="Calibri"/>
                <w:noProof/>
                <w:color w:val="000000"/>
                <w:sz w:val="22"/>
                <w:szCs w:val="22"/>
              </w:rPr>
              <w:t>16</w:t>
            </w:r>
          </w:p>
        </w:tc>
        <w:tc>
          <w:tcPr>
            <w:tcW w:w="992" w:type="dxa"/>
            <w:vAlign w:val="center"/>
          </w:tcPr>
          <w:p w14:paraId="75BFD27A" w14:textId="77777777" w:rsidR="0038775E" w:rsidRDefault="00877B9C" w:rsidP="002041D4">
            <w:pPr>
              <w:wordWrap w:val="0"/>
              <w:rPr>
                <w:noProof/>
              </w:rPr>
            </w:pPr>
            <w:r w:rsidRPr="00DF5C23">
              <w:rPr>
                <w:rFonts w:ascii="Calibri" w:hAnsi="Calibri" w:cs="Calibri"/>
                <w:noProof/>
                <w:color w:val="000000"/>
                <w:sz w:val="22"/>
                <w:szCs w:val="22"/>
              </w:rPr>
              <w:t>21,5</w:t>
            </w:r>
          </w:p>
        </w:tc>
        <w:tc>
          <w:tcPr>
            <w:tcW w:w="993" w:type="dxa"/>
            <w:vAlign w:val="center"/>
          </w:tcPr>
          <w:p w14:paraId="5AFA87F5" w14:textId="77777777" w:rsidR="0038775E" w:rsidRDefault="00877B9C" w:rsidP="002041D4">
            <w:pPr>
              <w:wordWrap w:val="0"/>
              <w:rPr>
                <w:noProof/>
              </w:rPr>
            </w:pPr>
            <w:r w:rsidRPr="00DF5C23">
              <w:rPr>
                <w:rFonts w:ascii="Calibri" w:hAnsi="Calibri" w:cs="Calibri"/>
                <w:noProof/>
                <w:color w:val="000000"/>
                <w:sz w:val="22"/>
                <w:szCs w:val="22"/>
              </w:rPr>
              <w:t>23,5</w:t>
            </w:r>
          </w:p>
        </w:tc>
        <w:tc>
          <w:tcPr>
            <w:tcW w:w="992" w:type="dxa"/>
            <w:vAlign w:val="center"/>
          </w:tcPr>
          <w:p w14:paraId="583EA2BC" w14:textId="77777777" w:rsidR="0038775E" w:rsidRDefault="00877B9C" w:rsidP="002041D4">
            <w:pPr>
              <w:wordWrap w:val="0"/>
              <w:rPr>
                <w:noProof/>
              </w:rPr>
            </w:pPr>
            <w:r w:rsidRPr="00DF5C23">
              <w:rPr>
                <w:rFonts w:ascii="Calibri" w:hAnsi="Calibri" w:cs="Calibri"/>
                <w:noProof/>
                <w:color w:val="000000"/>
                <w:sz w:val="22"/>
                <w:szCs w:val="22"/>
              </w:rPr>
              <w:t>25,5</w:t>
            </w:r>
          </w:p>
        </w:tc>
        <w:tc>
          <w:tcPr>
            <w:tcW w:w="957" w:type="dxa"/>
            <w:vAlign w:val="center"/>
          </w:tcPr>
          <w:p w14:paraId="75F5F33D" w14:textId="77777777" w:rsidR="0038775E" w:rsidRDefault="00877B9C" w:rsidP="002041D4">
            <w:pPr>
              <w:wordWrap w:val="0"/>
              <w:rPr>
                <w:noProof/>
              </w:rPr>
            </w:pPr>
            <w:r w:rsidRPr="00DF5C23">
              <w:rPr>
                <w:rFonts w:ascii="Calibri" w:hAnsi="Calibri" w:cs="Calibri"/>
                <w:noProof/>
                <w:color w:val="000000"/>
                <w:sz w:val="22"/>
                <w:szCs w:val="22"/>
              </w:rPr>
              <w:t>28,5</w:t>
            </w:r>
          </w:p>
        </w:tc>
      </w:tr>
      <w:tr w:rsidR="003941D7" w:rsidRPr="00DF5C23" w14:paraId="2C3A59A3" w14:textId="77777777" w:rsidTr="00EC0E40">
        <w:tc>
          <w:tcPr>
            <w:tcW w:w="2519" w:type="dxa"/>
            <w:tcBorders>
              <w:top w:val="nil"/>
              <w:bottom w:val="nil"/>
            </w:tcBorders>
          </w:tcPr>
          <w:p w14:paraId="77816F68" w14:textId="77777777" w:rsidR="0038775E" w:rsidRDefault="00877B9C" w:rsidP="002041D4">
            <w:pPr>
              <w:wordWrap w:val="0"/>
              <w:jc w:val="right"/>
              <w:rPr>
                <w:noProof/>
              </w:rPr>
            </w:pPr>
            <w:r w:rsidRPr="00DF5C23">
              <w:rPr>
                <w:noProof/>
              </w:rPr>
              <w:t>DG GROW</w:t>
            </w:r>
          </w:p>
        </w:tc>
        <w:tc>
          <w:tcPr>
            <w:tcW w:w="992" w:type="dxa"/>
            <w:vAlign w:val="center"/>
          </w:tcPr>
          <w:p w14:paraId="3B9BD98D" w14:textId="77777777" w:rsidR="0038775E" w:rsidRDefault="00877B9C" w:rsidP="002041D4">
            <w:pPr>
              <w:wordWrap w:val="0"/>
              <w:rPr>
                <w:rFonts w:ascii="Calibri" w:hAnsi="Calibri" w:cs="Calibri"/>
                <w:noProof/>
                <w:color w:val="000000"/>
                <w:sz w:val="22"/>
              </w:rPr>
            </w:pPr>
            <w:r w:rsidRPr="00DF5C23">
              <w:rPr>
                <w:rFonts w:ascii="Calibri" w:hAnsi="Calibri" w:cs="Calibri"/>
                <w:noProof/>
                <w:color w:val="000000"/>
                <w:sz w:val="22"/>
              </w:rPr>
              <w:t>0</w:t>
            </w:r>
          </w:p>
        </w:tc>
        <w:tc>
          <w:tcPr>
            <w:tcW w:w="992" w:type="dxa"/>
            <w:vAlign w:val="center"/>
          </w:tcPr>
          <w:p w14:paraId="64F5B7EF" w14:textId="77777777" w:rsidR="0038775E" w:rsidRDefault="00877B9C" w:rsidP="002041D4">
            <w:pPr>
              <w:wordWrap w:val="0"/>
              <w:rPr>
                <w:rFonts w:ascii="Calibri" w:hAnsi="Calibri" w:cs="Calibri"/>
                <w:noProof/>
                <w:color w:val="000000"/>
                <w:sz w:val="22"/>
              </w:rPr>
            </w:pPr>
            <w:r w:rsidRPr="00DF5C23">
              <w:rPr>
                <w:rFonts w:ascii="Calibri" w:hAnsi="Calibri" w:cs="Calibri"/>
                <w:noProof/>
                <w:color w:val="000000"/>
                <w:sz w:val="22"/>
              </w:rPr>
              <w:t>7</w:t>
            </w:r>
          </w:p>
        </w:tc>
        <w:tc>
          <w:tcPr>
            <w:tcW w:w="992" w:type="dxa"/>
            <w:vAlign w:val="center"/>
          </w:tcPr>
          <w:p w14:paraId="419E3121" w14:textId="77777777" w:rsidR="0038775E" w:rsidRDefault="00877B9C" w:rsidP="002041D4">
            <w:pPr>
              <w:wordWrap w:val="0"/>
              <w:rPr>
                <w:rFonts w:ascii="Calibri" w:hAnsi="Calibri" w:cs="Calibri"/>
                <w:noProof/>
                <w:color w:val="000000"/>
                <w:sz w:val="22"/>
              </w:rPr>
            </w:pPr>
            <w:r w:rsidRPr="00DF5C23">
              <w:rPr>
                <w:rFonts w:ascii="Calibri" w:hAnsi="Calibri" w:cs="Calibri"/>
                <w:noProof/>
                <w:color w:val="000000"/>
                <w:sz w:val="22"/>
              </w:rPr>
              <w:t>10</w:t>
            </w:r>
          </w:p>
        </w:tc>
        <w:tc>
          <w:tcPr>
            <w:tcW w:w="993" w:type="dxa"/>
            <w:vAlign w:val="center"/>
          </w:tcPr>
          <w:p w14:paraId="6CCF88A4" w14:textId="77777777" w:rsidR="0038775E" w:rsidRDefault="00877B9C" w:rsidP="002041D4">
            <w:pPr>
              <w:wordWrap w:val="0"/>
              <w:rPr>
                <w:rFonts w:ascii="Calibri" w:hAnsi="Calibri" w:cs="Calibri"/>
                <w:noProof/>
                <w:color w:val="000000"/>
                <w:sz w:val="22"/>
              </w:rPr>
            </w:pPr>
            <w:r w:rsidRPr="00DF5C23">
              <w:rPr>
                <w:rFonts w:ascii="Calibri" w:hAnsi="Calibri" w:cs="Calibri"/>
                <w:noProof/>
                <w:color w:val="000000"/>
                <w:sz w:val="22"/>
              </w:rPr>
              <w:t>11</w:t>
            </w:r>
          </w:p>
        </w:tc>
        <w:tc>
          <w:tcPr>
            <w:tcW w:w="992" w:type="dxa"/>
            <w:vAlign w:val="center"/>
          </w:tcPr>
          <w:p w14:paraId="70B9EA9F" w14:textId="77777777" w:rsidR="0038775E" w:rsidRDefault="00877B9C" w:rsidP="002041D4">
            <w:pPr>
              <w:wordWrap w:val="0"/>
              <w:rPr>
                <w:rFonts w:ascii="Calibri" w:hAnsi="Calibri" w:cs="Calibri"/>
                <w:noProof/>
                <w:color w:val="000000"/>
                <w:sz w:val="22"/>
              </w:rPr>
            </w:pPr>
            <w:r w:rsidRPr="00DF5C23">
              <w:rPr>
                <w:rFonts w:ascii="Calibri" w:hAnsi="Calibri" w:cs="Calibri"/>
                <w:noProof/>
                <w:color w:val="000000"/>
                <w:sz w:val="22"/>
              </w:rPr>
              <w:t>12</w:t>
            </w:r>
          </w:p>
        </w:tc>
        <w:tc>
          <w:tcPr>
            <w:tcW w:w="957" w:type="dxa"/>
            <w:vAlign w:val="center"/>
          </w:tcPr>
          <w:p w14:paraId="276AB718" w14:textId="77777777" w:rsidR="0038775E" w:rsidRDefault="00877B9C" w:rsidP="002041D4">
            <w:pPr>
              <w:wordWrap w:val="0"/>
              <w:rPr>
                <w:rFonts w:ascii="Calibri" w:hAnsi="Calibri" w:cs="Calibri"/>
                <w:noProof/>
                <w:color w:val="000000"/>
                <w:sz w:val="22"/>
              </w:rPr>
            </w:pPr>
            <w:r w:rsidRPr="00DF5C23">
              <w:rPr>
                <w:rFonts w:ascii="Calibri" w:hAnsi="Calibri" w:cs="Calibri"/>
                <w:noProof/>
                <w:color w:val="000000"/>
                <w:sz w:val="22"/>
              </w:rPr>
              <w:t>13,5</w:t>
            </w:r>
          </w:p>
        </w:tc>
      </w:tr>
      <w:tr w:rsidR="003941D7" w:rsidRPr="00DF5C23" w14:paraId="2C3A59AB" w14:textId="77777777" w:rsidTr="00EC0E40">
        <w:tc>
          <w:tcPr>
            <w:tcW w:w="2519" w:type="dxa"/>
            <w:tcBorders>
              <w:top w:val="nil"/>
              <w:bottom w:val="nil"/>
            </w:tcBorders>
          </w:tcPr>
          <w:p w14:paraId="43FEEBC2" w14:textId="77777777" w:rsidR="0038775E" w:rsidRDefault="00877B9C" w:rsidP="002041D4">
            <w:pPr>
              <w:wordWrap w:val="0"/>
              <w:jc w:val="right"/>
              <w:rPr>
                <w:noProof/>
              </w:rPr>
            </w:pPr>
            <w:r w:rsidRPr="00DF5C23">
              <w:rPr>
                <w:noProof/>
              </w:rPr>
              <w:t>DG ENV</w:t>
            </w:r>
          </w:p>
        </w:tc>
        <w:tc>
          <w:tcPr>
            <w:tcW w:w="992" w:type="dxa"/>
            <w:vAlign w:val="center"/>
          </w:tcPr>
          <w:p w14:paraId="25A75BBA" w14:textId="77777777" w:rsidR="0038775E" w:rsidRDefault="00877B9C" w:rsidP="002041D4">
            <w:pPr>
              <w:wordWrap w:val="0"/>
              <w:rPr>
                <w:rFonts w:ascii="Calibri" w:hAnsi="Calibri" w:cs="Calibri"/>
                <w:noProof/>
                <w:color w:val="000000"/>
                <w:sz w:val="22"/>
              </w:rPr>
            </w:pPr>
            <w:r w:rsidRPr="00DF5C23">
              <w:rPr>
                <w:rFonts w:ascii="Calibri" w:hAnsi="Calibri" w:cs="Calibri"/>
                <w:noProof/>
                <w:color w:val="000000"/>
                <w:sz w:val="22"/>
              </w:rPr>
              <w:t>0</w:t>
            </w:r>
          </w:p>
        </w:tc>
        <w:tc>
          <w:tcPr>
            <w:tcW w:w="992" w:type="dxa"/>
            <w:vAlign w:val="center"/>
          </w:tcPr>
          <w:p w14:paraId="2076B7C7" w14:textId="77777777" w:rsidR="0038775E" w:rsidRDefault="00877B9C" w:rsidP="002041D4">
            <w:pPr>
              <w:wordWrap w:val="0"/>
              <w:rPr>
                <w:rFonts w:ascii="Calibri" w:hAnsi="Calibri" w:cs="Calibri"/>
                <w:noProof/>
                <w:color w:val="000000"/>
                <w:sz w:val="22"/>
              </w:rPr>
            </w:pPr>
            <w:r w:rsidRPr="00DF5C23">
              <w:rPr>
                <w:rFonts w:ascii="Calibri" w:hAnsi="Calibri" w:cs="Calibri"/>
                <w:noProof/>
                <w:color w:val="000000"/>
                <w:sz w:val="22"/>
              </w:rPr>
              <w:t>7</w:t>
            </w:r>
          </w:p>
        </w:tc>
        <w:tc>
          <w:tcPr>
            <w:tcW w:w="992" w:type="dxa"/>
            <w:vAlign w:val="center"/>
          </w:tcPr>
          <w:p w14:paraId="05751288" w14:textId="77777777" w:rsidR="0038775E" w:rsidRDefault="00877B9C" w:rsidP="002041D4">
            <w:pPr>
              <w:wordWrap w:val="0"/>
              <w:rPr>
                <w:rFonts w:ascii="Calibri" w:hAnsi="Calibri" w:cs="Calibri"/>
                <w:noProof/>
                <w:color w:val="000000"/>
                <w:sz w:val="22"/>
              </w:rPr>
            </w:pPr>
            <w:r w:rsidRPr="00DF5C23">
              <w:rPr>
                <w:rFonts w:ascii="Calibri" w:hAnsi="Calibri" w:cs="Calibri"/>
                <w:noProof/>
                <w:color w:val="000000"/>
                <w:sz w:val="22"/>
              </w:rPr>
              <w:t>10</w:t>
            </w:r>
          </w:p>
        </w:tc>
        <w:tc>
          <w:tcPr>
            <w:tcW w:w="993" w:type="dxa"/>
            <w:vAlign w:val="center"/>
          </w:tcPr>
          <w:p w14:paraId="77549896" w14:textId="77777777" w:rsidR="0038775E" w:rsidRDefault="00877B9C" w:rsidP="002041D4">
            <w:pPr>
              <w:wordWrap w:val="0"/>
              <w:rPr>
                <w:rFonts w:ascii="Calibri" w:hAnsi="Calibri" w:cs="Calibri"/>
                <w:noProof/>
                <w:color w:val="000000"/>
                <w:sz w:val="22"/>
              </w:rPr>
            </w:pPr>
            <w:r w:rsidRPr="00DF5C23">
              <w:rPr>
                <w:rFonts w:ascii="Calibri" w:hAnsi="Calibri" w:cs="Calibri"/>
                <w:noProof/>
                <w:color w:val="000000"/>
                <w:sz w:val="22"/>
              </w:rPr>
              <w:t>11</w:t>
            </w:r>
          </w:p>
        </w:tc>
        <w:tc>
          <w:tcPr>
            <w:tcW w:w="992" w:type="dxa"/>
            <w:vAlign w:val="center"/>
          </w:tcPr>
          <w:p w14:paraId="036EA0A4" w14:textId="77777777" w:rsidR="0038775E" w:rsidRDefault="00877B9C" w:rsidP="002041D4">
            <w:pPr>
              <w:wordWrap w:val="0"/>
              <w:rPr>
                <w:rFonts w:ascii="Calibri" w:hAnsi="Calibri" w:cs="Calibri"/>
                <w:noProof/>
                <w:color w:val="000000"/>
                <w:sz w:val="22"/>
              </w:rPr>
            </w:pPr>
            <w:r w:rsidRPr="00DF5C23">
              <w:rPr>
                <w:rFonts w:ascii="Calibri" w:hAnsi="Calibri" w:cs="Calibri"/>
                <w:noProof/>
                <w:color w:val="000000"/>
                <w:sz w:val="22"/>
              </w:rPr>
              <w:t>12</w:t>
            </w:r>
          </w:p>
        </w:tc>
        <w:tc>
          <w:tcPr>
            <w:tcW w:w="957" w:type="dxa"/>
            <w:vAlign w:val="center"/>
          </w:tcPr>
          <w:p w14:paraId="461567A7" w14:textId="77777777" w:rsidR="0038775E" w:rsidRDefault="00877B9C" w:rsidP="002041D4">
            <w:pPr>
              <w:wordWrap w:val="0"/>
              <w:rPr>
                <w:rFonts w:ascii="Calibri" w:hAnsi="Calibri" w:cs="Calibri"/>
                <w:noProof/>
                <w:color w:val="000000"/>
                <w:sz w:val="22"/>
              </w:rPr>
            </w:pPr>
            <w:r w:rsidRPr="00DF5C23">
              <w:rPr>
                <w:rFonts w:ascii="Calibri" w:hAnsi="Calibri" w:cs="Calibri"/>
                <w:noProof/>
                <w:color w:val="000000"/>
                <w:sz w:val="22"/>
              </w:rPr>
              <w:t>13,5</w:t>
            </w:r>
          </w:p>
        </w:tc>
      </w:tr>
      <w:tr w:rsidR="003941D7" w:rsidRPr="00DF5C23" w14:paraId="2C3A59B3" w14:textId="77777777" w:rsidTr="00EC0E40">
        <w:tc>
          <w:tcPr>
            <w:tcW w:w="2519" w:type="dxa"/>
            <w:tcBorders>
              <w:top w:val="nil"/>
              <w:bottom w:val="single" w:sz="4" w:space="0" w:color="auto"/>
            </w:tcBorders>
          </w:tcPr>
          <w:p w14:paraId="3E3654B9" w14:textId="77777777" w:rsidR="0038775E" w:rsidRDefault="00877B9C" w:rsidP="002041D4">
            <w:pPr>
              <w:wordWrap w:val="0"/>
              <w:jc w:val="right"/>
              <w:rPr>
                <w:noProof/>
              </w:rPr>
            </w:pPr>
            <w:r w:rsidRPr="00DF5C23">
              <w:rPr>
                <w:noProof/>
              </w:rPr>
              <w:t>DG ENER</w:t>
            </w:r>
          </w:p>
        </w:tc>
        <w:tc>
          <w:tcPr>
            <w:tcW w:w="992" w:type="dxa"/>
            <w:vAlign w:val="center"/>
          </w:tcPr>
          <w:p w14:paraId="455D1BFE" w14:textId="77777777" w:rsidR="0038775E" w:rsidRDefault="00877B9C" w:rsidP="002041D4">
            <w:pPr>
              <w:wordWrap w:val="0"/>
              <w:rPr>
                <w:rFonts w:ascii="Calibri" w:hAnsi="Calibri" w:cs="Calibri"/>
                <w:noProof/>
                <w:color w:val="000000"/>
                <w:sz w:val="22"/>
              </w:rPr>
            </w:pPr>
            <w:r w:rsidRPr="00DF5C23">
              <w:rPr>
                <w:rFonts w:ascii="Calibri" w:hAnsi="Calibri" w:cs="Calibri"/>
                <w:noProof/>
                <w:color w:val="000000"/>
                <w:sz w:val="22"/>
              </w:rPr>
              <w:t>0</w:t>
            </w:r>
          </w:p>
        </w:tc>
        <w:tc>
          <w:tcPr>
            <w:tcW w:w="992" w:type="dxa"/>
            <w:vAlign w:val="center"/>
          </w:tcPr>
          <w:p w14:paraId="2007B07F" w14:textId="77777777" w:rsidR="0038775E" w:rsidRDefault="00877B9C" w:rsidP="002041D4">
            <w:pPr>
              <w:wordWrap w:val="0"/>
              <w:rPr>
                <w:rFonts w:ascii="Calibri" w:hAnsi="Calibri" w:cs="Calibri"/>
                <w:noProof/>
                <w:color w:val="000000"/>
                <w:sz w:val="22"/>
              </w:rPr>
            </w:pPr>
            <w:r w:rsidRPr="00DF5C23">
              <w:rPr>
                <w:rFonts w:ascii="Calibri" w:hAnsi="Calibri" w:cs="Calibri"/>
                <w:noProof/>
                <w:color w:val="000000"/>
                <w:sz w:val="22"/>
              </w:rPr>
              <w:t>2</w:t>
            </w:r>
          </w:p>
        </w:tc>
        <w:tc>
          <w:tcPr>
            <w:tcW w:w="992" w:type="dxa"/>
            <w:vAlign w:val="center"/>
          </w:tcPr>
          <w:p w14:paraId="620ACE14" w14:textId="77777777" w:rsidR="0038775E" w:rsidRDefault="00877B9C" w:rsidP="002041D4">
            <w:pPr>
              <w:wordWrap w:val="0"/>
              <w:rPr>
                <w:rFonts w:ascii="Calibri" w:hAnsi="Calibri" w:cs="Calibri"/>
                <w:noProof/>
                <w:color w:val="000000"/>
                <w:sz w:val="22"/>
              </w:rPr>
            </w:pPr>
            <w:r w:rsidRPr="00DF5C23">
              <w:rPr>
                <w:rFonts w:ascii="Calibri" w:hAnsi="Calibri" w:cs="Calibri"/>
                <w:noProof/>
                <w:color w:val="000000"/>
                <w:sz w:val="22"/>
              </w:rPr>
              <w:t>1,5</w:t>
            </w:r>
          </w:p>
        </w:tc>
        <w:tc>
          <w:tcPr>
            <w:tcW w:w="993" w:type="dxa"/>
            <w:vAlign w:val="center"/>
          </w:tcPr>
          <w:p w14:paraId="5390BC37" w14:textId="77777777" w:rsidR="0038775E" w:rsidRDefault="00877B9C" w:rsidP="002041D4">
            <w:pPr>
              <w:wordWrap w:val="0"/>
              <w:rPr>
                <w:rFonts w:ascii="Calibri" w:hAnsi="Calibri" w:cs="Calibri"/>
                <w:noProof/>
                <w:color w:val="000000"/>
                <w:sz w:val="22"/>
              </w:rPr>
            </w:pPr>
            <w:r w:rsidRPr="00DF5C23">
              <w:rPr>
                <w:rFonts w:ascii="Calibri" w:hAnsi="Calibri" w:cs="Calibri"/>
                <w:noProof/>
                <w:color w:val="000000"/>
                <w:sz w:val="22"/>
              </w:rPr>
              <w:t>1,5</w:t>
            </w:r>
          </w:p>
        </w:tc>
        <w:tc>
          <w:tcPr>
            <w:tcW w:w="992" w:type="dxa"/>
            <w:vAlign w:val="center"/>
          </w:tcPr>
          <w:p w14:paraId="729179D8" w14:textId="77777777" w:rsidR="0038775E" w:rsidRDefault="00877B9C" w:rsidP="002041D4">
            <w:pPr>
              <w:wordWrap w:val="0"/>
              <w:rPr>
                <w:rFonts w:ascii="Calibri" w:hAnsi="Calibri" w:cs="Calibri"/>
                <w:noProof/>
                <w:color w:val="000000"/>
                <w:sz w:val="22"/>
              </w:rPr>
            </w:pPr>
            <w:r w:rsidRPr="00DF5C23">
              <w:rPr>
                <w:rFonts w:ascii="Calibri" w:hAnsi="Calibri" w:cs="Calibri"/>
                <w:noProof/>
                <w:color w:val="000000"/>
                <w:sz w:val="22"/>
              </w:rPr>
              <w:t>1,5</w:t>
            </w:r>
          </w:p>
        </w:tc>
        <w:tc>
          <w:tcPr>
            <w:tcW w:w="957" w:type="dxa"/>
            <w:vAlign w:val="center"/>
          </w:tcPr>
          <w:p w14:paraId="51FC5AF0" w14:textId="77777777" w:rsidR="0038775E" w:rsidRDefault="00877B9C" w:rsidP="002041D4">
            <w:pPr>
              <w:wordWrap w:val="0"/>
              <w:rPr>
                <w:rFonts w:ascii="Calibri" w:hAnsi="Calibri" w:cs="Calibri"/>
                <w:noProof/>
                <w:color w:val="000000"/>
                <w:sz w:val="22"/>
              </w:rPr>
            </w:pPr>
            <w:r w:rsidRPr="00DF5C23">
              <w:rPr>
                <w:rFonts w:ascii="Calibri" w:hAnsi="Calibri" w:cs="Calibri"/>
                <w:noProof/>
                <w:color w:val="000000"/>
                <w:sz w:val="22"/>
              </w:rPr>
              <w:t>1,5</w:t>
            </w:r>
          </w:p>
        </w:tc>
      </w:tr>
      <w:tr w:rsidR="005C61BF" w:rsidRPr="00DF5C23" w14:paraId="2C3A59BB" w14:textId="77777777" w:rsidTr="00EC0E40">
        <w:tc>
          <w:tcPr>
            <w:tcW w:w="2519" w:type="dxa"/>
            <w:tcBorders>
              <w:bottom w:val="nil"/>
            </w:tcBorders>
          </w:tcPr>
          <w:p w14:paraId="5939929C" w14:textId="77777777" w:rsidR="0038775E" w:rsidRDefault="00877B9C" w:rsidP="002041D4">
            <w:pPr>
              <w:wordWrap w:val="0"/>
              <w:rPr>
                <w:noProof/>
              </w:rPr>
            </w:pPr>
            <w:r w:rsidRPr="00DF5C23">
              <w:rPr>
                <w:noProof/>
              </w:rPr>
              <w:t>デジタルプロダクトパスポート</w:t>
            </w:r>
            <w:r w:rsidR="009E22E2" w:rsidRPr="00DF5C23">
              <w:rPr>
                <w:noProof/>
              </w:rPr>
              <w:t>、含む。</w:t>
            </w:r>
          </w:p>
        </w:tc>
        <w:tc>
          <w:tcPr>
            <w:tcW w:w="992" w:type="dxa"/>
            <w:vAlign w:val="center"/>
          </w:tcPr>
          <w:p w14:paraId="10BA5A51" w14:textId="77777777" w:rsidR="0038775E" w:rsidRDefault="00877B9C" w:rsidP="002041D4">
            <w:pPr>
              <w:wordWrap w:val="0"/>
              <w:rPr>
                <w:rFonts w:ascii="Calibri" w:hAnsi="Calibri" w:cs="Calibri"/>
                <w:noProof/>
                <w:color w:val="000000"/>
                <w:sz w:val="22"/>
              </w:rPr>
            </w:pPr>
            <w:r w:rsidRPr="00DF5C23">
              <w:rPr>
                <w:rFonts w:ascii="Calibri" w:hAnsi="Calibri" w:cs="Calibri"/>
                <w:noProof/>
                <w:color w:val="000000"/>
                <w:sz w:val="22"/>
                <w:szCs w:val="22"/>
              </w:rPr>
              <w:t>0,5</w:t>
            </w:r>
          </w:p>
        </w:tc>
        <w:tc>
          <w:tcPr>
            <w:tcW w:w="992" w:type="dxa"/>
            <w:vAlign w:val="center"/>
          </w:tcPr>
          <w:p w14:paraId="5827A1A0" w14:textId="77777777" w:rsidR="0038775E" w:rsidRDefault="00877B9C" w:rsidP="002041D4">
            <w:pPr>
              <w:wordWrap w:val="0"/>
              <w:rPr>
                <w:rFonts w:ascii="Calibri" w:hAnsi="Calibri" w:cs="Calibri"/>
                <w:noProof/>
                <w:color w:val="000000"/>
                <w:sz w:val="22"/>
              </w:rPr>
            </w:pPr>
            <w:r w:rsidRPr="00DF5C23">
              <w:rPr>
                <w:rFonts w:ascii="Calibri" w:hAnsi="Calibri" w:cs="Calibri"/>
                <w:noProof/>
                <w:color w:val="000000"/>
                <w:sz w:val="22"/>
                <w:szCs w:val="22"/>
              </w:rPr>
              <w:t>2</w:t>
            </w:r>
          </w:p>
        </w:tc>
        <w:tc>
          <w:tcPr>
            <w:tcW w:w="992" w:type="dxa"/>
            <w:vAlign w:val="center"/>
          </w:tcPr>
          <w:p w14:paraId="03706CEB" w14:textId="77777777" w:rsidR="0038775E" w:rsidRDefault="00877B9C" w:rsidP="002041D4">
            <w:pPr>
              <w:wordWrap w:val="0"/>
              <w:rPr>
                <w:noProof/>
              </w:rPr>
            </w:pPr>
            <w:r w:rsidRPr="00DF5C23">
              <w:rPr>
                <w:rFonts w:ascii="Calibri" w:hAnsi="Calibri" w:cs="Calibri"/>
                <w:noProof/>
                <w:color w:val="000000"/>
                <w:sz w:val="22"/>
                <w:szCs w:val="22"/>
              </w:rPr>
              <w:t>2</w:t>
            </w:r>
          </w:p>
        </w:tc>
        <w:tc>
          <w:tcPr>
            <w:tcW w:w="993" w:type="dxa"/>
            <w:vAlign w:val="center"/>
          </w:tcPr>
          <w:p w14:paraId="0B0F152B" w14:textId="77777777" w:rsidR="0038775E" w:rsidRDefault="00877B9C" w:rsidP="002041D4">
            <w:pPr>
              <w:wordWrap w:val="0"/>
              <w:rPr>
                <w:noProof/>
              </w:rPr>
            </w:pPr>
            <w:r w:rsidRPr="00DF5C23">
              <w:rPr>
                <w:rFonts w:ascii="Calibri" w:hAnsi="Calibri" w:cs="Calibri"/>
                <w:noProof/>
                <w:color w:val="000000"/>
                <w:sz w:val="22"/>
                <w:szCs w:val="22"/>
              </w:rPr>
              <w:t>2</w:t>
            </w:r>
          </w:p>
        </w:tc>
        <w:tc>
          <w:tcPr>
            <w:tcW w:w="992" w:type="dxa"/>
            <w:vAlign w:val="center"/>
          </w:tcPr>
          <w:p w14:paraId="5CABC306" w14:textId="77777777" w:rsidR="0038775E" w:rsidRDefault="00877B9C" w:rsidP="002041D4">
            <w:pPr>
              <w:wordWrap w:val="0"/>
              <w:rPr>
                <w:noProof/>
              </w:rPr>
            </w:pPr>
            <w:r w:rsidRPr="00DF5C23">
              <w:rPr>
                <w:rFonts w:ascii="Calibri" w:hAnsi="Calibri" w:cs="Calibri"/>
                <w:noProof/>
                <w:color w:val="000000"/>
                <w:sz w:val="22"/>
                <w:szCs w:val="22"/>
              </w:rPr>
              <w:t>2</w:t>
            </w:r>
          </w:p>
        </w:tc>
        <w:tc>
          <w:tcPr>
            <w:tcW w:w="957" w:type="dxa"/>
            <w:vAlign w:val="center"/>
          </w:tcPr>
          <w:p w14:paraId="4465A40E" w14:textId="77777777" w:rsidR="0038775E" w:rsidRDefault="00877B9C" w:rsidP="002041D4">
            <w:pPr>
              <w:wordWrap w:val="0"/>
              <w:rPr>
                <w:noProof/>
              </w:rPr>
            </w:pPr>
            <w:r w:rsidRPr="00DF5C23">
              <w:rPr>
                <w:rFonts w:ascii="Calibri" w:hAnsi="Calibri" w:cs="Calibri"/>
                <w:noProof/>
                <w:color w:val="000000"/>
                <w:sz w:val="22"/>
                <w:szCs w:val="22"/>
              </w:rPr>
              <w:t>2</w:t>
            </w:r>
          </w:p>
        </w:tc>
      </w:tr>
      <w:tr w:rsidR="00E86A2C" w:rsidRPr="00DF5C23" w14:paraId="2C3A59C3" w14:textId="77777777" w:rsidTr="00EC0E40">
        <w:tc>
          <w:tcPr>
            <w:tcW w:w="2519" w:type="dxa"/>
            <w:tcBorders>
              <w:top w:val="nil"/>
              <w:bottom w:val="nil"/>
            </w:tcBorders>
          </w:tcPr>
          <w:p w14:paraId="0A5395FD" w14:textId="77777777" w:rsidR="0038775E" w:rsidRDefault="00877B9C" w:rsidP="002041D4">
            <w:pPr>
              <w:wordWrap w:val="0"/>
              <w:jc w:val="right"/>
              <w:rPr>
                <w:noProof/>
              </w:rPr>
            </w:pPr>
            <w:r w:rsidRPr="00DF5C23">
              <w:rPr>
                <w:noProof/>
              </w:rPr>
              <w:t>DG GROW</w:t>
            </w:r>
          </w:p>
        </w:tc>
        <w:tc>
          <w:tcPr>
            <w:tcW w:w="992" w:type="dxa"/>
            <w:vAlign w:val="center"/>
          </w:tcPr>
          <w:p w14:paraId="43ADC9C6" w14:textId="77777777" w:rsidR="0038775E" w:rsidRDefault="00877B9C" w:rsidP="002041D4">
            <w:pPr>
              <w:wordWrap w:val="0"/>
              <w:rPr>
                <w:rFonts w:ascii="Calibri" w:hAnsi="Calibri" w:cs="Calibri"/>
                <w:noProof/>
                <w:color w:val="000000"/>
                <w:sz w:val="22"/>
              </w:rPr>
            </w:pPr>
            <w:r w:rsidRPr="00DF5C23">
              <w:rPr>
                <w:rFonts w:ascii="Calibri" w:hAnsi="Calibri" w:cs="Calibri"/>
                <w:noProof/>
                <w:color w:val="000000"/>
                <w:sz w:val="22"/>
              </w:rPr>
              <w:t>0</w:t>
            </w:r>
          </w:p>
        </w:tc>
        <w:tc>
          <w:tcPr>
            <w:tcW w:w="992" w:type="dxa"/>
            <w:vAlign w:val="center"/>
          </w:tcPr>
          <w:p w14:paraId="7D2299FA" w14:textId="77777777" w:rsidR="0038775E" w:rsidRDefault="00877B9C" w:rsidP="002041D4">
            <w:pPr>
              <w:wordWrap w:val="0"/>
              <w:rPr>
                <w:rFonts w:ascii="Calibri" w:hAnsi="Calibri" w:cs="Calibri"/>
                <w:noProof/>
                <w:color w:val="000000"/>
                <w:sz w:val="22"/>
              </w:rPr>
            </w:pPr>
            <w:r w:rsidRPr="00DF5C23">
              <w:rPr>
                <w:rFonts w:ascii="Calibri" w:hAnsi="Calibri" w:cs="Calibri"/>
                <w:noProof/>
                <w:color w:val="000000"/>
                <w:sz w:val="22"/>
              </w:rPr>
              <w:t>0,5</w:t>
            </w:r>
          </w:p>
        </w:tc>
        <w:tc>
          <w:tcPr>
            <w:tcW w:w="992" w:type="dxa"/>
            <w:vAlign w:val="center"/>
          </w:tcPr>
          <w:p w14:paraId="3379FEFC" w14:textId="77777777" w:rsidR="0038775E" w:rsidRDefault="00877B9C" w:rsidP="002041D4">
            <w:pPr>
              <w:wordWrap w:val="0"/>
              <w:rPr>
                <w:rFonts w:ascii="Calibri" w:hAnsi="Calibri" w:cs="Calibri"/>
                <w:noProof/>
                <w:color w:val="000000"/>
                <w:sz w:val="22"/>
              </w:rPr>
            </w:pPr>
            <w:r w:rsidRPr="00DF5C23">
              <w:rPr>
                <w:rFonts w:ascii="Calibri" w:hAnsi="Calibri" w:cs="Calibri"/>
                <w:noProof/>
                <w:color w:val="000000"/>
                <w:sz w:val="22"/>
              </w:rPr>
              <w:t>0,5</w:t>
            </w:r>
          </w:p>
        </w:tc>
        <w:tc>
          <w:tcPr>
            <w:tcW w:w="993" w:type="dxa"/>
            <w:vAlign w:val="center"/>
          </w:tcPr>
          <w:p w14:paraId="6A37EA6D" w14:textId="77777777" w:rsidR="0038775E" w:rsidRDefault="00877B9C" w:rsidP="002041D4">
            <w:pPr>
              <w:wordWrap w:val="0"/>
              <w:rPr>
                <w:rFonts w:ascii="Calibri" w:hAnsi="Calibri" w:cs="Calibri"/>
                <w:noProof/>
                <w:color w:val="000000"/>
                <w:sz w:val="22"/>
              </w:rPr>
            </w:pPr>
            <w:r w:rsidRPr="00DF5C23">
              <w:rPr>
                <w:rFonts w:ascii="Calibri" w:hAnsi="Calibri" w:cs="Calibri"/>
                <w:noProof/>
                <w:color w:val="000000"/>
                <w:sz w:val="22"/>
              </w:rPr>
              <w:t>0,5</w:t>
            </w:r>
          </w:p>
        </w:tc>
        <w:tc>
          <w:tcPr>
            <w:tcW w:w="992" w:type="dxa"/>
            <w:vAlign w:val="center"/>
          </w:tcPr>
          <w:p w14:paraId="7E29527A" w14:textId="77777777" w:rsidR="0038775E" w:rsidRDefault="00877B9C" w:rsidP="002041D4">
            <w:pPr>
              <w:wordWrap w:val="0"/>
              <w:rPr>
                <w:rFonts w:ascii="Calibri" w:hAnsi="Calibri" w:cs="Calibri"/>
                <w:noProof/>
                <w:color w:val="000000"/>
                <w:sz w:val="22"/>
              </w:rPr>
            </w:pPr>
            <w:r w:rsidRPr="00DF5C23">
              <w:rPr>
                <w:rFonts w:ascii="Calibri" w:hAnsi="Calibri" w:cs="Calibri"/>
                <w:noProof/>
                <w:color w:val="000000"/>
                <w:sz w:val="22"/>
              </w:rPr>
              <w:t>0,5</w:t>
            </w:r>
          </w:p>
        </w:tc>
        <w:tc>
          <w:tcPr>
            <w:tcW w:w="957" w:type="dxa"/>
            <w:vAlign w:val="center"/>
          </w:tcPr>
          <w:p w14:paraId="124E0E54" w14:textId="77777777" w:rsidR="0038775E" w:rsidRDefault="00877B9C" w:rsidP="002041D4">
            <w:pPr>
              <w:wordWrap w:val="0"/>
              <w:rPr>
                <w:rFonts w:ascii="Calibri" w:hAnsi="Calibri" w:cs="Calibri"/>
                <w:noProof/>
                <w:color w:val="000000"/>
                <w:sz w:val="22"/>
              </w:rPr>
            </w:pPr>
            <w:r w:rsidRPr="00DF5C23">
              <w:rPr>
                <w:rFonts w:ascii="Calibri" w:hAnsi="Calibri" w:cs="Calibri"/>
                <w:noProof/>
                <w:color w:val="000000"/>
                <w:sz w:val="22"/>
              </w:rPr>
              <w:t>0,5</w:t>
            </w:r>
          </w:p>
        </w:tc>
      </w:tr>
      <w:tr w:rsidR="00E86A2C" w:rsidRPr="00DF5C23" w14:paraId="2C3A59CB" w14:textId="77777777" w:rsidTr="00EC0E40">
        <w:tc>
          <w:tcPr>
            <w:tcW w:w="2519" w:type="dxa"/>
            <w:tcBorders>
              <w:top w:val="nil"/>
              <w:bottom w:val="nil"/>
            </w:tcBorders>
          </w:tcPr>
          <w:p w14:paraId="578877AB" w14:textId="77777777" w:rsidR="0038775E" w:rsidRDefault="00877B9C" w:rsidP="002041D4">
            <w:pPr>
              <w:wordWrap w:val="0"/>
              <w:jc w:val="right"/>
              <w:rPr>
                <w:noProof/>
              </w:rPr>
            </w:pPr>
            <w:r w:rsidRPr="00DF5C23">
              <w:rPr>
                <w:noProof/>
              </w:rPr>
              <w:t>DG ENV</w:t>
            </w:r>
          </w:p>
        </w:tc>
        <w:tc>
          <w:tcPr>
            <w:tcW w:w="992" w:type="dxa"/>
            <w:vAlign w:val="center"/>
          </w:tcPr>
          <w:p w14:paraId="2963BC14" w14:textId="77777777" w:rsidR="0038775E" w:rsidRDefault="00877B9C" w:rsidP="002041D4">
            <w:pPr>
              <w:wordWrap w:val="0"/>
              <w:rPr>
                <w:rFonts w:ascii="Calibri" w:hAnsi="Calibri" w:cs="Calibri"/>
                <w:noProof/>
                <w:color w:val="000000"/>
                <w:sz w:val="22"/>
              </w:rPr>
            </w:pPr>
            <w:r w:rsidRPr="00DF5C23">
              <w:rPr>
                <w:rFonts w:ascii="Calibri" w:hAnsi="Calibri" w:cs="Calibri"/>
                <w:noProof/>
                <w:color w:val="000000"/>
                <w:sz w:val="22"/>
              </w:rPr>
              <w:t>0,5</w:t>
            </w:r>
          </w:p>
        </w:tc>
        <w:tc>
          <w:tcPr>
            <w:tcW w:w="992" w:type="dxa"/>
            <w:vAlign w:val="center"/>
          </w:tcPr>
          <w:p w14:paraId="723326C0" w14:textId="77777777" w:rsidR="0038775E" w:rsidRDefault="00877B9C" w:rsidP="002041D4">
            <w:pPr>
              <w:wordWrap w:val="0"/>
              <w:rPr>
                <w:rFonts w:ascii="Calibri" w:hAnsi="Calibri" w:cs="Calibri"/>
                <w:noProof/>
                <w:color w:val="000000"/>
                <w:sz w:val="22"/>
              </w:rPr>
            </w:pPr>
            <w:r w:rsidRPr="00DF5C23">
              <w:rPr>
                <w:rFonts w:ascii="Calibri" w:hAnsi="Calibri" w:cs="Calibri"/>
                <w:noProof/>
                <w:color w:val="000000"/>
                <w:sz w:val="22"/>
              </w:rPr>
              <w:t>1</w:t>
            </w:r>
          </w:p>
        </w:tc>
        <w:tc>
          <w:tcPr>
            <w:tcW w:w="992" w:type="dxa"/>
            <w:vAlign w:val="center"/>
          </w:tcPr>
          <w:p w14:paraId="2F628BA3" w14:textId="77777777" w:rsidR="0038775E" w:rsidRDefault="00877B9C" w:rsidP="002041D4">
            <w:pPr>
              <w:wordWrap w:val="0"/>
              <w:rPr>
                <w:rFonts w:ascii="Calibri" w:hAnsi="Calibri" w:cs="Calibri"/>
                <w:noProof/>
                <w:color w:val="000000"/>
                <w:sz w:val="22"/>
              </w:rPr>
            </w:pPr>
            <w:r w:rsidRPr="00DF5C23">
              <w:rPr>
                <w:rFonts w:ascii="Calibri" w:hAnsi="Calibri" w:cs="Calibri"/>
                <w:noProof/>
                <w:color w:val="000000"/>
                <w:sz w:val="22"/>
              </w:rPr>
              <w:t>1</w:t>
            </w:r>
          </w:p>
        </w:tc>
        <w:tc>
          <w:tcPr>
            <w:tcW w:w="993" w:type="dxa"/>
            <w:vAlign w:val="center"/>
          </w:tcPr>
          <w:p w14:paraId="7293B7AA" w14:textId="77777777" w:rsidR="0038775E" w:rsidRDefault="00877B9C" w:rsidP="002041D4">
            <w:pPr>
              <w:wordWrap w:val="0"/>
              <w:rPr>
                <w:rFonts w:ascii="Calibri" w:hAnsi="Calibri" w:cs="Calibri"/>
                <w:noProof/>
                <w:color w:val="000000"/>
                <w:sz w:val="22"/>
              </w:rPr>
            </w:pPr>
            <w:r w:rsidRPr="00DF5C23">
              <w:rPr>
                <w:rFonts w:ascii="Calibri" w:hAnsi="Calibri" w:cs="Calibri"/>
                <w:noProof/>
                <w:color w:val="000000"/>
                <w:sz w:val="22"/>
              </w:rPr>
              <w:t>1</w:t>
            </w:r>
          </w:p>
        </w:tc>
        <w:tc>
          <w:tcPr>
            <w:tcW w:w="992" w:type="dxa"/>
            <w:vAlign w:val="center"/>
          </w:tcPr>
          <w:p w14:paraId="27F9F197" w14:textId="77777777" w:rsidR="0038775E" w:rsidRDefault="00877B9C" w:rsidP="002041D4">
            <w:pPr>
              <w:wordWrap w:val="0"/>
              <w:rPr>
                <w:rFonts w:ascii="Calibri" w:hAnsi="Calibri" w:cs="Calibri"/>
                <w:noProof/>
                <w:color w:val="000000"/>
                <w:sz w:val="22"/>
              </w:rPr>
            </w:pPr>
            <w:r w:rsidRPr="00DF5C23">
              <w:rPr>
                <w:rFonts w:ascii="Calibri" w:hAnsi="Calibri" w:cs="Calibri"/>
                <w:noProof/>
                <w:color w:val="000000"/>
                <w:sz w:val="22"/>
              </w:rPr>
              <w:t>1</w:t>
            </w:r>
          </w:p>
        </w:tc>
        <w:tc>
          <w:tcPr>
            <w:tcW w:w="957" w:type="dxa"/>
            <w:vAlign w:val="center"/>
          </w:tcPr>
          <w:p w14:paraId="3AB5F902" w14:textId="77777777" w:rsidR="0038775E" w:rsidRDefault="00877B9C" w:rsidP="002041D4">
            <w:pPr>
              <w:wordWrap w:val="0"/>
              <w:rPr>
                <w:rFonts w:ascii="Calibri" w:hAnsi="Calibri" w:cs="Calibri"/>
                <w:noProof/>
                <w:color w:val="000000"/>
                <w:sz w:val="22"/>
              </w:rPr>
            </w:pPr>
            <w:r w:rsidRPr="00DF5C23">
              <w:rPr>
                <w:rFonts w:ascii="Calibri" w:hAnsi="Calibri" w:cs="Calibri"/>
                <w:noProof/>
                <w:color w:val="000000"/>
                <w:sz w:val="22"/>
              </w:rPr>
              <w:t>1</w:t>
            </w:r>
          </w:p>
        </w:tc>
      </w:tr>
      <w:tr w:rsidR="00E86A2C" w:rsidRPr="00DF5C23" w14:paraId="2C3A59D3" w14:textId="77777777" w:rsidTr="00EC0E40">
        <w:tc>
          <w:tcPr>
            <w:tcW w:w="2519" w:type="dxa"/>
            <w:tcBorders>
              <w:top w:val="nil"/>
              <w:bottom w:val="single" w:sz="4" w:space="0" w:color="auto"/>
            </w:tcBorders>
          </w:tcPr>
          <w:p w14:paraId="721EA2AE" w14:textId="77777777" w:rsidR="0038775E" w:rsidRDefault="00877B9C" w:rsidP="002041D4">
            <w:pPr>
              <w:wordWrap w:val="0"/>
              <w:jc w:val="right"/>
              <w:rPr>
                <w:noProof/>
              </w:rPr>
            </w:pPr>
            <w:r w:rsidRPr="00DF5C23">
              <w:rPr>
                <w:noProof/>
              </w:rPr>
              <w:t>DG ENER</w:t>
            </w:r>
          </w:p>
        </w:tc>
        <w:tc>
          <w:tcPr>
            <w:tcW w:w="992" w:type="dxa"/>
            <w:vAlign w:val="center"/>
          </w:tcPr>
          <w:p w14:paraId="1C53EF10" w14:textId="77777777" w:rsidR="0038775E" w:rsidRDefault="00877B9C" w:rsidP="002041D4">
            <w:pPr>
              <w:wordWrap w:val="0"/>
              <w:rPr>
                <w:rFonts w:ascii="Calibri" w:hAnsi="Calibri" w:cs="Calibri"/>
                <w:noProof/>
                <w:color w:val="000000"/>
                <w:sz w:val="22"/>
              </w:rPr>
            </w:pPr>
            <w:r w:rsidRPr="00DF5C23">
              <w:rPr>
                <w:rFonts w:ascii="Calibri" w:hAnsi="Calibri" w:cs="Calibri"/>
                <w:noProof/>
                <w:color w:val="000000"/>
                <w:sz w:val="22"/>
              </w:rPr>
              <w:t>0</w:t>
            </w:r>
          </w:p>
        </w:tc>
        <w:tc>
          <w:tcPr>
            <w:tcW w:w="992" w:type="dxa"/>
            <w:vAlign w:val="center"/>
          </w:tcPr>
          <w:p w14:paraId="5B070A68" w14:textId="77777777" w:rsidR="0038775E" w:rsidRDefault="00877B9C" w:rsidP="002041D4">
            <w:pPr>
              <w:wordWrap w:val="0"/>
              <w:rPr>
                <w:rFonts w:ascii="Calibri" w:hAnsi="Calibri" w:cs="Calibri"/>
                <w:noProof/>
                <w:color w:val="000000"/>
                <w:sz w:val="22"/>
              </w:rPr>
            </w:pPr>
            <w:r w:rsidRPr="00DF5C23">
              <w:rPr>
                <w:rFonts w:ascii="Calibri" w:hAnsi="Calibri" w:cs="Calibri"/>
                <w:noProof/>
                <w:color w:val="000000"/>
                <w:sz w:val="22"/>
              </w:rPr>
              <w:t>0,5</w:t>
            </w:r>
          </w:p>
        </w:tc>
        <w:tc>
          <w:tcPr>
            <w:tcW w:w="992" w:type="dxa"/>
            <w:vAlign w:val="center"/>
          </w:tcPr>
          <w:p w14:paraId="38273091" w14:textId="77777777" w:rsidR="0038775E" w:rsidRDefault="00877B9C" w:rsidP="002041D4">
            <w:pPr>
              <w:wordWrap w:val="0"/>
              <w:rPr>
                <w:rFonts w:ascii="Calibri" w:hAnsi="Calibri" w:cs="Calibri"/>
                <w:noProof/>
                <w:color w:val="000000"/>
                <w:sz w:val="22"/>
              </w:rPr>
            </w:pPr>
            <w:r w:rsidRPr="00DF5C23">
              <w:rPr>
                <w:rFonts w:ascii="Calibri" w:hAnsi="Calibri" w:cs="Calibri"/>
                <w:noProof/>
                <w:color w:val="000000"/>
                <w:sz w:val="22"/>
              </w:rPr>
              <w:t>0,5</w:t>
            </w:r>
          </w:p>
        </w:tc>
        <w:tc>
          <w:tcPr>
            <w:tcW w:w="993" w:type="dxa"/>
            <w:vAlign w:val="center"/>
          </w:tcPr>
          <w:p w14:paraId="527EFD05" w14:textId="77777777" w:rsidR="0038775E" w:rsidRDefault="00877B9C" w:rsidP="002041D4">
            <w:pPr>
              <w:wordWrap w:val="0"/>
              <w:rPr>
                <w:rFonts w:ascii="Calibri" w:hAnsi="Calibri" w:cs="Calibri"/>
                <w:noProof/>
                <w:color w:val="000000"/>
                <w:sz w:val="22"/>
              </w:rPr>
            </w:pPr>
            <w:r w:rsidRPr="00DF5C23">
              <w:rPr>
                <w:rFonts w:ascii="Calibri" w:hAnsi="Calibri" w:cs="Calibri"/>
                <w:noProof/>
                <w:color w:val="000000"/>
                <w:sz w:val="22"/>
              </w:rPr>
              <w:t>0,5</w:t>
            </w:r>
          </w:p>
        </w:tc>
        <w:tc>
          <w:tcPr>
            <w:tcW w:w="992" w:type="dxa"/>
            <w:vAlign w:val="center"/>
          </w:tcPr>
          <w:p w14:paraId="6CBD9A8E" w14:textId="77777777" w:rsidR="0038775E" w:rsidRDefault="00877B9C" w:rsidP="002041D4">
            <w:pPr>
              <w:wordWrap w:val="0"/>
              <w:rPr>
                <w:rFonts w:ascii="Calibri" w:hAnsi="Calibri" w:cs="Calibri"/>
                <w:noProof/>
                <w:color w:val="000000"/>
                <w:sz w:val="22"/>
              </w:rPr>
            </w:pPr>
            <w:r w:rsidRPr="00DF5C23">
              <w:rPr>
                <w:rFonts w:ascii="Calibri" w:hAnsi="Calibri" w:cs="Calibri"/>
                <w:noProof/>
                <w:color w:val="000000"/>
                <w:sz w:val="22"/>
              </w:rPr>
              <w:t>0,5</w:t>
            </w:r>
          </w:p>
        </w:tc>
        <w:tc>
          <w:tcPr>
            <w:tcW w:w="957" w:type="dxa"/>
            <w:vAlign w:val="center"/>
          </w:tcPr>
          <w:p w14:paraId="40DF2F73" w14:textId="77777777" w:rsidR="0038775E" w:rsidRDefault="00877B9C" w:rsidP="002041D4">
            <w:pPr>
              <w:wordWrap w:val="0"/>
              <w:rPr>
                <w:rFonts w:ascii="Calibri" w:hAnsi="Calibri" w:cs="Calibri"/>
                <w:noProof/>
                <w:color w:val="000000"/>
                <w:sz w:val="22"/>
              </w:rPr>
            </w:pPr>
            <w:r w:rsidRPr="00DF5C23">
              <w:rPr>
                <w:rFonts w:ascii="Calibri" w:hAnsi="Calibri" w:cs="Calibri"/>
                <w:noProof/>
                <w:color w:val="000000"/>
                <w:sz w:val="22"/>
              </w:rPr>
              <w:t>0,5</w:t>
            </w:r>
          </w:p>
        </w:tc>
      </w:tr>
      <w:tr w:rsidR="005C61BF" w:rsidRPr="00DF5C23" w14:paraId="2C3A59DB" w14:textId="77777777" w:rsidTr="00EC0E40">
        <w:tc>
          <w:tcPr>
            <w:tcW w:w="2519" w:type="dxa"/>
            <w:tcBorders>
              <w:bottom w:val="nil"/>
            </w:tcBorders>
          </w:tcPr>
          <w:p w14:paraId="4D2C1DFA" w14:textId="77777777" w:rsidR="0038775E" w:rsidRDefault="00877B9C" w:rsidP="002041D4">
            <w:pPr>
              <w:wordWrap w:val="0"/>
              <w:rPr>
                <w:noProof/>
              </w:rPr>
            </w:pPr>
            <w:r w:rsidRPr="00DF5C23">
              <w:rPr>
                <w:noProof/>
              </w:rPr>
              <w:t>市場サーベイランスの支援（</w:t>
            </w:r>
            <w:r w:rsidR="009E22E2" w:rsidRPr="00DF5C23">
              <w:rPr>
                <w:noProof/>
              </w:rPr>
              <w:t>含む）。</w:t>
            </w:r>
          </w:p>
        </w:tc>
        <w:tc>
          <w:tcPr>
            <w:tcW w:w="992" w:type="dxa"/>
            <w:vAlign w:val="center"/>
          </w:tcPr>
          <w:p w14:paraId="3086D970" w14:textId="77777777" w:rsidR="0038775E" w:rsidRDefault="00877B9C" w:rsidP="002041D4">
            <w:pPr>
              <w:wordWrap w:val="0"/>
              <w:rPr>
                <w:rFonts w:ascii="Calibri" w:hAnsi="Calibri" w:cs="Calibri"/>
                <w:noProof/>
                <w:color w:val="000000"/>
                <w:sz w:val="22"/>
              </w:rPr>
            </w:pPr>
            <w:r w:rsidRPr="00DF5C23">
              <w:rPr>
                <w:rFonts w:ascii="Calibri" w:hAnsi="Calibri" w:cs="Calibri"/>
                <w:noProof/>
                <w:color w:val="000000"/>
                <w:sz w:val="22"/>
                <w:szCs w:val="22"/>
              </w:rPr>
              <w:t>0,5</w:t>
            </w:r>
          </w:p>
        </w:tc>
        <w:tc>
          <w:tcPr>
            <w:tcW w:w="992" w:type="dxa"/>
            <w:vAlign w:val="center"/>
          </w:tcPr>
          <w:p w14:paraId="40505A74" w14:textId="77777777" w:rsidR="0038775E" w:rsidRDefault="00877B9C" w:rsidP="002041D4">
            <w:pPr>
              <w:wordWrap w:val="0"/>
              <w:rPr>
                <w:rFonts w:ascii="Calibri" w:hAnsi="Calibri" w:cs="Calibri"/>
                <w:noProof/>
                <w:color w:val="000000"/>
                <w:sz w:val="22"/>
              </w:rPr>
            </w:pPr>
            <w:r w:rsidRPr="00DF5C23">
              <w:rPr>
                <w:rFonts w:ascii="Calibri" w:hAnsi="Calibri" w:cs="Calibri"/>
                <w:noProof/>
                <w:color w:val="000000"/>
                <w:sz w:val="22"/>
                <w:szCs w:val="22"/>
              </w:rPr>
              <w:t>0,5</w:t>
            </w:r>
          </w:p>
        </w:tc>
        <w:tc>
          <w:tcPr>
            <w:tcW w:w="992" w:type="dxa"/>
            <w:vAlign w:val="center"/>
          </w:tcPr>
          <w:p w14:paraId="65AAF9E4" w14:textId="77777777" w:rsidR="0038775E" w:rsidRDefault="00877B9C" w:rsidP="002041D4">
            <w:pPr>
              <w:wordWrap w:val="0"/>
              <w:rPr>
                <w:noProof/>
              </w:rPr>
            </w:pPr>
            <w:r w:rsidRPr="00DF5C23">
              <w:rPr>
                <w:rFonts w:ascii="Calibri" w:hAnsi="Calibri" w:cs="Calibri"/>
                <w:noProof/>
                <w:color w:val="000000"/>
                <w:sz w:val="22"/>
                <w:szCs w:val="22"/>
              </w:rPr>
              <w:t>2</w:t>
            </w:r>
          </w:p>
        </w:tc>
        <w:tc>
          <w:tcPr>
            <w:tcW w:w="993" w:type="dxa"/>
            <w:vAlign w:val="center"/>
          </w:tcPr>
          <w:p w14:paraId="6B41934A" w14:textId="77777777" w:rsidR="0038775E" w:rsidRDefault="00877B9C" w:rsidP="002041D4">
            <w:pPr>
              <w:wordWrap w:val="0"/>
              <w:rPr>
                <w:noProof/>
              </w:rPr>
            </w:pPr>
            <w:r w:rsidRPr="00DF5C23">
              <w:rPr>
                <w:rFonts w:ascii="Calibri" w:hAnsi="Calibri" w:cs="Calibri"/>
                <w:noProof/>
                <w:color w:val="000000"/>
                <w:sz w:val="22"/>
                <w:szCs w:val="22"/>
              </w:rPr>
              <w:t>2</w:t>
            </w:r>
          </w:p>
        </w:tc>
        <w:tc>
          <w:tcPr>
            <w:tcW w:w="992" w:type="dxa"/>
            <w:vAlign w:val="center"/>
          </w:tcPr>
          <w:p w14:paraId="4DBC7A90" w14:textId="77777777" w:rsidR="0038775E" w:rsidRDefault="00877B9C" w:rsidP="002041D4">
            <w:pPr>
              <w:wordWrap w:val="0"/>
              <w:rPr>
                <w:noProof/>
              </w:rPr>
            </w:pPr>
            <w:r w:rsidRPr="00DF5C23">
              <w:rPr>
                <w:rFonts w:ascii="Calibri" w:hAnsi="Calibri" w:cs="Calibri"/>
                <w:noProof/>
                <w:color w:val="000000"/>
                <w:sz w:val="22"/>
                <w:szCs w:val="22"/>
              </w:rPr>
              <w:t>2</w:t>
            </w:r>
          </w:p>
        </w:tc>
        <w:tc>
          <w:tcPr>
            <w:tcW w:w="957" w:type="dxa"/>
            <w:vAlign w:val="center"/>
          </w:tcPr>
          <w:p w14:paraId="52B6C9BE" w14:textId="77777777" w:rsidR="0038775E" w:rsidRDefault="00877B9C" w:rsidP="002041D4">
            <w:pPr>
              <w:wordWrap w:val="0"/>
              <w:rPr>
                <w:noProof/>
              </w:rPr>
            </w:pPr>
            <w:r w:rsidRPr="00DF5C23">
              <w:rPr>
                <w:rFonts w:ascii="Calibri" w:hAnsi="Calibri" w:cs="Calibri"/>
                <w:noProof/>
                <w:color w:val="000000"/>
                <w:sz w:val="22"/>
                <w:szCs w:val="22"/>
              </w:rPr>
              <w:t>2</w:t>
            </w:r>
          </w:p>
        </w:tc>
      </w:tr>
      <w:tr w:rsidR="00E86A2C" w:rsidRPr="00DF5C23" w14:paraId="2C3A59E3" w14:textId="77777777" w:rsidTr="00EC0E40">
        <w:tc>
          <w:tcPr>
            <w:tcW w:w="2519" w:type="dxa"/>
            <w:tcBorders>
              <w:top w:val="nil"/>
              <w:bottom w:val="nil"/>
            </w:tcBorders>
          </w:tcPr>
          <w:p w14:paraId="49665949" w14:textId="77777777" w:rsidR="0038775E" w:rsidRDefault="00877B9C" w:rsidP="002041D4">
            <w:pPr>
              <w:wordWrap w:val="0"/>
              <w:jc w:val="right"/>
              <w:rPr>
                <w:noProof/>
              </w:rPr>
            </w:pPr>
            <w:r w:rsidRPr="00DF5C23">
              <w:rPr>
                <w:noProof/>
              </w:rPr>
              <w:t>DG GROW</w:t>
            </w:r>
          </w:p>
        </w:tc>
        <w:tc>
          <w:tcPr>
            <w:tcW w:w="992" w:type="dxa"/>
            <w:vAlign w:val="center"/>
          </w:tcPr>
          <w:p w14:paraId="767C287F" w14:textId="77777777" w:rsidR="0038775E" w:rsidRDefault="00877B9C" w:rsidP="002041D4">
            <w:pPr>
              <w:wordWrap w:val="0"/>
              <w:rPr>
                <w:rFonts w:ascii="Calibri" w:hAnsi="Calibri" w:cs="Calibri"/>
                <w:noProof/>
                <w:color w:val="000000"/>
                <w:sz w:val="22"/>
              </w:rPr>
            </w:pPr>
            <w:r w:rsidRPr="00DF5C23">
              <w:rPr>
                <w:rFonts w:ascii="Calibri" w:hAnsi="Calibri" w:cs="Calibri"/>
                <w:noProof/>
                <w:color w:val="000000"/>
                <w:sz w:val="22"/>
              </w:rPr>
              <w:t>0</w:t>
            </w:r>
          </w:p>
        </w:tc>
        <w:tc>
          <w:tcPr>
            <w:tcW w:w="992" w:type="dxa"/>
            <w:vAlign w:val="center"/>
          </w:tcPr>
          <w:p w14:paraId="142A8E52" w14:textId="77777777" w:rsidR="0038775E" w:rsidRDefault="00877B9C" w:rsidP="002041D4">
            <w:pPr>
              <w:wordWrap w:val="0"/>
              <w:rPr>
                <w:rFonts w:ascii="Calibri" w:hAnsi="Calibri" w:cs="Calibri"/>
                <w:noProof/>
                <w:color w:val="000000"/>
                <w:sz w:val="22"/>
              </w:rPr>
            </w:pPr>
            <w:r w:rsidRPr="00DF5C23">
              <w:rPr>
                <w:rFonts w:ascii="Calibri" w:hAnsi="Calibri" w:cs="Calibri"/>
                <w:noProof/>
                <w:color w:val="000000"/>
                <w:sz w:val="22"/>
              </w:rPr>
              <w:t>0</w:t>
            </w:r>
          </w:p>
        </w:tc>
        <w:tc>
          <w:tcPr>
            <w:tcW w:w="992" w:type="dxa"/>
            <w:vAlign w:val="center"/>
          </w:tcPr>
          <w:p w14:paraId="3FA28EC5" w14:textId="77777777" w:rsidR="0038775E" w:rsidRDefault="00877B9C" w:rsidP="002041D4">
            <w:pPr>
              <w:wordWrap w:val="0"/>
              <w:rPr>
                <w:rFonts w:ascii="Calibri" w:hAnsi="Calibri" w:cs="Calibri"/>
                <w:noProof/>
                <w:color w:val="000000"/>
                <w:sz w:val="22"/>
              </w:rPr>
            </w:pPr>
            <w:r w:rsidRPr="00DF5C23">
              <w:rPr>
                <w:rFonts w:ascii="Calibri" w:hAnsi="Calibri" w:cs="Calibri"/>
                <w:noProof/>
                <w:color w:val="000000"/>
                <w:sz w:val="22"/>
              </w:rPr>
              <w:t>0,5</w:t>
            </w:r>
          </w:p>
        </w:tc>
        <w:tc>
          <w:tcPr>
            <w:tcW w:w="993" w:type="dxa"/>
            <w:vAlign w:val="center"/>
          </w:tcPr>
          <w:p w14:paraId="5A4BF122" w14:textId="77777777" w:rsidR="0038775E" w:rsidRDefault="00877B9C" w:rsidP="002041D4">
            <w:pPr>
              <w:wordWrap w:val="0"/>
              <w:rPr>
                <w:rFonts w:ascii="Calibri" w:hAnsi="Calibri" w:cs="Calibri"/>
                <w:noProof/>
                <w:color w:val="000000"/>
                <w:sz w:val="22"/>
              </w:rPr>
            </w:pPr>
            <w:r w:rsidRPr="00DF5C23">
              <w:rPr>
                <w:rFonts w:ascii="Calibri" w:hAnsi="Calibri" w:cs="Calibri"/>
                <w:noProof/>
                <w:color w:val="000000"/>
                <w:sz w:val="22"/>
              </w:rPr>
              <w:t>0,5</w:t>
            </w:r>
          </w:p>
        </w:tc>
        <w:tc>
          <w:tcPr>
            <w:tcW w:w="992" w:type="dxa"/>
            <w:vAlign w:val="center"/>
          </w:tcPr>
          <w:p w14:paraId="2E6E8FD3" w14:textId="77777777" w:rsidR="0038775E" w:rsidRDefault="00877B9C" w:rsidP="002041D4">
            <w:pPr>
              <w:wordWrap w:val="0"/>
              <w:rPr>
                <w:rFonts w:ascii="Calibri" w:hAnsi="Calibri" w:cs="Calibri"/>
                <w:noProof/>
                <w:color w:val="000000"/>
                <w:sz w:val="22"/>
              </w:rPr>
            </w:pPr>
            <w:r w:rsidRPr="00DF5C23">
              <w:rPr>
                <w:rFonts w:ascii="Calibri" w:hAnsi="Calibri" w:cs="Calibri"/>
                <w:noProof/>
                <w:color w:val="000000"/>
                <w:sz w:val="22"/>
              </w:rPr>
              <w:t>0,5</w:t>
            </w:r>
          </w:p>
        </w:tc>
        <w:tc>
          <w:tcPr>
            <w:tcW w:w="957" w:type="dxa"/>
            <w:vAlign w:val="center"/>
          </w:tcPr>
          <w:p w14:paraId="62906FC3" w14:textId="77777777" w:rsidR="0038775E" w:rsidRDefault="00877B9C" w:rsidP="002041D4">
            <w:pPr>
              <w:wordWrap w:val="0"/>
              <w:rPr>
                <w:rFonts w:ascii="Calibri" w:hAnsi="Calibri" w:cs="Calibri"/>
                <w:noProof/>
                <w:color w:val="000000"/>
                <w:sz w:val="22"/>
              </w:rPr>
            </w:pPr>
            <w:r w:rsidRPr="00DF5C23">
              <w:rPr>
                <w:rFonts w:ascii="Calibri" w:hAnsi="Calibri" w:cs="Calibri"/>
                <w:noProof/>
                <w:color w:val="000000"/>
                <w:sz w:val="22"/>
              </w:rPr>
              <w:t>0,5</w:t>
            </w:r>
          </w:p>
        </w:tc>
      </w:tr>
      <w:tr w:rsidR="00E86A2C" w:rsidRPr="00DF5C23" w14:paraId="2C3A59EB" w14:textId="77777777" w:rsidTr="00EC0E40">
        <w:tc>
          <w:tcPr>
            <w:tcW w:w="2519" w:type="dxa"/>
            <w:tcBorders>
              <w:top w:val="nil"/>
              <w:bottom w:val="nil"/>
            </w:tcBorders>
          </w:tcPr>
          <w:p w14:paraId="5A1C6B13" w14:textId="77777777" w:rsidR="0038775E" w:rsidRDefault="00877B9C" w:rsidP="002041D4">
            <w:pPr>
              <w:wordWrap w:val="0"/>
              <w:jc w:val="right"/>
              <w:rPr>
                <w:noProof/>
              </w:rPr>
            </w:pPr>
            <w:r w:rsidRPr="00DF5C23">
              <w:rPr>
                <w:noProof/>
              </w:rPr>
              <w:t>DG ENV</w:t>
            </w:r>
          </w:p>
        </w:tc>
        <w:tc>
          <w:tcPr>
            <w:tcW w:w="992" w:type="dxa"/>
            <w:vAlign w:val="center"/>
          </w:tcPr>
          <w:p w14:paraId="0F448C93" w14:textId="77777777" w:rsidR="0038775E" w:rsidRDefault="00877B9C" w:rsidP="002041D4">
            <w:pPr>
              <w:wordWrap w:val="0"/>
              <w:rPr>
                <w:rFonts w:ascii="Calibri" w:hAnsi="Calibri" w:cs="Calibri"/>
                <w:noProof/>
                <w:color w:val="000000"/>
                <w:sz w:val="22"/>
              </w:rPr>
            </w:pPr>
            <w:r w:rsidRPr="00DF5C23">
              <w:rPr>
                <w:rFonts w:ascii="Calibri" w:hAnsi="Calibri" w:cs="Calibri"/>
                <w:noProof/>
                <w:color w:val="000000"/>
                <w:sz w:val="22"/>
              </w:rPr>
              <w:t>0</w:t>
            </w:r>
          </w:p>
        </w:tc>
        <w:tc>
          <w:tcPr>
            <w:tcW w:w="992" w:type="dxa"/>
            <w:vAlign w:val="center"/>
          </w:tcPr>
          <w:p w14:paraId="53D1A09E" w14:textId="77777777" w:rsidR="0038775E" w:rsidRDefault="00877B9C" w:rsidP="002041D4">
            <w:pPr>
              <w:wordWrap w:val="0"/>
              <w:rPr>
                <w:rFonts w:ascii="Calibri" w:hAnsi="Calibri" w:cs="Calibri"/>
                <w:noProof/>
                <w:color w:val="000000"/>
                <w:sz w:val="22"/>
              </w:rPr>
            </w:pPr>
            <w:r w:rsidRPr="00DF5C23">
              <w:rPr>
                <w:rFonts w:ascii="Calibri" w:hAnsi="Calibri" w:cs="Calibri"/>
                <w:noProof/>
                <w:color w:val="000000"/>
                <w:sz w:val="22"/>
              </w:rPr>
              <w:t>0</w:t>
            </w:r>
          </w:p>
        </w:tc>
        <w:tc>
          <w:tcPr>
            <w:tcW w:w="992" w:type="dxa"/>
            <w:vAlign w:val="center"/>
          </w:tcPr>
          <w:p w14:paraId="2C0BB699" w14:textId="77777777" w:rsidR="0038775E" w:rsidRDefault="00877B9C" w:rsidP="002041D4">
            <w:pPr>
              <w:wordWrap w:val="0"/>
              <w:rPr>
                <w:rFonts w:ascii="Calibri" w:hAnsi="Calibri" w:cs="Calibri"/>
                <w:noProof/>
                <w:color w:val="000000"/>
                <w:sz w:val="22"/>
              </w:rPr>
            </w:pPr>
            <w:r w:rsidRPr="00DF5C23">
              <w:rPr>
                <w:rFonts w:ascii="Calibri" w:hAnsi="Calibri" w:cs="Calibri"/>
                <w:noProof/>
                <w:color w:val="000000"/>
                <w:sz w:val="22"/>
              </w:rPr>
              <w:t>0,5</w:t>
            </w:r>
          </w:p>
        </w:tc>
        <w:tc>
          <w:tcPr>
            <w:tcW w:w="993" w:type="dxa"/>
            <w:vAlign w:val="center"/>
          </w:tcPr>
          <w:p w14:paraId="5868E652" w14:textId="77777777" w:rsidR="0038775E" w:rsidRDefault="00877B9C" w:rsidP="002041D4">
            <w:pPr>
              <w:wordWrap w:val="0"/>
              <w:rPr>
                <w:rFonts w:ascii="Calibri" w:hAnsi="Calibri" w:cs="Calibri"/>
                <w:noProof/>
                <w:color w:val="000000"/>
                <w:sz w:val="22"/>
              </w:rPr>
            </w:pPr>
            <w:r w:rsidRPr="00DF5C23">
              <w:rPr>
                <w:rFonts w:ascii="Calibri" w:hAnsi="Calibri" w:cs="Calibri"/>
                <w:noProof/>
                <w:color w:val="000000"/>
                <w:sz w:val="22"/>
              </w:rPr>
              <w:t>0,5</w:t>
            </w:r>
          </w:p>
        </w:tc>
        <w:tc>
          <w:tcPr>
            <w:tcW w:w="992" w:type="dxa"/>
            <w:vAlign w:val="center"/>
          </w:tcPr>
          <w:p w14:paraId="4B58B05B" w14:textId="77777777" w:rsidR="0038775E" w:rsidRDefault="00877B9C" w:rsidP="002041D4">
            <w:pPr>
              <w:wordWrap w:val="0"/>
              <w:rPr>
                <w:rFonts w:ascii="Calibri" w:hAnsi="Calibri" w:cs="Calibri"/>
                <w:noProof/>
                <w:color w:val="000000"/>
                <w:sz w:val="22"/>
              </w:rPr>
            </w:pPr>
            <w:r w:rsidRPr="00DF5C23">
              <w:rPr>
                <w:rFonts w:ascii="Calibri" w:hAnsi="Calibri" w:cs="Calibri"/>
                <w:noProof/>
                <w:color w:val="000000"/>
                <w:sz w:val="22"/>
              </w:rPr>
              <w:t>0,5</w:t>
            </w:r>
          </w:p>
        </w:tc>
        <w:tc>
          <w:tcPr>
            <w:tcW w:w="957" w:type="dxa"/>
            <w:vAlign w:val="center"/>
          </w:tcPr>
          <w:p w14:paraId="2472615C" w14:textId="77777777" w:rsidR="0038775E" w:rsidRDefault="00877B9C" w:rsidP="002041D4">
            <w:pPr>
              <w:wordWrap w:val="0"/>
              <w:rPr>
                <w:rFonts w:ascii="Calibri" w:hAnsi="Calibri" w:cs="Calibri"/>
                <w:noProof/>
                <w:color w:val="000000"/>
                <w:sz w:val="22"/>
              </w:rPr>
            </w:pPr>
            <w:r w:rsidRPr="00DF5C23">
              <w:rPr>
                <w:rFonts w:ascii="Calibri" w:hAnsi="Calibri" w:cs="Calibri"/>
                <w:noProof/>
                <w:color w:val="000000"/>
                <w:sz w:val="22"/>
              </w:rPr>
              <w:t>0,5</w:t>
            </w:r>
          </w:p>
        </w:tc>
      </w:tr>
      <w:tr w:rsidR="00E86A2C" w:rsidRPr="00DF5C23" w14:paraId="2C3A59F3" w14:textId="77777777" w:rsidTr="00EC0E40">
        <w:tc>
          <w:tcPr>
            <w:tcW w:w="2519" w:type="dxa"/>
            <w:tcBorders>
              <w:top w:val="nil"/>
            </w:tcBorders>
          </w:tcPr>
          <w:p w14:paraId="530DD924" w14:textId="77777777" w:rsidR="0038775E" w:rsidRDefault="00877B9C" w:rsidP="002041D4">
            <w:pPr>
              <w:wordWrap w:val="0"/>
              <w:jc w:val="right"/>
              <w:rPr>
                <w:noProof/>
              </w:rPr>
            </w:pPr>
            <w:r w:rsidRPr="00DF5C23">
              <w:rPr>
                <w:noProof/>
              </w:rPr>
              <w:t>DG ENER</w:t>
            </w:r>
          </w:p>
        </w:tc>
        <w:tc>
          <w:tcPr>
            <w:tcW w:w="992" w:type="dxa"/>
            <w:vAlign w:val="center"/>
          </w:tcPr>
          <w:p w14:paraId="5550284C" w14:textId="77777777" w:rsidR="0038775E" w:rsidRDefault="00877B9C" w:rsidP="002041D4">
            <w:pPr>
              <w:wordWrap w:val="0"/>
              <w:rPr>
                <w:rFonts w:ascii="Calibri" w:hAnsi="Calibri" w:cs="Calibri"/>
                <w:noProof/>
                <w:color w:val="000000"/>
                <w:sz w:val="22"/>
              </w:rPr>
            </w:pPr>
            <w:r w:rsidRPr="00DF5C23">
              <w:rPr>
                <w:rFonts w:ascii="Calibri" w:hAnsi="Calibri" w:cs="Calibri"/>
                <w:noProof/>
                <w:color w:val="000000"/>
                <w:sz w:val="22"/>
              </w:rPr>
              <w:t>0,5</w:t>
            </w:r>
          </w:p>
        </w:tc>
        <w:tc>
          <w:tcPr>
            <w:tcW w:w="992" w:type="dxa"/>
            <w:vAlign w:val="center"/>
          </w:tcPr>
          <w:p w14:paraId="7F26CCDD" w14:textId="77777777" w:rsidR="0038775E" w:rsidRDefault="00877B9C" w:rsidP="002041D4">
            <w:pPr>
              <w:wordWrap w:val="0"/>
              <w:rPr>
                <w:rFonts w:ascii="Calibri" w:hAnsi="Calibri" w:cs="Calibri"/>
                <w:noProof/>
                <w:color w:val="000000"/>
                <w:sz w:val="22"/>
              </w:rPr>
            </w:pPr>
            <w:r w:rsidRPr="00DF5C23">
              <w:rPr>
                <w:rFonts w:ascii="Calibri" w:hAnsi="Calibri" w:cs="Calibri"/>
                <w:noProof/>
                <w:color w:val="000000"/>
                <w:sz w:val="22"/>
              </w:rPr>
              <w:t>0,5</w:t>
            </w:r>
          </w:p>
        </w:tc>
        <w:tc>
          <w:tcPr>
            <w:tcW w:w="992" w:type="dxa"/>
            <w:vAlign w:val="center"/>
          </w:tcPr>
          <w:p w14:paraId="0E8E31A6" w14:textId="77777777" w:rsidR="0038775E" w:rsidRDefault="00877B9C" w:rsidP="002041D4">
            <w:pPr>
              <w:wordWrap w:val="0"/>
              <w:rPr>
                <w:rFonts w:ascii="Calibri" w:hAnsi="Calibri" w:cs="Calibri"/>
                <w:noProof/>
                <w:color w:val="000000"/>
                <w:sz w:val="22"/>
              </w:rPr>
            </w:pPr>
            <w:r w:rsidRPr="00DF5C23">
              <w:rPr>
                <w:rFonts w:ascii="Calibri" w:hAnsi="Calibri" w:cs="Calibri"/>
                <w:noProof/>
                <w:color w:val="000000"/>
                <w:sz w:val="22"/>
              </w:rPr>
              <w:t>1</w:t>
            </w:r>
          </w:p>
        </w:tc>
        <w:tc>
          <w:tcPr>
            <w:tcW w:w="993" w:type="dxa"/>
            <w:vAlign w:val="center"/>
          </w:tcPr>
          <w:p w14:paraId="00136E6C" w14:textId="77777777" w:rsidR="0038775E" w:rsidRDefault="00877B9C" w:rsidP="002041D4">
            <w:pPr>
              <w:wordWrap w:val="0"/>
              <w:rPr>
                <w:rFonts w:ascii="Calibri" w:hAnsi="Calibri" w:cs="Calibri"/>
                <w:noProof/>
                <w:color w:val="000000"/>
                <w:sz w:val="22"/>
              </w:rPr>
            </w:pPr>
            <w:r w:rsidRPr="00DF5C23">
              <w:rPr>
                <w:rFonts w:ascii="Calibri" w:hAnsi="Calibri" w:cs="Calibri"/>
                <w:noProof/>
                <w:color w:val="000000"/>
                <w:sz w:val="22"/>
              </w:rPr>
              <w:t>1</w:t>
            </w:r>
          </w:p>
        </w:tc>
        <w:tc>
          <w:tcPr>
            <w:tcW w:w="992" w:type="dxa"/>
            <w:vAlign w:val="center"/>
          </w:tcPr>
          <w:p w14:paraId="047FD2CB" w14:textId="77777777" w:rsidR="0038775E" w:rsidRDefault="00877B9C" w:rsidP="002041D4">
            <w:pPr>
              <w:wordWrap w:val="0"/>
              <w:rPr>
                <w:rFonts w:ascii="Calibri" w:hAnsi="Calibri" w:cs="Calibri"/>
                <w:noProof/>
                <w:color w:val="000000"/>
                <w:sz w:val="22"/>
              </w:rPr>
            </w:pPr>
            <w:r w:rsidRPr="00DF5C23">
              <w:rPr>
                <w:rFonts w:ascii="Calibri" w:hAnsi="Calibri" w:cs="Calibri"/>
                <w:noProof/>
                <w:color w:val="000000"/>
                <w:sz w:val="22"/>
              </w:rPr>
              <w:t>1</w:t>
            </w:r>
          </w:p>
        </w:tc>
        <w:tc>
          <w:tcPr>
            <w:tcW w:w="957" w:type="dxa"/>
            <w:vAlign w:val="center"/>
          </w:tcPr>
          <w:p w14:paraId="36C67A02" w14:textId="77777777" w:rsidR="0038775E" w:rsidRDefault="00877B9C" w:rsidP="002041D4">
            <w:pPr>
              <w:wordWrap w:val="0"/>
              <w:rPr>
                <w:rFonts w:ascii="Calibri" w:hAnsi="Calibri" w:cs="Calibri"/>
                <w:noProof/>
                <w:color w:val="000000"/>
                <w:sz w:val="22"/>
              </w:rPr>
            </w:pPr>
            <w:r w:rsidRPr="00DF5C23">
              <w:rPr>
                <w:rFonts w:ascii="Calibri" w:hAnsi="Calibri" w:cs="Calibri"/>
                <w:noProof/>
                <w:color w:val="000000"/>
                <w:sz w:val="22"/>
              </w:rPr>
              <w:t>1</w:t>
            </w:r>
          </w:p>
        </w:tc>
      </w:tr>
      <w:tr w:rsidR="005C61BF" w:rsidRPr="00DF5C23" w14:paraId="2C3A59FB" w14:textId="77777777" w:rsidTr="00EC0E40">
        <w:tc>
          <w:tcPr>
            <w:tcW w:w="2519" w:type="dxa"/>
          </w:tcPr>
          <w:p w14:paraId="77437210" w14:textId="77777777" w:rsidR="0038775E" w:rsidRDefault="00877B9C" w:rsidP="002041D4">
            <w:pPr>
              <w:wordWrap w:val="0"/>
              <w:rPr>
                <w:noProof/>
              </w:rPr>
            </w:pPr>
            <w:r w:rsidRPr="00DF5C23">
              <w:rPr>
                <w:noProof/>
              </w:rPr>
              <w:t>税関管理への支援</w:t>
            </w:r>
            <w:r w:rsidR="00E86A2C" w:rsidRPr="00DF5C23">
              <w:rPr>
                <w:noProof/>
              </w:rPr>
              <w:t>（DG TAXUD）</w:t>
            </w:r>
          </w:p>
        </w:tc>
        <w:tc>
          <w:tcPr>
            <w:tcW w:w="992" w:type="dxa"/>
            <w:vAlign w:val="center"/>
          </w:tcPr>
          <w:p w14:paraId="717BC78C" w14:textId="77777777" w:rsidR="0038775E" w:rsidRDefault="00877B9C" w:rsidP="002041D4">
            <w:pPr>
              <w:wordWrap w:val="0"/>
              <w:rPr>
                <w:noProof/>
              </w:rPr>
            </w:pPr>
            <w:r w:rsidRPr="00DF5C23">
              <w:rPr>
                <w:rFonts w:ascii="Calibri" w:hAnsi="Calibri" w:cs="Calibri"/>
                <w:noProof/>
                <w:color w:val="000000"/>
                <w:sz w:val="22"/>
                <w:szCs w:val="22"/>
              </w:rPr>
              <w:t>0</w:t>
            </w:r>
          </w:p>
        </w:tc>
        <w:tc>
          <w:tcPr>
            <w:tcW w:w="992" w:type="dxa"/>
            <w:vAlign w:val="center"/>
          </w:tcPr>
          <w:p w14:paraId="34A329E4" w14:textId="77777777" w:rsidR="0038775E" w:rsidRDefault="00877B9C" w:rsidP="002041D4">
            <w:pPr>
              <w:wordWrap w:val="0"/>
              <w:rPr>
                <w:noProof/>
              </w:rPr>
            </w:pPr>
            <w:r w:rsidRPr="00DF5C23">
              <w:rPr>
                <w:rFonts w:ascii="Calibri" w:hAnsi="Calibri" w:cs="Calibri"/>
                <w:noProof/>
                <w:color w:val="000000"/>
                <w:sz w:val="22"/>
                <w:szCs w:val="22"/>
              </w:rPr>
              <w:t>1,5</w:t>
            </w:r>
          </w:p>
        </w:tc>
        <w:tc>
          <w:tcPr>
            <w:tcW w:w="992" w:type="dxa"/>
            <w:vAlign w:val="center"/>
          </w:tcPr>
          <w:p w14:paraId="728AD62F" w14:textId="77777777" w:rsidR="0038775E" w:rsidRDefault="00877B9C" w:rsidP="002041D4">
            <w:pPr>
              <w:wordWrap w:val="0"/>
              <w:rPr>
                <w:noProof/>
              </w:rPr>
            </w:pPr>
            <w:r w:rsidRPr="00DF5C23">
              <w:rPr>
                <w:rFonts w:ascii="Calibri" w:hAnsi="Calibri" w:cs="Calibri"/>
                <w:noProof/>
                <w:color w:val="000000"/>
                <w:sz w:val="22"/>
                <w:szCs w:val="22"/>
              </w:rPr>
              <w:t>2</w:t>
            </w:r>
          </w:p>
        </w:tc>
        <w:tc>
          <w:tcPr>
            <w:tcW w:w="993" w:type="dxa"/>
            <w:vAlign w:val="center"/>
          </w:tcPr>
          <w:p w14:paraId="5347B86B" w14:textId="77777777" w:rsidR="0038775E" w:rsidRDefault="00877B9C" w:rsidP="002041D4">
            <w:pPr>
              <w:wordWrap w:val="0"/>
              <w:rPr>
                <w:noProof/>
              </w:rPr>
            </w:pPr>
            <w:r w:rsidRPr="00DF5C23">
              <w:rPr>
                <w:rFonts w:ascii="Calibri" w:hAnsi="Calibri" w:cs="Calibri"/>
                <w:noProof/>
                <w:color w:val="000000"/>
                <w:sz w:val="22"/>
                <w:szCs w:val="22"/>
              </w:rPr>
              <w:t>2</w:t>
            </w:r>
          </w:p>
        </w:tc>
        <w:tc>
          <w:tcPr>
            <w:tcW w:w="992" w:type="dxa"/>
            <w:vAlign w:val="center"/>
          </w:tcPr>
          <w:p w14:paraId="017AB7B8" w14:textId="77777777" w:rsidR="0038775E" w:rsidRDefault="00877B9C" w:rsidP="002041D4">
            <w:pPr>
              <w:wordWrap w:val="0"/>
              <w:rPr>
                <w:noProof/>
              </w:rPr>
            </w:pPr>
            <w:r w:rsidRPr="00DF5C23">
              <w:rPr>
                <w:rFonts w:ascii="Calibri" w:hAnsi="Calibri" w:cs="Calibri"/>
                <w:noProof/>
                <w:color w:val="000000"/>
                <w:sz w:val="22"/>
                <w:szCs w:val="22"/>
              </w:rPr>
              <w:t>2</w:t>
            </w:r>
          </w:p>
        </w:tc>
        <w:tc>
          <w:tcPr>
            <w:tcW w:w="957" w:type="dxa"/>
            <w:vAlign w:val="center"/>
          </w:tcPr>
          <w:p w14:paraId="5BE6AEF6" w14:textId="77777777" w:rsidR="0038775E" w:rsidRDefault="00877B9C" w:rsidP="002041D4">
            <w:pPr>
              <w:wordWrap w:val="0"/>
              <w:rPr>
                <w:noProof/>
              </w:rPr>
            </w:pPr>
            <w:r w:rsidRPr="00DF5C23">
              <w:rPr>
                <w:rFonts w:ascii="Calibri" w:hAnsi="Calibri" w:cs="Calibri"/>
                <w:noProof/>
                <w:color w:val="000000"/>
                <w:sz w:val="22"/>
                <w:szCs w:val="22"/>
              </w:rPr>
              <w:t>2</w:t>
            </w:r>
          </w:p>
        </w:tc>
      </w:tr>
      <w:tr w:rsidR="005C61BF" w:rsidRPr="00DF5C23" w14:paraId="2C3A5A03" w14:textId="77777777" w:rsidTr="00EC0E40">
        <w:tc>
          <w:tcPr>
            <w:tcW w:w="2519" w:type="dxa"/>
          </w:tcPr>
          <w:p w14:paraId="3BD2F826" w14:textId="77777777" w:rsidR="0038775E" w:rsidRDefault="00877B9C" w:rsidP="002041D4">
            <w:pPr>
              <w:wordWrap w:val="0"/>
              <w:rPr>
                <w:noProof/>
              </w:rPr>
            </w:pPr>
            <w:r w:rsidRPr="00DF5C23">
              <w:rPr>
                <w:noProof/>
              </w:rPr>
              <w:t>サーキュラー・ビジネスモデル・ハブ</w:t>
            </w:r>
            <w:r w:rsidR="00E86A2C" w:rsidRPr="00DF5C23">
              <w:rPr>
                <w:noProof/>
              </w:rPr>
              <w:t>（DG GROW）</w:t>
            </w:r>
          </w:p>
        </w:tc>
        <w:tc>
          <w:tcPr>
            <w:tcW w:w="992" w:type="dxa"/>
            <w:vAlign w:val="bottom"/>
          </w:tcPr>
          <w:p w14:paraId="27869483" w14:textId="77777777" w:rsidR="0038775E" w:rsidRDefault="00877B9C" w:rsidP="002041D4">
            <w:pPr>
              <w:wordWrap w:val="0"/>
              <w:rPr>
                <w:noProof/>
              </w:rPr>
            </w:pPr>
            <w:r w:rsidRPr="00DF5C23">
              <w:rPr>
                <w:rFonts w:ascii="Calibri" w:hAnsi="Calibri" w:cs="Calibri"/>
                <w:noProof/>
                <w:color w:val="000000"/>
                <w:sz w:val="22"/>
                <w:szCs w:val="22"/>
              </w:rPr>
              <w:t>0</w:t>
            </w:r>
          </w:p>
        </w:tc>
        <w:tc>
          <w:tcPr>
            <w:tcW w:w="992" w:type="dxa"/>
            <w:vAlign w:val="bottom"/>
          </w:tcPr>
          <w:p w14:paraId="70FC1CBC" w14:textId="77777777" w:rsidR="0038775E" w:rsidRDefault="00877B9C" w:rsidP="002041D4">
            <w:pPr>
              <w:wordWrap w:val="0"/>
              <w:rPr>
                <w:noProof/>
              </w:rPr>
            </w:pPr>
            <w:r w:rsidRPr="00DF5C23">
              <w:rPr>
                <w:rFonts w:ascii="Calibri" w:hAnsi="Calibri" w:cs="Calibri"/>
                <w:noProof/>
                <w:color w:val="000000"/>
                <w:sz w:val="22"/>
                <w:szCs w:val="22"/>
              </w:rPr>
              <w:t>0</w:t>
            </w:r>
          </w:p>
        </w:tc>
        <w:tc>
          <w:tcPr>
            <w:tcW w:w="992" w:type="dxa"/>
            <w:vAlign w:val="bottom"/>
          </w:tcPr>
          <w:p w14:paraId="12E74C84" w14:textId="77777777" w:rsidR="0038775E" w:rsidRDefault="00877B9C" w:rsidP="002041D4">
            <w:pPr>
              <w:wordWrap w:val="0"/>
              <w:rPr>
                <w:noProof/>
              </w:rPr>
            </w:pPr>
            <w:r w:rsidRPr="00DF5C23">
              <w:rPr>
                <w:rFonts w:ascii="Calibri" w:hAnsi="Calibri" w:cs="Calibri"/>
                <w:noProof/>
                <w:color w:val="000000"/>
                <w:sz w:val="22"/>
                <w:szCs w:val="22"/>
              </w:rPr>
              <w:t>0,5</w:t>
            </w:r>
          </w:p>
        </w:tc>
        <w:tc>
          <w:tcPr>
            <w:tcW w:w="993" w:type="dxa"/>
            <w:vAlign w:val="bottom"/>
          </w:tcPr>
          <w:p w14:paraId="4E6F0CF0" w14:textId="77777777" w:rsidR="0038775E" w:rsidRDefault="00877B9C" w:rsidP="002041D4">
            <w:pPr>
              <w:wordWrap w:val="0"/>
              <w:rPr>
                <w:noProof/>
              </w:rPr>
            </w:pPr>
            <w:r w:rsidRPr="00DF5C23">
              <w:rPr>
                <w:rFonts w:ascii="Calibri" w:hAnsi="Calibri" w:cs="Calibri"/>
                <w:noProof/>
                <w:color w:val="000000"/>
                <w:sz w:val="22"/>
                <w:szCs w:val="22"/>
              </w:rPr>
              <w:t>0,5</w:t>
            </w:r>
          </w:p>
        </w:tc>
        <w:tc>
          <w:tcPr>
            <w:tcW w:w="992" w:type="dxa"/>
            <w:vAlign w:val="bottom"/>
          </w:tcPr>
          <w:p w14:paraId="15503ABE" w14:textId="77777777" w:rsidR="0038775E" w:rsidRDefault="00877B9C" w:rsidP="002041D4">
            <w:pPr>
              <w:wordWrap w:val="0"/>
              <w:rPr>
                <w:noProof/>
              </w:rPr>
            </w:pPr>
            <w:r w:rsidRPr="00DF5C23">
              <w:rPr>
                <w:rFonts w:ascii="Calibri" w:hAnsi="Calibri" w:cs="Calibri"/>
                <w:noProof/>
                <w:color w:val="000000"/>
                <w:sz w:val="22"/>
                <w:szCs w:val="22"/>
              </w:rPr>
              <w:t>0,5</w:t>
            </w:r>
          </w:p>
        </w:tc>
        <w:tc>
          <w:tcPr>
            <w:tcW w:w="957" w:type="dxa"/>
            <w:vAlign w:val="bottom"/>
          </w:tcPr>
          <w:p w14:paraId="41EA3F8C" w14:textId="77777777" w:rsidR="0038775E" w:rsidRDefault="00877B9C" w:rsidP="002041D4">
            <w:pPr>
              <w:wordWrap w:val="0"/>
              <w:rPr>
                <w:noProof/>
              </w:rPr>
            </w:pPr>
            <w:r w:rsidRPr="00DF5C23">
              <w:rPr>
                <w:rFonts w:ascii="Calibri" w:hAnsi="Calibri" w:cs="Calibri"/>
                <w:noProof/>
                <w:color w:val="000000"/>
                <w:sz w:val="22"/>
                <w:szCs w:val="22"/>
              </w:rPr>
              <w:t>0,5</w:t>
            </w:r>
          </w:p>
        </w:tc>
      </w:tr>
      <w:tr w:rsidR="005C61BF" w:rsidRPr="00DF5C23" w14:paraId="2C3A5A0B" w14:textId="77777777" w:rsidTr="00EC0E40">
        <w:tc>
          <w:tcPr>
            <w:tcW w:w="2519" w:type="dxa"/>
          </w:tcPr>
          <w:p w14:paraId="5294C45C" w14:textId="77777777" w:rsidR="0038775E" w:rsidRDefault="00877B9C" w:rsidP="002041D4">
            <w:pPr>
              <w:wordWrap w:val="0"/>
              <w:rPr>
                <w:noProof/>
              </w:rPr>
            </w:pPr>
            <w:r w:rsidRPr="00DF5C23">
              <w:rPr>
                <w:noProof/>
              </w:rPr>
              <w:t xml:space="preserve">合計 </w:t>
            </w:r>
          </w:p>
        </w:tc>
        <w:tc>
          <w:tcPr>
            <w:tcW w:w="992" w:type="dxa"/>
            <w:vAlign w:val="bottom"/>
          </w:tcPr>
          <w:p w14:paraId="303DE9D8" w14:textId="77777777" w:rsidR="0038775E" w:rsidRDefault="007A6D05" w:rsidP="002041D4">
            <w:pPr>
              <w:wordWrap w:val="0"/>
              <w:rPr>
                <w:noProof/>
              </w:rPr>
            </w:pPr>
            <w:r w:rsidRPr="00DF5C23">
              <w:rPr>
                <w:rFonts w:ascii="Calibri" w:hAnsi="Calibri" w:cs="Calibri"/>
                <w:noProof/>
                <w:color w:val="000000"/>
                <w:sz w:val="22"/>
                <w:szCs w:val="22"/>
              </w:rPr>
              <w:t>14</w:t>
            </w:r>
          </w:p>
        </w:tc>
        <w:tc>
          <w:tcPr>
            <w:tcW w:w="992" w:type="dxa"/>
            <w:vAlign w:val="bottom"/>
          </w:tcPr>
          <w:p w14:paraId="5240D6F0" w14:textId="77777777" w:rsidR="0038775E" w:rsidRDefault="00877B9C" w:rsidP="002041D4">
            <w:pPr>
              <w:wordWrap w:val="0"/>
              <w:rPr>
                <w:noProof/>
              </w:rPr>
            </w:pPr>
            <w:r w:rsidRPr="00DF5C23">
              <w:rPr>
                <w:rFonts w:ascii="Calibri" w:hAnsi="Calibri" w:cs="Calibri"/>
                <w:noProof/>
                <w:color w:val="000000"/>
                <w:sz w:val="22"/>
                <w:szCs w:val="22"/>
              </w:rPr>
              <w:t>44</w:t>
            </w:r>
          </w:p>
        </w:tc>
        <w:tc>
          <w:tcPr>
            <w:tcW w:w="992" w:type="dxa"/>
            <w:vAlign w:val="bottom"/>
          </w:tcPr>
          <w:p w14:paraId="1C829C5E" w14:textId="77777777" w:rsidR="0038775E" w:rsidRDefault="00877B9C" w:rsidP="002041D4">
            <w:pPr>
              <w:wordWrap w:val="0"/>
              <w:rPr>
                <w:noProof/>
              </w:rPr>
            </w:pPr>
            <w:r w:rsidRPr="00DF5C23">
              <w:rPr>
                <w:rFonts w:ascii="Calibri" w:hAnsi="Calibri" w:cs="Calibri"/>
                <w:noProof/>
                <w:color w:val="000000"/>
                <w:sz w:val="22"/>
                <w:szCs w:val="22"/>
              </w:rPr>
              <w:t>51</w:t>
            </w:r>
          </w:p>
        </w:tc>
        <w:tc>
          <w:tcPr>
            <w:tcW w:w="993" w:type="dxa"/>
            <w:vAlign w:val="bottom"/>
          </w:tcPr>
          <w:p w14:paraId="59B57A32" w14:textId="77777777" w:rsidR="0038775E" w:rsidRDefault="00877B9C" w:rsidP="002041D4">
            <w:pPr>
              <w:wordWrap w:val="0"/>
              <w:rPr>
                <w:noProof/>
              </w:rPr>
            </w:pPr>
            <w:r w:rsidRPr="00DF5C23">
              <w:rPr>
                <w:rFonts w:ascii="Calibri" w:hAnsi="Calibri" w:cs="Calibri"/>
                <w:noProof/>
                <w:color w:val="000000"/>
                <w:sz w:val="22"/>
                <w:szCs w:val="22"/>
              </w:rPr>
              <w:t>51</w:t>
            </w:r>
          </w:p>
        </w:tc>
        <w:tc>
          <w:tcPr>
            <w:tcW w:w="992" w:type="dxa"/>
            <w:vAlign w:val="bottom"/>
          </w:tcPr>
          <w:p w14:paraId="221DA4E9" w14:textId="77777777" w:rsidR="0038775E" w:rsidRDefault="00877B9C" w:rsidP="002041D4">
            <w:pPr>
              <w:wordWrap w:val="0"/>
              <w:rPr>
                <w:noProof/>
              </w:rPr>
            </w:pPr>
            <w:r w:rsidRPr="00DF5C23">
              <w:rPr>
                <w:rFonts w:ascii="Calibri" w:hAnsi="Calibri" w:cs="Calibri"/>
                <w:noProof/>
                <w:color w:val="000000"/>
                <w:sz w:val="22"/>
                <w:szCs w:val="22"/>
              </w:rPr>
              <w:t>52</w:t>
            </w:r>
          </w:p>
        </w:tc>
        <w:tc>
          <w:tcPr>
            <w:tcW w:w="957" w:type="dxa"/>
            <w:vAlign w:val="bottom"/>
          </w:tcPr>
          <w:p w14:paraId="664C42D4" w14:textId="77777777" w:rsidR="0038775E" w:rsidRDefault="00877B9C" w:rsidP="002041D4">
            <w:pPr>
              <w:wordWrap w:val="0"/>
              <w:rPr>
                <w:noProof/>
              </w:rPr>
            </w:pPr>
            <w:r w:rsidRPr="00DF5C23">
              <w:rPr>
                <w:rFonts w:ascii="Calibri" w:hAnsi="Calibri" w:cs="Calibri"/>
                <w:noProof/>
                <w:color w:val="000000"/>
                <w:sz w:val="22"/>
                <w:szCs w:val="22"/>
              </w:rPr>
              <w:t>54</w:t>
            </w:r>
          </w:p>
        </w:tc>
      </w:tr>
    </w:tbl>
    <w:p w14:paraId="16ACA419" w14:textId="4452E2C0" w:rsidR="0038775E" w:rsidRDefault="00877B9C" w:rsidP="002041D4">
      <w:pPr>
        <w:pBdr>
          <w:top w:val="single" w:sz="4" w:space="1" w:color="auto"/>
          <w:left w:val="single" w:sz="4" w:space="1" w:color="auto"/>
          <w:bottom w:val="single" w:sz="4" w:space="1" w:color="auto"/>
          <w:right w:val="single" w:sz="4" w:space="1" w:color="auto"/>
        </w:pBdr>
        <w:wordWrap w:val="0"/>
        <w:ind w:left="850"/>
        <w:rPr>
          <w:rFonts w:eastAsia="Calibri"/>
          <w:noProof/>
          <w:lang w:eastAsia="ja-JP"/>
        </w:rPr>
      </w:pPr>
      <w:r w:rsidRPr="00DF5C23">
        <w:rPr>
          <w:rFonts w:eastAsia="Calibri"/>
          <w:noProof/>
          <w:lang w:eastAsia="ja-JP"/>
        </w:rPr>
        <w:t>影響評価報告書では、新しい法的枠組みを実施するために、さまざまな管理体制が想定されて</w:t>
      </w:r>
      <w:r w:rsidR="002041D4">
        <w:rPr>
          <w:rFonts w:ascii="ＭＳ 明朝" w:eastAsia="ＭＳ 明朝" w:hAnsi="ＭＳ 明朝" w:cs="ＭＳ 明朝" w:hint="eastAsia"/>
          <w:noProof/>
          <w:lang w:eastAsia="ja-JP"/>
        </w:rPr>
        <w:t>いる。</w:t>
      </w:r>
      <w:r w:rsidRPr="00DF5C23">
        <w:rPr>
          <w:rFonts w:eastAsia="Calibri"/>
          <w:noProof/>
          <w:lang w:eastAsia="ja-JP"/>
        </w:rPr>
        <w:t xml:space="preserve"> </w:t>
      </w:r>
    </w:p>
    <w:p w14:paraId="782007D4" w14:textId="77777777" w:rsidR="0038775E" w:rsidRDefault="00877B9C" w:rsidP="002041D4">
      <w:pPr>
        <w:pBdr>
          <w:top w:val="single" w:sz="4" w:space="1" w:color="auto"/>
          <w:left w:val="single" w:sz="4" w:space="1" w:color="auto"/>
          <w:bottom w:val="single" w:sz="4" w:space="1" w:color="auto"/>
          <w:right w:val="single" w:sz="4" w:space="1" w:color="auto"/>
        </w:pBdr>
        <w:wordWrap w:val="0"/>
        <w:ind w:left="850"/>
        <w:rPr>
          <w:rFonts w:eastAsia="Calibri"/>
          <w:noProof/>
          <w:lang w:eastAsia="ja-JP"/>
        </w:rPr>
      </w:pPr>
      <w:r w:rsidRPr="00DF5C23">
        <w:rPr>
          <w:rFonts w:eastAsia="Calibri"/>
          <w:noProof/>
          <w:lang w:eastAsia="ja-JP"/>
        </w:rPr>
        <w:t>欧州委員会の中に「持続可能な製品センター」を設けるという選択肢もある。この場合、持続可能な製品政策に割り当てられたスタッフは、欧州委員会内の仮想的な「持続可能な製品センター」のもとで機能することになる、という違いがある。欧州委員会のスタッフは、所属する総局の下にとどまるが、常設のセンター／タスクフォースの一員となり、知識の共有を確保する全体的な調整を行い、水平的なタスクに責任を持つようになる。このオプションは、エコデザインの準備研究や、</w:t>
      </w:r>
      <w:r w:rsidR="00CF10BE" w:rsidRPr="00DF5C23">
        <w:rPr>
          <w:rFonts w:eastAsia="Calibri"/>
          <w:noProof/>
          <w:lang w:eastAsia="ja-JP"/>
        </w:rPr>
        <w:t>消費フットプリント、循環型経済戦略、炭素・環境フットプリントに関する</w:t>
      </w:r>
      <w:r w:rsidRPr="00DF5C23">
        <w:rPr>
          <w:rFonts w:eastAsia="Calibri"/>
          <w:noProof/>
          <w:lang w:eastAsia="ja-JP"/>
        </w:rPr>
        <w:t>水平</w:t>
      </w:r>
      <w:r w:rsidRPr="00DF5C23">
        <w:rPr>
          <w:rFonts w:eastAsia="Calibri"/>
          <w:noProof/>
          <w:lang w:eastAsia="ja-JP"/>
        </w:rPr>
        <w:t>的・方法論的作業にすでに貢献している</w:t>
      </w:r>
      <w:r w:rsidRPr="00DF5C23">
        <w:rPr>
          <w:rFonts w:eastAsia="Calibri"/>
          <w:noProof/>
          <w:lang w:eastAsia="ja-JP"/>
        </w:rPr>
        <w:t>JRC</w:t>
      </w:r>
      <w:r w:rsidRPr="00DF5C23">
        <w:rPr>
          <w:rFonts w:eastAsia="Calibri"/>
          <w:noProof/>
          <w:lang w:eastAsia="ja-JP"/>
        </w:rPr>
        <w:t>の技術的ノウハウを活用し、完全に統合することができる。</w:t>
      </w:r>
      <w:r w:rsidR="00013D91" w:rsidRPr="00013D91">
        <w:rPr>
          <w:rFonts w:eastAsia="Calibri"/>
          <w:noProof/>
          <w:lang w:eastAsia="ja-JP"/>
        </w:rPr>
        <w:t>この経験と専門知識は、</w:t>
      </w:r>
      <w:r w:rsidR="00013D91" w:rsidRPr="00013D91">
        <w:rPr>
          <w:rFonts w:eastAsia="Calibri"/>
          <w:noProof/>
          <w:lang w:eastAsia="ja-JP"/>
        </w:rPr>
        <w:t>JRC</w:t>
      </w:r>
      <w:r w:rsidR="00013D91" w:rsidRPr="00013D91">
        <w:rPr>
          <w:rFonts w:eastAsia="Calibri"/>
          <w:noProof/>
          <w:lang w:eastAsia="ja-JP"/>
        </w:rPr>
        <w:t>が「サステナブル・プロダクト・センター」の一部として活用することができる。</w:t>
      </w:r>
      <w:r w:rsidR="00013D91" w:rsidRPr="00013D91">
        <w:rPr>
          <w:rFonts w:eastAsia="Calibri"/>
          <w:noProof/>
          <w:lang w:eastAsia="ja-JP"/>
        </w:rPr>
        <w:t>JRC</w:t>
      </w:r>
      <w:r w:rsidR="00013D91" w:rsidRPr="00013D91">
        <w:rPr>
          <w:rFonts w:eastAsia="Calibri"/>
          <w:noProof/>
          <w:lang w:eastAsia="ja-JP"/>
        </w:rPr>
        <w:t>は、方法論とデータの一貫性、新しい</w:t>
      </w:r>
      <w:r w:rsidR="00013D91" w:rsidRPr="00013D91">
        <w:rPr>
          <w:rFonts w:eastAsia="Calibri"/>
          <w:noProof/>
          <w:lang w:eastAsia="ja-JP"/>
        </w:rPr>
        <w:lastRenderedPageBreak/>
        <w:t>タイプの製品要件の試験、製品の優先順位付けといった科学技術的な側面で貢献することになる。</w:t>
      </w:r>
      <w:r w:rsidRPr="00DF5C23">
        <w:rPr>
          <w:rFonts w:eastAsia="Calibri"/>
          <w:noProof/>
          <w:lang w:eastAsia="ja-JP"/>
        </w:rPr>
        <w:t>この財務諸表では、このオプションは、必要な資源という点で、現状と大きく異なるとは考えられていない。</w:t>
      </w:r>
      <w:r w:rsidRPr="00DF5C23">
        <w:rPr>
          <w:rFonts w:eastAsia="Calibri"/>
          <w:noProof/>
          <w:lang w:eastAsia="ja-JP"/>
        </w:rPr>
        <w:t xml:space="preserve"> </w:t>
      </w:r>
    </w:p>
    <w:p w14:paraId="7FD94B6B" w14:textId="185143FB" w:rsidR="0038775E" w:rsidRDefault="00877B9C" w:rsidP="002041D4">
      <w:pPr>
        <w:pBdr>
          <w:top w:val="single" w:sz="4" w:space="1" w:color="auto"/>
          <w:left w:val="single" w:sz="4" w:space="1" w:color="auto"/>
          <w:bottom w:val="single" w:sz="4" w:space="1" w:color="auto"/>
          <w:right w:val="single" w:sz="4" w:space="1" w:color="auto"/>
        </w:pBdr>
        <w:wordWrap w:val="0"/>
        <w:ind w:left="850"/>
        <w:rPr>
          <w:rFonts w:eastAsia="Calibri"/>
          <w:noProof/>
          <w:lang w:eastAsia="ja-JP"/>
        </w:rPr>
      </w:pPr>
      <w:r w:rsidRPr="00DF5C23">
        <w:rPr>
          <w:rFonts w:eastAsia="Calibri"/>
          <w:noProof/>
          <w:lang w:eastAsia="ja-JP"/>
        </w:rPr>
        <w:t>この財務諸表の見積もりは、</w:t>
      </w:r>
      <w:r w:rsidRPr="00DF5C23">
        <w:rPr>
          <w:rFonts w:eastAsia="Calibri"/>
          <w:noProof/>
          <w:lang w:eastAsia="ja-JP"/>
        </w:rPr>
        <w:t>3</w:t>
      </w:r>
      <w:r w:rsidRPr="00DF5C23">
        <w:rPr>
          <w:rFonts w:eastAsia="Calibri"/>
          <w:noProof/>
          <w:lang w:eastAsia="ja-JP"/>
        </w:rPr>
        <w:t>つの</w:t>
      </w:r>
      <w:r w:rsidRPr="00DF5C23">
        <w:rPr>
          <w:rFonts w:eastAsia="Calibri"/>
          <w:noProof/>
          <w:lang w:eastAsia="ja-JP"/>
        </w:rPr>
        <w:t>DG</w:t>
      </w:r>
      <w:r w:rsidRPr="00DF5C23">
        <w:rPr>
          <w:rFonts w:eastAsia="Calibri"/>
          <w:noProof/>
          <w:lang w:eastAsia="ja-JP"/>
        </w:rPr>
        <w:t>に権限が分散され、製品グループの増加や追加要件に合わせて追加のスタッフや資金を動員している現状を基礎として</w:t>
      </w:r>
      <w:r w:rsidR="002041D4">
        <w:rPr>
          <w:rFonts w:ascii="ＭＳ 明朝" w:eastAsia="ＭＳ 明朝" w:hAnsi="ＭＳ 明朝" w:cs="ＭＳ 明朝" w:hint="eastAsia"/>
          <w:noProof/>
          <w:lang w:eastAsia="ja-JP"/>
        </w:rPr>
        <w:t>いる。</w:t>
      </w:r>
      <w:r w:rsidRPr="00DF5C23">
        <w:rPr>
          <w:rFonts w:eastAsia="Calibri"/>
          <w:noProof/>
          <w:lang w:eastAsia="ja-JP"/>
        </w:rPr>
        <w:t>アウトソーシングの可能性については、現状では、規制措置の準備（準備研究および審査研究）および影響評価の支援に、すでに外部支援を大幅に利用している。サーキュラー・ビジネス・ハブと市場監視当局への支援については、さらなる外部支援が想定されていますが、アウトソーシングできない法規制の中核的な実施作業については、さらなる（内部の）スタッフリソースの必要性があることに変</w:t>
      </w:r>
      <w:r w:rsidRPr="00DF5C23">
        <w:rPr>
          <w:rFonts w:eastAsia="Calibri"/>
          <w:noProof/>
          <w:lang w:eastAsia="ja-JP"/>
        </w:rPr>
        <w:t>わりは</w:t>
      </w:r>
      <w:r w:rsidR="002041D4">
        <w:rPr>
          <w:rFonts w:ascii="ＭＳ 明朝" w:eastAsia="ＭＳ 明朝" w:hAnsi="ＭＳ 明朝" w:cs="ＭＳ 明朝" w:hint="eastAsia"/>
          <w:noProof/>
          <w:lang w:eastAsia="ja-JP"/>
        </w:rPr>
        <w:t>ない</w:t>
      </w:r>
      <w:r w:rsidRPr="00DF5C23">
        <w:rPr>
          <w:rFonts w:eastAsia="Calibri"/>
          <w:noProof/>
          <w:lang w:eastAsia="ja-JP"/>
        </w:rPr>
        <w:t>。</w:t>
      </w:r>
    </w:p>
    <w:p w14:paraId="4E2F4E5E" w14:textId="4701BFE0" w:rsidR="0038775E" w:rsidRDefault="00877B9C" w:rsidP="002041D4">
      <w:pPr>
        <w:pBdr>
          <w:top w:val="single" w:sz="4" w:space="1" w:color="auto"/>
          <w:left w:val="single" w:sz="4" w:space="1" w:color="auto"/>
          <w:bottom w:val="single" w:sz="4" w:space="1" w:color="auto"/>
          <w:right w:val="single" w:sz="4" w:space="1" w:color="auto"/>
        </w:pBdr>
        <w:wordWrap w:val="0"/>
        <w:ind w:left="850"/>
        <w:rPr>
          <w:rFonts w:eastAsia="Calibri"/>
          <w:noProof/>
          <w:lang w:eastAsia="ja-JP"/>
        </w:rPr>
      </w:pPr>
      <w:r w:rsidRPr="00DF5C23">
        <w:rPr>
          <w:rFonts w:eastAsia="Calibri"/>
          <w:noProof/>
          <w:lang w:eastAsia="ja-JP"/>
        </w:rPr>
        <w:t>また、輸入品に適用される新しい要件を実施するために、税関システムをサポートするための追加リソースが必要</w:t>
      </w:r>
      <w:r w:rsidR="002041D4">
        <w:rPr>
          <w:rFonts w:ascii="ＭＳ 明朝" w:eastAsia="ＭＳ 明朝" w:hAnsi="ＭＳ 明朝" w:cs="ＭＳ 明朝" w:hint="eastAsia"/>
          <w:noProof/>
          <w:lang w:eastAsia="ja-JP"/>
        </w:rPr>
        <w:t>である</w:t>
      </w:r>
      <w:r w:rsidRPr="00DF5C23">
        <w:rPr>
          <w:rFonts w:eastAsia="Calibri"/>
          <w:noProof/>
          <w:lang w:eastAsia="ja-JP"/>
        </w:rPr>
        <w:t>。これには、</w:t>
      </w:r>
      <w:r w:rsidRPr="00DF5C23">
        <w:rPr>
          <w:rFonts w:eastAsia="Calibri"/>
          <w:noProof/>
          <w:lang w:eastAsia="ja-JP"/>
        </w:rPr>
        <w:t>TAXUD IT</w:t>
      </w:r>
      <w:r w:rsidRPr="00DF5C23">
        <w:rPr>
          <w:rFonts w:eastAsia="Calibri"/>
          <w:noProof/>
          <w:lang w:eastAsia="ja-JP"/>
        </w:rPr>
        <w:t>エコシステム、特にシングルウィンドウに対する</w:t>
      </w:r>
      <w:r w:rsidRPr="00DF5C23">
        <w:rPr>
          <w:rFonts w:eastAsia="Calibri"/>
          <w:noProof/>
          <w:lang w:eastAsia="ja-JP"/>
        </w:rPr>
        <w:t>SPI</w:t>
      </w:r>
      <w:r w:rsidRPr="00DF5C23">
        <w:rPr>
          <w:rFonts w:eastAsia="Calibri"/>
          <w:noProof/>
          <w:lang w:eastAsia="ja-JP"/>
        </w:rPr>
        <w:t>の影響の分析が含まれ、ビジネスケース、ビジネスプロセスモデリング、</w:t>
      </w:r>
      <w:r w:rsidRPr="00DF5C23">
        <w:rPr>
          <w:rFonts w:eastAsia="Calibri"/>
          <w:noProof/>
          <w:lang w:eastAsia="ja-JP"/>
        </w:rPr>
        <w:t>MS</w:t>
      </w:r>
      <w:r w:rsidRPr="00DF5C23">
        <w:rPr>
          <w:rFonts w:eastAsia="Calibri"/>
          <w:noProof/>
          <w:lang w:eastAsia="ja-JP"/>
        </w:rPr>
        <w:t>税関当局との調整、設計と実装の準備、適合性テストとロールアウトのサポート、メンテナンス、税関ビジネスグループの運営、</w:t>
      </w:r>
      <w:r w:rsidRPr="00DF5C23">
        <w:rPr>
          <w:rFonts w:eastAsia="Calibri"/>
          <w:noProof/>
          <w:lang w:eastAsia="ja-JP"/>
        </w:rPr>
        <w:t>MASP-C</w:t>
      </w:r>
      <w:r w:rsidRPr="00DF5C23">
        <w:rPr>
          <w:rFonts w:eastAsia="Calibri"/>
          <w:noProof/>
          <w:lang w:eastAsia="ja-JP"/>
        </w:rPr>
        <w:t>への貢献、</w:t>
      </w:r>
      <w:r w:rsidRPr="00DF5C23">
        <w:rPr>
          <w:rFonts w:eastAsia="Calibri"/>
          <w:noProof/>
          <w:lang w:eastAsia="ja-JP"/>
        </w:rPr>
        <w:t>ECCG</w:t>
      </w:r>
      <w:r w:rsidRPr="00DF5C23">
        <w:rPr>
          <w:rFonts w:eastAsia="Calibri"/>
          <w:noProof/>
          <w:lang w:eastAsia="ja-JP"/>
        </w:rPr>
        <w:t>ミーティングへの参加が含まれる。</w:t>
      </w:r>
    </w:p>
    <w:p w14:paraId="07DE47CA" w14:textId="199035E3" w:rsidR="0038775E" w:rsidRDefault="00877B9C" w:rsidP="002041D4">
      <w:pPr>
        <w:pBdr>
          <w:top w:val="single" w:sz="4" w:space="1" w:color="auto"/>
          <w:left w:val="single" w:sz="4" w:space="1" w:color="auto"/>
          <w:bottom w:val="single" w:sz="4" w:space="1" w:color="auto"/>
          <w:right w:val="single" w:sz="4" w:space="1" w:color="auto"/>
        </w:pBdr>
        <w:wordWrap w:val="0"/>
        <w:ind w:left="850"/>
        <w:rPr>
          <w:rFonts w:eastAsia="Calibri"/>
          <w:noProof/>
          <w:lang w:eastAsia="ja-JP"/>
        </w:rPr>
      </w:pPr>
      <w:r w:rsidRPr="00DF5C23">
        <w:rPr>
          <w:rFonts w:eastAsia="Calibri"/>
          <w:noProof/>
          <w:lang w:eastAsia="ja-JP"/>
        </w:rPr>
        <w:t>この財務諸表に記載されている追加リソースを見積もる際、エコ</w:t>
      </w:r>
      <w:r w:rsidRPr="00DF5C23">
        <w:rPr>
          <w:rFonts w:eastAsia="Calibri"/>
          <w:noProof/>
          <w:lang w:eastAsia="ja-JP"/>
        </w:rPr>
        <w:t>デザインの実施と立法提案の準備に既に従事しているスタッフの再配置以外に、各</w:t>
      </w:r>
      <w:r w:rsidRPr="00DF5C23">
        <w:rPr>
          <w:rFonts w:eastAsia="Calibri"/>
          <w:noProof/>
          <w:lang w:eastAsia="ja-JP"/>
        </w:rPr>
        <w:t>DG</w:t>
      </w:r>
      <w:r w:rsidRPr="00DF5C23">
        <w:rPr>
          <w:rFonts w:eastAsia="Calibri"/>
          <w:noProof/>
          <w:lang w:eastAsia="ja-JP"/>
        </w:rPr>
        <w:t>内で可能なスタッフの再配置を慎重に評価した。まれな可能性のある再配置は、見積もりに組み込まれた。必要な人事のタイプについては、特に期間の最初の数年間は重要な部分を</w:t>
      </w:r>
      <w:r w:rsidRPr="00DF5C23">
        <w:rPr>
          <w:rFonts w:eastAsia="Calibri"/>
          <w:noProof/>
          <w:lang w:eastAsia="ja-JP"/>
        </w:rPr>
        <w:t>CA</w:t>
      </w:r>
      <w:r w:rsidRPr="00DF5C23">
        <w:rPr>
          <w:rFonts w:eastAsia="Calibri"/>
          <w:noProof/>
          <w:lang w:eastAsia="ja-JP"/>
        </w:rPr>
        <w:t>として要請し、</w:t>
      </w:r>
      <w:r w:rsidRPr="00DF5C23">
        <w:rPr>
          <w:rFonts w:eastAsia="Calibri"/>
          <w:noProof/>
          <w:lang w:eastAsia="ja-JP"/>
        </w:rPr>
        <w:t>2023</w:t>
      </w:r>
      <w:r w:rsidRPr="00DF5C23">
        <w:rPr>
          <w:rFonts w:eastAsia="Calibri"/>
          <w:noProof/>
          <w:lang w:eastAsia="ja-JP"/>
        </w:rPr>
        <w:t>年からは</w:t>
      </w:r>
      <w:r w:rsidRPr="00DF5C23">
        <w:rPr>
          <w:rFonts w:eastAsia="Calibri"/>
          <w:noProof/>
          <w:lang w:eastAsia="ja-JP"/>
        </w:rPr>
        <w:t>3</w:t>
      </w:r>
      <w:r w:rsidRPr="00DF5C23">
        <w:rPr>
          <w:rFonts w:eastAsia="Calibri"/>
          <w:noProof/>
          <w:lang w:eastAsia="ja-JP"/>
        </w:rPr>
        <w:t>人の</w:t>
      </w:r>
      <w:r w:rsidRPr="00DF5C23">
        <w:rPr>
          <w:rFonts w:eastAsia="Calibri"/>
          <w:noProof/>
          <w:lang w:eastAsia="ja-JP"/>
        </w:rPr>
        <w:t>END</w:t>
      </w:r>
      <w:r w:rsidRPr="00DF5C23">
        <w:rPr>
          <w:rFonts w:eastAsia="Calibri"/>
          <w:noProof/>
          <w:lang w:eastAsia="ja-JP"/>
        </w:rPr>
        <w:t>を追加要請して</w:t>
      </w:r>
      <w:r w:rsidR="002041D4">
        <w:rPr>
          <w:rFonts w:ascii="ＭＳ 明朝" w:eastAsia="ＭＳ 明朝" w:hAnsi="ＭＳ 明朝" w:cs="ＭＳ 明朝" w:hint="eastAsia"/>
          <w:noProof/>
          <w:lang w:eastAsia="ja-JP"/>
        </w:rPr>
        <w:t>いる。</w:t>
      </w:r>
      <w:r w:rsidRPr="00DF5C23">
        <w:rPr>
          <w:rFonts w:eastAsia="Calibri"/>
          <w:noProof/>
          <w:lang w:eastAsia="ja-JP"/>
        </w:rPr>
        <w:t>これらは、</w:t>
      </w:r>
      <w:r w:rsidRPr="00DF5C23">
        <w:rPr>
          <w:rFonts w:eastAsia="Calibri"/>
          <w:noProof/>
          <w:lang w:eastAsia="ja-JP"/>
        </w:rPr>
        <w:t>2023</w:t>
      </w:r>
      <w:r w:rsidRPr="00DF5C23">
        <w:rPr>
          <w:rFonts w:eastAsia="Calibri"/>
          <w:noProof/>
          <w:lang w:eastAsia="ja-JP"/>
        </w:rPr>
        <w:t>年の</w:t>
      </w:r>
      <w:r w:rsidRPr="00DF5C23">
        <w:rPr>
          <w:rFonts w:eastAsia="Calibri"/>
          <w:noProof/>
          <w:lang w:eastAsia="ja-JP"/>
        </w:rPr>
        <w:t>26.5FTE</w:t>
      </w:r>
      <w:r w:rsidRPr="00DF5C23">
        <w:rPr>
          <w:rFonts w:eastAsia="Calibri"/>
          <w:noProof/>
          <w:lang w:eastAsia="ja-JP"/>
        </w:rPr>
        <w:t>から</w:t>
      </w:r>
      <w:r w:rsidRPr="00DF5C23">
        <w:rPr>
          <w:rFonts w:eastAsia="Calibri"/>
          <w:noProof/>
          <w:lang w:eastAsia="ja-JP"/>
        </w:rPr>
        <w:t>2027</w:t>
      </w:r>
      <w:r w:rsidRPr="00DF5C23">
        <w:rPr>
          <w:rFonts w:eastAsia="Calibri"/>
          <w:noProof/>
          <w:lang w:eastAsia="ja-JP"/>
        </w:rPr>
        <w:t>年の</w:t>
      </w:r>
      <w:r w:rsidRPr="00DF5C23">
        <w:rPr>
          <w:rFonts w:eastAsia="Calibri"/>
          <w:noProof/>
          <w:lang w:eastAsia="ja-JP"/>
        </w:rPr>
        <w:t>45FTE</w:t>
      </w:r>
      <w:r w:rsidRPr="00DF5C23">
        <w:rPr>
          <w:rFonts w:eastAsia="Calibri"/>
          <w:noProof/>
          <w:lang w:eastAsia="ja-JP"/>
        </w:rPr>
        <w:t>へと段階的に正社員化を促進するため</w:t>
      </w:r>
      <w:r w:rsidR="002041D4">
        <w:rPr>
          <w:rFonts w:ascii="ＭＳ 明朝" w:eastAsia="ＭＳ 明朝" w:hAnsi="ＭＳ 明朝" w:cs="ＭＳ 明朝" w:hint="eastAsia"/>
          <w:noProof/>
          <w:lang w:eastAsia="ja-JP"/>
        </w:rPr>
        <w:t>である</w:t>
      </w:r>
      <w:r w:rsidRPr="00DF5C23">
        <w:rPr>
          <w:rFonts w:eastAsia="Calibri"/>
          <w:noProof/>
          <w:lang w:eastAsia="ja-JP"/>
        </w:rPr>
        <w:t>。とはいえ、決定手続きの調整、機関の代表、契約管理を確実に行うためには、常駐のスタッフが必要である。これ</w:t>
      </w:r>
      <w:r w:rsidRPr="00DF5C23">
        <w:rPr>
          <w:rFonts w:eastAsia="Calibri"/>
          <w:noProof/>
          <w:lang w:eastAsia="ja-JP"/>
        </w:rPr>
        <w:t>は、</w:t>
      </w:r>
      <w:r w:rsidRPr="00DF5C23">
        <w:rPr>
          <w:rFonts w:eastAsia="Calibri"/>
          <w:noProof/>
          <w:lang w:eastAsia="ja-JP"/>
        </w:rPr>
        <w:t>87</w:t>
      </w:r>
      <w:r w:rsidRPr="00DF5C23">
        <w:rPr>
          <w:rFonts w:eastAsia="Calibri"/>
          <w:noProof/>
          <w:lang w:eastAsia="ja-JP"/>
        </w:rPr>
        <w:t>％の</w:t>
      </w:r>
      <w:r w:rsidRPr="00DF5C23">
        <w:rPr>
          <w:rFonts w:eastAsia="Calibri"/>
          <w:noProof/>
          <w:lang w:eastAsia="ja-JP"/>
        </w:rPr>
        <w:t>AD</w:t>
      </w:r>
      <w:r w:rsidRPr="00DF5C23">
        <w:rPr>
          <w:rFonts w:eastAsia="Calibri"/>
          <w:noProof/>
          <w:lang w:eastAsia="ja-JP"/>
        </w:rPr>
        <w:t>と</w:t>
      </w:r>
      <w:r w:rsidRPr="00DF5C23">
        <w:rPr>
          <w:rFonts w:eastAsia="Calibri"/>
          <w:noProof/>
          <w:lang w:eastAsia="ja-JP"/>
        </w:rPr>
        <w:t>13</w:t>
      </w:r>
      <w:r w:rsidRPr="00DF5C23">
        <w:rPr>
          <w:rFonts w:eastAsia="Calibri"/>
          <w:noProof/>
          <w:lang w:eastAsia="ja-JP"/>
        </w:rPr>
        <w:t>％の</w:t>
      </w:r>
      <w:r w:rsidRPr="00DF5C23">
        <w:rPr>
          <w:rFonts w:eastAsia="Calibri"/>
          <w:noProof/>
          <w:lang w:eastAsia="ja-JP"/>
        </w:rPr>
        <w:t>AST</w:t>
      </w:r>
      <w:r w:rsidRPr="00DF5C23">
        <w:rPr>
          <w:rFonts w:eastAsia="Calibri"/>
          <w:noProof/>
          <w:lang w:eastAsia="ja-JP"/>
        </w:rPr>
        <w:t>で共有されて</w:t>
      </w:r>
      <w:r w:rsidR="002041D4">
        <w:rPr>
          <w:rFonts w:ascii="ＭＳ 明朝" w:eastAsia="ＭＳ 明朝" w:hAnsi="ＭＳ 明朝" w:cs="ＭＳ 明朝" w:hint="eastAsia"/>
          <w:noProof/>
          <w:lang w:eastAsia="ja-JP"/>
        </w:rPr>
        <w:t>いる。</w:t>
      </w:r>
    </w:p>
    <w:p w14:paraId="7574C97A" w14:textId="1BE67AA9" w:rsidR="0038775E" w:rsidRDefault="00877B9C" w:rsidP="002041D4">
      <w:pPr>
        <w:pBdr>
          <w:top w:val="single" w:sz="4" w:space="1" w:color="auto"/>
          <w:left w:val="single" w:sz="4" w:space="1" w:color="auto"/>
          <w:bottom w:val="single" w:sz="4" w:space="1" w:color="auto"/>
          <w:right w:val="single" w:sz="4" w:space="1" w:color="auto"/>
        </w:pBdr>
        <w:wordWrap w:val="0"/>
        <w:ind w:left="850"/>
        <w:rPr>
          <w:rFonts w:eastAsia="Calibri"/>
          <w:noProof/>
          <w:lang w:eastAsia="ja-JP"/>
        </w:rPr>
      </w:pPr>
      <w:r w:rsidRPr="00DF5C23">
        <w:rPr>
          <w:rFonts w:eastAsia="Calibri"/>
          <w:noProof/>
          <w:lang w:eastAsia="ja-JP"/>
        </w:rPr>
        <w:t>人件費以外の管理費については、対象製品数が倍増したことに伴い、算出根拠は以下のとおり</w:t>
      </w:r>
      <w:r w:rsidR="002041D4">
        <w:rPr>
          <w:rFonts w:ascii="ＭＳ 明朝" w:eastAsia="ＭＳ 明朝" w:hAnsi="ＭＳ 明朝" w:cs="ＭＳ 明朝" w:hint="eastAsia"/>
          <w:noProof/>
          <w:lang w:eastAsia="ja-JP"/>
        </w:rPr>
        <w:t>である</w:t>
      </w:r>
      <w:r w:rsidRPr="00DF5C23">
        <w:rPr>
          <w:rFonts w:eastAsia="Calibri"/>
          <w:noProof/>
          <w:lang w:eastAsia="ja-JP"/>
        </w:rPr>
        <w:t>：</w:t>
      </w:r>
    </w:p>
    <w:p w14:paraId="1C6236E6" w14:textId="7DAB52DC" w:rsidR="0038775E" w:rsidRDefault="00877B9C" w:rsidP="002041D4">
      <w:pPr>
        <w:pStyle w:val="Tiret1"/>
        <w:pBdr>
          <w:top w:val="single" w:sz="4" w:space="1" w:color="auto"/>
          <w:left w:val="single" w:sz="4" w:space="1" w:color="auto"/>
          <w:bottom w:val="single" w:sz="4" w:space="1" w:color="auto"/>
          <w:right w:val="single" w:sz="4" w:space="1" w:color="auto"/>
        </w:pBdr>
        <w:wordWrap w:val="0"/>
        <w:rPr>
          <w:noProof/>
          <w:lang w:eastAsia="ja-JP"/>
        </w:rPr>
      </w:pPr>
      <w:r w:rsidRPr="00DF5C23">
        <w:rPr>
          <w:noProof/>
          <w:lang w:eastAsia="ja-JP"/>
        </w:rPr>
        <w:t>ミッションにかかる費用は、現在の予算（衛生危機の影響なし）に基づき見積もられ、</w:t>
      </w:r>
      <w:r w:rsidRPr="00DF5C23">
        <w:rPr>
          <w:noProof/>
          <w:lang w:eastAsia="ja-JP"/>
        </w:rPr>
        <w:t>2024</w:t>
      </w:r>
      <w:r w:rsidRPr="00DF5C23">
        <w:rPr>
          <w:noProof/>
          <w:lang w:eastAsia="ja-JP"/>
        </w:rPr>
        <w:t>年から</w:t>
      </w:r>
      <w:r w:rsidRPr="00DF5C23">
        <w:rPr>
          <w:noProof/>
          <w:lang w:eastAsia="ja-JP"/>
        </w:rPr>
        <w:t>2027</w:t>
      </w:r>
      <w:r w:rsidRPr="00DF5C23">
        <w:rPr>
          <w:noProof/>
          <w:lang w:eastAsia="ja-JP"/>
        </w:rPr>
        <w:t>年にかけては、範囲が拡大し、ステークホルダーに新しい枠組みを提示し説明する必要があるため、</w:t>
      </w:r>
      <w:r w:rsidRPr="00DF5C23">
        <w:rPr>
          <w:noProof/>
          <w:lang w:eastAsia="ja-JP"/>
        </w:rPr>
        <w:t>2</w:t>
      </w:r>
      <w:r w:rsidRPr="00DF5C23">
        <w:rPr>
          <w:noProof/>
          <w:lang w:eastAsia="ja-JP"/>
        </w:rPr>
        <w:t>倍になるとされて</w:t>
      </w:r>
      <w:r w:rsidR="002041D4">
        <w:rPr>
          <w:noProof/>
          <w:lang w:eastAsia="ja-JP"/>
        </w:rPr>
        <w:t>いる。</w:t>
      </w:r>
    </w:p>
    <w:p w14:paraId="7EE0C67B" w14:textId="77777777" w:rsidR="0038775E" w:rsidRDefault="00DD43D3" w:rsidP="002041D4">
      <w:pPr>
        <w:pStyle w:val="Tiret1"/>
        <w:pBdr>
          <w:top w:val="single" w:sz="4" w:space="1" w:color="auto"/>
          <w:left w:val="single" w:sz="4" w:space="1" w:color="auto"/>
          <w:bottom w:val="single" w:sz="4" w:space="1" w:color="auto"/>
          <w:right w:val="single" w:sz="4" w:space="1" w:color="auto"/>
        </w:pBdr>
        <w:wordWrap w:val="0"/>
        <w:rPr>
          <w:noProof/>
          <w:lang w:eastAsia="ja-JP"/>
        </w:rPr>
      </w:pPr>
      <w:r w:rsidRPr="00DF5C23">
        <w:rPr>
          <w:noProof/>
          <w:lang w:eastAsia="ja-JP"/>
        </w:rPr>
        <w:t>エコデザインフォーラムの</w:t>
      </w:r>
      <w:r w:rsidR="00877B9C" w:rsidRPr="00DF5C23">
        <w:rPr>
          <w:noProof/>
          <w:lang w:eastAsia="ja-JP"/>
        </w:rPr>
        <w:t>会議費用は、</w:t>
      </w:r>
      <w:r w:rsidR="00877B9C" w:rsidRPr="00DF5C23">
        <w:rPr>
          <w:noProof/>
          <w:lang w:eastAsia="ja-JP"/>
        </w:rPr>
        <w:t>DG ENER</w:t>
      </w:r>
      <w:r w:rsidR="00877B9C" w:rsidRPr="00DF5C23">
        <w:rPr>
          <w:noProof/>
          <w:lang w:eastAsia="ja-JP"/>
        </w:rPr>
        <w:t>の現在の費用に基づき、対象製品の増加に伴い、会議の頻度を年平均</w:t>
      </w:r>
      <w:r w:rsidR="00877B9C" w:rsidRPr="00DF5C23">
        <w:rPr>
          <w:noProof/>
          <w:lang w:eastAsia="ja-JP"/>
        </w:rPr>
        <w:t>6</w:t>
      </w:r>
      <w:r w:rsidR="00877B9C" w:rsidRPr="00DF5C23">
        <w:rPr>
          <w:noProof/>
          <w:lang w:eastAsia="ja-JP"/>
        </w:rPr>
        <w:t>回から</w:t>
      </w:r>
      <w:r w:rsidR="00877B9C" w:rsidRPr="00DF5C23">
        <w:rPr>
          <w:noProof/>
          <w:lang w:eastAsia="ja-JP"/>
        </w:rPr>
        <w:t>9</w:t>
      </w:r>
      <w:r w:rsidR="00877B9C" w:rsidRPr="00DF5C23">
        <w:rPr>
          <w:noProof/>
          <w:lang w:eastAsia="ja-JP"/>
        </w:rPr>
        <w:t>回に増加させる。</w:t>
      </w:r>
      <w:r w:rsidR="00877B9C" w:rsidRPr="00DF5C23">
        <w:rPr>
          <w:noProof/>
          <w:lang w:eastAsia="ja-JP"/>
        </w:rPr>
        <w:t xml:space="preserve"> </w:t>
      </w:r>
    </w:p>
    <w:p w14:paraId="102B4DFA" w14:textId="77777777" w:rsidR="0038775E" w:rsidRDefault="00877B9C" w:rsidP="002041D4">
      <w:pPr>
        <w:pStyle w:val="Tiret1"/>
        <w:pBdr>
          <w:top w:val="single" w:sz="4" w:space="1" w:color="auto"/>
          <w:left w:val="single" w:sz="4" w:space="1" w:color="auto"/>
          <w:bottom w:val="single" w:sz="4" w:space="1" w:color="auto"/>
          <w:right w:val="single" w:sz="4" w:space="1" w:color="auto"/>
        </w:pBdr>
        <w:wordWrap w:val="0"/>
        <w:rPr>
          <w:noProof/>
          <w:lang w:eastAsia="ja-JP"/>
        </w:rPr>
      </w:pPr>
      <w:r w:rsidRPr="00DF5C23">
        <w:rPr>
          <w:noProof/>
          <w:lang w:eastAsia="ja-JP"/>
        </w:rPr>
        <w:t>専門家グループの費用は、エコデザイン委員会に関連する現在の費用に基づき、会議の頻度を同じように増やした。実施法に関連する委員会の費用は、</w:t>
      </w:r>
      <w:r w:rsidRPr="00DF5C23">
        <w:rPr>
          <w:noProof/>
          <w:lang w:eastAsia="ja-JP"/>
        </w:rPr>
        <w:t>DG ENV</w:t>
      </w:r>
      <w:r w:rsidRPr="00DF5C23">
        <w:rPr>
          <w:noProof/>
          <w:lang w:eastAsia="ja-JP"/>
        </w:rPr>
        <w:t>にお</w:t>
      </w:r>
      <w:r w:rsidRPr="00DF5C23">
        <w:rPr>
          <w:noProof/>
          <w:lang w:eastAsia="ja-JP"/>
        </w:rPr>
        <w:t>ける同等の費用に基づき、実施法が作成されるべき</w:t>
      </w:r>
      <w:r w:rsidRPr="00DF5C23">
        <w:rPr>
          <w:noProof/>
          <w:lang w:eastAsia="ja-JP"/>
        </w:rPr>
        <w:t>2024</w:t>
      </w:r>
      <w:r w:rsidRPr="00DF5C23">
        <w:rPr>
          <w:noProof/>
          <w:lang w:eastAsia="ja-JP"/>
        </w:rPr>
        <w:t>年から</w:t>
      </w:r>
      <w:r w:rsidRPr="00DF5C23">
        <w:rPr>
          <w:noProof/>
          <w:lang w:eastAsia="ja-JP"/>
        </w:rPr>
        <w:t>2026</w:t>
      </w:r>
      <w:r w:rsidRPr="00DF5C23">
        <w:rPr>
          <w:noProof/>
          <w:lang w:eastAsia="ja-JP"/>
        </w:rPr>
        <w:t>年の期間について見積もられたものである。</w:t>
      </w:r>
    </w:p>
    <w:p w14:paraId="685B3BDF" w14:textId="77777777" w:rsidR="0038775E" w:rsidRDefault="00877B9C" w:rsidP="002041D4">
      <w:pPr>
        <w:pBdr>
          <w:top w:val="single" w:sz="4" w:space="1" w:color="auto"/>
          <w:left w:val="single" w:sz="4" w:space="1" w:color="auto"/>
          <w:bottom w:val="single" w:sz="4" w:space="1" w:color="auto"/>
          <w:right w:val="single" w:sz="4" w:space="1" w:color="auto"/>
        </w:pBdr>
        <w:wordWrap w:val="0"/>
        <w:ind w:left="850"/>
        <w:rPr>
          <w:rFonts w:eastAsia="Calibri"/>
          <w:noProof/>
          <w:lang w:eastAsia="ja-JP"/>
        </w:rPr>
      </w:pPr>
      <w:r w:rsidRPr="00DF5C23">
        <w:rPr>
          <w:rFonts w:eastAsia="Calibri"/>
          <w:noProof/>
          <w:lang w:eastAsia="ja-JP"/>
        </w:rPr>
        <w:t>業務支出に関しては、以下の仮説を保持しています：</w:t>
      </w:r>
    </w:p>
    <w:p w14:paraId="0F14C1DE" w14:textId="77777777" w:rsidR="0038775E" w:rsidRDefault="00877B9C" w:rsidP="002041D4">
      <w:pPr>
        <w:pStyle w:val="Tiret1"/>
        <w:pBdr>
          <w:top w:val="single" w:sz="4" w:space="1" w:color="auto"/>
          <w:left w:val="single" w:sz="4" w:space="1" w:color="auto"/>
          <w:bottom w:val="single" w:sz="4" w:space="1" w:color="auto"/>
          <w:right w:val="single" w:sz="4" w:space="1" w:color="auto"/>
        </w:pBdr>
        <w:wordWrap w:val="0"/>
        <w:rPr>
          <w:noProof/>
          <w:lang w:eastAsia="ja-JP"/>
        </w:rPr>
      </w:pPr>
      <w:r w:rsidRPr="00DF5C23">
        <w:rPr>
          <w:noProof/>
          <w:lang w:eastAsia="ja-JP"/>
        </w:rPr>
        <w:lastRenderedPageBreak/>
        <w:t>各レビューには、エコデザインにおける現在の費用に基づく</w:t>
      </w:r>
      <w:r w:rsidRPr="00DF5C23">
        <w:rPr>
          <w:noProof/>
          <w:lang w:eastAsia="ja-JP"/>
        </w:rPr>
        <w:t>30</w:t>
      </w:r>
      <w:r w:rsidRPr="00DF5C23">
        <w:rPr>
          <w:noProof/>
          <w:lang w:eastAsia="ja-JP"/>
        </w:rPr>
        <w:t>万ユーロの支援調査、各新製品には、エコデザインにおける現在の準備調査よりも複雑になると予想される</w:t>
      </w:r>
      <w:r w:rsidRPr="00DF5C23">
        <w:rPr>
          <w:noProof/>
          <w:lang w:eastAsia="ja-JP"/>
        </w:rPr>
        <w:t>40</w:t>
      </w:r>
      <w:r w:rsidRPr="00DF5C23">
        <w:rPr>
          <w:noProof/>
          <w:lang w:eastAsia="ja-JP"/>
        </w:rPr>
        <w:t>万ユーロの支援調査、および新製品の半数に予想される、必要に応じて製品環境フットプリント区分規則を作成するための追加費用</w:t>
      </w:r>
      <w:r w:rsidRPr="00DF5C23">
        <w:rPr>
          <w:noProof/>
          <w:lang w:eastAsia="ja-JP"/>
        </w:rPr>
        <w:t>80</w:t>
      </w:r>
      <w:r w:rsidRPr="00DF5C23">
        <w:rPr>
          <w:noProof/>
          <w:lang w:eastAsia="ja-JP"/>
        </w:rPr>
        <w:t>万ユーロ。レビューと準備調査の時期は、スタッフの場合と同じ仮説にしたが、</w:t>
      </w:r>
      <w:r w:rsidRPr="00DF5C23">
        <w:rPr>
          <w:noProof/>
          <w:lang w:eastAsia="ja-JP"/>
        </w:rPr>
        <w:t>対応予算は採用予定日の</w:t>
      </w:r>
      <w:r w:rsidRPr="00DF5C23">
        <w:rPr>
          <w:noProof/>
          <w:lang w:eastAsia="ja-JP"/>
        </w:rPr>
        <w:t>2</w:t>
      </w:r>
      <w:r w:rsidRPr="00DF5C23">
        <w:rPr>
          <w:noProof/>
          <w:lang w:eastAsia="ja-JP"/>
        </w:rPr>
        <w:t>年前に計上する。</w:t>
      </w:r>
    </w:p>
    <w:p w14:paraId="2A5E0BAF" w14:textId="77777777" w:rsidR="0038775E" w:rsidRDefault="00877B9C" w:rsidP="002041D4">
      <w:pPr>
        <w:pStyle w:val="Tiret1"/>
        <w:pBdr>
          <w:top w:val="single" w:sz="4" w:space="1" w:color="auto"/>
          <w:left w:val="single" w:sz="4" w:space="1" w:color="auto"/>
          <w:bottom w:val="single" w:sz="4" w:space="1" w:color="auto"/>
          <w:right w:val="single" w:sz="4" w:space="1" w:color="auto"/>
        </w:pBdr>
        <w:wordWrap w:val="0"/>
        <w:rPr>
          <w:noProof/>
          <w:lang w:eastAsia="ja-JP"/>
        </w:rPr>
      </w:pPr>
      <w:r w:rsidRPr="00DF5C23">
        <w:rPr>
          <w:noProof/>
          <w:lang w:eastAsia="ja-JP"/>
        </w:rPr>
        <w:t>方法論、作業計画、市場サーベイランスなどの水平的な研究は、</w:t>
      </w:r>
      <w:r w:rsidRPr="00DF5C23">
        <w:rPr>
          <w:noProof/>
          <w:lang w:eastAsia="ja-JP"/>
        </w:rPr>
        <w:t>2022</w:t>
      </w:r>
      <w:r w:rsidRPr="00DF5C23">
        <w:rPr>
          <w:noProof/>
          <w:lang w:eastAsia="ja-JP"/>
        </w:rPr>
        <w:t>年から</w:t>
      </w:r>
      <w:r w:rsidRPr="00DF5C23">
        <w:rPr>
          <w:noProof/>
          <w:lang w:eastAsia="ja-JP"/>
        </w:rPr>
        <w:t>2024</w:t>
      </w:r>
      <w:r w:rsidRPr="00DF5C23">
        <w:rPr>
          <w:noProof/>
          <w:lang w:eastAsia="ja-JP"/>
        </w:rPr>
        <w:t>年にかけて、</w:t>
      </w:r>
      <w:r w:rsidR="00397ED5" w:rsidRPr="00DF5C23">
        <w:rPr>
          <w:noProof/>
          <w:lang w:eastAsia="ja-JP"/>
        </w:rPr>
        <w:t>DG GROW</w:t>
      </w:r>
      <w:r w:rsidR="00397ED5" w:rsidRPr="00DF5C23">
        <w:rPr>
          <w:noProof/>
          <w:lang w:eastAsia="ja-JP"/>
        </w:rPr>
        <w:t>と</w:t>
      </w:r>
      <w:r w:rsidR="00397ED5" w:rsidRPr="00DF5C23">
        <w:rPr>
          <w:noProof/>
          <w:lang w:eastAsia="ja-JP"/>
        </w:rPr>
        <w:t>DG ENV</w:t>
      </w:r>
      <w:r w:rsidR="00397ED5" w:rsidRPr="00DF5C23">
        <w:rPr>
          <w:noProof/>
          <w:lang w:eastAsia="ja-JP"/>
        </w:rPr>
        <w:t>で</w:t>
      </w:r>
      <w:r w:rsidRPr="00DF5C23">
        <w:rPr>
          <w:noProof/>
          <w:lang w:eastAsia="ja-JP"/>
        </w:rPr>
        <w:t>分担して年間約</w:t>
      </w:r>
      <w:r w:rsidRPr="00DF5C23">
        <w:rPr>
          <w:noProof/>
          <w:lang w:eastAsia="ja-JP"/>
        </w:rPr>
        <w:t>100</w:t>
      </w:r>
      <w:r w:rsidRPr="00DF5C23">
        <w:rPr>
          <w:noProof/>
          <w:lang w:eastAsia="ja-JP"/>
        </w:rPr>
        <w:t>万ユーロを要すると推定される；</w:t>
      </w:r>
    </w:p>
    <w:p w14:paraId="74F30E97" w14:textId="77777777" w:rsidR="0038775E" w:rsidRDefault="00877B9C" w:rsidP="002041D4">
      <w:pPr>
        <w:pStyle w:val="Tiret1"/>
        <w:pBdr>
          <w:top w:val="single" w:sz="4" w:space="1" w:color="auto"/>
          <w:left w:val="single" w:sz="4" w:space="1" w:color="auto"/>
          <w:bottom w:val="single" w:sz="4" w:space="1" w:color="auto"/>
          <w:right w:val="single" w:sz="4" w:space="1" w:color="auto"/>
        </w:pBdr>
        <w:wordWrap w:val="0"/>
        <w:rPr>
          <w:noProof/>
          <w:lang w:eastAsia="ja-JP"/>
        </w:rPr>
      </w:pPr>
      <w:r w:rsidRPr="00DF5C23">
        <w:rPr>
          <w:noProof/>
          <w:lang w:eastAsia="ja-JP"/>
        </w:rPr>
        <w:t>DG GROW</w:t>
      </w:r>
      <w:r w:rsidRPr="00DF5C23">
        <w:rPr>
          <w:noProof/>
          <w:lang w:eastAsia="ja-JP"/>
        </w:rPr>
        <w:t>の調整のもと、デジタル製品パスポートの準備に特化した研究が必要となる：データキャリア、アクセス権、セキュリティ、データ管理、レジストリに関する</w:t>
      </w:r>
      <w:r w:rsidRPr="00DF5C23">
        <w:rPr>
          <w:noProof/>
          <w:lang w:eastAsia="ja-JP"/>
        </w:rPr>
        <w:t>3</w:t>
      </w:r>
      <w:r w:rsidRPr="00DF5C23">
        <w:rPr>
          <w:noProof/>
          <w:lang w:eastAsia="ja-JP"/>
        </w:rPr>
        <w:t>つのサポートスタディと</w:t>
      </w:r>
      <w:r w:rsidRPr="00DF5C23">
        <w:rPr>
          <w:noProof/>
          <w:lang w:eastAsia="ja-JP"/>
        </w:rPr>
        <w:t>IT</w:t>
      </w:r>
      <w:r w:rsidRPr="00DF5C23">
        <w:rPr>
          <w:noProof/>
          <w:lang w:eastAsia="ja-JP"/>
        </w:rPr>
        <w:t>開発：</w:t>
      </w:r>
      <w:r w:rsidRPr="00DF5C23">
        <w:rPr>
          <w:noProof/>
          <w:lang w:eastAsia="ja-JP"/>
        </w:rPr>
        <w:t>2022</w:t>
      </w:r>
      <w:r w:rsidRPr="00DF5C23">
        <w:rPr>
          <w:noProof/>
          <w:lang w:eastAsia="ja-JP"/>
        </w:rPr>
        <w:t>年から</w:t>
      </w:r>
      <w:r w:rsidRPr="00DF5C23">
        <w:rPr>
          <w:noProof/>
          <w:lang w:eastAsia="ja-JP"/>
        </w:rPr>
        <w:t>2024</w:t>
      </w:r>
      <w:r w:rsidRPr="00DF5C23">
        <w:rPr>
          <w:noProof/>
          <w:lang w:eastAsia="ja-JP"/>
        </w:rPr>
        <w:t>年まで</w:t>
      </w:r>
      <w:r w:rsidRPr="00DF5C23">
        <w:rPr>
          <w:noProof/>
          <w:lang w:eastAsia="ja-JP"/>
        </w:rPr>
        <w:t>1M</w:t>
      </w:r>
      <w:r w:rsidRPr="00DF5C23">
        <w:rPr>
          <w:noProof/>
          <w:lang w:eastAsia="ja-JP"/>
        </w:rPr>
        <w:t>ユーロ、</w:t>
      </w:r>
      <w:r w:rsidR="00463675" w:rsidRPr="00DF5C23">
        <w:rPr>
          <w:noProof/>
          <w:lang w:eastAsia="ja-JP"/>
        </w:rPr>
        <w:t>製品</w:t>
      </w:r>
      <w:r w:rsidRPr="00DF5C23">
        <w:rPr>
          <w:noProof/>
          <w:lang w:eastAsia="ja-JP"/>
        </w:rPr>
        <w:t>パスポートレジストリのメンテナンスは</w:t>
      </w:r>
      <w:r w:rsidRPr="00DF5C23">
        <w:rPr>
          <w:noProof/>
          <w:lang w:eastAsia="ja-JP"/>
        </w:rPr>
        <w:t>2025</w:t>
      </w:r>
      <w:r w:rsidRPr="00DF5C23">
        <w:rPr>
          <w:noProof/>
          <w:lang w:eastAsia="ja-JP"/>
        </w:rPr>
        <w:t>年から</w:t>
      </w:r>
      <w:r w:rsidRPr="00DF5C23">
        <w:rPr>
          <w:noProof/>
          <w:lang w:eastAsia="ja-JP"/>
        </w:rPr>
        <w:t>2026</w:t>
      </w:r>
      <w:r w:rsidRPr="00DF5C23">
        <w:rPr>
          <w:noProof/>
          <w:lang w:eastAsia="ja-JP"/>
        </w:rPr>
        <w:t>年ま</w:t>
      </w:r>
      <w:r w:rsidRPr="00DF5C23">
        <w:rPr>
          <w:noProof/>
          <w:lang w:eastAsia="ja-JP"/>
        </w:rPr>
        <w:t>で</w:t>
      </w:r>
      <w:r w:rsidRPr="00DF5C23">
        <w:rPr>
          <w:noProof/>
          <w:lang w:eastAsia="ja-JP"/>
        </w:rPr>
        <w:t>0.1M</w:t>
      </w:r>
      <w:r w:rsidRPr="00DF5C23">
        <w:rPr>
          <w:noProof/>
          <w:lang w:eastAsia="ja-JP"/>
        </w:rPr>
        <w:t>ユーロと見積もられている。デジタル製品パスポートの準備には、</w:t>
      </w:r>
      <w:r w:rsidRPr="00DF5C23">
        <w:rPr>
          <w:noProof/>
          <w:lang w:eastAsia="ja-JP"/>
        </w:rPr>
        <w:t>SCIP</w:t>
      </w:r>
      <w:r w:rsidRPr="00DF5C23">
        <w:rPr>
          <w:noProof/>
          <w:lang w:eastAsia="ja-JP"/>
        </w:rPr>
        <w:t>高懸念物質データベース用の</w:t>
      </w:r>
      <w:r w:rsidRPr="00DF5C23">
        <w:rPr>
          <w:noProof/>
          <w:lang w:eastAsia="ja-JP"/>
        </w:rPr>
        <w:t>IT</w:t>
      </w:r>
      <w:r w:rsidRPr="00DF5C23">
        <w:rPr>
          <w:noProof/>
          <w:lang w:eastAsia="ja-JP"/>
        </w:rPr>
        <w:t>開発も必要かもしれないが、この財務諸表作成時点では正確な評価はできていない。</w:t>
      </w:r>
      <w:r w:rsidR="00CB3E24" w:rsidRPr="00DF5C23">
        <w:rPr>
          <w:noProof/>
          <w:lang w:eastAsia="ja-JP"/>
        </w:rPr>
        <w:t>IT</w:t>
      </w:r>
      <w:r w:rsidR="00CB3E24" w:rsidRPr="00DF5C23">
        <w:rPr>
          <w:noProof/>
          <w:lang w:eastAsia="ja-JP"/>
        </w:rPr>
        <w:t>開発および調達選択は欧州委員会の情報技術・サイバーセキュリティ委員会による事前承認の対象とすることになっている。</w:t>
      </w:r>
    </w:p>
    <w:p w14:paraId="2B83A4C7" w14:textId="77777777" w:rsidR="0038775E" w:rsidRDefault="00877B9C" w:rsidP="002041D4">
      <w:pPr>
        <w:pStyle w:val="Tiret1"/>
        <w:pBdr>
          <w:top w:val="single" w:sz="4" w:space="1" w:color="auto"/>
          <w:left w:val="single" w:sz="4" w:space="1" w:color="auto"/>
          <w:bottom w:val="single" w:sz="4" w:space="1" w:color="auto"/>
          <w:right w:val="single" w:sz="4" w:space="1" w:color="auto"/>
        </w:pBdr>
        <w:wordWrap w:val="0"/>
        <w:rPr>
          <w:noProof/>
          <w:lang w:eastAsia="ja-JP"/>
        </w:rPr>
      </w:pPr>
      <w:r w:rsidRPr="00DF5C23">
        <w:rPr>
          <w:noProof/>
          <w:lang w:eastAsia="ja-JP"/>
        </w:rPr>
        <w:t>2024</w:t>
      </w:r>
      <w:r w:rsidRPr="00DF5C23">
        <w:rPr>
          <w:noProof/>
          <w:lang w:eastAsia="ja-JP"/>
        </w:rPr>
        <w:t>年から</w:t>
      </w:r>
      <w:r w:rsidRPr="00DF5C23">
        <w:rPr>
          <w:noProof/>
          <w:lang w:eastAsia="ja-JP"/>
        </w:rPr>
        <w:t>2027</w:t>
      </w:r>
      <w:r w:rsidRPr="00DF5C23">
        <w:rPr>
          <w:noProof/>
          <w:lang w:eastAsia="ja-JP"/>
        </w:rPr>
        <w:t>年まで、</w:t>
      </w:r>
      <w:r w:rsidRPr="00DF5C23">
        <w:rPr>
          <w:noProof/>
          <w:lang w:eastAsia="ja-JP"/>
        </w:rPr>
        <w:t>DG GROW</w:t>
      </w:r>
      <w:r w:rsidRPr="00DF5C23">
        <w:rPr>
          <w:noProof/>
          <w:lang w:eastAsia="ja-JP"/>
        </w:rPr>
        <w:t>の予算枠で、サーキュラー・ビジネスモデル・ハブの管理・技術支援を</w:t>
      </w:r>
      <w:r w:rsidRPr="00DF5C23">
        <w:rPr>
          <w:noProof/>
          <w:lang w:eastAsia="ja-JP"/>
        </w:rPr>
        <w:t>0.5M</w:t>
      </w:r>
      <w:r w:rsidRPr="00DF5C23">
        <w:rPr>
          <w:noProof/>
          <w:lang w:eastAsia="ja-JP"/>
        </w:rPr>
        <w:t>ユーロと推定している；</w:t>
      </w:r>
    </w:p>
    <w:p w14:paraId="74552BC0" w14:textId="77777777" w:rsidR="0038775E" w:rsidRDefault="00877B9C" w:rsidP="002041D4">
      <w:pPr>
        <w:pStyle w:val="Tiret1"/>
        <w:pBdr>
          <w:top w:val="single" w:sz="4" w:space="1" w:color="auto"/>
          <w:left w:val="single" w:sz="4" w:space="1" w:color="auto"/>
          <w:bottom w:val="single" w:sz="4" w:space="1" w:color="auto"/>
          <w:right w:val="single" w:sz="4" w:space="1" w:color="auto"/>
        </w:pBdr>
        <w:wordWrap w:val="0"/>
        <w:rPr>
          <w:noProof/>
          <w:lang w:eastAsia="ja-JP"/>
        </w:rPr>
      </w:pPr>
      <w:r w:rsidRPr="00DF5C23">
        <w:rPr>
          <w:noProof/>
          <w:lang w:eastAsia="ja-JP"/>
        </w:rPr>
        <w:t>市場監視と税関への支援は、ガイダンスと実施法（水平的研究に含まれる）の</w:t>
      </w:r>
      <w:r w:rsidRPr="00DF5C23">
        <w:rPr>
          <w:noProof/>
          <w:lang w:eastAsia="ja-JP"/>
        </w:rPr>
        <w:t>形をとるが、研修の提供、協力への技術支援、共同適合試験の支援などのプロジェクトも含まれる。</w:t>
      </w:r>
      <w:r w:rsidRPr="00DF5C23">
        <w:rPr>
          <w:noProof/>
          <w:lang w:eastAsia="ja-JP"/>
        </w:rPr>
        <w:t>2024</w:t>
      </w:r>
      <w:r w:rsidRPr="00DF5C23">
        <w:rPr>
          <w:noProof/>
          <w:lang w:eastAsia="ja-JP"/>
        </w:rPr>
        <w:t>年に</w:t>
      </w:r>
      <w:r w:rsidRPr="00DF5C23">
        <w:rPr>
          <w:noProof/>
          <w:lang w:eastAsia="ja-JP"/>
        </w:rPr>
        <w:t>3M</w:t>
      </w:r>
      <w:r w:rsidRPr="00DF5C23">
        <w:rPr>
          <w:noProof/>
          <w:lang w:eastAsia="ja-JP"/>
        </w:rPr>
        <w:t>ユーロ、</w:t>
      </w:r>
      <w:r w:rsidRPr="00DF5C23">
        <w:rPr>
          <w:noProof/>
          <w:lang w:eastAsia="ja-JP"/>
        </w:rPr>
        <w:t>2027</w:t>
      </w:r>
      <w:r w:rsidRPr="00DF5C23">
        <w:rPr>
          <w:noProof/>
          <w:lang w:eastAsia="ja-JP"/>
        </w:rPr>
        <w:t>年に</w:t>
      </w:r>
      <w:r w:rsidRPr="00DF5C23">
        <w:rPr>
          <w:noProof/>
          <w:lang w:eastAsia="ja-JP"/>
        </w:rPr>
        <w:t>9M</w:t>
      </w:r>
      <w:r w:rsidRPr="00DF5C23">
        <w:rPr>
          <w:noProof/>
          <w:lang w:eastAsia="ja-JP"/>
        </w:rPr>
        <w:t>ユーロに増加する予算を、</w:t>
      </w:r>
      <w:r w:rsidRPr="00DF5C23">
        <w:rPr>
          <w:noProof/>
          <w:lang w:eastAsia="ja-JP"/>
        </w:rPr>
        <w:t>3</w:t>
      </w:r>
      <w:r w:rsidRPr="00DF5C23">
        <w:rPr>
          <w:noProof/>
          <w:lang w:eastAsia="ja-JP"/>
        </w:rPr>
        <w:t>主管庁間で配分し、</w:t>
      </w:r>
      <w:r w:rsidRPr="00DF5C23">
        <w:rPr>
          <w:noProof/>
          <w:lang w:eastAsia="ja-JP"/>
        </w:rPr>
        <w:t>2024</w:t>
      </w:r>
      <w:r w:rsidRPr="00DF5C23">
        <w:rPr>
          <w:noProof/>
          <w:lang w:eastAsia="ja-JP"/>
        </w:rPr>
        <w:t>年から</w:t>
      </w:r>
      <w:r w:rsidRPr="00DF5C23">
        <w:rPr>
          <w:noProof/>
          <w:lang w:eastAsia="ja-JP"/>
        </w:rPr>
        <w:t>2027</w:t>
      </w:r>
      <w:r w:rsidRPr="00DF5C23">
        <w:rPr>
          <w:noProof/>
          <w:lang w:eastAsia="ja-JP"/>
        </w:rPr>
        <w:t>年の間に毎年</w:t>
      </w:r>
      <w:r w:rsidRPr="00DF5C23">
        <w:rPr>
          <w:noProof/>
          <w:lang w:eastAsia="ja-JP"/>
        </w:rPr>
        <w:t>3</w:t>
      </w:r>
      <w:r w:rsidRPr="00DF5C23">
        <w:rPr>
          <w:noProof/>
          <w:lang w:eastAsia="ja-JP"/>
        </w:rPr>
        <w:t>～</w:t>
      </w:r>
      <w:r w:rsidRPr="00DF5C23">
        <w:rPr>
          <w:noProof/>
          <w:lang w:eastAsia="ja-JP"/>
        </w:rPr>
        <w:t>10</w:t>
      </w:r>
      <w:r w:rsidRPr="00DF5C23">
        <w:rPr>
          <w:noProof/>
          <w:lang w:eastAsia="ja-JP"/>
        </w:rPr>
        <w:t>プロジェクトに割り当てるべきである。</w:t>
      </w:r>
    </w:p>
    <w:p w14:paraId="027C4D34" w14:textId="77777777" w:rsidR="0038775E" w:rsidRDefault="00877B9C" w:rsidP="002041D4">
      <w:pPr>
        <w:pStyle w:val="Tiret1"/>
        <w:pBdr>
          <w:top w:val="single" w:sz="4" w:space="1" w:color="auto"/>
          <w:left w:val="single" w:sz="4" w:space="1" w:color="auto"/>
          <w:bottom w:val="single" w:sz="4" w:space="1" w:color="auto"/>
          <w:right w:val="single" w:sz="4" w:space="1" w:color="auto"/>
        </w:pBdr>
        <w:wordWrap w:val="0"/>
        <w:rPr>
          <w:noProof/>
          <w:lang w:eastAsia="ja-JP"/>
        </w:rPr>
      </w:pPr>
      <w:r w:rsidRPr="00DF5C23">
        <w:rPr>
          <w:noProof/>
          <w:lang w:eastAsia="ja-JP"/>
        </w:rPr>
        <w:t>製品に関する新たな要件は、</w:t>
      </w:r>
      <w:r w:rsidRPr="00DF5C23">
        <w:rPr>
          <w:iCs/>
          <w:noProof/>
          <w:lang w:val="en-US" w:eastAsia="ja-JP"/>
        </w:rPr>
        <w:t>DG TAXUD</w:t>
      </w:r>
      <w:r w:rsidRPr="00DF5C23">
        <w:rPr>
          <w:iCs/>
          <w:noProof/>
          <w:lang w:val="en-US" w:eastAsia="ja-JP"/>
        </w:rPr>
        <w:t>の</w:t>
      </w:r>
      <w:r w:rsidRPr="00DF5C23">
        <w:rPr>
          <w:iCs/>
          <w:noProof/>
          <w:lang w:val="en-US" w:eastAsia="ja-JP"/>
        </w:rPr>
        <w:t>EU Customs Single Window-CERTEX</w:t>
      </w:r>
      <w:r w:rsidRPr="00DF5C23">
        <w:rPr>
          <w:iCs/>
          <w:noProof/>
          <w:lang w:val="en-US" w:eastAsia="ja-JP"/>
        </w:rPr>
        <w:t>活動に関する</w:t>
      </w:r>
      <w:r w:rsidRPr="00DF5C23">
        <w:rPr>
          <w:noProof/>
          <w:lang w:eastAsia="ja-JP"/>
        </w:rPr>
        <w:t>IT</w:t>
      </w:r>
      <w:r w:rsidRPr="00DF5C23">
        <w:rPr>
          <w:noProof/>
          <w:lang w:eastAsia="ja-JP"/>
        </w:rPr>
        <w:t>開発も必要となる可能性があり、</w:t>
      </w:r>
      <w:r w:rsidRPr="00DF5C23">
        <w:rPr>
          <w:noProof/>
          <w:lang w:val="en-US" w:eastAsia="ja-JP"/>
        </w:rPr>
        <w:t>2023</w:t>
      </w:r>
      <w:r w:rsidRPr="00DF5C23">
        <w:rPr>
          <w:noProof/>
          <w:lang w:val="en-US" w:eastAsia="ja-JP"/>
        </w:rPr>
        <w:t>年から</w:t>
      </w:r>
      <w:r w:rsidRPr="00DF5C23">
        <w:rPr>
          <w:noProof/>
          <w:lang w:val="en-US" w:eastAsia="ja-JP"/>
        </w:rPr>
        <w:t>2027</w:t>
      </w:r>
      <w:r w:rsidRPr="00DF5C23">
        <w:rPr>
          <w:noProof/>
          <w:lang w:val="en-US" w:eastAsia="ja-JP"/>
        </w:rPr>
        <w:t>年までに</w:t>
      </w:r>
      <w:r w:rsidR="0031325D" w:rsidRPr="00DF5C23">
        <w:rPr>
          <w:noProof/>
          <w:lang w:val="en-US" w:eastAsia="ja-JP"/>
        </w:rPr>
        <w:t>合計</w:t>
      </w:r>
      <w:r w:rsidRPr="00DF5C23">
        <w:rPr>
          <w:noProof/>
          <w:lang w:val="en-US" w:eastAsia="ja-JP"/>
        </w:rPr>
        <w:t>12</w:t>
      </w:r>
      <w:r w:rsidRPr="00DF5C23">
        <w:rPr>
          <w:noProof/>
          <w:lang w:val="en-US" w:eastAsia="ja-JP"/>
        </w:rPr>
        <w:t>億</w:t>
      </w:r>
      <w:r w:rsidRPr="00DF5C23">
        <w:rPr>
          <w:noProof/>
          <w:lang w:val="en-US" w:eastAsia="ja-JP"/>
        </w:rPr>
        <w:t>5000</w:t>
      </w:r>
      <w:r w:rsidRPr="00DF5C23">
        <w:rPr>
          <w:noProof/>
          <w:lang w:val="en-US" w:eastAsia="ja-JP"/>
        </w:rPr>
        <w:t>万ユーロが必要となり、運用開始後は年間</w:t>
      </w:r>
      <w:r w:rsidRPr="00DF5C23">
        <w:rPr>
          <w:noProof/>
          <w:lang w:val="en-US" w:eastAsia="ja-JP"/>
        </w:rPr>
        <w:t>160k</w:t>
      </w:r>
      <w:r w:rsidRPr="00DF5C23">
        <w:rPr>
          <w:noProof/>
          <w:lang w:val="en-US" w:eastAsia="ja-JP"/>
        </w:rPr>
        <w:t>ユーロの保守</w:t>
      </w:r>
      <w:r w:rsidRPr="00DF5C23">
        <w:rPr>
          <w:noProof/>
          <w:lang w:val="en-US" w:eastAsia="ja-JP"/>
        </w:rPr>
        <w:t>料が必要となる。</w:t>
      </w:r>
      <w:r w:rsidR="00CB3E24" w:rsidRPr="00DF5C23">
        <w:rPr>
          <w:noProof/>
          <w:lang w:eastAsia="ja-JP"/>
        </w:rPr>
        <w:t>IT</w:t>
      </w:r>
      <w:r w:rsidR="00CB3E24" w:rsidRPr="00DF5C23">
        <w:rPr>
          <w:noProof/>
          <w:lang w:eastAsia="ja-JP"/>
        </w:rPr>
        <w:t>開発および調達の選択は、欧州委員会の情報技術・サイバーセキュリティ委員会による事前承認が必要となる。</w:t>
      </w:r>
    </w:p>
    <w:p w14:paraId="75AA7F75" w14:textId="008CD7C6" w:rsidR="0038775E" w:rsidRDefault="00877B9C" w:rsidP="002041D4">
      <w:pPr>
        <w:pBdr>
          <w:top w:val="single" w:sz="4" w:space="1" w:color="auto"/>
          <w:left w:val="single" w:sz="4" w:space="1" w:color="auto"/>
          <w:bottom w:val="single" w:sz="4" w:space="1" w:color="auto"/>
          <w:right w:val="single" w:sz="4" w:space="1" w:color="auto"/>
        </w:pBdr>
        <w:wordWrap w:val="0"/>
        <w:ind w:left="850"/>
        <w:rPr>
          <w:rFonts w:eastAsia="Calibri"/>
          <w:noProof/>
          <w:lang w:eastAsia="ja-JP"/>
        </w:rPr>
      </w:pPr>
      <w:r w:rsidRPr="000D4A46">
        <w:rPr>
          <w:rFonts w:eastAsia="Calibri"/>
          <w:noProof/>
          <w:lang w:eastAsia="ja-JP"/>
        </w:rPr>
        <w:t>これらの活動分野の一部では、本財務諸表に示された見積もりと枠の範囲内で、</w:t>
      </w:r>
      <w:r w:rsidRPr="000D4A46">
        <w:rPr>
          <w:rFonts w:eastAsia="Calibri"/>
          <w:noProof/>
          <w:lang w:eastAsia="ja-JP"/>
        </w:rPr>
        <w:t>JRC</w:t>
      </w:r>
      <w:r w:rsidRPr="000D4A46">
        <w:rPr>
          <w:rFonts w:eastAsia="Calibri"/>
          <w:noProof/>
          <w:lang w:eastAsia="ja-JP"/>
        </w:rPr>
        <w:t>の専門知識がサービス契約を通じて動員さ</w:t>
      </w:r>
      <w:r w:rsidR="002041D4">
        <w:rPr>
          <w:rFonts w:ascii="ＭＳ 明朝" w:eastAsia="ＭＳ 明朝" w:hAnsi="ＭＳ 明朝" w:cs="ＭＳ 明朝" w:hint="eastAsia"/>
          <w:noProof/>
          <w:lang w:eastAsia="ja-JP"/>
        </w:rPr>
        <w:t>れる</w:t>
      </w:r>
      <w:r w:rsidRPr="000D4A46">
        <w:rPr>
          <w:rFonts w:eastAsia="Calibri"/>
          <w:noProof/>
          <w:lang w:eastAsia="ja-JP"/>
        </w:rPr>
        <w:t>。</w:t>
      </w:r>
    </w:p>
    <w:p w14:paraId="2C3A5A1C" w14:textId="77777777" w:rsidR="00BF1765" w:rsidRPr="00DF5C23" w:rsidRDefault="00BF1765" w:rsidP="002041D4">
      <w:pPr>
        <w:wordWrap w:val="0"/>
        <w:ind w:left="850"/>
        <w:rPr>
          <w:rFonts w:eastAsia="Calibri"/>
          <w:noProof/>
          <w:lang w:eastAsia="ja-JP"/>
        </w:rPr>
      </w:pPr>
    </w:p>
    <w:p w14:paraId="28E894DB" w14:textId="77777777" w:rsidR="0038775E" w:rsidRDefault="00877B9C" w:rsidP="002041D4">
      <w:pPr>
        <w:pStyle w:val="ManualHeading2"/>
        <w:wordWrap w:val="0"/>
        <w:rPr>
          <w:rFonts w:eastAsia="Times New Roman"/>
          <w:noProof/>
          <w:szCs w:val="24"/>
          <w:lang w:eastAsia="ja-JP"/>
        </w:rPr>
      </w:pPr>
      <w:r w:rsidRPr="00DF5C23">
        <w:rPr>
          <w:rFonts w:eastAsia="Times New Roman"/>
          <w:noProof/>
          <w:lang w:eastAsia="ja-JP"/>
        </w:rPr>
        <w:br w:type="page"/>
      </w:r>
      <w:bookmarkStart w:id="31" w:name="_Toc514938039"/>
      <w:bookmarkStart w:id="32" w:name="_Toc520485040"/>
      <w:r w:rsidR="004F5E59" w:rsidRPr="004F5E59">
        <w:rPr>
          <w:lang w:eastAsia="ja-JP"/>
        </w:rPr>
        <w:lastRenderedPageBreak/>
        <w:t>1.6.</w:t>
      </w:r>
      <w:r w:rsidR="004F5E59" w:rsidRPr="004F5E59">
        <w:rPr>
          <w:lang w:eastAsia="ja-JP"/>
        </w:rPr>
        <w:tab/>
      </w:r>
      <w:r w:rsidRPr="00DF5C23">
        <w:rPr>
          <w:noProof/>
          <w:lang w:eastAsia="ja-JP"/>
        </w:rPr>
        <w:t>提案／イニシアチブの期間と財務的影響</w:t>
      </w:r>
      <w:bookmarkEnd w:id="31"/>
      <w:bookmarkEnd w:id="32"/>
    </w:p>
    <w:p w14:paraId="7DA36EF2" w14:textId="39985D14" w:rsidR="0038775E" w:rsidRDefault="00877B9C" w:rsidP="002041D4">
      <w:pPr>
        <w:wordWrap w:val="0"/>
        <w:ind w:left="850"/>
        <w:rPr>
          <w:rFonts w:eastAsia="Calibri"/>
          <w:noProof/>
        </w:rPr>
      </w:pPr>
      <w:r w:rsidRPr="00DF5C23">
        <w:rPr>
          <w:rFonts w:eastAsia="Calibri"/>
          <w:noProof/>
        </w:rPr>
        <w:sym w:font="Wingdings" w:char="F0A8"/>
      </w:r>
      <w:r w:rsidR="004304B8" w:rsidRPr="00DF5C23">
        <w:rPr>
          <w:rFonts w:ascii="ＭＳ 明朝" w:eastAsia="ＭＳ 明朝" w:hAnsi="ＭＳ 明朝" w:cs="ＭＳ 明朝" w:hint="eastAsia"/>
          <w:b/>
          <w:noProof/>
        </w:rPr>
        <w:t>制限期間</w:t>
      </w:r>
    </w:p>
    <w:p w14:paraId="01E42E82" w14:textId="32409C51" w:rsidR="0038775E" w:rsidRDefault="00877B9C" w:rsidP="002041D4">
      <w:pPr>
        <w:pStyle w:val="Tiret1"/>
        <w:wordWrap w:val="0"/>
        <w:rPr>
          <w:noProof/>
          <w:lang w:eastAsia="de-DE"/>
        </w:rPr>
      </w:pPr>
      <w:r w:rsidRPr="00DF5C23">
        <w:rPr>
          <w:noProof/>
          <w:lang w:eastAsia="de-DE"/>
        </w:rPr>
        <w:t xml:space="preserve">DD/MM]YYYY </w:t>
      </w:r>
      <w:r w:rsidRPr="00DF5C23">
        <w:rPr>
          <w:noProof/>
          <w:lang w:eastAsia="de-DE"/>
        </w:rPr>
        <w:t>から</w:t>
      </w:r>
      <w:r w:rsidRPr="00DF5C23">
        <w:rPr>
          <w:noProof/>
          <w:lang w:eastAsia="de-DE"/>
        </w:rPr>
        <w:t xml:space="preserve">[DD/MM]YYYY </w:t>
      </w:r>
      <w:r w:rsidRPr="00DF5C23">
        <w:rPr>
          <w:noProof/>
          <w:lang w:eastAsia="de-DE"/>
        </w:rPr>
        <w:t>まで有効</w:t>
      </w:r>
      <w:r w:rsidR="002041D4">
        <w:rPr>
          <w:noProof/>
          <w:lang w:eastAsia="de-DE"/>
        </w:rPr>
        <w:t>である</w:t>
      </w:r>
      <w:r w:rsidRPr="00DF5C23">
        <w:rPr>
          <w:noProof/>
          <w:lang w:eastAsia="de-DE"/>
        </w:rPr>
        <w:t>。</w:t>
      </w:r>
      <w:r w:rsidRPr="00DF5C23">
        <w:rPr>
          <w:noProof/>
          <w:lang w:eastAsia="de-DE"/>
        </w:rPr>
        <w:t xml:space="preserve"> </w:t>
      </w:r>
    </w:p>
    <w:p w14:paraId="29D8D69E" w14:textId="77777777" w:rsidR="0038775E" w:rsidRDefault="00877B9C" w:rsidP="002041D4">
      <w:pPr>
        <w:pStyle w:val="Tiret1"/>
        <w:wordWrap w:val="0"/>
        <w:rPr>
          <w:noProof/>
          <w:lang w:eastAsia="de-DE"/>
        </w:rPr>
      </w:pPr>
      <w:r w:rsidRPr="00DF5C23">
        <w:rPr>
          <w:noProof/>
          <w:lang w:eastAsia="de-DE"/>
        </w:rPr>
        <w:t>コミットメント充当の場合は</w:t>
      </w:r>
      <w:r w:rsidRPr="00DF5C23">
        <w:rPr>
          <w:noProof/>
          <w:lang w:eastAsia="de-DE"/>
        </w:rPr>
        <w:t>YYYY</w:t>
      </w:r>
      <w:r w:rsidRPr="00DF5C23">
        <w:rPr>
          <w:noProof/>
          <w:lang w:eastAsia="de-DE"/>
        </w:rPr>
        <w:t>から</w:t>
      </w:r>
      <w:r w:rsidRPr="00DF5C23">
        <w:rPr>
          <w:noProof/>
          <w:lang w:eastAsia="de-DE"/>
        </w:rPr>
        <w:t>YYYY</w:t>
      </w:r>
      <w:r w:rsidRPr="00DF5C23">
        <w:rPr>
          <w:noProof/>
          <w:lang w:eastAsia="de-DE"/>
        </w:rPr>
        <w:t>へ、支払い充当の場合は</w:t>
      </w:r>
      <w:r w:rsidRPr="00DF5C23">
        <w:rPr>
          <w:noProof/>
          <w:lang w:eastAsia="de-DE"/>
        </w:rPr>
        <w:t>YYYY</w:t>
      </w:r>
      <w:r w:rsidRPr="00DF5C23">
        <w:rPr>
          <w:noProof/>
          <w:lang w:eastAsia="de-DE"/>
        </w:rPr>
        <w:t>から</w:t>
      </w:r>
      <w:r w:rsidRPr="00DF5C23">
        <w:rPr>
          <w:noProof/>
          <w:lang w:eastAsia="de-DE"/>
        </w:rPr>
        <w:t>YYYY</w:t>
      </w:r>
      <w:r w:rsidRPr="00DF5C23">
        <w:rPr>
          <w:noProof/>
          <w:lang w:eastAsia="de-DE"/>
        </w:rPr>
        <w:t>へ財務的影響を与える。</w:t>
      </w:r>
      <w:r w:rsidRPr="00DF5C23">
        <w:rPr>
          <w:noProof/>
          <w:lang w:eastAsia="de-DE"/>
        </w:rPr>
        <w:t xml:space="preserve"> </w:t>
      </w:r>
    </w:p>
    <w:p w14:paraId="7EAE3760" w14:textId="77777777" w:rsidR="0038775E" w:rsidRDefault="00877B9C" w:rsidP="002041D4">
      <w:pPr>
        <w:wordWrap w:val="0"/>
        <w:ind w:left="850"/>
        <w:rPr>
          <w:rFonts w:eastAsia="Calibri"/>
          <w:noProof/>
        </w:rPr>
      </w:pPr>
      <w:r w:rsidRPr="00DF5C23">
        <w:rPr>
          <w:rFonts w:eastAsia="Calibri"/>
          <w:noProof/>
          <w:sz w:val="22"/>
        </w:rPr>
        <w:sym w:font="Wingdings" w:char="F0FE"/>
      </w:r>
      <w:r w:rsidRPr="00DF5C23">
        <w:rPr>
          <w:rFonts w:eastAsia="Calibri"/>
          <w:b/>
          <w:noProof/>
        </w:rPr>
        <w:t>無制限期間</w:t>
      </w:r>
    </w:p>
    <w:p w14:paraId="7C8F55C2" w14:textId="77777777" w:rsidR="0038775E" w:rsidRDefault="00877B9C" w:rsidP="002041D4">
      <w:pPr>
        <w:pStyle w:val="Tiret1"/>
        <w:wordWrap w:val="0"/>
        <w:rPr>
          <w:noProof/>
          <w:lang w:eastAsia="de-DE"/>
        </w:rPr>
      </w:pPr>
      <w:r w:rsidRPr="00DF5C23">
        <w:rPr>
          <w:noProof/>
          <w:lang w:eastAsia="de-DE"/>
        </w:rPr>
        <w:t>2022</w:t>
      </w:r>
      <w:r w:rsidRPr="00DF5C23">
        <w:rPr>
          <w:noProof/>
          <w:lang w:eastAsia="de-DE"/>
        </w:rPr>
        <w:t>年から</w:t>
      </w:r>
      <w:r w:rsidRPr="00DF5C23">
        <w:rPr>
          <w:noProof/>
          <w:lang w:eastAsia="de-DE"/>
        </w:rPr>
        <w:t>2027</w:t>
      </w:r>
      <w:r w:rsidRPr="00DF5C23">
        <w:rPr>
          <w:noProof/>
          <w:lang w:eastAsia="de-DE"/>
        </w:rPr>
        <w:t>年までのスタートアップ期間での実施、</w:t>
      </w:r>
    </w:p>
    <w:p w14:paraId="21D9E54B" w14:textId="0CEF273E" w:rsidR="0038775E" w:rsidRDefault="00877B9C" w:rsidP="002041D4">
      <w:pPr>
        <w:pStyle w:val="Tiret1"/>
        <w:wordWrap w:val="0"/>
        <w:rPr>
          <w:noProof/>
          <w:lang w:eastAsia="de-DE"/>
        </w:rPr>
      </w:pPr>
      <w:r w:rsidRPr="00DF5C23">
        <w:rPr>
          <w:noProof/>
          <w:lang w:eastAsia="de-DE"/>
        </w:rPr>
        <w:t>の後、フルスケール動作にな</w:t>
      </w:r>
      <w:r w:rsidR="002041D4">
        <w:rPr>
          <w:noProof/>
          <w:lang w:eastAsia="de-DE"/>
        </w:rPr>
        <w:t>る</w:t>
      </w:r>
      <w:r w:rsidRPr="00DF5C23">
        <w:rPr>
          <w:noProof/>
          <w:lang w:eastAsia="de-DE"/>
        </w:rPr>
        <w:t>。</w:t>
      </w:r>
    </w:p>
    <w:p w14:paraId="3F3E44CA" w14:textId="77777777" w:rsidR="0038775E" w:rsidRDefault="00877B9C" w:rsidP="002041D4">
      <w:pPr>
        <w:pStyle w:val="ManualHeading2"/>
        <w:wordWrap w:val="0"/>
        <w:rPr>
          <w:bCs/>
          <w:noProof/>
          <w:szCs w:val="24"/>
          <w:lang w:eastAsia="ja-JP"/>
        </w:rPr>
      </w:pPr>
      <w:bookmarkStart w:id="33" w:name="_Toc514938040"/>
      <w:bookmarkStart w:id="34" w:name="_Toc520485041"/>
      <w:r w:rsidRPr="004F5E59">
        <w:rPr>
          <w:lang w:eastAsia="ja-JP"/>
        </w:rPr>
        <w:t>1.7.</w:t>
      </w:r>
      <w:r w:rsidRPr="004F5E59">
        <w:rPr>
          <w:lang w:eastAsia="ja-JP"/>
        </w:rPr>
        <w:tab/>
      </w:r>
      <w:r w:rsidR="003102BB" w:rsidRPr="00DF5C23">
        <w:rPr>
          <w:noProof/>
          <w:lang w:eastAsia="ja-JP"/>
        </w:rPr>
        <w:t>管理モード（複数可）予定</w:t>
      </w:r>
      <w:r w:rsidR="003102BB" w:rsidRPr="00DF5C23">
        <w:rPr>
          <w:noProof/>
          <w:lang w:eastAsia="ja-JP"/>
        </w:rPr>
        <w:t xml:space="preserve"> </w:t>
      </w:r>
      <w:r w:rsidR="003102BB" w:rsidRPr="00DF5C23">
        <w:rPr>
          <w:rStyle w:val="afa"/>
          <w:noProof/>
        </w:rPr>
        <w:footnoteReference w:id="88"/>
      </w:r>
      <w:bookmarkEnd w:id="33"/>
      <w:bookmarkEnd w:id="34"/>
    </w:p>
    <w:p w14:paraId="3B4330F5" w14:textId="77777777" w:rsidR="0038775E" w:rsidRDefault="00877B9C" w:rsidP="002041D4">
      <w:pPr>
        <w:wordWrap w:val="0"/>
        <w:ind w:left="850"/>
        <w:rPr>
          <w:rFonts w:eastAsia="Calibri"/>
          <w:noProof/>
          <w:lang w:eastAsia="ja-JP"/>
        </w:rPr>
      </w:pPr>
      <w:r w:rsidRPr="00DF5C23">
        <w:rPr>
          <w:rFonts w:eastAsia="Calibri"/>
          <w:noProof/>
        </w:rPr>
        <w:sym w:font="Wingdings" w:char="F0FE"/>
      </w:r>
      <w:r w:rsidRPr="00DF5C23">
        <w:rPr>
          <w:rFonts w:eastAsia="Calibri"/>
          <w:noProof/>
          <w:lang w:eastAsia="ja-JP"/>
        </w:rPr>
        <w:t>委員会による</w:t>
      </w:r>
      <w:r w:rsidRPr="00DF5C23">
        <w:rPr>
          <w:rFonts w:eastAsia="Calibri"/>
          <w:b/>
          <w:noProof/>
          <w:lang w:eastAsia="ja-JP"/>
        </w:rPr>
        <w:t>直接管理</w:t>
      </w:r>
    </w:p>
    <w:p w14:paraId="1BBA0B1C" w14:textId="30C293DD" w:rsidR="0038775E" w:rsidRDefault="00877B9C" w:rsidP="002041D4">
      <w:pPr>
        <w:tabs>
          <w:tab w:val="num" w:pos="1134"/>
        </w:tabs>
        <w:wordWrap w:val="0"/>
        <w:ind w:left="1134" w:hanging="283"/>
        <w:rPr>
          <w:rFonts w:eastAsia="Times New Roman" w:cs="EUAlbertina"/>
          <w:noProof/>
          <w:lang w:eastAsia="de-DE"/>
        </w:rPr>
      </w:pPr>
      <w:r w:rsidRPr="00DF5C23">
        <w:rPr>
          <w:rFonts w:eastAsia="Times New Roman"/>
          <w:noProof/>
          <w:lang w:eastAsia="de-DE"/>
        </w:rPr>
        <w:sym w:font="Wingdings" w:char="F0FE"/>
      </w:r>
      <w:r w:rsidRPr="00DF5C23">
        <w:rPr>
          <w:rFonts w:eastAsia="Times New Roman"/>
          <w:noProof/>
          <w:lang w:eastAsia="de-DE"/>
        </w:rPr>
        <w:t xml:space="preserve"> ユニオン代表団のスタッフを含む、その部門によるもの</w:t>
      </w:r>
      <w:r w:rsidR="002041D4">
        <w:rPr>
          <w:rFonts w:ascii="ＭＳ 明朝" w:eastAsia="ＭＳ 明朝" w:hAnsi="ＭＳ 明朝" w:cs="ＭＳ 明朝" w:hint="eastAsia"/>
          <w:noProof/>
          <w:lang w:eastAsia="de-DE"/>
        </w:rPr>
        <w:t>である</w:t>
      </w:r>
      <w:r w:rsidRPr="00DF5C23">
        <w:rPr>
          <w:rFonts w:eastAsia="Times New Roman"/>
          <w:noProof/>
          <w:lang w:eastAsia="de-DE"/>
        </w:rPr>
        <w:t xml:space="preserve">； </w:t>
      </w:r>
    </w:p>
    <w:p w14:paraId="4B48FE6C" w14:textId="77777777" w:rsidR="0038775E" w:rsidRDefault="00877B9C" w:rsidP="002041D4">
      <w:pPr>
        <w:tabs>
          <w:tab w:val="num" w:pos="1134"/>
        </w:tabs>
        <w:wordWrap w:val="0"/>
        <w:ind w:left="1134" w:hanging="283"/>
        <w:rPr>
          <w:rFonts w:eastAsia="Times New Roman"/>
          <w:noProof/>
          <w:lang w:eastAsia="de-DE"/>
        </w:rPr>
      </w:pPr>
      <w:r w:rsidRPr="00DF5C23">
        <w:rPr>
          <w:rFonts w:eastAsia="Times New Roman"/>
          <w:noProof/>
          <w:lang w:eastAsia="de-DE"/>
        </w:rPr>
        <w:sym w:font="Wingdings" w:char="F0A8"/>
      </w:r>
      <w:r w:rsidRPr="00DF5C23">
        <w:rPr>
          <w:rFonts w:eastAsia="Times New Roman"/>
          <w:noProof/>
          <w:lang w:eastAsia="de-DE"/>
        </w:rPr>
        <w:tab/>
        <w:t xml:space="preserve">行政機関によって </w:t>
      </w:r>
    </w:p>
    <w:p w14:paraId="4A55597D" w14:textId="77777777" w:rsidR="0038775E" w:rsidRDefault="00877B9C" w:rsidP="002041D4">
      <w:pPr>
        <w:wordWrap w:val="0"/>
        <w:ind w:left="850"/>
        <w:rPr>
          <w:rFonts w:eastAsia="Calibri"/>
          <w:noProof/>
          <w:lang w:eastAsia="ja-JP"/>
        </w:rPr>
      </w:pPr>
      <w:r w:rsidRPr="00DF5C23">
        <w:rPr>
          <w:rFonts w:eastAsia="Calibri"/>
          <w:noProof/>
        </w:rPr>
        <w:sym w:font="Wingdings" w:char="F0A8"/>
      </w:r>
      <w:r w:rsidRPr="00DF5C23">
        <w:rPr>
          <w:rFonts w:eastAsia="Calibri"/>
          <w:noProof/>
          <w:lang w:eastAsia="ja-JP"/>
        </w:rPr>
        <w:t>加盟国との</w:t>
      </w:r>
      <w:r w:rsidRPr="00DF5C23">
        <w:rPr>
          <w:rFonts w:eastAsia="Calibri"/>
          <w:b/>
          <w:noProof/>
          <w:lang w:eastAsia="ja-JP"/>
        </w:rPr>
        <w:t>共同管理</w:t>
      </w:r>
      <w:r w:rsidRPr="00DF5C23">
        <w:rPr>
          <w:rFonts w:eastAsia="Calibri"/>
          <w:b/>
          <w:noProof/>
          <w:lang w:eastAsia="ja-JP"/>
        </w:rPr>
        <w:t xml:space="preserve"> </w:t>
      </w:r>
    </w:p>
    <w:p w14:paraId="4756EB99" w14:textId="77777777" w:rsidR="0038775E" w:rsidRDefault="00877B9C" w:rsidP="002041D4">
      <w:pPr>
        <w:wordWrap w:val="0"/>
        <w:ind w:left="850"/>
        <w:rPr>
          <w:rFonts w:eastAsia="Calibri"/>
          <w:noProof/>
          <w:lang w:eastAsia="ja-JP"/>
        </w:rPr>
      </w:pPr>
      <w:r w:rsidRPr="00DF5C23">
        <w:rPr>
          <w:rFonts w:eastAsia="Calibri"/>
          <w:noProof/>
        </w:rPr>
        <w:sym w:font="Wingdings" w:char="F0A8"/>
      </w:r>
      <w:r w:rsidRPr="00DF5C23">
        <w:rPr>
          <w:rFonts w:eastAsia="Calibri"/>
          <w:noProof/>
          <w:lang w:eastAsia="ja-JP"/>
        </w:rPr>
        <w:t>予算執行業務を委託することで</w:t>
      </w:r>
      <w:r w:rsidRPr="00DF5C23">
        <w:rPr>
          <w:rFonts w:eastAsia="Calibri"/>
          <w:b/>
          <w:noProof/>
          <w:lang w:eastAsia="ja-JP"/>
        </w:rPr>
        <w:t>間接的に管理する：</w:t>
      </w:r>
    </w:p>
    <w:p w14:paraId="6C992897" w14:textId="77777777" w:rsidR="0038775E" w:rsidRDefault="00877B9C" w:rsidP="002041D4">
      <w:pPr>
        <w:tabs>
          <w:tab w:val="num" w:pos="1134"/>
        </w:tabs>
        <w:wordWrap w:val="0"/>
        <w:ind w:left="1134" w:hanging="283"/>
        <w:rPr>
          <w:rFonts w:eastAsia="Times New Roman"/>
          <w:noProof/>
          <w:lang w:eastAsia="de-DE"/>
        </w:rPr>
      </w:pPr>
      <w:r w:rsidRPr="00DF5C23">
        <w:rPr>
          <w:rFonts w:eastAsia="Times New Roman"/>
          <w:noProof/>
          <w:lang w:eastAsia="de-DE"/>
        </w:rPr>
        <w:sym w:font="Wingdings" w:char="F0A8"/>
      </w:r>
      <w:r w:rsidRPr="00DF5C23">
        <w:rPr>
          <w:rFonts w:eastAsia="Times New Roman"/>
          <w:noProof/>
          <w:lang w:eastAsia="de-DE"/>
        </w:rPr>
        <w:t xml:space="preserve"> 第三国または第三国が指定した機関</w:t>
      </w:r>
    </w:p>
    <w:p w14:paraId="4AB72B28" w14:textId="77777777" w:rsidR="0038775E" w:rsidRDefault="00877B9C" w:rsidP="002041D4">
      <w:pPr>
        <w:tabs>
          <w:tab w:val="num" w:pos="1134"/>
        </w:tabs>
        <w:wordWrap w:val="0"/>
        <w:ind w:left="1134" w:hanging="283"/>
        <w:rPr>
          <w:rFonts w:eastAsia="Times New Roman"/>
          <w:noProof/>
          <w:lang w:eastAsia="de-DE"/>
        </w:rPr>
      </w:pPr>
      <w:r w:rsidRPr="00DF5C23">
        <w:rPr>
          <w:rFonts w:eastAsia="Times New Roman"/>
          <w:noProof/>
          <w:lang w:eastAsia="de-DE"/>
        </w:rPr>
        <w:sym w:font="Wingdings" w:char="F0A8"/>
      </w:r>
      <w:r w:rsidRPr="00DF5C23">
        <w:rPr>
          <w:rFonts w:eastAsia="Times New Roman"/>
          <w:noProof/>
          <w:lang w:eastAsia="de-DE"/>
        </w:rPr>
        <w:t xml:space="preserve"> 国際機関およびその機関（指定されたもの）</w:t>
      </w:r>
    </w:p>
    <w:p w14:paraId="6FFF7292" w14:textId="04ED2695" w:rsidR="0038775E" w:rsidRDefault="00877B9C" w:rsidP="002041D4">
      <w:pPr>
        <w:tabs>
          <w:tab w:val="num" w:pos="1134"/>
        </w:tabs>
        <w:wordWrap w:val="0"/>
        <w:ind w:left="1134" w:hanging="283"/>
        <w:rPr>
          <w:rFonts w:eastAsia="Times New Roman"/>
          <w:noProof/>
          <w:lang w:eastAsia="de-DE"/>
        </w:rPr>
      </w:pPr>
      <w:r w:rsidRPr="00DF5C23">
        <w:rPr>
          <w:rFonts w:eastAsia="Times New Roman"/>
          <w:noProof/>
          <w:lang w:eastAsia="de-DE"/>
        </w:rPr>
        <w:sym w:font="Wingdings" w:char="F0A8"/>
      </w:r>
      <w:r w:rsidRPr="00DF5C23">
        <w:rPr>
          <w:rFonts w:eastAsia="Times New Roman"/>
          <w:noProof/>
          <w:lang w:eastAsia="de-DE"/>
        </w:rPr>
        <w:t xml:space="preserve"> EIBと欧州投資基金があ</w:t>
      </w:r>
      <w:r w:rsidR="002041D4">
        <w:rPr>
          <w:rFonts w:ascii="ＭＳ 明朝" w:eastAsia="ＭＳ 明朝" w:hAnsi="ＭＳ 明朝" w:cs="ＭＳ 明朝" w:hint="eastAsia"/>
          <w:noProof/>
          <w:lang w:eastAsia="de-DE"/>
        </w:rPr>
        <w:t>る</w:t>
      </w:r>
      <w:r w:rsidRPr="00DF5C23">
        <w:rPr>
          <w:rFonts w:eastAsia="Times New Roman"/>
          <w:noProof/>
          <w:lang w:eastAsia="de-DE"/>
        </w:rPr>
        <w:t>；</w:t>
      </w:r>
    </w:p>
    <w:p w14:paraId="35DB5176" w14:textId="77777777" w:rsidR="0038775E" w:rsidRDefault="00877B9C" w:rsidP="002041D4">
      <w:pPr>
        <w:tabs>
          <w:tab w:val="num" w:pos="1134"/>
        </w:tabs>
        <w:wordWrap w:val="0"/>
        <w:ind w:left="1134" w:hanging="283"/>
        <w:rPr>
          <w:rFonts w:eastAsia="Times New Roman"/>
          <w:noProof/>
          <w:lang w:eastAsia="de-DE"/>
        </w:rPr>
      </w:pPr>
      <w:r w:rsidRPr="00DF5C23">
        <w:rPr>
          <w:rFonts w:eastAsia="Times New Roman"/>
          <w:noProof/>
          <w:lang w:eastAsia="de-DE"/>
        </w:rPr>
        <w:sym w:font="Wingdings" w:char="F0A8"/>
      </w:r>
      <w:r w:rsidRPr="00DF5C23">
        <w:rPr>
          <w:rFonts w:eastAsia="Times New Roman"/>
          <w:noProof/>
          <w:lang w:eastAsia="de-DE"/>
        </w:rPr>
        <w:t xml:space="preserve"> 金融規制法第70条および第71条に規定する団体；</w:t>
      </w:r>
    </w:p>
    <w:p w14:paraId="39D0F09D" w14:textId="6990A3EA" w:rsidR="0038775E" w:rsidRDefault="00877B9C" w:rsidP="002041D4">
      <w:pPr>
        <w:tabs>
          <w:tab w:val="num" w:pos="1134"/>
        </w:tabs>
        <w:wordWrap w:val="0"/>
        <w:ind w:left="1134" w:hanging="283"/>
        <w:rPr>
          <w:rFonts w:eastAsia="Times New Roman"/>
          <w:noProof/>
          <w:lang w:eastAsia="de-DE"/>
        </w:rPr>
      </w:pPr>
      <w:r w:rsidRPr="00DF5C23">
        <w:rPr>
          <w:rFonts w:eastAsia="Times New Roman"/>
          <w:noProof/>
          <w:lang w:eastAsia="de-DE"/>
        </w:rPr>
        <w:sym w:font="Wingdings" w:char="F0A8"/>
      </w:r>
      <w:r w:rsidRPr="00DF5C23">
        <w:rPr>
          <w:rFonts w:eastAsia="Times New Roman"/>
          <w:noProof/>
          <w:lang w:eastAsia="de-DE"/>
        </w:rPr>
        <w:t xml:space="preserve"> 公法上の団体</w:t>
      </w:r>
      <w:r w:rsidR="002041D4">
        <w:rPr>
          <w:rFonts w:ascii="ＭＳ 明朝" w:eastAsia="ＭＳ 明朝" w:hAnsi="ＭＳ 明朝" w:cs="ＭＳ 明朝" w:hint="eastAsia"/>
          <w:noProof/>
          <w:lang w:eastAsia="de-DE"/>
        </w:rPr>
        <w:t>である</w:t>
      </w:r>
      <w:r w:rsidRPr="00DF5C23">
        <w:rPr>
          <w:rFonts w:eastAsia="Times New Roman"/>
          <w:noProof/>
          <w:lang w:eastAsia="de-DE"/>
        </w:rPr>
        <w:t>；</w:t>
      </w:r>
    </w:p>
    <w:p w14:paraId="1FAB7B39" w14:textId="77777777" w:rsidR="0038775E" w:rsidRDefault="00877B9C" w:rsidP="002041D4">
      <w:pPr>
        <w:tabs>
          <w:tab w:val="num" w:pos="1134"/>
        </w:tabs>
        <w:wordWrap w:val="0"/>
        <w:ind w:left="1134" w:hanging="283"/>
        <w:rPr>
          <w:rFonts w:eastAsia="Times New Roman"/>
          <w:noProof/>
          <w:lang w:eastAsia="de-DE"/>
        </w:rPr>
      </w:pPr>
      <w:r w:rsidRPr="00DF5C23">
        <w:rPr>
          <w:rFonts w:eastAsia="Times New Roman"/>
          <w:noProof/>
          <w:lang w:eastAsia="de-DE"/>
        </w:rPr>
        <w:sym w:font="Wingdings" w:char="F0A8"/>
      </w:r>
      <w:r w:rsidRPr="00DF5C23">
        <w:rPr>
          <w:rFonts w:eastAsia="Times New Roman"/>
          <w:noProof/>
          <w:lang w:eastAsia="de-DE"/>
        </w:rPr>
        <w:t xml:space="preserve"> 適切な財政的保証が提供される限りにおいて、公共サービスの使命を持つ私法で管理される団体；</w:t>
      </w:r>
    </w:p>
    <w:p w14:paraId="10A2F86D" w14:textId="77777777" w:rsidR="0038775E" w:rsidRDefault="00877B9C" w:rsidP="002041D4">
      <w:pPr>
        <w:tabs>
          <w:tab w:val="num" w:pos="1134"/>
        </w:tabs>
        <w:wordWrap w:val="0"/>
        <w:ind w:left="1134" w:hanging="283"/>
        <w:rPr>
          <w:rFonts w:eastAsia="Times New Roman"/>
          <w:noProof/>
          <w:lang w:eastAsia="de-DE"/>
        </w:rPr>
      </w:pPr>
      <w:r w:rsidRPr="00DF5C23">
        <w:rPr>
          <w:rFonts w:eastAsia="Times New Roman"/>
          <w:noProof/>
          <w:lang w:eastAsia="de-DE"/>
        </w:rPr>
        <w:sym w:font="Wingdings" w:char="F0A8"/>
      </w:r>
      <w:r w:rsidRPr="00DF5C23">
        <w:rPr>
          <w:rFonts w:eastAsia="Times New Roman"/>
          <w:noProof/>
          <w:lang w:eastAsia="de-DE"/>
        </w:rPr>
        <w:t xml:space="preserve"> 官民パートナーシップの実施を委託され、適切な財政的保証が提供される、加盟国の私法に準拠する団体；</w:t>
      </w:r>
    </w:p>
    <w:p w14:paraId="57212259" w14:textId="77777777" w:rsidR="0038775E" w:rsidRDefault="00877B9C" w:rsidP="002041D4">
      <w:pPr>
        <w:tabs>
          <w:tab w:val="num" w:pos="1134"/>
        </w:tabs>
        <w:wordWrap w:val="0"/>
        <w:ind w:left="1134" w:hanging="283"/>
        <w:rPr>
          <w:rFonts w:eastAsia="Times New Roman"/>
          <w:noProof/>
          <w:lang w:eastAsia="de-DE"/>
        </w:rPr>
      </w:pPr>
      <w:r w:rsidRPr="00DF5C23">
        <w:rPr>
          <w:rFonts w:eastAsia="Times New Roman"/>
          <w:noProof/>
          <w:lang w:eastAsia="de-DE"/>
        </w:rPr>
        <w:sym w:font="Wingdings" w:char="F0A8"/>
      </w:r>
      <w:r w:rsidRPr="00DF5C23">
        <w:rPr>
          <w:rFonts w:eastAsia="Times New Roman"/>
          <w:noProof/>
          <w:lang w:eastAsia="de-DE"/>
        </w:rPr>
        <w:t xml:space="preserve"> TEUのタイトルVに基づき、CFSPにおける特定の行動の実施を委託され、関連する基本法で特定される者。</w:t>
      </w:r>
    </w:p>
    <w:p w14:paraId="2D2F8561" w14:textId="6DEF8FD5" w:rsidR="0038775E" w:rsidRDefault="00877B9C" w:rsidP="002041D4">
      <w:pPr>
        <w:tabs>
          <w:tab w:val="num" w:pos="1134"/>
        </w:tabs>
        <w:wordWrap w:val="0"/>
        <w:ind w:left="1134" w:hanging="283"/>
        <w:rPr>
          <w:rFonts w:eastAsia="Times New Roman"/>
          <w:i/>
          <w:noProof/>
          <w:sz w:val="18"/>
          <w:u w:val="single"/>
          <w:lang w:eastAsia="de-DE"/>
        </w:rPr>
      </w:pPr>
      <w:r w:rsidRPr="00DF5C23">
        <w:rPr>
          <w:rFonts w:eastAsia="Times New Roman"/>
          <w:i/>
          <w:noProof/>
          <w:sz w:val="18"/>
          <w:lang w:eastAsia="de-DE"/>
        </w:rPr>
        <w:t>複数のマネ</w:t>
      </w:r>
      <w:r w:rsidRPr="00DF5C23">
        <w:rPr>
          <w:rFonts w:eastAsia="Times New Roman"/>
          <w:i/>
          <w:noProof/>
          <w:sz w:val="18"/>
          <w:lang w:eastAsia="de-DE"/>
        </w:rPr>
        <w:t>ジメントモードが示されている場合は、「コメント」欄に詳細をご記入</w:t>
      </w:r>
      <w:r w:rsidR="002041D4">
        <w:rPr>
          <w:rFonts w:ascii="ＭＳ 明朝" w:eastAsia="ＭＳ 明朝" w:hAnsi="ＭＳ 明朝" w:cs="ＭＳ 明朝" w:hint="eastAsia"/>
          <w:i/>
          <w:noProof/>
          <w:sz w:val="18"/>
          <w:lang w:eastAsia="de-DE"/>
        </w:rPr>
        <w:t>ほしい</w:t>
      </w:r>
      <w:r w:rsidRPr="00DF5C23">
        <w:rPr>
          <w:rFonts w:eastAsia="Times New Roman"/>
          <w:i/>
          <w:noProof/>
          <w:sz w:val="18"/>
          <w:lang w:eastAsia="de-DE"/>
        </w:rPr>
        <w:t>。</w:t>
      </w:r>
    </w:p>
    <w:p w14:paraId="131C93F0" w14:textId="77777777" w:rsidR="0038775E" w:rsidRDefault="00877B9C" w:rsidP="002041D4">
      <w:pPr>
        <w:wordWrap w:val="0"/>
        <w:rPr>
          <w:rFonts w:eastAsia="Calibri"/>
          <w:noProof/>
          <w:lang w:eastAsia="ja-JP"/>
        </w:rPr>
      </w:pPr>
      <w:r w:rsidRPr="00DF5C23">
        <w:rPr>
          <w:rFonts w:eastAsia="Calibri"/>
          <w:noProof/>
          <w:lang w:eastAsia="ja-JP"/>
        </w:rPr>
        <w:t>コメント</w:t>
      </w:r>
      <w:r w:rsidRPr="00DF5C23">
        <w:rPr>
          <w:rFonts w:eastAsia="Calibri"/>
          <w:noProof/>
          <w:lang w:eastAsia="ja-JP"/>
        </w:rPr>
        <w:t xml:space="preserve"> </w:t>
      </w:r>
    </w:p>
    <w:p w14:paraId="2C3A5A34" w14:textId="77777777" w:rsidR="00BF1765" w:rsidRPr="00DF5C23" w:rsidRDefault="00BF1765" w:rsidP="002041D4">
      <w:pPr>
        <w:pBdr>
          <w:top w:val="single" w:sz="4" w:space="1" w:color="auto"/>
          <w:left w:val="single" w:sz="4" w:space="4" w:color="auto"/>
          <w:bottom w:val="single" w:sz="4" w:space="1" w:color="auto"/>
          <w:right w:val="single" w:sz="4" w:space="4" w:color="auto"/>
        </w:pBdr>
        <w:wordWrap w:val="0"/>
        <w:rPr>
          <w:rFonts w:eastAsia="Calibri"/>
          <w:noProof/>
          <w:lang w:eastAsia="ja-JP"/>
        </w:rPr>
      </w:pPr>
    </w:p>
    <w:p w14:paraId="2C3A5A35" w14:textId="77777777" w:rsidR="00BF1765" w:rsidRPr="00DF5C23" w:rsidRDefault="00BF1765" w:rsidP="002041D4">
      <w:pPr>
        <w:wordWrap w:val="0"/>
        <w:rPr>
          <w:rFonts w:eastAsia="Calibri"/>
          <w:noProof/>
          <w:lang w:eastAsia="ja-JP"/>
        </w:rPr>
        <w:sectPr w:rsidR="00BF1765" w:rsidRPr="00DF5C23" w:rsidSect="008B42B0">
          <w:pgSz w:w="11907" w:h="16840" w:code="9"/>
          <w:pgMar w:top="1134" w:right="1418" w:bottom="1134" w:left="1418" w:header="709" w:footer="709" w:gutter="0"/>
          <w:cols w:space="708"/>
          <w:docGrid w:linePitch="360"/>
        </w:sectPr>
      </w:pPr>
    </w:p>
    <w:p w14:paraId="4A640C6B" w14:textId="77777777" w:rsidR="0038775E" w:rsidRDefault="00877B9C" w:rsidP="002041D4">
      <w:pPr>
        <w:pStyle w:val="ManualHeading1"/>
        <w:wordWrap w:val="0"/>
        <w:rPr>
          <w:bCs/>
          <w:noProof/>
          <w:szCs w:val="24"/>
          <w:lang w:eastAsia="ja-JP"/>
        </w:rPr>
      </w:pPr>
      <w:bookmarkStart w:id="35" w:name="_Toc514938041"/>
      <w:bookmarkStart w:id="36" w:name="_Toc520485042"/>
      <w:r w:rsidRPr="004F5E59">
        <w:rPr>
          <w:lang w:eastAsia="ja-JP"/>
        </w:rPr>
        <w:lastRenderedPageBreak/>
        <w:t>2.</w:t>
      </w:r>
      <w:r w:rsidRPr="004F5E59">
        <w:rPr>
          <w:lang w:eastAsia="ja-JP"/>
        </w:rPr>
        <w:tab/>
      </w:r>
      <w:r w:rsidR="003102BB" w:rsidRPr="00DF5C23">
        <w:rPr>
          <w:noProof/>
          <w:lang w:eastAsia="ja-JP"/>
        </w:rPr>
        <w:t>管理策</w:t>
      </w:r>
      <w:r w:rsidR="003102BB" w:rsidRPr="00DF5C23">
        <w:rPr>
          <w:noProof/>
          <w:lang w:eastAsia="ja-JP"/>
        </w:rPr>
        <w:t xml:space="preserve"> </w:t>
      </w:r>
      <w:bookmarkEnd w:id="35"/>
      <w:bookmarkEnd w:id="36"/>
    </w:p>
    <w:p w14:paraId="7B3D417B" w14:textId="77777777" w:rsidR="0038775E" w:rsidRDefault="00877B9C" w:rsidP="002041D4">
      <w:pPr>
        <w:pStyle w:val="ManualHeading2"/>
        <w:wordWrap w:val="0"/>
        <w:rPr>
          <w:noProof/>
          <w:lang w:eastAsia="ja-JP"/>
        </w:rPr>
      </w:pPr>
      <w:bookmarkStart w:id="37" w:name="_Toc514938042"/>
      <w:bookmarkStart w:id="38" w:name="_Toc520485043"/>
      <w:r w:rsidRPr="004F5E59">
        <w:rPr>
          <w:lang w:eastAsia="ja-JP"/>
        </w:rPr>
        <w:t>2.1.</w:t>
      </w:r>
      <w:r w:rsidRPr="004F5E59">
        <w:rPr>
          <w:lang w:eastAsia="ja-JP"/>
        </w:rPr>
        <w:tab/>
      </w:r>
      <w:r w:rsidR="003102BB" w:rsidRPr="00DF5C23">
        <w:rPr>
          <w:noProof/>
          <w:lang w:eastAsia="ja-JP"/>
        </w:rPr>
        <w:t>モニタリングと報告のルール</w:t>
      </w:r>
      <w:r w:rsidR="003102BB" w:rsidRPr="00DF5C23">
        <w:rPr>
          <w:noProof/>
          <w:lang w:eastAsia="ja-JP"/>
        </w:rPr>
        <w:t xml:space="preserve"> </w:t>
      </w:r>
      <w:bookmarkEnd w:id="37"/>
      <w:bookmarkEnd w:id="38"/>
    </w:p>
    <w:p w14:paraId="7805F900" w14:textId="77777777" w:rsidR="0038775E" w:rsidRDefault="00877B9C" w:rsidP="002041D4">
      <w:pPr>
        <w:wordWrap w:val="0"/>
        <w:ind w:left="850"/>
        <w:rPr>
          <w:rFonts w:eastAsia="Calibri"/>
          <w:i/>
          <w:noProof/>
          <w:sz w:val="20"/>
          <w:lang w:eastAsia="ja-JP"/>
        </w:rPr>
      </w:pPr>
      <w:r w:rsidRPr="00DF5C23">
        <w:rPr>
          <w:rFonts w:eastAsia="Calibri"/>
          <w:i/>
          <w:noProof/>
          <w:sz w:val="20"/>
          <w:lang w:eastAsia="ja-JP"/>
        </w:rPr>
        <w:t>頻度と条件を指定する。</w:t>
      </w:r>
    </w:p>
    <w:p w14:paraId="182E75CE" w14:textId="28CE4759" w:rsidR="0038775E" w:rsidRDefault="00877B9C" w:rsidP="002041D4">
      <w:pPr>
        <w:pBdr>
          <w:top w:val="single" w:sz="4" w:space="1" w:color="auto"/>
          <w:left w:val="single" w:sz="4" w:space="4" w:color="auto"/>
          <w:bottom w:val="single" w:sz="4" w:space="1" w:color="auto"/>
          <w:right w:val="single" w:sz="4" w:space="4" w:color="auto"/>
        </w:pBdr>
        <w:wordWrap w:val="0"/>
        <w:ind w:left="850"/>
        <w:rPr>
          <w:rFonts w:eastAsia="Calibri"/>
          <w:noProof/>
          <w:lang w:eastAsia="ja-JP"/>
        </w:rPr>
      </w:pPr>
      <w:bookmarkStart w:id="39" w:name="_Toc514938045"/>
      <w:bookmarkStart w:id="40" w:name="_Toc520485044"/>
      <w:r w:rsidRPr="00DF5C23">
        <w:rPr>
          <w:rFonts w:eastAsia="Calibri"/>
          <w:noProof/>
          <w:lang w:eastAsia="ja-JP"/>
        </w:rPr>
        <w:t>本立法財政計算書には、スタッフの支出、調達、および場合によっては行政上の手配が含ま</w:t>
      </w:r>
      <w:r w:rsidR="002041D4">
        <w:rPr>
          <w:rFonts w:ascii="ＭＳ 明朝" w:eastAsia="ＭＳ 明朝" w:hAnsi="ＭＳ 明朝" w:cs="ＭＳ 明朝" w:hint="eastAsia"/>
          <w:noProof/>
          <w:lang w:eastAsia="ja-JP"/>
        </w:rPr>
        <w:t>れる</w:t>
      </w:r>
      <w:r w:rsidRPr="00DF5C23">
        <w:rPr>
          <w:rFonts w:eastAsia="Calibri"/>
          <w:noProof/>
          <w:lang w:eastAsia="ja-JP"/>
        </w:rPr>
        <w:t>。この種の支出に関する標準的な規則が適用さ</w:t>
      </w:r>
      <w:r w:rsidR="002041D4">
        <w:rPr>
          <w:rFonts w:ascii="ＭＳ 明朝" w:eastAsia="ＭＳ 明朝" w:hAnsi="ＭＳ 明朝" w:cs="ＭＳ 明朝" w:hint="eastAsia"/>
          <w:noProof/>
          <w:lang w:eastAsia="ja-JP"/>
        </w:rPr>
        <w:t>れる</w:t>
      </w:r>
      <w:r w:rsidRPr="00DF5C23">
        <w:rPr>
          <w:rFonts w:eastAsia="Calibri"/>
          <w:noProof/>
          <w:lang w:eastAsia="ja-JP"/>
        </w:rPr>
        <w:t>。</w:t>
      </w:r>
    </w:p>
    <w:bookmarkEnd w:id="39"/>
    <w:bookmarkEnd w:id="40"/>
    <w:p w14:paraId="496A1C9A" w14:textId="77777777" w:rsidR="0038775E" w:rsidRDefault="00877B9C" w:rsidP="002041D4">
      <w:pPr>
        <w:pStyle w:val="ManualHeading2"/>
        <w:wordWrap w:val="0"/>
        <w:rPr>
          <w:bCs/>
          <w:noProof/>
          <w:szCs w:val="24"/>
          <w:lang w:eastAsia="ja-JP"/>
        </w:rPr>
      </w:pPr>
      <w:r w:rsidRPr="004F5E59">
        <w:rPr>
          <w:lang w:eastAsia="ja-JP"/>
        </w:rPr>
        <w:t>2.2.</w:t>
      </w:r>
      <w:r w:rsidRPr="004F5E59">
        <w:rPr>
          <w:lang w:eastAsia="ja-JP"/>
        </w:rPr>
        <w:tab/>
      </w:r>
      <w:r w:rsidR="003102BB" w:rsidRPr="00DF5C23">
        <w:rPr>
          <w:noProof/>
          <w:lang w:eastAsia="ja-JP"/>
        </w:rPr>
        <w:t>管理・統制システム（複数可）</w:t>
      </w:r>
      <w:r w:rsidR="003102BB" w:rsidRPr="00DF5C23">
        <w:rPr>
          <w:noProof/>
          <w:lang w:eastAsia="ja-JP"/>
        </w:rPr>
        <w:t xml:space="preserve"> </w:t>
      </w:r>
    </w:p>
    <w:p w14:paraId="06D825B4" w14:textId="77777777" w:rsidR="0038775E" w:rsidRDefault="00877B9C" w:rsidP="002041D4">
      <w:pPr>
        <w:pStyle w:val="ManualHeading3"/>
        <w:wordWrap w:val="0"/>
        <w:rPr>
          <w:noProof/>
          <w:lang w:eastAsia="ja-JP"/>
        </w:rPr>
      </w:pPr>
      <w:bookmarkStart w:id="41" w:name="_Toc514938046"/>
      <w:bookmarkStart w:id="42" w:name="_Toc520485045"/>
      <w:r w:rsidRPr="004F5E59">
        <w:rPr>
          <w:lang w:eastAsia="ja-JP"/>
        </w:rPr>
        <w:t>2.2.1.</w:t>
      </w:r>
      <w:r w:rsidRPr="004F5E59">
        <w:rPr>
          <w:lang w:eastAsia="ja-JP"/>
        </w:rPr>
        <w:tab/>
      </w:r>
      <w:r w:rsidR="003102BB" w:rsidRPr="00DF5C23">
        <w:rPr>
          <w:noProof/>
          <w:lang w:eastAsia="ja-JP"/>
        </w:rPr>
        <w:t>管理方法、資金調達の実施メカニズム、支払い方法、および提案された管理戦略の正当性</w:t>
      </w:r>
      <w:bookmarkEnd w:id="41"/>
      <w:bookmarkEnd w:id="42"/>
    </w:p>
    <w:p w14:paraId="2D2B1121" w14:textId="77777777" w:rsidR="0038775E" w:rsidRDefault="00877B9C" w:rsidP="002041D4">
      <w:pPr>
        <w:pBdr>
          <w:top w:val="single" w:sz="4" w:space="1" w:color="auto"/>
          <w:left w:val="single" w:sz="4" w:space="4" w:color="auto"/>
          <w:bottom w:val="single" w:sz="4" w:space="1" w:color="auto"/>
          <w:right w:val="single" w:sz="4" w:space="4" w:color="auto"/>
        </w:pBdr>
        <w:wordWrap w:val="0"/>
        <w:ind w:left="850"/>
        <w:rPr>
          <w:rFonts w:eastAsia="Calibri"/>
          <w:noProof/>
          <w:lang w:eastAsia="ja-JP"/>
        </w:rPr>
      </w:pPr>
      <w:r w:rsidRPr="00DF5C23">
        <w:rPr>
          <w:rFonts w:eastAsia="Calibri"/>
          <w:noProof/>
          <w:lang w:eastAsia="ja-JP"/>
        </w:rPr>
        <w:t>このイニシアチブの管理形態は、欧州委員会による直接管理である。欧州委員会は、加盟国の代表と利害関係者からなる専門家グループ「</w:t>
      </w:r>
      <w:r w:rsidR="00DD43D3" w:rsidRPr="00DF5C23">
        <w:rPr>
          <w:rFonts w:eastAsia="Calibri"/>
          <w:noProof/>
          <w:lang w:eastAsia="ja-JP"/>
        </w:rPr>
        <w:t>エコデザイン・</w:t>
      </w:r>
      <w:r w:rsidRPr="00DF5C23">
        <w:rPr>
          <w:rFonts w:eastAsia="Calibri"/>
          <w:noProof/>
          <w:lang w:eastAsia="ja-JP"/>
        </w:rPr>
        <w:t>フォーラム」によって支援される。また、欧州委員会は、委員会の支援を受けることになる。</w:t>
      </w:r>
    </w:p>
    <w:p w14:paraId="683CF54E" w14:textId="226CCFBF" w:rsidR="0038775E" w:rsidRDefault="00877B9C" w:rsidP="002041D4">
      <w:pPr>
        <w:pBdr>
          <w:top w:val="single" w:sz="4" w:space="1" w:color="auto"/>
          <w:left w:val="single" w:sz="4" w:space="4" w:color="auto"/>
          <w:bottom w:val="single" w:sz="4" w:space="1" w:color="auto"/>
          <w:right w:val="single" w:sz="4" w:space="4" w:color="auto"/>
        </w:pBdr>
        <w:wordWrap w:val="0"/>
        <w:ind w:left="850"/>
        <w:rPr>
          <w:rFonts w:eastAsia="Calibri"/>
          <w:noProof/>
          <w:lang w:eastAsia="ja-JP"/>
        </w:rPr>
      </w:pPr>
      <w:r w:rsidRPr="00DF5C23">
        <w:rPr>
          <w:rFonts w:eastAsia="Calibri"/>
          <w:noProof/>
          <w:lang w:eastAsia="ja-JP"/>
        </w:rPr>
        <w:t>全体として、このイニシアティブは、スタッフの支出、調達、および場合によっては事務的な手配を必要と</w:t>
      </w:r>
      <w:r w:rsidR="002041D4">
        <w:rPr>
          <w:rFonts w:ascii="ＭＳ 明朝" w:eastAsia="ＭＳ 明朝" w:hAnsi="ＭＳ 明朝" w:cs="ＭＳ 明朝" w:hint="eastAsia"/>
          <w:noProof/>
          <w:lang w:eastAsia="ja-JP"/>
        </w:rPr>
        <w:t>する</w:t>
      </w:r>
      <w:r w:rsidRPr="00DF5C23">
        <w:rPr>
          <w:rFonts w:eastAsia="Calibri"/>
          <w:noProof/>
          <w:lang w:eastAsia="ja-JP"/>
        </w:rPr>
        <w:t>。この種の支出に関する標準的なルールが適用さ</w:t>
      </w:r>
      <w:r w:rsidR="002041D4">
        <w:rPr>
          <w:rFonts w:ascii="ＭＳ 明朝" w:eastAsia="ＭＳ 明朝" w:hAnsi="ＭＳ 明朝" w:cs="ＭＳ 明朝" w:hint="eastAsia"/>
          <w:noProof/>
          <w:lang w:eastAsia="ja-JP"/>
        </w:rPr>
        <w:t>れる</w:t>
      </w:r>
      <w:r w:rsidRPr="00DF5C23">
        <w:rPr>
          <w:rFonts w:eastAsia="Calibri"/>
          <w:noProof/>
          <w:lang w:eastAsia="ja-JP"/>
        </w:rPr>
        <w:t>。</w:t>
      </w:r>
    </w:p>
    <w:p w14:paraId="059B94C5" w14:textId="77777777" w:rsidR="0038775E" w:rsidRDefault="00877B9C" w:rsidP="002041D4">
      <w:pPr>
        <w:pStyle w:val="ManualHeading3"/>
        <w:wordWrap w:val="0"/>
        <w:rPr>
          <w:bCs/>
          <w:noProof/>
          <w:szCs w:val="24"/>
          <w:lang w:eastAsia="ja-JP"/>
        </w:rPr>
      </w:pPr>
      <w:bookmarkStart w:id="43" w:name="_Toc514938047"/>
      <w:bookmarkStart w:id="44" w:name="_Toc520485046"/>
      <w:r w:rsidRPr="004F5E59">
        <w:rPr>
          <w:lang w:eastAsia="ja-JP"/>
        </w:rPr>
        <w:t>2.2.2.</w:t>
      </w:r>
      <w:r w:rsidRPr="004F5E59">
        <w:rPr>
          <w:lang w:eastAsia="ja-JP"/>
        </w:rPr>
        <w:tab/>
      </w:r>
      <w:r w:rsidR="003102BB" w:rsidRPr="00DF5C23">
        <w:rPr>
          <w:noProof/>
          <w:lang w:eastAsia="ja-JP"/>
        </w:rPr>
        <w:t>特定されたリスクとそれを軽減するために設定された内部統制システムに関する情報</w:t>
      </w:r>
      <w:bookmarkEnd w:id="43"/>
      <w:bookmarkEnd w:id="44"/>
    </w:p>
    <w:p w14:paraId="3CA6FE77" w14:textId="6D192D5B" w:rsidR="0038775E" w:rsidRDefault="00877B9C" w:rsidP="002041D4">
      <w:pPr>
        <w:pBdr>
          <w:top w:val="single" w:sz="4" w:space="1" w:color="auto"/>
          <w:left w:val="single" w:sz="4" w:space="4" w:color="auto"/>
          <w:bottom w:val="single" w:sz="4" w:space="1" w:color="auto"/>
          <w:right w:val="single" w:sz="4" w:space="4" w:color="auto"/>
        </w:pBdr>
        <w:wordWrap w:val="0"/>
        <w:ind w:left="850"/>
        <w:rPr>
          <w:rFonts w:eastAsia="Calibri"/>
          <w:noProof/>
          <w:lang w:eastAsia="ja-JP"/>
        </w:rPr>
      </w:pPr>
      <w:r w:rsidRPr="00DF5C23">
        <w:rPr>
          <w:rFonts w:eastAsia="Calibri"/>
          <w:noProof/>
          <w:lang w:eastAsia="ja-JP"/>
        </w:rPr>
        <w:t>全体として、このイニシアティブは、スタッフの支出、調達、および場合によっては事務的な手配を必要と</w:t>
      </w:r>
      <w:r w:rsidR="002041D4">
        <w:rPr>
          <w:rFonts w:ascii="ＭＳ 明朝" w:eastAsia="ＭＳ 明朝" w:hAnsi="ＭＳ 明朝" w:cs="ＭＳ 明朝" w:hint="eastAsia"/>
          <w:noProof/>
          <w:lang w:eastAsia="ja-JP"/>
        </w:rPr>
        <w:t>する</w:t>
      </w:r>
      <w:r w:rsidRPr="00DF5C23">
        <w:rPr>
          <w:rFonts w:eastAsia="Calibri"/>
          <w:noProof/>
          <w:lang w:eastAsia="ja-JP"/>
        </w:rPr>
        <w:t>。この種の支出に関する標準的なルールが適用さ</w:t>
      </w:r>
      <w:r w:rsidR="002041D4">
        <w:rPr>
          <w:rFonts w:ascii="ＭＳ 明朝" w:eastAsia="ＭＳ 明朝" w:hAnsi="ＭＳ 明朝" w:cs="ＭＳ 明朝" w:hint="eastAsia"/>
          <w:noProof/>
          <w:lang w:eastAsia="ja-JP"/>
        </w:rPr>
        <w:t>れる</w:t>
      </w:r>
      <w:r w:rsidRPr="00DF5C23">
        <w:rPr>
          <w:rFonts w:eastAsia="Calibri"/>
          <w:noProof/>
          <w:lang w:eastAsia="ja-JP"/>
        </w:rPr>
        <w:t>。</w:t>
      </w:r>
    </w:p>
    <w:p w14:paraId="6D7CFE35" w14:textId="65F2518C" w:rsidR="0038775E" w:rsidRDefault="00877B9C" w:rsidP="002041D4">
      <w:pPr>
        <w:pBdr>
          <w:top w:val="single" w:sz="4" w:space="1" w:color="auto"/>
          <w:left w:val="single" w:sz="4" w:space="4" w:color="auto"/>
          <w:bottom w:val="single" w:sz="4" w:space="1" w:color="auto"/>
          <w:right w:val="single" w:sz="4" w:space="4" w:color="auto"/>
        </w:pBdr>
        <w:wordWrap w:val="0"/>
        <w:ind w:left="850"/>
        <w:rPr>
          <w:rFonts w:eastAsia="Calibri"/>
          <w:noProof/>
          <w:lang w:eastAsia="ja-JP"/>
        </w:rPr>
      </w:pPr>
      <w:r w:rsidRPr="00DF5C23">
        <w:rPr>
          <w:rFonts w:eastAsia="Calibri"/>
          <w:noProof/>
          <w:lang w:eastAsia="ja-JP"/>
        </w:rPr>
        <w:t>このイニシアティブのほとんどの側面は、技術支援の調達、利害関係者の参加、二次法の採択といった標準的な手続きに則っている。主なリスクは、過去にも明らかになったように、作業計画を実行するための人的資源が不足していること</w:t>
      </w:r>
      <w:r w:rsidR="002041D4">
        <w:rPr>
          <w:rFonts w:ascii="ＭＳ 明朝" w:eastAsia="ＭＳ 明朝" w:hAnsi="ＭＳ 明朝" w:cs="ＭＳ 明朝" w:hint="eastAsia"/>
          <w:noProof/>
          <w:lang w:eastAsia="ja-JP"/>
        </w:rPr>
        <w:t>である</w:t>
      </w:r>
      <w:r w:rsidRPr="00DF5C23">
        <w:rPr>
          <w:rFonts w:eastAsia="Calibri"/>
          <w:noProof/>
          <w:lang w:eastAsia="ja-JP"/>
        </w:rPr>
        <w:t>。また、採択された製品法に対して裁判沙汰になるリスクもある。</w:t>
      </w:r>
    </w:p>
    <w:p w14:paraId="6F31356E" w14:textId="78507FA8" w:rsidR="0038775E" w:rsidRDefault="00877B9C" w:rsidP="002041D4">
      <w:pPr>
        <w:pBdr>
          <w:top w:val="single" w:sz="4" w:space="1" w:color="auto"/>
          <w:left w:val="single" w:sz="4" w:space="4" w:color="auto"/>
          <w:bottom w:val="single" w:sz="4" w:space="1" w:color="auto"/>
          <w:right w:val="single" w:sz="4" w:space="4" w:color="auto"/>
        </w:pBdr>
        <w:wordWrap w:val="0"/>
        <w:ind w:left="850"/>
        <w:rPr>
          <w:rFonts w:eastAsia="Calibri"/>
          <w:noProof/>
          <w:lang w:eastAsia="ja-JP"/>
        </w:rPr>
      </w:pPr>
      <w:r w:rsidRPr="00DF5C23">
        <w:rPr>
          <w:rFonts w:eastAsia="Calibri"/>
          <w:noProof/>
          <w:lang w:eastAsia="ja-JP"/>
        </w:rPr>
        <w:t>デジタル製品パスポートの確立と運用</w:t>
      </w:r>
      <w:r w:rsidRPr="00DF5C23">
        <w:rPr>
          <w:rFonts w:eastAsia="Calibri"/>
          <w:noProof/>
          <w:lang w:eastAsia="ja-JP"/>
        </w:rPr>
        <w:t>、</w:t>
      </w:r>
      <w:r w:rsidRPr="00DF5C23">
        <w:rPr>
          <w:rFonts w:eastAsia="Calibri"/>
          <w:noProof/>
          <w:lang w:eastAsia="ja-JP"/>
        </w:rPr>
        <w:t>EU</w:t>
      </w:r>
      <w:r w:rsidRPr="00DF5C23">
        <w:rPr>
          <w:rFonts w:eastAsia="Calibri"/>
          <w:noProof/>
          <w:lang w:eastAsia="ja-JP"/>
        </w:rPr>
        <w:t>域外のサプライチェーンに直接的・間接的に影響を与える要件など、</w:t>
      </w:r>
      <w:r w:rsidRPr="00DF5C23">
        <w:rPr>
          <w:rFonts w:eastAsia="Calibri"/>
          <w:noProof/>
          <w:lang w:eastAsia="ja-JP"/>
        </w:rPr>
        <w:t>SPI</w:t>
      </w:r>
      <w:r w:rsidRPr="00DF5C23">
        <w:rPr>
          <w:rFonts w:eastAsia="Calibri"/>
          <w:noProof/>
          <w:lang w:eastAsia="ja-JP"/>
        </w:rPr>
        <w:t>の枠組みの新しい側面によって新たなリスクが発生する可能性があ</w:t>
      </w:r>
      <w:r w:rsidR="002041D4">
        <w:rPr>
          <w:rFonts w:ascii="ＭＳ 明朝" w:eastAsia="ＭＳ 明朝" w:hAnsi="ＭＳ 明朝" w:cs="ＭＳ 明朝" w:hint="eastAsia"/>
          <w:noProof/>
          <w:lang w:eastAsia="ja-JP"/>
        </w:rPr>
        <w:t>る</w:t>
      </w:r>
      <w:r w:rsidRPr="00DF5C23">
        <w:rPr>
          <w:rFonts w:eastAsia="Calibri"/>
          <w:noProof/>
          <w:lang w:eastAsia="ja-JP"/>
        </w:rPr>
        <w:t>。</w:t>
      </w:r>
    </w:p>
    <w:p w14:paraId="4DDBB8AB" w14:textId="77777777" w:rsidR="0038775E" w:rsidRDefault="00877B9C" w:rsidP="002041D4">
      <w:pPr>
        <w:pStyle w:val="ManualHeading3"/>
        <w:wordWrap w:val="0"/>
        <w:rPr>
          <w:noProof/>
          <w:lang w:eastAsia="ja-JP"/>
        </w:rPr>
      </w:pPr>
      <w:bookmarkStart w:id="45" w:name="_Toc514938048"/>
      <w:bookmarkStart w:id="46" w:name="_Toc520485047"/>
      <w:r w:rsidRPr="004F5E59">
        <w:rPr>
          <w:lang w:eastAsia="ja-JP"/>
        </w:rPr>
        <w:t>2.2.3.</w:t>
      </w:r>
      <w:r w:rsidRPr="004F5E59">
        <w:rPr>
          <w:lang w:eastAsia="ja-JP"/>
        </w:rPr>
        <w:tab/>
      </w:r>
      <w:r w:rsidR="00BF1765" w:rsidRPr="00DF5C23">
        <w:rPr>
          <w:noProof/>
          <w:lang w:eastAsia="ja-JP"/>
        </w:rPr>
        <w:t>管理の費用対効果（「管理コスト</w:t>
      </w:r>
      <w:r w:rsidR="00BF1765" w:rsidRPr="00DF5C23">
        <w:rPr>
          <w:noProof/>
          <w:lang w:eastAsia="ja-JP"/>
        </w:rPr>
        <w:t>÷</w:t>
      </w:r>
      <w:r w:rsidR="00BF1765" w:rsidRPr="00DF5C23">
        <w:rPr>
          <w:noProof/>
          <w:lang w:eastAsia="ja-JP"/>
        </w:rPr>
        <w:t>管理される関連資金の価値」の比率）の見積もりと正当化、および（支払時および閉鎖時の）予想される誤りのリスクレベルの評価</w:t>
      </w:r>
      <w:r w:rsidR="00BF1765" w:rsidRPr="00DF5C23">
        <w:rPr>
          <w:noProof/>
          <w:lang w:eastAsia="ja-JP"/>
        </w:rPr>
        <w:t xml:space="preserve"> </w:t>
      </w:r>
      <w:bookmarkEnd w:id="45"/>
      <w:bookmarkEnd w:id="46"/>
    </w:p>
    <w:p w14:paraId="01484DC5" w14:textId="34EE81D2" w:rsidR="0038775E" w:rsidRDefault="00877B9C" w:rsidP="002041D4">
      <w:pPr>
        <w:pBdr>
          <w:top w:val="single" w:sz="4" w:space="1" w:color="auto"/>
          <w:left w:val="single" w:sz="4" w:space="4" w:color="auto"/>
          <w:bottom w:val="single" w:sz="4" w:space="1" w:color="auto"/>
          <w:right w:val="single" w:sz="4" w:space="4" w:color="auto"/>
        </w:pBdr>
        <w:wordWrap w:val="0"/>
        <w:ind w:left="850"/>
        <w:rPr>
          <w:rFonts w:eastAsia="Calibri"/>
          <w:noProof/>
          <w:lang w:eastAsia="ja-JP"/>
        </w:rPr>
      </w:pPr>
      <w:r w:rsidRPr="00DF5C23">
        <w:rPr>
          <w:rFonts w:eastAsia="Calibri"/>
          <w:noProof/>
          <w:lang w:eastAsia="ja-JP"/>
        </w:rPr>
        <w:t>全体として、このイニシアティブは、スタッフの支出、調達、および場合によっては事務的な手配を必要と</w:t>
      </w:r>
      <w:r w:rsidR="002041D4">
        <w:rPr>
          <w:rFonts w:ascii="ＭＳ 明朝" w:eastAsia="ＭＳ 明朝" w:hAnsi="ＭＳ 明朝" w:cs="ＭＳ 明朝" w:hint="eastAsia"/>
          <w:noProof/>
          <w:lang w:eastAsia="ja-JP"/>
        </w:rPr>
        <w:t>する</w:t>
      </w:r>
      <w:r w:rsidRPr="00DF5C23">
        <w:rPr>
          <w:rFonts w:eastAsia="Calibri"/>
          <w:noProof/>
          <w:lang w:eastAsia="ja-JP"/>
        </w:rPr>
        <w:t>。この種の支出に関する標準的なルールが適用さ</w:t>
      </w:r>
      <w:r w:rsidR="002041D4">
        <w:rPr>
          <w:rFonts w:ascii="ＭＳ 明朝" w:eastAsia="ＭＳ 明朝" w:hAnsi="ＭＳ 明朝" w:cs="ＭＳ 明朝" w:hint="eastAsia"/>
          <w:noProof/>
          <w:lang w:eastAsia="ja-JP"/>
        </w:rPr>
        <w:t>れる</w:t>
      </w:r>
      <w:r w:rsidRPr="00DF5C23">
        <w:rPr>
          <w:rFonts w:eastAsia="Calibri"/>
          <w:noProof/>
          <w:lang w:eastAsia="ja-JP"/>
        </w:rPr>
        <w:t>。</w:t>
      </w:r>
    </w:p>
    <w:p w14:paraId="4DDC2348" w14:textId="77777777" w:rsidR="0038775E" w:rsidRDefault="00877B9C" w:rsidP="002041D4">
      <w:pPr>
        <w:pStyle w:val="ManualHeading2"/>
        <w:wordWrap w:val="0"/>
        <w:rPr>
          <w:bCs/>
          <w:noProof/>
          <w:szCs w:val="24"/>
          <w:lang w:eastAsia="ja-JP"/>
        </w:rPr>
      </w:pPr>
      <w:bookmarkStart w:id="47" w:name="_Toc514938049"/>
      <w:bookmarkStart w:id="48" w:name="_Toc520485048"/>
      <w:r w:rsidRPr="004F5E59">
        <w:rPr>
          <w:lang w:eastAsia="ja-JP"/>
        </w:rPr>
        <w:t>2.3.</w:t>
      </w:r>
      <w:r w:rsidRPr="004F5E59">
        <w:rPr>
          <w:lang w:eastAsia="ja-JP"/>
        </w:rPr>
        <w:tab/>
      </w:r>
      <w:r w:rsidR="003102BB" w:rsidRPr="00DF5C23">
        <w:rPr>
          <w:noProof/>
          <w:lang w:eastAsia="ja-JP"/>
        </w:rPr>
        <w:t>不正・不祥事防止のための対策</w:t>
      </w:r>
      <w:r w:rsidR="003102BB" w:rsidRPr="00DF5C23">
        <w:rPr>
          <w:noProof/>
          <w:lang w:eastAsia="ja-JP"/>
        </w:rPr>
        <w:t xml:space="preserve"> </w:t>
      </w:r>
      <w:bookmarkEnd w:id="47"/>
      <w:bookmarkEnd w:id="48"/>
    </w:p>
    <w:p w14:paraId="11425B26" w14:textId="77777777" w:rsidR="0038775E" w:rsidRDefault="00877B9C" w:rsidP="002041D4">
      <w:pPr>
        <w:wordWrap w:val="0"/>
        <w:ind w:left="850"/>
        <w:rPr>
          <w:rFonts w:eastAsia="Calibri"/>
          <w:i/>
          <w:noProof/>
          <w:sz w:val="20"/>
          <w:lang w:eastAsia="ja-JP"/>
        </w:rPr>
      </w:pPr>
      <w:r w:rsidRPr="00DF5C23">
        <w:rPr>
          <w:rFonts w:eastAsia="Calibri"/>
          <w:i/>
          <w:noProof/>
          <w:sz w:val="20"/>
          <w:lang w:eastAsia="ja-JP"/>
        </w:rPr>
        <w:t>既</w:t>
      </w:r>
      <w:r w:rsidRPr="00DF5C23">
        <w:rPr>
          <w:rFonts w:eastAsia="Calibri"/>
          <w:i/>
          <w:noProof/>
          <w:sz w:val="20"/>
          <w:lang w:eastAsia="ja-JP"/>
        </w:rPr>
        <w:t>存の、あるいは想定される防止・保護策を明記する（例：不正防止戦略から）。</w:t>
      </w:r>
    </w:p>
    <w:p w14:paraId="39AF8584" w14:textId="71E35624" w:rsidR="0038775E" w:rsidRDefault="00877B9C" w:rsidP="002041D4">
      <w:pPr>
        <w:pBdr>
          <w:top w:val="single" w:sz="4" w:space="1" w:color="auto"/>
          <w:left w:val="single" w:sz="4" w:space="4" w:color="auto"/>
          <w:bottom w:val="single" w:sz="4" w:space="1" w:color="auto"/>
          <w:right w:val="single" w:sz="4" w:space="4" w:color="auto"/>
        </w:pBdr>
        <w:wordWrap w:val="0"/>
        <w:ind w:left="850"/>
        <w:rPr>
          <w:rFonts w:eastAsia="Calibri"/>
          <w:noProof/>
          <w:lang w:eastAsia="ja-JP"/>
        </w:rPr>
      </w:pPr>
      <w:r w:rsidRPr="00DF5C23">
        <w:rPr>
          <w:rFonts w:eastAsia="Calibri"/>
          <w:noProof/>
          <w:lang w:eastAsia="ja-JP"/>
        </w:rPr>
        <w:lastRenderedPageBreak/>
        <w:t>全体として、このイニシアティブは、スタッフの支出、調達、および場合によっては事務的な手配を必要と</w:t>
      </w:r>
      <w:r w:rsidR="002041D4">
        <w:rPr>
          <w:rFonts w:ascii="ＭＳ 明朝" w:eastAsia="ＭＳ 明朝" w:hAnsi="ＭＳ 明朝" w:cs="ＭＳ 明朝" w:hint="eastAsia"/>
          <w:noProof/>
          <w:lang w:eastAsia="ja-JP"/>
        </w:rPr>
        <w:t>する</w:t>
      </w:r>
      <w:r w:rsidRPr="00DF5C23">
        <w:rPr>
          <w:rFonts w:eastAsia="Calibri"/>
          <w:noProof/>
          <w:lang w:eastAsia="ja-JP"/>
        </w:rPr>
        <w:t>。この種の支出に関する標準的なルールが適用さ</w:t>
      </w:r>
      <w:r w:rsidR="002041D4">
        <w:rPr>
          <w:rFonts w:ascii="ＭＳ 明朝" w:eastAsia="ＭＳ 明朝" w:hAnsi="ＭＳ 明朝" w:cs="ＭＳ 明朝" w:hint="eastAsia"/>
          <w:noProof/>
          <w:lang w:eastAsia="ja-JP"/>
        </w:rPr>
        <w:t>れる</w:t>
      </w:r>
      <w:r w:rsidRPr="00DF5C23">
        <w:rPr>
          <w:rFonts w:eastAsia="Calibri"/>
          <w:noProof/>
          <w:lang w:eastAsia="ja-JP"/>
        </w:rPr>
        <w:t>。</w:t>
      </w:r>
    </w:p>
    <w:p w14:paraId="1DA1E216" w14:textId="2FF6F12F" w:rsidR="0038775E" w:rsidRDefault="00877B9C" w:rsidP="002041D4">
      <w:pPr>
        <w:pBdr>
          <w:top w:val="single" w:sz="4" w:space="1" w:color="auto"/>
          <w:left w:val="single" w:sz="4" w:space="4" w:color="auto"/>
          <w:bottom w:val="single" w:sz="4" w:space="1" w:color="auto"/>
          <w:right w:val="single" w:sz="4" w:space="4" w:color="auto"/>
        </w:pBdr>
        <w:wordWrap w:val="0"/>
        <w:ind w:left="850"/>
        <w:rPr>
          <w:rFonts w:eastAsia="Calibri"/>
          <w:noProof/>
          <w:lang w:eastAsia="ja-JP"/>
        </w:rPr>
      </w:pPr>
      <w:r w:rsidRPr="00DF5C23">
        <w:rPr>
          <w:rFonts w:eastAsia="Calibri"/>
          <w:noProof/>
          <w:lang w:eastAsia="ja-JP"/>
        </w:rPr>
        <w:t>主な不正リスクは、経済事業者による製品要件の意図的な回避に関連するもの</w:t>
      </w:r>
      <w:r w:rsidR="002041D4">
        <w:rPr>
          <w:rFonts w:ascii="ＭＳ 明朝" w:eastAsia="ＭＳ 明朝" w:hAnsi="ＭＳ 明朝" w:cs="ＭＳ 明朝" w:hint="eastAsia"/>
          <w:noProof/>
          <w:lang w:eastAsia="ja-JP"/>
        </w:rPr>
        <w:t>である</w:t>
      </w:r>
      <w:r w:rsidRPr="00DF5C23">
        <w:rPr>
          <w:rFonts w:eastAsia="Calibri"/>
          <w:noProof/>
          <w:lang w:eastAsia="ja-JP"/>
        </w:rPr>
        <w:t>。これを防ぐには、市場の監視</w:t>
      </w:r>
      <w:r w:rsidR="006C7D92" w:rsidRPr="00DF5C23">
        <w:rPr>
          <w:rFonts w:eastAsia="Calibri"/>
          <w:noProof/>
          <w:lang w:eastAsia="ja-JP"/>
        </w:rPr>
        <w:t>活動と税関の管理を</w:t>
      </w:r>
      <w:r w:rsidRPr="00DF5C23">
        <w:rPr>
          <w:rFonts w:eastAsia="Calibri"/>
          <w:noProof/>
          <w:lang w:eastAsia="ja-JP"/>
        </w:rPr>
        <w:t>強化することが重要</w:t>
      </w:r>
      <w:r w:rsidR="002041D4">
        <w:rPr>
          <w:rFonts w:ascii="ＭＳ 明朝" w:eastAsia="ＭＳ 明朝" w:hAnsi="ＭＳ 明朝" w:cs="ＭＳ 明朝" w:hint="eastAsia"/>
          <w:noProof/>
          <w:lang w:eastAsia="ja-JP"/>
        </w:rPr>
        <w:t>である</w:t>
      </w:r>
      <w:r w:rsidRPr="00DF5C23">
        <w:rPr>
          <w:rFonts w:eastAsia="Calibri"/>
          <w:noProof/>
          <w:lang w:eastAsia="ja-JP"/>
        </w:rPr>
        <w:t>。</w:t>
      </w:r>
    </w:p>
    <w:p w14:paraId="2C3A5A48" w14:textId="77777777" w:rsidR="00BF1765" w:rsidRPr="00DF5C23" w:rsidRDefault="00BF1765" w:rsidP="002041D4">
      <w:pPr>
        <w:wordWrap w:val="0"/>
        <w:rPr>
          <w:rFonts w:eastAsia="Calibri"/>
          <w:noProof/>
          <w:lang w:eastAsia="ja-JP"/>
        </w:rPr>
      </w:pPr>
    </w:p>
    <w:p w14:paraId="2C3A5A49" w14:textId="77777777" w:rsidR="00BF1765" w:rsidRPr="00DF5C23" w:rsidRDefault="00BF1765" w:rsidP="002041D4">
      <w:pPr>
        <w:wordWrap w:val="0"/>
        <w:rPr>
          <w:rFonts w:eastAsia="Calibri"/>
          <w:noProof/>
          <w:lang w:eastAsia="ja-JP"/>
        </w:rPr>
        <w:sectPr w:rsidR="00BF1765" w:rsidRPr="00DF5C23" w:rsidSect="008B42B0">
          <w:pgSz w:w="11907" w:h="16840" w:code="9"/>
          <w:pgMar w:top="1134" w:right="1418" w:bottom="1134" w:left="1418" w:header="709" w:footer="709" w:gutter="0"/>
          <w:cols w:space="708"/>
          <w:docGrid w:linePitch="360"/>
        </w:sectPr>
      </w:pPr>
    </w:p>
    <w:p w14:paraId="666B2441" w14:textId="77777777" w:rsidR="0038775E" w:rsidRDefault="00877B9C" w:rsidP="002041D4">
      <w:pPr>
        <w:pStyle w:val="ManualHeading1"/>
        <w:wordWrap w:val="0"/>
        <w:rPr>
          <w:bCs/>
          <w:noProof/>
          <w:szCs w:val="24"/>
          <w:lang w:eastAsia="ja-JP"/>
        </w:rPr>
      </w:pPr>
      <w:bookmarkStart w:id="49" w:name="_Toc514938050"/>
      <w:bookmarkStart w:id="50" w:name="_Toc520485049"/>
      <w:r w:rsidRPr="004F5E59">
        <w:rPr>
          <w:lang w:eastAsia="ja-JP"/>
        </w:rPr>
        <w:lastRenderedPageBreak/>
        <w:t>3.</w:t>
      </w:r>
      <w:r w:rsidRPr="004F5E59">
        <w:rPr>
          <w:lang w:eastAsia="ja-JP"/>
        </w:rPr>
        <w:tab/>
      </w:r>
      <w:r w:rsidR="003102BB" w:rsidRPr="00DF5C23">
        <w:rPr>
          <w:noProof/>
          <w:lang w:eastAsia="ja-JP"/>
        </w:rPr>
        <w:t>提案</w:t>
      </w:r>
      <w:r w:rsidR="003102BB" w:rsidRPr="00DF5C23">
        <w:rPr>
          <w:noProof/>
          <w:lang w:eastAsia="ja-JP"/>
        </w:rPr>
        <w:t>/</w:t>
      </w:r>
      <w:r w:rsidR="003102BB" w:rsidRPr="00DF5C23">
        <w:rPr>
          <w:noProof/>
          <w:lang w:eastAsia="ja-JP"/>
        </w:rPr>
        <w:t>イニシアチブの推定財務的影響</w:t>
      </w:r>
      <w:r w:rsidR="003102BB" w:rsidRPr="00DF5C23">
        <w:rPr>
          <w:noProof/>
          <w:lang w:eastAsia="ja-JP"/>
        </w:rPr>
        <w:t xml:space="preserve"> </w:t>
      </w:r>
      <w:bookmarkEnd w:id="49"/>
      <w:bookmarkEnd w:id="50"/>
    </w:p>
    <w:p w14:paraId="375ACFA5" w14:textId="77777777" w:rsidR="0038775E" w:rsidRDefault="00877B9C" w:rsidP="002041D4">
      <w:pPr>
        <w:pStyle w:val="ManualHeading2"/>
        <w:wordWrap w:val="0"/>
        <w:rPr>
          <w:noProof/>
          <w:lang w:eastAsia="ja-JP"/>
        </w:rPr>
      </w:pPr>
      <w:bookmarkStart w:id="51" w:name="_Toc514938051"/>
      <w:bookmarkStart w:id="52" w:name="_Toc520485050"/>
      <w:r w:rsidRPr="004F5E59">
        <w:rPr>
          <w:lang w:eastAsia="ja-JP"/>
        </w:rPr>
        <w:t>3.1.</w:t>
      </w:r>
      <w:r w:rsidRPr="004F5E59">
        <w:rPr>
          <w:lang w:eastAsia="ja-JP"/>
        </w:rPr>
        <w:tab/>
      </w:r>
      <w:r w:rsidR="003102BB" w:rsidRPr="00DF5C23">
        <w:rPr>
          <w:noProof/>
          <w:lang w:eastAsia="ja-JP"/>
        </w:rPr>
        <w:t>多年度財政フレームワークの見出し（複数可）および影響を受ける支出予算ライン（複数可）</w:t>
      </w:r>
      <w:r w:rsidR="003102BB" w:rsidRPr="00DF5C23">
        <w:rPr>
          <w:noProof/>
          <w:lang w:eastAsia="ja-JP"/>
        </w:rPr>
        <w:t xml:space="preserve"> </w:t>
      </w:r>
      <w:bookmarkEnd w:id="51"/>
      <w:bookmarkEnd w:id="52"/>
    </w:p>
    <w:p w14:paraId="31DCB459" w14:textId="77777777" w:rsidR="0038775E" w:rsidRDefault="00877B9C" w:rsidP="002041D4">
      <w:pPr>
        <w:pStyle w:val="Bullet1"/>
        <w:wordWrap w:val="0"/>
        <w:rPr>
          <w:noProof/>
          <w:lang w:eastAsia="de-DE"/>
        </w:rPr>
      </w:pPr>
      <w:r w:rsidRPr="00DF5C23">
        <w:rPr>
          <w:noProof/>
          <w:lang w:eastAsia="de-DE"/>
        </w:rPr>
        <w:t>既存の予算枠</w:t>
      </w:r>
      <w:r w:rsidRPr="00DF5C23">
        <w:rPr>
          <w:noProof/>
          <w:lang w:eastAsia="de-DE"/>
        </w:rPr>
        <w:t xml:space="preserve"> </w:t>
      </w:r>
    </w:p>
    <w:p w14:paraId="7AFF9824" w14:textId="77777777" w:rsidR="0038775E" w:rsidRDefault="00877B9C" w:rsidP="002041D4">
      <w:pPr>
        <w:wordWrap w:val="0"/>
        <w:ind w:left="850"/>
        <w:rPr>
          <w:rFonts w:eastAsia="Calibri"/>
          <w:i/>
          <w:noProof/>
          <w:lang w:eastAsia="ja-JP"/>
        </w:rPr>
      </w:pPr>
      <w:r w:rsidRPr="00DF5C23">
        <w:rPr>
          <w:rFonts w:eastAsia="Calibri"/>
          <w:i/>
          <w:noProof/>
          <w:lang w:eastAsia="ja-JP"/>
        </w:rPr>
        <w:t>多年度財政フレームワークの見出しと予算枠の</w:t>
      </w:r>
      <w:r w:rsidRPr="00DF5C23">
        <w:rPr>
          <w:rFonts w:eastAsia="Calibri"/>
          <w:i/>
          <w:noProof/>
          <w:u w:val="single"/>
          <w:lang w:eastAsia="ja-JP"/>
        </w:rPr>
        <w:t>順で。</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BF1765" w:rsidRPr="00DF5C23" w14:paraId="2C3A5A52" w14:textId="77777777" w:rsidTr="00743354">
        <w:tc>
          <w:tcPr>
            <w:tcW w:w="1080" w:type="dxa"/>
            <w:vMerge w:val="restart"/>
            <w:vAlign w:val="center"/>
          </w:tcPr>
          <w:p w14:paraId="3A7C86CD" w14:textId="77777777" w:rsidR="0038775E" w:rsidRDefault="00877B9C" w:rsidP="002041D4">
            <w:pPr>
              <w:wordWrap w:val="0"/>
              <w:spacing w:before="60" w:after="60"/>
              <w:jc w:val="center"/>
              <w:rPr>
                <w:rFonts w:eastAsia="Calibri"/>
                <w:noProof/>
                <w:lang w:eastAsia="ja-JP"/>
              </w:rPr>
            </w:pPr>
            <w:r w:rsidRPr="00DF5C23">
              <w:rPr>
                <w:rFonts w:eastAsia="Calibri"/>
                <w:noProof/>
                <w:sz w:val="18"/>
                <w:lang w:eastAsia="ja-JP"/>
              </w:rPr>
              <w:t>多年間財務枠組みの見出し</w:t>
            </w:r>
          </w:p>
        </w:tc>
        <w:tc>
          <w:tcPr>
            <w:tcW w:w="3960" w:type="dxa"/>
            <w:vAlign w:val="center"/>
          </w:tcPr>
          <w:p w14:paraId="564C4BB3" w14:textId="77777777" w:rsidR="0038775E" w:rsidRDefault="00877B9C" w:rsidP="002041D4">
            <w:pPr>
              <w:wordWrap w:val="0"/>
              <w:spacing w:before="60" w:after="60"/>
              <w:jc w:val="center"/>
              <w:rPr>
                <w:rFonts w:eastAsia="Calibri"/>
                <w:noProof/>
              </w:rPr>
            </w:pPr>
            <w:r w:rsidRPr="00DF5C23">
              <w:rPr>
                <w:rFonts w:eastAsia="Calibri"/>
                <w:noProof/>
                <w:sz w:val="20"/>
              </w:rPr>
              <w:t>予算ライン</w:t>
            </w:r>
          </w:p>
        </w:tc>
        <w:tc>
          <w:tcPr>
            <w:tcW w:w="1080" w:type="dxa"/>
            <w:vAlign w:val="center"/>
          </w:tcPr>
          <w:p w14:paraId="4800FB14" w14:textId="77777777" w:rsidR="0038775E" w:rsidRDefault="00877B9C" w:rsidP="002041D4">
            <w:pPr>
              <w:wordWrap w:val="0"/>
              <w:spacing w:before="60" w:after="60"/>
              <w:jc w:val="center"/>
              <w:rPr>
                <w:rFonts w:eastAsia="Calibri"/>
                <w:noProof/>
              </w:rPr>
            </w:pPr>
            <w:r w:rsidRPr="00DF5C23">
              <w:rPr>
                <w:rFonts w:eastAsia="Calibri"/>
                <w:noProof/>
                <w:sz w:val="18"/>
              </w:rPr>
              <w:t>タイプ</w:t>
            </w:r>
            <w:r w:rsidRPr="00DF5C23">
              <w:rPr>
                <w:rFonts w:eastAsia="Calibri"/>
                <w:noProof/>
                <w:sz w:val="18"/>
              </w:rPr>
              <w:t xml:space="preserve"> </w:t>
            </w:r>
            <w:r w:rsidRPr="00DF5C23">
              <w:rPr>
                <w:rFonts w:eastAsia="Calibri"/>
                <w:noProof/>
                <w:sz w:val="22"/>
              </w:rPr>
              <w:br/>
            </w:r>
            <w:r w:rsidRPr="00DF5C23">
              <w:rPr>
                <w:rFonts w:eastAsia="Calibri"/>
                <w:noProof/>
                <w:sz w:val="18"/>
              </w:rPr>
              <w:t>消費</w:t>
            </w:r>
          </w:p>
        </w:tc>
        <w:tc>
          <w:tcPr>
            <w:tcW w:w="4440" w:type="dxa"/>
            <w:gridSpan w:val="4"/>
            <w:vAlign w:val="center"/>
          </w:tcPr>
          <w:p w14:paraId="68ACFB11" w14:textId="77777777" w:rsidR="0038775E" w:rsidRDefault="00877B9C" w:rsidP="002041D4">
            <w:pPr>
              <w:wordWrap w:val="0"/>
              <w:spacing w:before="60" w:after="60"/>
              <w:jc w:val="center"/>
              <w:rPr>
                <w:rFonts w:eastAsia="Calibri"/>
                <w:noProof/>
              </w:rPr>
            </w:pPr>
            <w:r w:rsidRPr="00DF5C23">
              <w:rPr>
                <w:rFonts w:eastAsia="Calibri"/>
                <w:noProof/>
                <w:sz w:val="20"/>
              </w:rPr>
              <w:t>貢献度</w:t>
            </w:r>
            <w:r w:rsidRPr="00DF5C23">
              <w:rPr>
                <w:rFonts w:eastAsia="Calibri"/>
                <w:noProof/>
                <w:sz w:val="20"/>
              </w:rPr>
              <w:t xml:space="preserve"> </w:t>
            </w:r>
          </w:p>
        </w:tc>
      </w:tr>
      <w:tr w:rsidR="00BF1765" w:rsidRPr="00DF5C23" w14:paraId="2C3A5A5C" w14:textId="77777777" w:rsidTr="00743354">
        <w:tc>
          <w:tcPr>
            <w:tcW w:w="1080" w:type="dxa"/>
            <w:vMerge/>
            <w:vAlign w:val="center"/>
          </w:tcPr>
          <w:p w14:paraId="2C3A5A53" w14:textId="77777777" w:rsidR="00BF1765" w:rsidRPr="00DF5C23" w:rsidRDefault="00BF1765" w:rsidP="002041D4">
            <w:pPr>
              <w:wordWrap w:val="0"/>
              <w:jc w:val="center"/>
              <w:rPr>
                <w:rFonts w:eastAsia="Calibri"/>
                <w:noProof/>
              </w:rPr>
            </w:pPr>
          </w:p>
        </w:tc>
        <w:tc>
          <w:tcPr>
            <w:tcW w:w="3960" w:type="dxa"/>
            <w:vAlign w:val="center"/>
          </w:tcPr>
          <w:p w14:paraId="4F289BFC" w14:textId="77777777" w:rsidR="0038775E" w:rsidRDefault="00877B9C" w:rsidP="002041D4">
            <w:pPr>
              <w:wordWrap w:val="0"/>
              <w:rPr>
                <w:rFonts w:eastAsia="Calibri"/>
                <w:noProof/>
              </w:rPr>
            </w:pPr>
            <w:r w:rsidRPr="00DF5C23">
              <w:rPr>
                <w:rFonts w:eastAsia="Calibri"/>
                <w:noProof/>
                <w:sz w:val="20"/>
              </w:rPr>
              <w:t>番号</w:t>
            </w:r>
            <w:r w:rsidRPr="00DF5C23">
              <w:rPr>
                <w:rFonts w:eastAsia="Calibri"/>
                <w:noProof/>
                <w:sz w:val="20"/>
              </w:rPr>
              <w:t xml:space="preserve"> </w:t>
            </w:r>
            <w:r w:rsidRPr="00DF5C23">
              <w:rPr>
                <w:rFonts w:eastAsia="Calibri"/>
                <w:noProof/>
                <w:sz w:val="22"/>
              </w:rPr>
              <w:br/>
            </w:r>
          </w:p>
        </w:tc>
        <w:tc>
          <w:tcPr>
            <w:tcW w:w="1080" w:type="dxa"/>
            <w:vAlign w:val="center"/>
          </w:tcPr>
          <w:p w14:paraId="63F4E019" w14:textId="77777777" w:rsidR="0038775E" w:rsidRDefault="00877B9C" w:rsidP="002041D4">
            <w:pPr>
              <w:wordWrap w:val="0"/>
              <w:jc w:val="center"/>
              <w:rPr>
                <w:rFonts w:eastAsia="Calibri"/>
                <w:noProof/>
              </w:rPr>
            </w:pPr>
            <w:r w:rsidRPr="00DF5C23">
              <w:rPr>
                <w:rFonts w:eastAsia="Calibri"/>
                <w:noProof/>
                <w:sz w:val="18"/>
                <w:szCs w:val="18"/>
              </w:rPr>
              <w:t xml:space="preserve">Diff./Non-diff. </w:t>
            </w:r>
            <w:r w:rsidR="008B78E1" w:rsidRPr="00DF5C23">
              <w:rPr>
                <w:rStyle w:val="afa"/>
                <w:rFonts w:eastAsia="Calibri"/>
                <w:noProof/>
                <w:sz w:val="18"/>
                <w:szCs w:val="18"/>
              </w:rPr>
              <w:footnoteReference w:id="89"/>
            </w:r>
          </w:p>
        </w:tc>
        <w:tc>
          <w:tcPr>
            <w:tcW w:w="956" w:type="dxa"/>
            <w:vAlign w:val="center"/>
          </w:tcPr>
          <w:p w14:paraId="4B686789" w14:textId="77777777" w:rsidR="0038775E" w:rsidRDefault="00877B9C" w:rsidP="002041D4">
            <w:pPr>
              <w:wordWrap w:val="0"/>
              <w:jc w:val="center"/>
              <w:rPr>
                <w:rFonts w:eastAsia="Calibri"/>
                <w:noProof/>
              </w:rPr>
            </w:pPr>
            <w:r w:rsidRPr="00DF5C23">
              <w:rPr>
                <w:rFonts w:eastAsia="Calibri"/>
                <w:noProof/>
                <w:sz w:val="18"/>
                <w:szCs w:val="18"/>
              </w:rPr>
              <w:t>EFTA</w:t>
            </w:r>
            <w:r w:rsidRPr="00DF5C23">
              <w:rPr>
                <w:rFonts w:eastAsia="Calibri"/>
                <w:noProof/>
                <w:sz w:val="18"/>
                <w:szCs w:val="18"/>
              </w:rPr>
              <w:t>諸国から</w:t>
            </w:r>
            <w:r w:rsidR="008B78E1" w:rsidRPr="00DF5C23">
              <w:rPr>
                <w:rStyle w:val="afa"/>
                <w:rFonts w:eastAsia="Calibri"/>
                <w:noProof/>
                <w:sz w:val="18"/>
                <w:szCs w:val="18"/>
              </w:rPr>
              <w:footnoteReference w:id="90"/>
            </w:r>
          </w:p>
          <w:p w14:paraId="2C3A5A57" w14:textId="77777777" w:rsidR="00BF1765" w:rsidRPr="00DF5C23" w:rsidRDefault="00BF1765" w:rsidP="002041D4">
            <w:pPr>
              <w:wordWrap w:val="0"/>
              <w:spacing w:before="0" w:after="0"/>
              <w:jc w:val="center"/>
              <w:rPr>
                <w:rFonts w:eastAsia="Calibri"/>
                <w:b/>
                <w:noProof/>
                <w:sz w:val="18"/>
              </w:rPr>
            </w:pPr>
          </w:p>
        </w:tc>
        <w:tc>
          <w:tcPr>
            <w:tcW w:w="1080" w:type="dxa"/>
            <w:vAlign w:val="center"/>
          </w:tcPr>
          <w:p w14:paraId="0D3B2803" w14:textId="77777777" w:rsidR="0038775E" w:rsidRDefault="00877B9C" w:rsidP="002041D4">
            <w:pPr>
              <w:wordWrap w:val="0"/>
              <w:jc w:val="center"/>
              <w:rPr>
                <w:rFonts w:eastAsia="Calibri"/>
                <w:noProof/>
              </w:rPr>
            </w:pPr>
            <w:r w:rsidRPr="00DF5C23">
              <w:rPr>
                <w:rFonts w:eastAsia="Calibri"/>
                <w:noProof/>
                <w:sz w:val="18"/>
                <w:szCs w:val="18"/>
              </w:rPr>
              <w:t>候補国から</w:t>
            </w:r>
            <w:r w:rsidR="008B78E1" w:rsidRPr="00DF5C23">
              <w:rPr>
                <w:rStyle w:val="afa"/>
                <w:rFonts w:eastAsia="Calibri"/>
                <w:noProof/>
                <w:sz w:val="18"/>
                <w:szCs w:val="18"/>
              </w:rPr>
              <w:footnoteReference w:id="91"/>
            </w:r>
          </w:p>
          <w:p w14:paraId="2C3A5A59" w14:textId="77777777" w:rsidR="00BF1765" w:rsidRPr="00DF5C23" w:rsidRDefault="00BF1765" w:rsidP="002041D4">
            <w:pPr>
              <w:wordWrap w:val="0"/>
              <w:spacing w:before="0" w:after="0"/>
              <w:jc w:val="center"/>
              <w:rPr>
                <w:rFonts w:eastAsia="Calibri"/>
                <w:noProof/>
                <w:sz w:val="18"/>
              </w:rPr>
            </w:pPr>
          </w:p>
        </w:tc>
        <w:tc>
          <w:tcPr>
            <w:tcW w:w="956" w:type="dxa"/>
            <w:vAlign w:val="center"/>
          </w:tcPr>
          <w:p w14:paraId="48F55474" w14:textId="77777777" w:rsidR="0038775E" w:rsidRDefault="00877B9C" w:rsidP="002041D4">
            <w:pPr>
              <w:wordWrap w:val="0"/>
              <w:jc w:val="center"/>
              <w:rPr>
                <w:rFonts w:eastAsia="Calibri"/>
                <w:noProof/>
                <w:sz w:val="18"/>
              </w:rPr>
            </w:pPr>
            <w:r w:rsidRPr="00DF5C23">
              <w:rPr>
                <w:rFonts w:eastAsia="Calibri"/>
                <w:noProof/>
                <w:sz w:val="18"/>
              </w:rPr>
              <w:t>第三国から</w:t>
            </w:r>
          </w:p>
        </w:tc>
        <w:tc>
          <w:tcPr>
            <w:tcW w:w="1448" w:type="dxa"/>
            <w:vAlign w:val="center"/>
          </w:tcPr>
          <w:p w14:paraId="06B5C108" w14:textId="77777777" w:rsidR="0038775E" w:rsidRDefault="00877B9C" w:rsidP="002041D4">
            <w:pPr>
              <w:wordWrap w:val="0"/>
              <w:jc w:val="center"/>
              <w:rPr>
                <w:rFonts w:eastAsia="Calibri"/>
                <w:noProof/>
                <w:lang w:eastAsia="ja-JP"/>
              </w:rPr>
            </w:pPr>
            <w:r w:rsidRPr="00DF5C23">
              <w:rPr>
                <w:rFonts w:eastAsia="Calibri"/>
                <w:noProof/>
                <w:sz w:val="16"/>
                <w:lang w:eastAsia="ja-JP"/>
              </w:rPr>
              <w:t>金融規制法第</w:t>
            </w:r>
            <w:r w:rsidRPr="00DF5C23">
              <w:rPr>
                <w:rFonts w:eastAsia="Calibri"/>
                <w:noProof/>
                <w:sz w:val="16"/>
                <w:lang w:eastAsia="ja-JP"/>
              </w:rPr>
              <w:t>21</w:t>
            </w:r>
            <w:r w:rsidRPr="00DF5C23">
              <w:rPr>
                <w:rFonts w:eastAsia="Calibri"/>
                <w:noProof/>
                <w:sz w:val="16"/>
                <w:lang w:eastAsia="ja-JP"/>
              </w:rPr>
              <w:t>条第</w:t>
            </w:r>
            <w:r w:rsidRPr="00DF5C23">
              <w:rPr>
                <w:rFonts w:eastAsia="Calibri"/>
                <w:noProof/>
                <w:sz w:val="16"/>
                <w:lang w:eastAsia="ja-JP"/>
              </w:rPr>
              <w:t>2</w:t>
            </w:r>
            <w:r w:rsidRPr="00DF5C23">
              <w:rPr>
                <w:rFonts w:eastAsia="Calibri"/>
                <w:noProof/>
                <w:sz w:val="16"/>
                <w:lang w:eastAsia="ja-JP"/>
              </w:rPr>
              <w:t>項第</w:t>
            </w:r>
            <w:r w:rsidRPr="00DF5C23">
              <w:rPr>
                <w:rFonts w:eastAsia="Calibri"/>
                <w:noProof/>
                <w:sz w:val="16"/>
                <w:lang w:eastAsia="ja-JP"/>
              </w:rPr>
              <w:t>2</w:t>
            </w:r>
            <w:r w:rsidRPr="00DF5C23">
              <w:rPr>
                <w:rFonts w:eastAsia="Calibri"/>
                <w:noProof/>
                <w:sz w:val="16"/>
                <w:lang w:eastAsia="ja-JP"/>
              </w:rPr>
              <w:t>号に規定する意味において。</w:t>
            </w:r>
            <w:r w:rsidRPr="00DF5C23">
              <w:rPr>
                <w:rFonts w:eastAsia="Calibri"/>
                <w:noProof/>
                <w:sz w:val="16"/>
                <w:lang w:eastAsia="ja-JP"/>
              </w:rPr>
              <w:t xml:space="preserve"> </w:t>
            </w:r>
          </w:p>
        </w:tc>
      </w:tr>
      <w:tr w:rsidR="00BF1765" w:rsidRPr="00DF5C23" w14:paraId="2C3A5A65" w14:textId="77777777" w:rsidTr="00743354">
        <w:tc>
          <w:tcPr>
            <w:tcW w:w="1080" w:type="dxa"/>
            <w:vAlign w:val="center"/>
          </w:tcPr>
          <w:p w14:paraId="2C3A5A5D" w14:textId="77777777" w:rsidR="00BF1765" w:rsidRPr="00DF5C23" w:rsidRDefault="00BF1765" w:rsidP="002041D4">
            <w:pPr>
              <w:wordWrap w:val="0"/>
              <w:jc w:val="center"/>
              <w:rPr>
                <w:rFonts w:eastAsia="Calibri"/>
                <w:noProof/>
                <w:color w:val="0000FF"/>
                <w:lang w:eastAsia="ja-JP"/>
              </w:rPr>
            </w:pPr>
          </w:p>
        </w:tc>
        <w:tc>
          <w:tcPr>
            <w:tcW w:w="3960" w:type="dxa"/>
            <w:vAlign w:val="center"/>
          </w:tcPr>
          <w:p w14:paraId="05BB100C" w14:textId="2D9069FE" w:rsidR="0038775E" w:rsidRDefault="00877B9C" w:rsidP="002041D4">
            <w:pPr>
              <w:wordWrap w:val="0"/>
              <w:spacing w:before="60"/>
              <w:rPr>
                <w:rFonts w:eastAsia="Calibri"/>
                <w:noProof/>
                <w:lang w:eastAsia="ja-JP"/>
              </w:rPr>
            </w:pPr>
            <w:r w:rsidRPr="00DF5C23">
              <w:rPr>
                <w:rFonts w:eastAsia="Calibri"/>
                <w:noProof/>
                <w:sz w:val="22"/>
                <w:lang w:eastAsia="ja-JP"/>
              </w:rPr>
              <w:t>[XX.YY.YY.YY]</w:t>
            </w:r>
            <w:r w:rsidR="002041D4">
              <w:rPr>
                <w:rFonts w:ascii="ＭＳ 明朝" w:eastAsia="ＭＳ 明朝" w:hAnsi="ＭＳ 明朝" w:cs="ＭＳ 明朝" w:hint="eastAsia"/>
                <w:noProof/>
                <w:sz w:val="22"/>
                <w:lang w:eastAsia="ja-JP"/>
              </w:rPr>
              <w:t>である</w:t>
            </w:r>
            <w:r w:rsidRPr="00DF5C23">
              <w:rPr>
                <w:rFonts w:eastAsia="Calibri"/>
                <w:noProof/>
                <w:sz w:val="22"/>
                <w:lang w:eastAsia="ja-JP"/>
              </w:rPr>
              <w:t>。</w:t>
            </w:r>
          </w:p>
          <w:p w14:paraId="2C3A5A5F" w14:textId="77777777" w:rsidR="00BF1765" w:rsidRPr="00DF5C23" w:rsidRDefault="00BF1765" w:rsidP="002041D4">
            <w:pPr>
              <w:wordWrap w:val="0"/>
              <w:spacing w:after="60"/>
              <w:rPr>
                <w:rFonts w:eastAsia="Calibri"/>
                <w:noProof/>
                <w:lang w:eastAsia="ja-JP"/>
              </w:rPr>
            </w:pPr>
          </w:p>
        </w:tc>
        <w:tc>
          <w:tcPr>
            <w:tcW w:w="1080" w:type="dxa"/>
            <w:vAlign w:val="center"/>
          </w:tcPr>
          <w:p w14:paraId="7463626A" w14:textId="77777777" w:rsidR="0038775E" w:rsidRDefault="00877B9C" w:rsidP="002041D4">
            <w:pPr>
              <w:wordWrap w:val="0"/>
              <w:jc w:val="center"/>
              <w:rPr>
                <w:rFonts w:eastAsia="Calibri"/>
                <w:noProof/>
                <w:color w:val="0000FF"/>
              </w:rPr>
            </w:pPr>
            <w:r w:rsidRPr="00DF5C23">
              <w:rPr>
                <w:rFonts w:eastAsia="Calibri"/>
                <w:noProof/>
                <w:sz w:val="22"/>
              </w:rPr>
              <w:t>Diff.</w:t>
            </w:r>
            <w:r w:rsidRPr="00DF5C23">
              <w:rPr>
                <w:rFonts w:eastAsia="Calibri"/>
                <w:noProof/>
                <w:sz w:val="22"/>
              </w:rPr>
              <w:t>・</w:t>
            </w:r>
            <w:r w:rsidRPr="00DF5C23">
              <w:rPr>
                <w:rFonts w:eastAsia="Calibri"/>
                <w:noProof/>
                <w:sz w:val="22"/>
              </w:rPr>
              <w:t>Non-diff.</w:t>
            </w:r>
          </w:p>
        </w:tc>
        <w:tc>
          <w:tcPr>
            <w:tcW w:w="956" w:type="dxa"/>
            <w:vAlign w:val="center"/>
          </w:tcPr>
          <w:p w14:paraId="23C37658" w14:textId="77777777" w:rsidR="0038775E" w:rsidRDefault="00877B9C" w:rsidP="002041D4">
            <w:pPr>
              <w:wordWrap w:val="0"/>
              <w:jc w:val="center"/>
              <w:rPr>
                <w:rFonts w:eastAsia="Calibri"/>
                <w:noProof/>
                <w:sz w:val="20"/>
                <w:szCs w:val="20"/>
              </w:rPr>
            </w:pPr>
            <w:r w:rsidRPr="00DF5C23">
              <w:rPr>
                <w:rFonts w:eastAsia="Calibri"/>
                <w:noProof/>
                <w:sz w:val="20"/>
                <w:szCs w:val="20"/>
              </w:rPr>
              <w:t>YES/NO</w:t>
            </w:r>
          </w:p>
        </w:tc>
        <w:tc>
          <w:tcPr>
            <w:tcW w:w="1080" w:type="dxa"/>
            <w:vAlign w:val="center"/>
          </w:tcPr>
          <w:p w14:paraId="1C9FCEEF" w14:textId="77777777" w:rsidR="0038775E" w:rsidRDefault="00877B9C" w:rsidP="002041D4">
            <w:pPr>
              <w:wordWrap w:val="0"/>
              <w:jc w:val="center"/>
              <w:rPr>
                <w:rFonts w:eastAsia="Calibri"/>
                <w:noProof/>
                <w:sz w:val="20"/>
                <w:szCs w:val="20"/>
              </w:rPr>
            </w:pPr>
            <w:r w:rsidRPr="00DF5C23">
              <w:rPr>
                <w:rFonts w:eastAsia="Calibri"/>
                <w:noProof/>
                <w:sz w:val="20"/>
                <w:szCs w:val="20"/>
              </w:rPr>
              <w:t>YES/NO</w:t>
            </w:r>
          </w:p>
        </w:tc>
        <w:tc>
          <w:tcPr>
            <w:tcW w:w="956" w:type="dxa"/>
            <w:vAlign w:val="center"/>
          </w:tcPr>
          <w:p w14:paraId="39D26CCF" w14:textId="77777777" w:rsidR="0038775E" w:rsidRDefault="00877B9C" w:rsidP="002041D4">
            <w:pPr>
              <w:wordWrap w:val="0"/>
              <w:jc w:val="center"/>
              <w:rPr>
                <w:rFonts w:eastAsia="Calibri"/>
                <w:noProof/>
                <w:sz w:val="20"/>
                <w:szCs w:val="20"/>
              </w:rPr>
            </w:pPr>
            <w:r w:rsidRPr="00DF5C23">
              <w:rPr>
                <w:rFonts w:eastAsia="Calibri"/>
                <w:noProof/>
                <w:sz w:val="20"/>
                <w:szCs w:val="20"/>
              </w:rPr>
              <w:t>YES/NO</w:t>
            </w:r>
          </w:p>
        </w:tc>
        <w:tc>
          <w:tcPr>
            <w:tcW w:w="1448" w:type="dxa"/>
            <w:vAlign w:val="center"/>
          </w:tcPr>
          <w:p w14:paraId="58A50DB3" w14:textId="77777777" w:rsidR="0038775E" w:rsidRDefault="00877B9C" w:rsidP="002041D4">
            <w:pPr>
              <w:wordWrap w:val="0"/>
              <w:jc w:val="center"/>
              <w:rPr>
                <w:rFonts w:eastAsia="Calibri"/>
                <w:noProof/>
                <w:sz w:val="20"/>
                <w:szCs w:val="20"/>
              </w:rPr>
            </w:pPr>
            <w:r w:rsidRPr="00DF5C23">
              <w:rPr>
                <w:rFonts w:eastAsia="Calibri"/>
                <w:noProof/>
                <w:sz w:val="20"/>
                <w:szCs w:val="20"/>
              </w:rPr>
              <w:t>YES/NO</w:t>
            </w:r>
          </w:p>
        </w:tc>
      </w:tr>
      <w:tr w:rsidR="00BF1765" w:rsidRPr="00DF5C23" w14:paraId="2C3A5A6D" w14:textId="77777777" w:rsidTr="00743354">
        <w:tc>
          <w:tcPr>
            <w:tcW w:w="1080" w:type="dxa"/>
            <w:vAlign w:val="center"/>
          </w:tcPr>
          <w:p w14:paraId="4F0B7753" w14:textId="77777777" w:rsidR="0038775E" w:rsidRDefault="00877B9C" w:rsidP="002041D4">
            <w:pPr>
              <w:wordWrap w:val="0"/>
              <w:jc w:val="center"/>
              <w:rPr>
                <w:rFonts w:eastAsia="Calibri"/>
                <w:noProof/>
                <w:color w:val="0000FF"/>
              </w:rPr>
            </w:pPr>
            <w:r w:rsidRPr="00DF5C23">
              <w:rPr>
                <w:rFonts w:eastAsia="Calibri"/>
                <w:noProof/>
                <w:color w:val="0000FF"/>
              </w:rPr>
              <w:t>1</w:t>
            </w:r>
          </w:p>
        </w:tc>
        <w:tc>
          <w:tcPr>
            <w:tcW w:w="3960" w:type="dxa"/>
            <w:vAlign w:val="center"/>
          </w:tcPr>
          <w:p w14:paraId="05ED8931" w14:textId="77777777" w:rsidR="0038775E" w:rsidRDefault="00877B9C" w:rsidP="002041D4">
            <w:pPr>
              <w:wordWrap w:val="0"/>
              <w:spacing w:before="60"/>
              <w:rPr>
                <w:rFonts w:eastAsia="Calibri"/>
                <w:noProof/>
                <w:sz w:val="22"/>
                <w:lang w:eastAsia="ja-JP"/>
              </w:rPr>
            </w:pPr>
            <w:r w:rsidRPr="00DF5C23">
              <w:rPr>
                <w:rFonts w:eastAsia="Calibri"/>
                <w:noProof/>
                <w:sz w:val="22"/>
                <w:lang w:eastAsia="ja-JP"/>
              </w:rPr>
              <w:t xml:space="preserve">03.02.01.01 - </w:t>
            </w:r>
            <w:r w:rsidRPr="00DF5C23">
              <w:rPr>
                <w:rFonts w:eastAsia="Calibri"/>
                <w:noProof/>
                <w:sz w:val="22"/>
                <w:lang w:eastAsia="ja-JP"/>
              </w:rPr>
              <w:t>商品とサービスの国内市場の運営と発展</w:t>
            </w:r>
          </w:p>
        </w:tc>
        <w:tc>
          <w:tcPr>
            <w:tcW w:w="1080" w:type="dxa"/>
            <w:vAlign w:val="center"/>
          </w:tcPr>
          <w:p w14:paraId="04B4CEB5" w14:textId="77777777" w:rsidR="0038775E" w:rsidRDefault="00877B9C" w:rsidP="002041D4">
            <w:pPr>
              <w:wordWrap w:val="0"/>
              <w:jc w:val="center"/>
              <w:rPr>
                <w:rFonts w:eastAsia="Calibri"/>
                <w:noProof/>
                <w:sz w:val="22"/>
              </w:rPr>
            </w:pPr>
            <w:r w:rsidRPr="00DF5C23">
              <w:rPr>
                <w:rFonts w:eastAsia="Calibri"/>
                <w:noProof/>
                <w:sz w:val="22"/>
              </w:rPr>
              <w:t>ディフ</w:t>
            </w:r>
          </w:p>
        </w:tc>
        <w:tc>
          <w:tcPr>
            <w:tcW w:w="956" w:type="dxa"/>
            <w:vAlign w:val="center"/>
          </w:tcPr>
          <w:p w14:paraId="276AA82F" w14:textId="77777777" w:rsidR="0038775E" w:rsidRDefault="00877B9C" w:rsidP="002041D4">
            <w:pPr>
              <w:wordWrap w:val="0"/>
              <w:jc w:val="center"/>
              <w:rPr>
                <w:rFonts w:eastAsia="Calibri"/>
                <w:noProof/>
                <w:sz w:val="20"/>
                <w:szCs w:val="20"/>
              </w:rPr>
            </w:pPr>
            <w:r w:rsidRPr="00DF5C23">
              <w:rPr>
                <w:rFonts w:eastAsia="Calibri"/>
                <w:noProof/>
                <w:sz w:val="20"/>
                <w:szCs w:val="20"/>
              </w:rPr>
              <w:t>はい</w:t>
            </w:r>
          </w:p>
        </w:tc>
        <w:tc>
          <w:tcPr>
            <w:tcW w:w="1080" w:type="dxa"/>
            <w:vAlign w:val="center"/>
          </w:tcPr>
          <w:p w14:paraId="41C2CFEB" w14:textId="77777777" w:rsidR="0038775E" w:rsidRDefault="00877B9C" w:rsidP="002041D4">
            <w:pPr>
              <w:wordWrap w:val="0"/>
              <w:jc w:val="center"/>
              <w:rPr>
                <w:rFonts w:eastAsia="Calibri"/>
                <w:noProof/>
                <w:sz w:val="20"/>
                <w:szCs w:val="20"/>
              </w:rPr>
            </w:pPr>
            <w:r w:rsidRPr="00DF5C23">
              <w:rPr>
                <w:rFonts w:eastAsia="Calibri"/>
                <w:noProof/>
                <w:sz w:val="20"/>
                <w:szCs w:val="20"/>
              </w:rPr>
              <w:t>ノー</w:t>
            </w:r>
            <w:r w:rsidR="00F16935" w:rsidRPr="00DF5C23">
              <w:rPr>
                <w:rStyle w:val="afa"/>
                <w:rFonts w:eastAsia="Calibri"/>
                <w:noProof/>
                <w:sz w:val="20"/>
                <w:szCs w:val="20"/>
              </w:rPr>
              <w:footnoteReference w:id="92"/>
            </w:r>
          </w:p>
        </w:tc>
        <w:tc>
          <w:tcPr>
            <w:tcW w:w="956" w:type="dxa"/>
            <w:vAlign w:val="center"/>
          </w:tcPr>
          <w:p w14:paraId="00ED3EEB" w14:textId="77777777" w:rsidR="0038775E" w:rsidRDefault="00877B9C" w:rsidP="002041D4">
            <w:pPr>
              <w:wordWrap w:val="0"/>
              <w:jc w:val="center"/>
              <w:rPr>
                <w:rFonts w:eastAsia="Calibri"/>
                <w:noProof/>
                <w:sz w:val="20"/>
                <w:szCs w:val="20"/>
              </w:rPr>
            </w:pPr>
            <w:r w:rsidRPr="00DF5C23">
              <w:rPr>
                <w:rFonts w:eastAsia="Calibri"/>
                <w:noProof/>
                <w:sz w:val="20"/>
                <w:szCs w:val="20"/>
              </w:rPr>
              <w:t>ノー</w:t>
            </w:r>
            <w:r w:rsidRPr="00DF5C23">
              <w:rPr>
                <w:rFonts w:eastAsia="Calibri"/>
                <w:noProof/>
                <w:sz w:val="20"/>
                <w:szCs w:val="20"/>
                <w:vertAlign w:val="superscript"/>
              </w:rPr>
              <w:t>6</w:t>
            </w:r>
          </w:p>
        </w:tc>
        <w:tc>
          <w:tcPr>
            <w:tcW w:w="1448" w:type="dxa"/>
            <w:vAlign w:val="center"/>
          </w:tcPr>
          <w:p w14:paraId="28936DB4" w14:textId="77777777" w:rsidR="0038775E" w:rsidRDefault="00877B9C" w:rsidP="002041D4">
            <w:pPr>
              <w:wordWrap w:val="0"/>
              <w:jc w:val="center"/>
              <w:rPr>
                <w:rFonts w:eastAsia="Calibri"/>
                <w:noProof/>
                <w:sz w:val="20"/>
                <w:szCs w:val="20"/>
              </w:rPr>
            </w:pPr>
            <w:r w:rsidRPr="00DF5C23">
              <w:rPr>
                <w:rFonts w:eastAsia="Calibri"/>
                <w:noProof/>
                <w:sz w:val="20"/>
                <w:szCs w:val="20"/>
              </w:rPr>
              <w:t>ノー</w:t>
            </w:r>
          </w:p>
        </w:tc>
      </w:tr>
      <w:tr w:rsidR="00BF1765" w:rsidRPr="00DF5C23" w14:paraId="2C3A5A75" w14:textId="77777777" w:rsidTr="00743354">
        <w:tc>
          <w:tcPr>
            <w:tcW w:w="1080" w:type="dxa"/>
            <w:vAlign w:val="center"/>
          </w:tcPr>
          <w:p w14:paraId="3AE44BF0" w14:textId="77777777" w:rsidR="0038775E" w:rsidRDefault="00877B9C" w:rsidP="002041D4">
            <w:pPr>
              <w:wordWrap w:val="0"/>
              <w:jc w:val="center"/>
              <w:rPr>
                <w:rFonts w:eastAsia="Calibri"/>
                <w:noProof/>
                <w:color w:val="0000FF"/>
              </w:rPr>
            </w:pPr>
            <w:r w:rsidRPr="00DF5C23">
              <w:rPr>
                <w:rFonts w:eastAsia="Calibri"/>
                <w:noProof/>
                <w:color w:val="0000FF"/>
              </w:rPr>
              <w:t>3</w:t>
            </w:r>
          </w:p>
        </w:tc>
        <w:tc>
          <w:tcPr>
            <w:tcW w:w="3960" w:type="dxa"/>
            <w:vAlign w:val="center"/>
          </w:tcPr>
          <w:p w14:paraId="63420858" w14:textId="77777777" w:rsidR="0038775E" w:rsidRDefault="00877B9C" w:rsidP="002041D4">
            <w:pPr>
              <w:wordWrap w:val="0"/>
              <w:spacing w:before="60"/>
              <w:rPr>
                <w:rFonts w:eastAsia="Calibri"/>
                <w:noProof/>
                <w:sz w:val="22"/>
                <w:lang w:eastAsia="ja-JP"/>
              </w:rPr>
            </w:pPr>
            <w:r w:rsidRPr="00DF5C23">
              <w:rPr>
                <w:rFonts w:eastAsia="Calibri"/>
                <w:noProof/>
                <w:sz w:val="22"/>
                <w:lang w:eastAsia="ja-JP"/>
              </w:rPr>
              <w:t xml:space="preserve">09.02.02 LIFE </w:t>
            </w:r>
            <w:r w:rsidRPr="00DF5C23">
              <w:rPr>
                <w:rFonts w:eastAsia="Calibri"/>
                <w:noProof/>
                <w:sz w:val="22"/>
                <w:lang w:eastAsia="ja-JP"/>
              </w:rPr>
              <w:t>循環型経済とクオリティ・オブ・ライフ</w:t>
            </w:r>
          </w:p>
        </w:tc>
        <w:tc>
          <w:tcPr>
            <w:tcW w:w="1080" w:type="dxa"/>
            <w:vAlign w:val="center"/>
          </w:tcPr>
          <w:p w14:paraId="77470B81" w14:textId="77777777" w:rsidR="0038775E" w:rsidRDefault="00877B9C" w:rsidP="002041D4">
            <w:pPr>
              <w:wordWrap w:val="0"/>
              <w:jc w:val="center"/>
              <w:rPr>
                <w:rFonts w:eastAsia="Calibri"/>
                <w:noProof/>
                <w:sz w:val="22"/>
              </w:rPr>
            </w:pPr>
            <w:r w:rsidRPr="00DF5C23">
              <w:rPr>
                <w:rFonts w:eastAsia="Calibri"/>
                <w:noProof/>
                <w:sz w:val="22"/>
              </w:rPr>
              <w:t>ディフ</w:t>
            </w:r>
          </w:p>
        </w:tc>
        <w:tc>
          <w:tcPr>
            <w:tcW w:w="956" w:type="dxa"/>
            <w:vAlign w:val="center"/>
          </w:tcPr>
          <w:p w14:paraId="7B915782" w14:textId="77777777" w:rsidR="0038775E" w:rsidRDefault="00877B9C" w:rsidP="002041D4">
            <w:pPr>
              <w:wordWrap w:val="0"/>
              <w:jc w:val="center"/>
              <w:rPr>
                <w:rFonts w:eastAsia="Calibri"/>
                <w:noProof/>
                <w:sz w:val="20"/>
                <w:szCs w:val="20"/>
              </w:rPr>
            </w:pPr>
            <w:r w:rsidRPr="00DF5C23">
              <w:rPr>
                <w:rFonts w:eastAsia="Calibri"/>
                <w:noProof/>
                <w:sz w:val="20"/>
                <w:szCs w:val="20"/>
              </w:rPr>
              <w:t>はい</w:t>
            </w:r>
          </w:p>
        </w:tc>
        <w:tc>
          <w:tcPr>
            <w:tcW w:w="1080" w:type="dxa"/>
            <w:vAlign w:val="center"/>
          </w:tcPr>
          <w:p w14:paraId="11D71BFA" w14:textId="77777777" w:rsidR="0038775E" w:rsidRDefault="00877B9C" w:rsidP="002041D4">
            <w:pPr>
              <w:wordWrap w:val="0"/>
              <w:jc w:val="center"/>
              <w:rPr>
                <w:rFonts w:eastAsia="Calibri"/>
                <w:noProof/>
                <w:sz w:val="20"/>
                <w:szCs w:val="20"/>
              </w:rPr>
            </w:pPr>
            <w:r w:rsidRPr="00DF5C23">
              <w:rPr>
                <w:rFonts w:eastAsia="Calibri"/>
                <w:noProof/>
                <w:sz w:val="20"/>
                <w:szCs w:val="20"/>
              </w:rPr>
              <w:t>はい</w:t>
            </w:r>
          </w:p>
        </w:tc>
        <w:tc>
          <w:tcPr>
            <w:tcW w:w="956" w:type="dxa"/>
            <w:vAlign w:val="center"/>
          </w:tcPr>
          <w:p w14:paraId="04590224" w14:textId="77777777" w:rsidR="0038775E" w:rsidRDefault="00877B9C" w:rsidP="002041D4">
            <w:pPr>
              <w:wordWrap w:val="0"/>
              <w:jc w:val="center"/>
              <w:rPr>
                <w:rFonts w:eastAsia="Calibri"/>
                <w:noProof/>
                <w:sz w:val="20"/>
                <w:szCs w:val="20"/>
              </w:rPr>
            </w:pPr>
            <w:r w:rsidRPr="00DF5C23">
              <w:rPr>
                <w:rFonts w:eastAsia="Calibri"/>
                <w:noProof/>
                <w:sz w:val="20"/>
                <w:szCs w:val="20"/>
              </w:rPr>
              <w:t>はい</w:t>
            </w:r>
          </w:p>
        </w:tc>
        <w:tc>
          <w:tcPr>
            <w:tcW w:w="1448" w:type="dxa"/>
            <w:vAlign w:val="center"/>
          </w:tcPr>
          <w:p w14:paraId="65B3DB05" w14:textId="77777777" w:rsidR="0038775E" w:rsidRDefault="00877B9C" w:rsidP="002041D4">
            <w:pPr>
              <w:wordWrap w:val="0"/>
              <w:jc w:val="center"/>
              <w:rPr>
                <w:rFonts w:eastAsia="Calibri"/>
                <w:noProof/>
                <w:sz w:val="20"/>
                <w:szCs w:val="20"/>
              </w:rPr>
            </w:pPr>
            <w:r w:rsidRPr="00DF5C23">
              <w:rPr>
                <w:rFonts w:eastAsia="Calibri"/>
                <w:noProof/>
                <w:sz w:val="20"/>
                <w:szCs w:val="20"/>
              </w:rPr>
              <w:t>ノー</w:t>
            </w:r>
          </w:p>
        </w:tc>
      </w:tr>
      <w:tr w:rsidR="00BF1765" w:rsidRPr="00DF5C23" w14:paraId="2C3A5A7D" w14:textId="77777777" w:rsidTr="00743354">
        <w:tc>
          <w:tcPr>
            <w:tcW w:w="1080" w:type="dxa"/>
            <w:vAlign w:val="center"/>
          </w:tcPr>
          <w:p w14:paraId="3FE634A5" w14:textId="77777777" w:rsidR="0038775E" w:rsidRDefault="00877B9C" w:rsidP="002041D4">
            <w:pPr>
              <w:wordWrap w:val="0"/>
              <w:jc w:val="center"/>
              <w:rPr>
                <w:rFonts w:eastAsia="Calibri"/>
                <w:noProof/>
                <w:color w:val="0000FF"/>
              </w:rPr>
            </w:pPr>
            <w:r w:rsidRPr="00DF5C23">
              <w:rPr>
                <w:rFonts w:eastAsia="Calibri"/>
                <w:noProof/>
                <w:color w:val="0000FF"/>
              </w:rPr>
              <w:t>3</w:t>
            </w:r>
          </w:p>
        </w:tc>
        <w:tc>
          <w:tcPr>
            <w:tcW w:w="3960" w:type="dxa"/>
            <w:vAlign w:val="center"/>
          </w:tcPr>
          <w:p w14:paraId="7D7E7202" w14:textId="77777777" w:rsidR="0038775E" w:rsidRDefault="00877B9C" w:rsidP="002041D4">
            <w:pPr>
              <w:wordWrap w:val="0"/>
              <w:spacing w:before="60"/>
              <w:rPr>
                <w:rFonts w:eastAsia="Calibri"/>
                <w:noProof/>
                <w:sz w:val="22"/>
                <w:lang w:eastAsia="ja-JP"/>
              </w:rPr>
            </w:pPr>
            <w:r w:rsidRPr="00DF5C23">
              <w:rPr>
                <w:rFonts w:eastAsia="Calibri"/>
                <w:noProof/>
                <w:sz w:val="22"/>
                <w:lang w:eastAsia="ja-JP"/>
              </w:rPr>
              <w:t xml:space="preserve">09.02.04 LIFE </w:t>
            </w:r>
            <w:r w:rsidRPr="00DF5C23">
              <w:rPr>
                <w:rFonts w:eastAsia="Calibri"/>
                <w:noProof/>
                <w:sz w:val="22"/>
                <w:lang w:eastAsia="ja-JP"/>
              </w:rPr>
              <w:t>クリーンエネルギーへの転換</w:t>
            </w:r>
            <w:r w:rsidRPr="00DF5C23">
              <w:rPr>
                <w:rFonts w:eastAsia="Calibri"/>
                <w:noProof/>
                <w:sz w:val="22"/>
                <w:lang w:eastAsia="ja-JP"/>
              </w:rPr>
              <w:t xml:space="preserve"> </w:t>
            </w:r>
          </w:p>
        </w:tc>
        <w:tc>
          <w:tcPr>
            <w:tcW w:w="1080" w:type="dxa"/>
            <w:vAlign w:val="center"/>
          </w:tcPr>
          <w:p w14:paraId="76E8AF48" w14:textId="77777777" w:rsidR="0038775E" w:rsidRDefault="00877B9C" w:rsidP="002041D4">
            <w:pPr>
              <w:wordWrap w:val="0"/>
              <w:jc w:val="center"/>
              <w:rPr>
                <w:rFonts w:eastAsia="Calibri"/>
                <w:noProof/>
                <w:sz w:val="22"/>
              </w:rPr>
            </w:pPr>
            <w:r w:rsidRPr="00DF5C23">
              <w:rPr>
                <w:rFonts w:eastAsia="Calibri"/>
                <w:noProof/>
                <w:sz w:val="22"/>
              </w:rPr>
              <w:t>ディフ</w:t>
            </w:r>
          </w:p>
        </w:tc>
        <w:tc>
          <w:tcPr>
            <w:tcW w:w="956" w:type="dxa"/>
            <w:vAlign w:val="center"/>
          </w:tcPr>
          <w:p w14:paraId="57996766" w14:textId="77777777" w:rsidR="0038775E" w:rsidRDefault="00877B9C" w:rsidP="002041D4">
            <w:pPr>
              <w:wordWrap w:val="0"/>
              <w:jc w:val="center"/>
              <w:rPr>
                <w:rFonts w:eastAsia="Calibri"/>
                <w:noProof/>
                <w:sz w:val="20"/>
                <w:szCs w:val="20"/>
              </w:rPr>
            </w:pPr>
            <w:r w:rsidRPr="00DF5C23">
              <w:rPr>
                <w:rFonts w:eastAsia="Calibri"/>
                <w:noProof/>
                <w:sz w:val="20"/>
                <w:szCs w:val="20"/>
              </w:rPr>
              <w:t>はい</w:t>
            </w:r>
          </w:p>
        </w:tc>
        <w:tc>
          <w:tcPr>
            <w:tcW w:w="1080" w:type="dxa"/>
            <w:vAlign w:val="center"/>
          </w:tcPr>
          <w:p w14:paraId="332092D7" w14:textId="77777777" w:rsidR="0038775E" w:rsidRDefault="00877B9C" w:rsidP="002041D4">
            <w:pPr>
              <w:wordWrap w:val="0"/>
              <w:jc w:val="center"/>
              <w:rPr>
                <w:rFonts w:eastAsia="Calibri"/>
                <w:noProof/>
                <w:sz w:val="20"/>
                <w:szCs w:val="20"/>
              </w:rPr>
            </w:pPr>
            <w:r w:rsidRPr="00DF5C23">
              <w:rPr>
                <w:rFonts w:eastAsia="Calibri"/>
                <w:noProof/>
                <w:sz w:val="20"/>
                <w:szCs w:val="20"/>
              </w:rPr>
              <w:t>はい</w:t>
            </w:r>
          </w:p>
        </w:tc>
        <w:tc>
          <w:tcPr>
            <w:tcW w:w="956" w:type="dxa"/>
            <w:vAlign w:val="center"/>
          </w:tcPr>
          <w:p w14:paraId="03AE1355" w14:textId="77777777" w:rsidR="0038775E" w:rsidRDefault="00877B9C" w:rsidP="002041D4">
            <w:pPr>
              <w:wordWrap w:val="0"/>
              <w:jc w:val="center"/>
              <w:rPr>
                <w:rFonts w:eastAsia="Calibri"/>
                <w:noProof/>
                <w:sz w:val="20"/>
                <w:szCs w:val="20"/>
              </w:rPr>
            </w:pPr>
            <w:r w:rsidRPr="00DF5C23">
              <w:rPr>
                <w:rFonts w:eastAsia="Calibri"/>
                <w:noProof/>
                <w:sz w:val="20"/>
                <w:szCs w:val="20"/>
              </w:rPr>
              <w:t>はい</w:t>
            </w:r>
          </w:p>
        </w:tc>
        <w:tc>
          <w:tcPr>
            <w:tcW w:w="1448" w:type="dxa"/>
            <w:vAlign w:val="center"/>
          </w:tcPr>
          <w:p w14:paraId="48285375" w14:textId="77777777" w:rsidR="0038775E" w:rsidRDefault="00877B9C" w:rsidP="002041D4">
            <w:pPr>
              <w:wordWrap w:val="0"/>
              <w:jc w:val="center"/>
              <w:rPr>
                <w:rFonts w:eastAsia="Calibri"/>
                <w:noProof/>
                <w:sz w:val="20"/>
                <w:szCs w:val="20"/>
              </w:rPr>
            </w:pPr>
            <w:r w:rsidRPr="00DF5C23">
              <w:rPr>
                <w:rFonts w:eastAsia="Calibri"/>
                <w:noProof/>
                <w:sz w:val="20"/>
                <w:szCs w:val="20"/>
              </w:rPr>
              <w:t>ノー</w:t>
            </w:r>
          </w:p>
        </w:tc>
      </w:tr>
    </w:tbl>
    <w:p w14:paraId="4E169674" w14:textId="77777777" w:rsidR="0038775E" w:rsidRDefault="00877B9C" w:rsidP="002041D4">
      <w:pPr>
        <w:pStyle w:val="Bullet1"/>
        <w:wordWrap w:val="0"/>
        <w:rPr>
          <w:noProof/>
          <w:lang w:eastAsia="de-DE"/>
        </w:rPr>
      </w:pPr>
      <w:r w:rsidRPr="00DF5C23">
        <w:rPr>
          <w:noProof/>
          <w:lang w:eastAsia="de-DE"/>
        </w:rPr>
        <w:t>新規予算枠の要求</w:t>
      </w:r>
      <w:r w:rsidRPr="00DF5C23">
        <w:rPr>
          <w:noProof/>
          <w:lang w:eastAsia="de-DE"/>
        </w:rPr>
        <w:t xml:space="preserve"> </w:t>
      </w:r>
    </w:p>
    <w:p w14:paraId="5396D002" w14:textId="77777777" w:rsidR="0038775E" w:rsidRDefault="00877B9C" w:rsidP="002041D4">
      <w:pPr>
        <w:wordWrap w:val="0"/>
        <w:ind w:left="850"/>
        <w:rPr>
          <w:rFonts w:eastAsia="Calibri"/>
          <w:i/>
          <w:noProof/>
          <w:sz w:val="20"/>
          <w:lang w:eastAsia="ja-JP"/>
        </w:rPr>
      </w:pPr>
      <w:r w:rsidRPr="00DF5C23">
        <w:rPr>
          <w:rFonts w:eastAsia="Calibri"/>
          <w:i/>
          <w:noProof/>
          <w:lang w:eastAsia="ja-JP"/>
        </w:rPr>
        <w:t>多年度財政フレームワークの見出しと予算枠の</w:t>
      </w:r>
      <w:r w:rsidRPr="00DF5C23">
        <w:rPr>
          <w:rFonts w:eastAsia="Calibri"/>
          <w:i/>
          <w:noProof/>
          <w:u w:val="single"/>
          <w:lang w:eastAsia="ja-JP"/>
        </w:rPr>
        <w:t>順で。</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BF1765" w:rsidRPr="00DF5C23" w14:paraId="2C3A5A84" w14:textId="77777777" w:rsidTr="00743354">
        <w:tc>
          <w:tcPr>
            <w:tcW w:w="1080" w:type="dxa"/>
            <w:vMerge w:val="restart"/>
            <w:vAlign w:val="center"/>
          </w:tcPr>
          <w:p w14:paraId="5BB6BDD5" w14:textId="77777777" w:rsidR="0038775E" w:rsidRDefault="00877B9C" w:rsidP="002041D4">
            <w:pPr>
              <w:wordWrap w:val="0"/>
              <w:spacing w:before="60" w:after="60"/>
              <w:jc w:val="center"/>
              <w:rPr>
                <w:rFonts w:eastAsia="Calibri"/>
                <w:noProof/>
                <w:sz w:val="18"/>
                <w:szCs w:val="18"/>
                <w:lang w:eastAsia="ja-JP"/>
              </w:rPr>
            </w:pPr>
            <w:r w:rsidRPr="00DF5C23">
              <w:rPr>
                <w:rFonts w:eastAsia="Calibri"/>
                <w:noProof/>
                <w:sz w:val="18"/>
                <w:lang w:eastAsia="ja-JP"/>
              </w:rPr>
              <w:t>多年間財務枠組みの見出し</w:t>
            </w:r>
          </w:p>
        </w:tc>
        <w:tc>
          <w:tcPr>
            <w:tcW w:w="3960" w:type="dxa"/>
            <w:vAlign w:val="center"/>
          </w:tcPr>
          <w:p w14:paraId="0C9D7DCE" w14:textId="77777777" w:rsidR="0038775E" w:rsidRDefault="00877B9C" w:rsidP="002041D4">
            <w:pPr>
              <w:wordWrap w:val="0"/>
              <w:spacing w:before="60" w:after="60"/>
              <w:jc w:val="center"/>
              <w:rPr>
                <w:rFonts w:eastAsia="Calibri"/>
                <w:noProof/>
              </w:rPr>
            </w:pPr>
            <w:r w:rsidRPr="00DF5C23">
              <w:rPr>
                <w:rFonts w:eastAsia="Calibri"/>
                <w:noProof/>
                <w:sz w:val="20"/>
              </w:rPr>
              <w:t>予算ライン</w:t>
            </w:r>
          </w:p>
        </w:tc>
        <w:tc>
          <w:tcPr>
            <w:tcW w:w="1080" w:type="dxa"/>
            <w:vAlign w:val="center"/>
          </w:tcPr>
          <w:p w14:paraId="10F0111E" w14:textId="77777777" w:rsidR="0038775E" w:rsidRDefault="00877B9C" w:rsidP="002041D4">
            <w:pPr>
              <w:wordWrap w:val="0"/>
              <w:spacing w:before="60" w:after="60"/>
              <w:jc w:val="center"/>
              <w:rPr>
                <w:rFonts w:eastAsia="Calibri"/>
                <w:noProof/>
              </w:rPr>
            </w:pPr>
            <w:r w:rsidRPr="00DF5C23">
              <w:rPr>
                <w:rFonts w:eastAsia="Calibri"/>
                <w:noProof/>
                <w:sz w:val="18"/>
              </w:rPr>
              <w:t>タイプ</w:t>
            </w:r>
            <w:r w:rsidRPr="00DF5C23">
              <w:rPr>
                <w:rFonts w:eastAsia="Calibri"/>
                <w:noProof/>
                <w:sz w:val="22"/>
              </w:rPr>
              <w:br/>
            </w:r>
            <w:r w:rsidRPr="00DF5C23">
              <w:rPr>
                <w:rFonts w:eastAsia="Calibri"/>
                <w:noProof/>
                <w:sz w:val="18"/>
              </w:rPr>
              <w:t>消費</w:t>
            </w:r>
          </w:p>
        </w:tc>
        <w:tc>
          <w:tcPr>
            <w:tcW w:w="4440" w:type="dxa"/>
            <w:gridSpan w:val="4"/>
            <w:vAlign w:val="center"/>
          </w:tcPr>
          <w:p w14:paraId="64CD7819" w14:textId="77777777" w:rsidR="0038775E" w:rsidRDefault="00877B9C" w:rsidP="002041D4">
            <w:pPr>
              <w:wordWrap w:val="0"/>
              <w:spacing w:before="60" w:after="60"/>
              <w:jc w:val="center"/>
              <w:rPr>
                <w:rFonts w:eastAsia="Calibri"/>
                <w:noProof/>
              </w:rPr>
            </w:pPr>
            <w:r w:rsidRPr="00DF5C23">
              <w:rPr>
                <w:rFonts w:eastAsia="Calibri"/>
                <w:noProof/>
                <w:sz w:val="20"/>
              </w:rPr>
              <w:t>貢献度</w:t>
            </w:r>
            <w:r w:rsidRPr="00DF5C23">
              <w:rPr>
                <w:rFonts w:eastAsia="Calibri"/>
                <w:noProof/>
                <w:sz w:val="20"/>
              </w:rPr>
              <w:t xml:space="preserve"> </w:t>
            </w:r>
          </w:p>
        </w:tc>
      </w:tr>
      <w:tr w:rsidR="00BF1765" w:rsidRPr="00DF5C23" w14:paraId="2C3A5A8C" w14:textId="77777777" w:rsidTr="00743354">
        <w:tc>
          <w:tcPr>
            <w:tcW w:w="1080" w:type="dxa"/>
            <w:vMerge/>
            <w:vAlign w:val="center"/>
          </w:tcPr>
          <w:p w14:paraId="2C3A5A85" w14:textId="77777777" w:rsidR="00BF1765" w:rsidRPr="00DF5C23" w:rsidRDefault="00BF1765" w:rsidP="002041D4">
            <w:pPr>
              <w:wordWrap w:val="0"/>
              <w:jc w:val="center"/>
              <w:rPr>
                <w:rFonts w:eastAsia="Calibri"/>
                <w:noProof/>
              </w:rPr>
            </w:pPr>
          </w:p>
        </w:tc>
        <w:tc>
          <w:tcPr>
            <w:tcW w:w="3960" w:type="dxa"/>
            <w:vAlign w:val="center"/>
          </w:tcPr>
          <w:p w14:paraId="39854CDF" w14:textId="77777777" w:rsidR="0038775E" w:rsidRDefault="00877B9C" w:rsidP="002041D4">
            <w:pPr>
              <w:wordWrap w:val="0"/>
              <w:rPr>
                <w:rFonts w:eastAsia="Calibri"/>
                <w:noProof/>
              </w:rPr>
            </w:pPr>
            <w:r w:rsidRPr="00DF5C23">
              <w:rPr>
                <w:rFonts w:eastAsia="Calibri"/>
                <w:noProof/>
                <w:sz w:val="20"/>
              </w:rPr>
              <w:t>番号</w:t>
            </w:r>
            <w:r w:rsidRPr="00DF5C23">
              <w:rPr>
                <w:rFonts w:eastAsia="Calibri"/>
                <w:noProof/>
                <w:sz w:val="20"/>
              </w:rPr>
              <w:t xml:space="preserve"> </w:t>
            </w:r>
            <w:r w:rsidRPr="00DF5C23">
              <w:rPr>
                <w:rFonts w:eastAsia="Calibri"/>
                <w:noProof/>
                <w:sz w:val="22"/>
              </w:rPr>
              <w:br/>
            </w:r>
          </w:p>
        </w:tc>
        <w:tc>
          <w:tcPr>
            <w:tcW w:w="1080" w:type="dxa"/>
            <w:vAlign w:val="center"/>
          </w:tcPr>
          <w:p w14:paraId="49E2CF2B" w14:textId="77777777" w:rsidR="0038775E" w:rsidRDefault="00877B9C" w:rsidP="002041D4">
            <w:pPr>
              <w:wordWrap w:val="0"/>
              <w:jc w:val="center"/>
              <w:rPr>
                <w:rFonts w:eastAsia="Calibri"/>
                <w:noProof/>
              </w:rPr>
            </w:pPr>
            <w:r w:rsidRPr="00DF5C23">
              <w:rPr>
                <w:rFonts w:eastAsia="Calibri"/>
                <w:noProof/>
                <w:sz w:val="18"/>
              </w:rPr>
              <w:t>Diff.</w:t>
            </w:r>
            <w:r w:rsidRPr="00DF5C23">
              <w:rPr>
                <w:rFonts w:eastAsia="Calibri"/>
                <w:noProof/>
                <w:sz w:val="18"/>
              </w:rPr>
              <w:t>・</w:t>
            </w:r>
            <w:r w:rsidRPr="00DF5C23">
              <w:rPr>
                <w:rFonts w:eastAsia="Calibri"/>
                <w:noProof/>
                <w:sz w:val="18"/>
              </w:rPr>
              <w:t>Non-diff.</w:t>
            </w:r>
          </w:p>
        </w:tc>
        <w:tc>
          <w:tcPr>
            <w:tcW w:w="956" w:type="dxa"/>
            <w:vAlign w:val="center"/>
          </w:tcPr>
          <w:p w14:paraId="1D327B64" w14:textId="77777777" w:rsidR="0038775E" w:rsidRDefault="00877B9C" w:rsidP="002041D4">
            <w:pPr>
              <w:wordWrap w:val="0"/>
              <w:jc w:val="center"/>
              <w:rPr>
                <w:rFonts w:eastAsia="Calibri"/>
                <w:noProof/>
                <w:sz w:val="18"/>
              </w:rPr>
            </w:pPr>
            <w:r w:rsidRPr="00DF5C23">
              <w:rPr>
                <w:rFonts w:eastAsia="Calibri"/>
                <w:noProof/>
                <w:sz w:val="18"/>
              </w:rPr>
              <w:t>EFTA</w:t>
            </w:r>
            <w:r w:rsidRPr="00DF5C23">
              <w:rPr>
                <w:rFonts w:eastAsia="Calibri"/>
                <w:noProof/>
                <w:sz w:val="18"/>
              </w:rPr>
              <w:t>諸国から</w:t>
            </w:r>
          </w:p>
        </w:tc>
        <w:tc>
          <w:tcPr>
            <w:tcW w:w="1080" w:type="dxa"/>
            <w:vAlign w:val="center"/>
          </w:tcPr>
          <w:p w14:paraId="34B46BD8" w14:textId="77777777" w:rsidR="0038775E" w:rsidRDefault="00877B9C" w:rsidP="002041D4">
            <w:pPr>
              <w:wordWrap w:val="0"/>
              <w:jc w:val="center"/>
              <w:rPr>
                <w:rFonts w:eastAsia="Calibri"/>
                <w:noProof/>
                <w:sz w:val="18"/>
              </w:rPr>
            </w:pPr>
            <w:r w:rsidRPr="00DF5C23">
              <w:rPr>
                <w:rFonts w:eastAsia="Calibri"/>
                <w:noProof/>
                <w:sz w:val="18"/>
              </w:rPr>
              <w:t>候補国から</w:t>
            </w:r>
          </w:p>
        </w:tc>
        <w:tc>
          <w:tcPr>
            <w:tcW w:w="956" w:type="dxa"/>
            <w:vAlign w:val="center"/>
          </w:tcPr>
          <w:p w14:paraId="089A0002" w14:textId="77777777" w:rsidR="0038775E" w:rsidRDefault="00877B9C" w:rsidP="002041D4">
            <w:pPr>
              <w:wordWrap w:val="0"/>
              <w:jc w:val="center"/>
              <w:rPr>
                <w:rFonts w:eastAsia="Calibri"/>
                <w:noProof/>
                <w:sz w:val="18"/>
              </w:rPr>
            </w:pPr>
            <w:r w:rsidRPr="00DF5C23">
              <w:rPr>
                <w:rFonts w:eastAsia="Calibri"/>
                <w:noProof/>
                <w:sz w:val="18"/>
              </w:rPr>
              <w:t>第三国から</w:t>
            </w:r>
          </w:p>
        </w:tc>
        <w:tc>
          <w:tcPr>
            <w:tcW w:w="1448" w:type="dxa"/>
            <w:vAlign w:val="center"/>
          </w:tcPr>
          <w:p w14:paraId="16FF0B98" w14:textId="77777777" w:rsidR="0038775E" w:rsidRDefault="00877B9C" w:rsidP="002041D4">
            <w:pPr>
              <w:wordWrap w:val="0"/>
              <w:jc w:val="center"/>
              <w:rPr>
                <w:rFonts w:eastAsia="Calibri"/>
                <w:noProof/>
                <w:lang w:eastAsia="ja-JP"/>
              </w:rPr>
            </w:pPr>
            <w:r w:rsidRPr="00DF5C23">
              <w:rPr>
                <w:rFonts w:eastAsia="Calibri"/>
                <w:noProof/>
                <w:sz w:val="16"/>
                <w:lang w:eastAsia="ja-JP"/>
              </w:rPr>
              <w:t>金融規制法第</w:t>
            </w:r>
            <w:r w:rsidRPr="00DF5C23">
              <w:rPr>
                <w:rFonts w:eastAsia="Calibri"/>
                <w:noProof/>
                <w:sz w:val="16"/>
                <w:lang w:eastAsia="ja-JP"/>
              </w:rPr>
              <w:t>21</w:t>
            </w:r>
            <w:r w:rsidRPr="00DF5C23">
              <w:rPr>
                <w:rFonts w:eastAsia="Calibri"/>
                <w:noProof/>
                <w:sz w:val="16"/>
                <w:lang w:eastAsia="ja-JP"/>
              </w:rPr>
              <w:t>条第</w:t>
            </w:r>
            <w:r w:rsidRPr="00DF5C23">
              <w:rPr>
                <w:rFonts w:eastAsia="Calibri"/>
                <w:noProof/>
                <w:sz w:val="16"/>
                <w:lang w:eastAsia="ja-JP"/>
              </w:rPr>
              <w:t>2</w:t>
            </w:r>
            <w:r w:rsidRPr="00DF5C23">
              <w:rPr>
                <w:rFonts w:eastAsia="Calibri"/>
                <w:noProof/>
                <w:sz w:val="16"/>
                <w:lang w:eastAsia="ja-JP"/>
              </w:rPr>
              <w:t>項第</w:t>
            </w:r>
            <w:r w:rsidRPr="00DF5C23">
              <w:rPr>
                <w:rFonts w:eastAsia="Calibri"/>
                <w:noProof/>
                <w:sz w:val="16"/>
                <w:lang w:eastAsia="ja-JP"/>
              </w:rPr>
              <w:t>2</w:t>
            </w:r>
            <w:r w:rsidRPr="00DF5C23">
              <w:rPr>
                <w:rFonts w:eastAsia="Calibri"/>
                <w:noProof/>
                <w:sz w:val="16"/>
                <w:lang w:eastAsia="ja-JP"/>
              </w:rPr>
              <w:t>号に規定する意味において。</w:t>
            </w:r>
            <w:r w:rsidRPr="00DF5C23">
              <w:rPr>
                <w:rFonts w:eastAsia="Calibri"/>
                <w:noProof/>
                <w:sz w:val="16"/>
                <w:lang w:eastAsia="ja-JP"/>
              </w:rPr>
              <w:t xml:space="preserve"> </w:t>
            </w:r>
          </w:p>
        </w:tc>
      </w:tr>
      <w:tr w:rsidR="00BF1765" w:rsidRPr="00DF5C23" w14:paraId="2C3A5A95" w14:textId="77777777" w:rsidTr="00743354">
        <w:tc>
          <w:tcPr>
            <w:tcW w:w="1080" w:type="dxa"/>
            <w:vAlign w:val="center"/>
          </w:tcPr>
          <w:p w14:paraId="2C3A5A8D" w14:textId="77777777" w:rsidR="00BF1765" w:rsidRPr="00DF5C23" w:rsidRDefault="00BF1765" w:rsidP="002041D4">
            <w:pPr>
              <w:wordWrap w:val="0"/>
              <w:jc w:val="center"/>
              <w:rPr>
                <w:rFonts w:eastAsia="Calibri"/>
                <w:noProof/>
                <w:color w:val="0000FF"/>
                <w:lang w:eastAsia="ja-JP"/>
              </w:rPr>
            </w:pPr>
          </w:p>
        </w:tc>
        <w:tc>
          <w:tcPr>
            <w:tcW w:w="3960" w:type="dxa"/>
            <w:vAlign w:val="center"/>
          </w:tcPr>
          <w:p w14:paraId="516C88E7" w14:textId="6EE94B8A" w:rsidR="0038775E" w:rsidRDefault="00877B9C" w:rsidP="002041D4">
            <w:pPr>
              <w:wordWrap w:val="0"/>
              <w:spacing w:before="60"/>
              <w:rPr>
                <w:rFonts w:eastAsia="Calibri"/>
                <w:noProof/>
                <w:lang w:eastAsia="ja-JP"/>
              </w:rPr>
            </w:pPr>
            <w:r w:rsidRPr="00DF5C23">
              <w:rPr>
                <w:rFonts w:eastAsia="Calibri"/>
                <w:noProof/>
                <w:sz w:val="22"/>
                <w:lang w:eastAsia="ja-JP"/>
              </w:rPr>
              <w:t>[XX.YY.YY.YY]</w:t>
            </w:r>
            <w:r w:rsidRPr="00DF5C23">
              <w:rPr>
                <w:rFonts w:eastAsia="Calibri"/>
                <w:noProof/>
                <w:sz w:val="22"/>
                <w:lang w:eastAsia="ja-JP"/>
              </w:rPr>
              <w:t>。</w:t>
            </w:r>
          </w:p>
          <w:p w14:paraId="2C3A5A8F" w14:textId="77777777" w:rsidR="00BF1765" w:rsidRPr="00DF5C23" w:rsidRDefault="00BF1765" w:rsidP="002041D4">
            <w:pPr>
              <w:wordWrap w:val="0"/>
              <w:spacing w:after="60"/>
              <w:rPr>
                <w:rFonts w:eastAsia="Calibri"/>
                <w:noProof/>
                <w:color w:val="0000FF"/>
                <w:lang w:eastAsia="ja-JP"/>
              </w:rPr>
            </w:pPr>
          </w:p>
        </w:tc>
        <w:tc>
          <w:tcPr>
            <w:tcW w:w="1080" w:type="dxa"/>
            <w:vAlign w:val="center"/>
          </w:tcPr>
          <w:p w14:paraId="2C3A5A90" w14:textId="77777777" w:rsidR="00BF1765" w:rsidRPr="00DF5C23" w:rsidRDefault="00BF1765" w:rsidP="002041D4">
            <w:pPr>
              <w:wordWrap w:val="0"/>
              <w:jc w:val="center"/>
              <w:rPr>
                <w:rFonts w:eastAsia="Calibri"/>
                <w:noProof/>
                <w:color w:val="0000FF"/>
                <w:lang w:eastAsia="ja-JP"/>
              </w:rPr>
            </w:pPr>
          </w:p>
        </w:tc>
        <w:tc>
          <w:tcPr>
            <w:tcW w:w="956" w:type="dxa"/>
            <w:vAlign w:val="center"/>
          </w:tcPr>
          <w:p w14:paraId="4BCCF915" w14:textId="77777777" w:rsidR="0038775E" w:rsidRDefault="00877B9C" w:rsidP="002041D4">
            <w:pPr>
              <w:wordWrap w:val="0"/>
              <w:jc w:val="center"/>
              <w:rPr>
                <w:rFonts w:eastAsia="Calibri"/>
                <w:noProof/>
                <w:sz w:val="20"/>
                <w:szCs w:val="20"/>
              </w:rPr>
            </w:pPr>
            <w:r w:rsidRPr="00DF5C23">
              <w:rPr>
                <w:rFonts w:eastAsia="Calibri"/>
                <w:noProof/>
                <w:sz w:val="20"/>
                <w:szCs w:val="20"/>
              </w:rPr>
              <w:t>YES/NO</w:t>
            </w:r>
          </w:p>
        </w:tc>
        <w:tc>
          <w:tcPr>
            <w:tcW w:w="1080" w:type="dxa"/>
            <w:vAlign w:val="center"/>
          </w:tcPr>
          <w:p w14:paraId="117C7B70" w14:textId="77777777" w:rsidR="0038775E" w:rsidRDefault="00877B9C" w:rsidP="002041D4">
            <w:pPr>
              <w:wordWrap w:val="0"/>
              <w:jc w:val="center"/>
              <w:rPr>
                <w:rFonts w:eastAsia="Calibri"/>
                <w:noProof/>
                <w:color w:val="0000FF"/>
                <w:sz w:val="20"/>
                <w:szCs w:val="20"/>
              </w:rPr>
            </w:pPr>
            <w:r w:rsidRPr="00DF5C23">
              <w:rPr>
                <w:rFonts w:eastAsia="Calibri"/>
                <w:noProof/>
                <w:sz w:val="20"/>
                <w:szCs w:val="20"/>
              </w:rPr>
              <w:t>YES/NO</w:t>
            </w:r>
          </w:p>
        </w:tc>
        <w:tc>
          <w:tcPr>
            <w:tcW w:w="956" w:type="dxa"/>
            <w:vAlign w:val="center"/>
          </w:tcPr>
          <w:p w14:paraId="6F98453C" w14:textId="77777777" w:rsidR="0038775E" w:rsidRDefault="00877B9C" w:rsidP="002041D4">
            <w:pPr>
              <w:wordWrap w:val="0"/>
              <w:jc w:val="center"/>
              <w:rPr>
                <w:rFonts w:eastAsia="Calibri"/>
                <w:noProof/>
                <w:color w:val="0000FF"/>
                <w:sz w:val="20"/>
                <w:szCs w:val="20"/>
              </w:rPr>
            </w:pPr>
            <w:r w:rsidRPr="00DF5C23">
              <w:rPr>
                <w:rFonts w:eastAsia="Calibri"/>
                <w:noProof/>
                <w:sz w:val="20"/>
                <w:szCs w:val="20"/>
              </w:rPr>
              <w:t>YES/NO</w:t>
            </w:r>
          </w:p>
        </w:tc>
        <w:tc>
          <w:tcPr>
            <w:tcW w:w="1448" w:type="dxa"/>
            <w:vAlign w:val="center"/>
          </w:tcPr>
          <w:p w14:paraId="3FA50EED" w14:textId="77777777" w:rsidR="0038775E" w:rsidRDefault="00877B9C" w:rsidP="002041D4">
            <w:pPr>
              <w:wordWrap w:val="0"/>
              <w:jc w:val="center"/>
              <w:rPr>
                <w:rFonts w:eastAsia="Calibri"/>
                <w:noProof/>
                <w:sz w:val="20"/>
                <w:szCs w:val="20"/>
              </w:rPr>
            </w:pPr>
            <w:r w:rsidRPr="00DF5C23">
              <w:rPr>
                <w:rFonts w:eastAsia="Calibri"/>
                <w:noProof/>
                <w:sz w:val="20"/>
                <w:szCs w:val="20"/>
              </w:rPr>
              <w:t>YES/NO</w:t>
            </w:r>
          </w:p>
        </w:tc>
      </w:tr>
    </w:tbl>
    <w:p w14:paraId="2C3A5A96" w14:textId="77777777" w:rsidR="00BF1765" w:rsidRPr="00DF5C23" w:rsidRDefault="00BF1765" w:rsidP="002041D4">
      <w:pPr>
        <w:wordWrap w:val="0"/>
        <w:rPr>
          <w:rFonts w:eastAsia="Calibri"/>
          <w:noProof/>
        </w:rPr>
        <w:sectPr w:rsidR="00BF1765" w:rsidRPr="00DF5C23" w:rsidSect="008B42B0">
          <w:pgSz w:w="11907" w:h="16840" w:code="1"/>
          <w:pgMar w:top="1134" w:right="1418" w:bottom="1134" w:left="1418" w:header="709" w:footer="709" w:gutter="0"/>
          <w:cols w:space="708"/>
          <w:docGrid w:linePitch="360"/>
        </w:sectPr>
      </w:pPr>
    </w:p>
    <w:p w14:paraId="3A3A64F4" w14:textId="77777777" w:rsidR="0038775E" w:rsidRDefault="00877B9C" w:rsidP="002041D4">
      <w:pPr>
        <w:pStyle w:val="ManualHeading2"/>
        <w:wordWrap w:val="0"/>
        <w:rPr>
          <w:bCs/>
          <w:noProof/>
          <w:szCs w:val="24"/>
          <w:lang w:eastAsia="ja-JP"/>
        </w:rPr>
      </w:pPr>
      <w:bookmarkStart w:id="53" w:name="_Toc514938052"/>
      <w:bookmarkStart w:id="54" w:name="_Toc520485051"/>
      <w:r w:rsidRPr="004F5E59">
        <w:rPr>
          <w:lang w:eastAsia="ja-JP"/>
        </w:rPr>
        <w:lastRenderedPageBreak/>
        <w:t>3.2.</w:t>
      </w:r>
      <w:r w:rsidRPr="004F5E59">
        <w:rPr>
          <w:lang w:eastAsia="ja-JP"/>
        </w:rPr>
        <w:tab/>
      </w:r>
      <w:r w:rsidR="003102BB" w:rsidRPr="00DF5C23">
        <w:rPr>
          <w:noProof/>
          <w:lang w:eastAsia="ja-JP"/>
        </w:rPr>
        <w:t>本提案が充当に与える財務的影響の見積もり</w:t>
      </w:r>
      <w:r w:rsidR="003102BB" w:rsidRPr="00DF5C23">
        <w:rPr>
          <w:noProof/>
          <w:lang w:eastAsia="ja-JP"/>
        </w:rPr>
        <w:t xml:space="preserve"> </w:t>
      </w:r>
      <w:bookmarkEnd w:id="53"/>
      <w:bookmarkEnd w:id="54"/>
    </w:p>
    <w:p w14:paraId="6D3FA9B9" w14:textId="77777777" w:rsidR="0038775E" w:rsidRDefault="00877B9C" w:rsidP="002041D4">
      <w:pPr>
        <w:pStyle w:val="ManualHeading3"/>
        <w:wordWrap w:val="0"/>
        <w:rPr>
          <w:noProof/>
          <w:lang w:eastAsia="ja-JP"/>
        </w:rPr>
      </w:pPr>
      <w:bookmarkStart w:id="55" w:name="_Toc514938053"/>
      <w:bookmarkStart w:id="56" w:name="_Toc520485052"/>
      <w:r w:rsidRPr="004F5E59">
        <w:rPr>
          <w:lang w:eastAsia="ja-JP"/>
        </w:rPr>
        <w:t>3.2.1.</w:t>
      </w:r>
      <w:r w:rsidRPr="004F5E59">
        <w:rPr>
          <w:lang w:eastAsia="ja-JP"/>
        </w:rPr>
        <w:tab/>
      </w:r>
      <w:r w:rsidR="003102BB" w:rsidRPr="00DF5C23">
        <w:rPr>
          <w:noProof/>
          <w:lang w:eastAsia="ja-JP"/>
        </w:rPr>
        <w:t>業務用充当金への影響試算の概要</w:t>
      </w:r>
      <w:r w:rsidR="003102BB" w:rsidRPr="00DF5C23">
        <w:rPr>
          <w:noProof/>
          <w:lang w:eastAsia="ja-JP"/>
        </w:rPr>
        <w:t xml:space="preserve"> </w:t>
      </w:r>
      <w:bookmarkEnd w:id="55"/>
      <w:bookmarkEnd w:id="56"/>
    </w:p>
    <w:p w14:paraId="3E5F0A2E" w14:textId="21E5EA1F" w:rsidR="0038775E" w:rsidRDefault="00877B9C" w:rsidP="002041D4">
      <w:pPr>
        <w:pStyle w:val="Bullet1"/>
        <w:wordWrap w:val="0"/>
        <w:rPr>
          <w:noProof/>
          <w:lang w:eastAsia="de-DE"/>
        </w:rPr>
      </w:pPr>
      <w:r w:rsidRPr="00DF5C23">
        <w:rPr>
          <w:noProof/>
          <w:lang w:eastAsia="de-DE"/>
        </w:rPr>
        <w:sym w:font="Wingdings" w:char="F0A8"/>
      </w:r>
      <w:r w:rsidRPr="00DF5C23">
        <w:rPr>
          <w:noProof/>
          <w:lang w:eastAsia="de-DE"/>
        </w:rPr>
        <w:tab/>
      </w:r>
      <w:r w:rsidRPr="00DF5C23">
        <w:rPr>
          <w:noProof/>
          <w:lang w:eastAsia="de-DE"/>
        </w:rPr>
        <w:t>提案</w:t>
      </w:r>
      <w:r w:rsidRPr="00DF5C23">
        <w:rPr>
          <w:noProof/>
          <w:lang w:eastAsia="de-DE"/>
        </w:rPr>
        <w:t>/</w:t>
      </w:r>
      <w:r w:rsidRPr="00DF5C23">
        <w:rPr>
          <w:noProof/>
          <w:lang w:eastAsia="de-DE"/>
        </w:rPr>
        <w:t>イニシアチブは、業務用予算を使用する必要は</w:t>
      </w:r>
      <w:r w:rsidR="002041D4">
        <w:rPr>
          <w:noProof/>
          <w:lang w:eastAsia="de-DE"/>
        </w:rPr>
        <w:t>ない</w:t>
      </w:r>
      <w:r w:rsidRPr="00DF5C23">
        <w:rPr>
          <w:noProof/>
          <w:lang w:eastAsia="de-DE"/>
        </w:rPr>
        <w:t>。</w:t>
      </w:r>
      <w:r w:rsidRPr="00DF5C23">
        <w:rPr>
          <w:noProof/>
          <w:lang w:eastAsia="de-DE"/>
        </w:rPr>
        <w:t xml:space="preserve"> </w:t>
      </w:r>
    </w:p>
    <w:p w14:paraId="5F1656CF" w14:textId="7267F96C" w:rsidR="0038775E" w:rsidRDefault="00877B9C" w:rsidP="002041D4">
      <w:pPr>
        <w:pStyle w:val="Bullet1"/>
        <w:wordWrap w:val="0"/>
        <w:rPr>
          <w:noProof/>
          <w:lang w:eastAsia="de-DE"/>
        </w:rPr>
      </w:pPr>
      <w:r w:rsidRPr="00DF5C23">
        <w:rPr>
          <w:noProof/>
          <w:lang w:eastAsia="de-DE"/>
        </w:rPr>
        <w:sym w:font="Wingdings" w:char="F0FE"/>
      </w:r>
      <w:r w:rsidRPr="00DF5C23">
        <w:rPr>
          <w:noProof/>
          <w:lang w:eastAsia="de-DE"/>
        </w:rPr>
        <w:tab/>
      </w:r>
      <w:r w:rsidRPr="00DF5C23">
        <w:rPr>
          <w:noProof/>
          <w:lang w:eastAsia="de-DE"/>
        </w:rPr>
        <w:t>この提案</w:t>
      </w:r>
      <w:r w:rsidRPr="00DF5C23">
        <w:rPr>
          <w:noProof/>
          <w:lang w:eastAsia="de-DE"/>
        </w:rPr>
        <w:t>/</w:t>
      </w:r>
      <w:r w:rsidRPr="00DF5C23">
        <w:rPr>
          <w:noProof/>
          <w:lang w:eastAsia="de-DE"/>
        </w:rPr>
        <w:t>構想は、以下に説明するように、業務用経費の使用を必要と</w:t>
      </w:r>
      <w:r w:rsidR="002041D4">
        <w:rPr>
          <w:noProof/>
          <w:lang w:eastAsia="de-DE"/>
        </w:rPr>
        <w:t>する</w:t>
      </w:r>
      <w:r w:rsidRPr="00DF5C23">
        <w:rPr>
          <w:noProof/>
          <w:lang w:eastAsia="de-DE"/>
        </w:rPr>
        <w:t>：</w:t>
      </w:r>
    </w:p>
    <w:p w14:paraId="770D23B4" w14:textId="77777777" w:rsidR="0038775E" w:rsidRDefault="00877B9C" w:rsidP="002041D4">
      <w:pPr>
        <w:wordWrap w:val="0"/>
        <w:jc w:val="right"/>
        <w:rPr>
          <w:rFonts w:eastAsia="Calibri"/>
          <w:noProof/>
          <w:sz w:val="18"/>
          <w:szCs w:val="18"/>
          <w:lang w:eastAsia="ja-JP"/>
        </w:rPr>
      </w:pPr>
      <w:r w:rsidRPr="00DF5C23">
        <w:rPr>
          <w:rFonts w:eastAsia="Calibri"/>
          <w:noProof/>
          <w:sz w:val="18"/>
          <w:szCs w:val="18"/>
          <w:lang w:eastAsia="ja-JP"/>
        </w:rPr>
        <w:t>百万ユーロ（小数点以下</w:t>
      </w:r>
      <w:r w:rsidRPr="00DF5C23">
        <w:rPr>
          <w:rFonts w:eastAsia="Calibri"/>
          <w:noProof/>
          <w:sz w:val="18"/>
          <w:szCs w:val="18"/>
          <w:lang w:eastAsia="ja-JP"/>
        </w:rPr>
        <w:t>3</w:t>
      </w:r>
      <w:r w:rsidRPr="00DF5C23">
        <w:rPr>
          <w:rFonts w:eastAsia="Calibri"/>
          <w:noProof/>
          <w:sz w:val="18"/>
          <w:szCs w:val="18"/>
          <w:lang w:eastAsia="ja-JP"/>
        </w:rPr>
        <w:t>桁まで）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BF1765" w:rsidRPr="00DF5C23" w14:paraId="2C3A5A9F" w14:textId="77777777" w:rsidTr="00743354">
        <w:trPr>
          <w:jc w:val="center"/>
        </w:trPr>
        <w:tc>
          <w:tcPr>
            <w:tcW w:w="4744" w:type="dxa"/>
            <w:shd w:val="thinDiagStripe" w:color="C0C0C0" w:fill="auto"/>
            <w:vAlign w:val="center"/>
          </w:tcPr>
          <w:p w14:paraId="4E1FAECB" w14:textId="77777777" w:rsidR="0038775E" w:rsidRDefault="00877B9C" w:rsidP="002041D4">
            <w:pPr>
              <w:wordWrap w:val="0"/>
              <w:spacing w:before="60" w:after="60"/>
              <w:jc w:val="center"/>
              <w:rPr>
                <w:rFonts w:eastAsia="Calibri"/>
                <w:b/>
                <w:noProof/>
                <w:lang w:eastAsia="ja-JP"/>
              </w:rPr>
            </w:pPr>
            <w:r w:rsidRPr="00DF5C23">
              <w:rPr>
                <w:rFonts w:eastAsia="Calibri"/>
                <w:b/>
                <w:noProof/>
                <w:sz w:val="22"/>
                <w:lang w:eastAsia="ja-JP"/>
              </w:rPr>
              <w:t>多年間財務の見出し</w:t>
            </w:r>
            <w:r w:rsidRPr="00DF5C23">
              <w:rPr>
                <w:rFonts w:eastAsia="Calibri"/>
                <w:b/>
                <w:noProof/>
                <w:sz w:val="22"/>
                <w:lang w:eastAsia="ja-JP"/>
              </w:rPr>
              <w:t xml:space="preserve"> </w:t>
            </w:r>
            <w:r w:rsidRPr="00DF5C23">
              <w:rPr>
                <w:rFonts w:eastAsia="Calibri"/>
                <w:noProof/>
                <w:sz w:val="22"/>
                <w:lang w:eastAsia="ja-JP"/>
              </w:rPr>
              <w:br/>
            </w:r>
            <w:r w:rsidRPr="00DF5C23">
              <w:rPr>
                <w:rFonts w:eastAsia="Calibri"/>
                <w:b/>
                <w:noProof/>
                <w:sz w:val="22"/>
                <w:lang w:eastAsia="ja-JP"/>
              </w:rPr>
              <w:t>フレームワーク</w:t>
            </w:r>
            <w:r w:rsidRPr="00DF5C23">
              <w:rPr>
                <w:rFonts w:eastAsia="Calibri"/>
                <w:b/>
                <w:noProof/>
                <w:sz w:val="22"/>
                <w:lang w:eastAsia="ja-JP"/>
              </w:rPr>
              <w:t xml:space="preserve"> </w:t>
            </w:r>
          </w:p>
        </w:tc>
        <w:tc>
          <w:tcPr>
            <w:tcW w:w="1080" w:type="dxa"/>
            <w:vAlign w:val="center"/>
          </w:tcPr>
          <w:p w14:paraId="30818C12" w14:textId="77777777" w:rsidR="0038775E" w:rsidRDefault="00877B9C" w:rsidP="002041D4">
            <w:pPr>
              <w:wordWrap w:val="0"/>
              <w:spacing w:before="60" w:after="60"/>
              <w:jc w:val="center"/>
              <w:rPr>
                <w:rFonts w:eastAsia="Calibri"/>
                <w:noProof/>
              </w:rPr>
            </w:pPr>
            <w:r w:rsidRPr="00DF5C23">
              <w:rPr>
                <w:rFonts w:eastAsia="Calibri"/>
                <w:noProof/>
                <w:sz w:val="22"/>
              </w:rPr>
              <w:t>番号</w:t>
            </w:r>
          </w:p>
        </w:tc>
        <w:tc>
          <w:tcPr>
            <w:tcW w:w="7817" w:type="dxa"/>
            <w:vAlign w:val="center"/>
          </w:tcPr>
          <w:p w14:paraId="74E75EB6" w14:textId="77777777" w:rsidR="0038775E" w:rsidRDefault="00877B9C" w:rsidP="002041D4">
            <w:pPr>
              <w:wordWrap w:val="0"/>
              <w:spacing w:before="60" w:after="60"/>
              <w:rPr>
                <w:rFonts w:eastAsia="Calibri"/>
                <w:noProof/>
                <w:lang w:eastAsia="ja-JP"/>
              </w:rPr>
            </w:pPr>
            <w:r w:rsidRPr="00DF5C23">
              <w:rPr>
                <w:rFonts w:eastAsia="Calibri"/>
                <w:noProof/>
                <w:lang w:eastAsia="ja-JP"/>
              </w:rPr>
              <w:t>ヘディング</w:t>
            </w:r>
            <w:r w:rsidRPr="00DF5C23">
              <w:rPr>
                <w:rFonts w:eastAsia="Calibri"/>
                <w:noProof/>
                <w:lang w:eastAsia="ja-JP"/>
              </w:rPr>
              <w:t>1</w:t>
            </w:r>
            <w:r w:rsidRPr="00DF5C23">
              <w:rPr>
                <w:rFonts w:eastAsia="Calibri"/>
                <w:noProof/>
                <w:lang w:eastAsia="ja-JP"/>
              </w:rPr>
              <w:t>（単一市場、イノベーション、デジタル）</w:t>
            </w:r>
          </w:p>
        </w:tc>
      </w:tr>
    </w:tbl>
    <w:p w14:paraId="2C3A5AA0" w14:textId="77777777" w:rsidR="00BF1765" w:rsidRPr="00DF5C23" w:rsidRDefault="00BF1765" w:rsidP="002041D4">
      <w:pPr>
        <w:wordWrap w:val="0"/>
        <w:rPr>
          <w:rFonts w:eastAsia="Calibri"/>
          <w:noProof/>
          <w:sz w:val="16"/>
          <w:lang w:eastAsia="ja-JP"/>
        </w:rPr>
      </w:pPr>
    </w:p>
    <w:tbl>
      <w:tblPr>
        <w:tblW w:w="1382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9"/>
        <w:gridCol w:w="81"/>
        <w:gridCol w:w="1333"/>
        <w:gridCol w:w="107"/>
        <w:gridCol w:w="10"/>
        <w:gridCol w:w="527"/>
        <w:gridCol w:w="117"/>
        <w:gridCol w:w="737"/>
        <w:gridCol w:w="131"/>
        <w:gridCol w:w="723"/>
        <w:gridCol w:w="145"/>
        <w:gridCol w:w="709"/>
        <w:gridCol w:w="159"/>
        <w:gridCol w:w="695"/>
        <w:gridCol w:w="173"/>
        <w:gridCol w:w="681"/>
        <w:gridCol w:w="187"/>
        <w:gridCol w:w="680"/>
        <w:gridCol w:w="201"/>
        <w:gridCol w:w="636"/>
        <w:gridCol w:w="215"/>
        <w:gridCol w:w="1701"/>
      </w:tblGrid>
      <w:tr w:rsidR="00BF1765" w:rsidRPr="00DF5C23" w14:paraId="2C3A5AAC" w14:textId="77777777" w:rsidTr="009E22E2">
        <w:tc>
          <w:tcPr>
            <w:tcW w:w="3879" w:type="dxa"/>
            <w:vAlign w:val="center"/>
          </w:tcPr>
          <w:p w14:paraId="6B295397" w14:textId="77777777" w:rsidR="0038775E" w:rsidRDefault="00877B9C" w:rsidP="002041D4">
            <w:pPr>
              <w:wordWrap w:val="0"/>
              <w:jc w:val="center"/>
              <w:rPr>
                <w:rFonts w:eastAsia="Calibri"/>
                <w:noProof/>
              </w:rPr>
            </w:pPr>
            <w:r w:rsidRPr="00DF5C23">
              <w:rPr>
                <w:rFonts w:eastAsia="Calibri"/>
                <w:noProof/>
                <w:sz w:val="22"/>
              </w:rPr>
              <w:t>DG</w:t>
            </w:r>
            <w:r w:rsidRPr="00DF5C23">
              <w:rPr>
                <w:rFonts w:eastAsia="Calibri"/>
                <w:noProof/>
                <w:sz w:val="22"/>
              </w:rPr>
              <w:t>：</w:t>
            </w:r>
            <w:r w:rsidRPr="00DF5C23">
              <w:rPr>
                <w:rFonts w:eastAsia="Calibri"/>
                <w:noProof/>
                <w:sz w:val="22"/>
              </w:rPr>
              <w:t>GROW</w:t>
            </w:r>
          </w:p>
        </w:tc>
        <w:tc>
          <w:tcPr>
            <w:tcW w:w="1531" w:type="dxa"/>
            <w:gridSpan w:val="4"/>
          </w:tcPr>
          <w:p w14:paraId="2C3A5AA2" w14:textId="77777777" w:rsidR="00BF1765" w:rsidRPr="00DF5C23" w:rsidRDefault="00BF1765" w:rsidP="002041D4">
            <w:pPr>
              <w:wordWrap w:val="0"/>
              <w:rPr>
                <w:rFonts w:eastAsia="Calibri"/>
                <w:noProof/>
                <w:sz w:val="20"/>
              </w:rPr>
            </w:pPr>
          </w:p>
        </w:tc>
        <w:tc>
          <w:tcPr>
            <w:tcW w:w="527" w:type="dxa"/>
          </w:tcPr>
          <w:p w14:paraId="2C3A5AA3" w14:textId="77777777" w:rsidR="00BF1765" w:rsidRPr="00DF5C23" w:rsidRDefault="00BF1765" w:rsidP="002041D4">
            <w:pPr>
              <w:wordWrap w:val="0"/>
              <w:jc w:val="center"/>
              <w:rPr>
                <w:rFonts w:eastAsia="Calibri"/>
                <w:noProof/>
                <w:sz w:val="20"/>
              </w:rPr>
            </w:pPr>
          </w:p>
        </w:tc>
        <w:tc>
          <w:tcPr>
            <w:tcW w:w="854" w:type="dxa"/>
            <w:gridSpan w:val="2"/>
            <w:vAlign w:val="center"/>
          </w:tcPr>
          <w:p w14:paraId="2B78C237" w14:textId="77777777" w:rsidR="0038775E" w:rsidRDefault="00877B9C" w:rsidP="002041D4">
            <w:pPr>
              <w:wordWrap w:val="0"/>
              <w:jc w:val="center"/>
              <w:rPr>
                <w:rFonts w:eastAsia="Calibri"/>
                <w:noProof/>
                <w:sz w:val="20"/>
              </w:rPr>
            </w:pPr>
            <w:r w:rsidRPr="00DF5C23">
              <w:rPr>
                <w:rFonts w:eastAsia="Calibri"/>
                <w:noProof/>
                <w:sz w:val="20"/>
                <w:szCs w:val="20"/>
              </w:rPr>
              <w:t>年</w:t>
            </w:r>
            <w:r w:rsidRPr="00DF5C23">
              <w:rPr>
                <w:rFonts w:eastAsia="Calibri"/>
                <w:noProof/>
                <w:sz w:val="22"/>
              </w:rPr>
              <w:br/>
            </w:r>
            <w:r w:rsidRPr="00DF5C23">
              <w:rPr>
                <w:rFonts w:eastAsia="Calibri"/>
                <w:b/>
                <w:bCs/>
                <w:noProof/>
                <w:sz w:val="20"/>
                <w:szCs w:val="20"/>
              </w:rPr>
              <w:t>2022</w:t>
            </w:r>
          </w:p>
        </w:tc>
        <w:tc>
          <w:tcPr>
            <w:tcW w:w="854" w:type="dxa"/>
            <w:gridSpan w:val="2"/>
            <w:vAlign w:val="center"/>
          </w:tcPr>
          <w:p w14:paraId="52BF8348" w14:textId="77777777" w:rsidR="0038775E" w:rsidRDefault="00877B9C" w:rsidP="002041D4">
            <w:pPr>
              <w:wordWrap w:val="0"/>
              <w:jc w:val="center"/>
              <w:rPr>
                <w:rFonts w:eastAsia="Calibri"/>
                <w:noProof/>
                <w:sz w:val="20"/>
              </w:rPr>
            </w:pPr>
            <w:r w:rsidRPr="00DF5C23">
              <w:rPr>
                <w:rFonts w:eastAsia="Calibri"/>
                <w:noProof/>
                <w:sz w:val="20"/>
              </w:rPr>
              <w:t>年</w:t>
            </w:r>
            <w:r w:rsidRPr="00DF5C23">
              <w:rPr>
                <w:rFonts w:eastAsia="Calibri"/>
                <w:noProof/>
                <w:sz w:val="22"/>
              </w:rPr>
              <w:br/>
            </w:r>
            <w:r w:rsidRPr="00DF5C23">
              <w:rPr>
                <w:rFonts w:eastAsia="Calibri"/>
                <w:b/>
                <w:noProof/>
                <w:sz w:val="20"/>
              </w:rPr>
              <w:t>2023</w:t>
            </w:r>
          </w:p>
        </w:tc>
        <w:tc>
          <w:tcPr>
            <w:tcW w:w="854" w:type="dxa"/>
            <w:gridSpan w:val="2"/>
            <w:vAlign w:val="center"/>
          </w:tcPr>
          <w:p w14:paraId="181C500E" w14:textId="77777777" w:rsidR="0038775E" w:rsidRDefault="00877B9C" w:rsidP="002041D4">
            <w:pPr>
              <w:wordWrap w:val="0"/>
              <w:jc w:val="center"/>
              <w:rPr>
                <w:rFonts w:eastAsia="Calibri"/>
                <w:noProof/>
                <w:sz w:val="20"/>
              </w:rPr>
            </w:pPr>
            <w:r w:rsidRPr="00DF5C23">
              <w:rPr>
                <w:rFonts w:eastAsia="Calibri"/>
                <w:noProof/>
                <w:sz w:val="20"/>
              </w:rPr>
              <w:t>年</w:t>
            </w:r>
            <w:r w:rsidRPr="00DF5C23">
              <w:rPr>
                <w:rFonts w:eastAsia="Calibri"/>
                <w:noProof/>
                <w:sz w:val="22"/>
              </w:rPr>
              <w:br/>
            </w:r>
            <w:r w:rsidRPr="00DF5C23">
              <w:rPr>
                <w:rFonts w:eastAsia="Calibri"/>
                <w:b/>
                <w:noProof/>
                <w:sz w:val="20"/>
              </w:rPr>
              <w:t>2024</w:t>
            </w:r>
          </w:p>
        </w:tc>
        <w:tc>
          <w:tcPr>
            <w:tcW w:w="854" w:type="dxa"/>
            <w:gridSpan w:val="2"/>
            <w:vAlign w:val="center"/>
          </w:tcPr>
          <w:p w14:paraId="1137D5F9" w14:textId="77777777" w:rsidR="0038775E" w:rsidRDefault="00877B9C" w:rsidP="002041D4">
            <w:pPr>
              <w:wordWrap w:val="0"/>
              <w:jc w:val="center"/>
              <w:rPr>
                <w:rFonts w:eastAsia="Calibri"/>
                <w:noProof/>
                <w:sz w:val="20"/>
              </w:rPr>
            </w:pPr>
            <w:r w:rsidRPr="00DF5C23">
              <w:rPr>
                <w:rFonts w:eastAsia="Calibri"/>
                <w:noProof/>
                <w:sz w:val="20"/>
              </w:rPr>
              <w:t>年</w:t>
            </w:r>
            <w:r w:rsidRPr="00DF5C23">
              <w:rPr>
                <w:rFonts w:eastAsia="Calibri"/>
                <w:noProof/>
                <w:sz w:val="22"/>
              </w:rPr>
              <w:br/>
            </w:r>
            <w:r w:rsidRPr="00DF5C23">
              <w:rPr>
                <w:rFonts w:eastAsia="Calibri"/>
                <w:b/>
                <w:noProof/>
                <w:sz w:val="20"/>
              </w:rPr>
              <w:t>2025</w:t>
            </w:r>
          </w:p>
        </w:tc>
        <w:tc>
          <w:tcPr>
            <w:tcW w:w="854" w:type="dxa"/>
            <w:gridSpan w:val="2"/>
            <w:vAlign w:val="center"/>
          </w:tcPr>
          <w:p w14:paraId="26185D5E" w14:textId="77777777" w:rsidR="0038775E" w:rsidRDefault="00877B9C" w:rsidP="002041D4">
            <w:pPr>
              <w:wordWrap w:val="0"/>
              <w:jc w:val="center"/>
              <w:rPr>
                <w:rFonts w:eastAsia="Calibri"/>
                <w:b/>
                <w:noProof/>
                <w:sz w:val="18"/>
              </w:rPr>
            </w:pPr>
            <w:r w:rsidRPr="00DF5C23">
              <w:rPr>
                <w:rFonts w:eastAsia="Calibri"/>
                <w:noProof/>
                <w:sz w:val="20"/>
              </w:rPr>
              <w:t>年</w:t>
            </w:r>
            <w:r w:rsidRPr="00DF5C23">
              <w:rPr>
                <w:rFonts w:eastAsia="Calibri"/>
                <w:noProof/>
                <w:sz w:val="22"/>
              </w:rPr>
              <w:br/>
            </w:r>
            <w:r w:rsidRPr="00DF5C23">
              <w:rPr>
                <w:rFonts w:eastAsia="Calibri"/>
                <w:b/>
                <w:noProof/>
                <w:sz w:val="20"/>
              </w:rPr>
              <w:t>2026</w:t>
            </w:r>
          </w:p>
        </w:tc>
        <w:tc>
          <w:tcPr>
            <w:tcW w:w="867" w:type="dxa"/>
            <w:gridSpan w:val="2"/>
            <w:vAlign w:val="center"/>
          </w:tcPr>
          <w:p w14:paraId="0FC2A390" w14:textId="77777777" w:rsidR="0038775E" w:rsidRDefault="00877B9C" w:rsidP="002041D4">
            <w:pPr>
              <w:wordWrap w:val="0"/>
              <w:jc w:val="center"/>
              <w:rPr>
                <w:rFonts w:eastAsia="Calibri"/>
                <w:b/>
                <w:noProof/>
                <w:sz w:val="18"/>
              </w:rPr>
            </w:pPr>
            <w:r w:rsidRPr="00DF5C23">
              <w:rPr>
                <w:rFonts w:eastAsia="Calibri"/>
                <w:noProof/>
                <w:sz w:val="20"/>
              </w:rPr>
              <w:t>年</w:t>
            </w:r>
            <w:r w:rsidRPr="00DF5C23">
              <w:rPr>
                <w:rFonts w:eastAsia="Calibri"/>
                <w:noProof/>
                <w:sz w:val="22"/>
              </w:rPr>
              <w:br/>
            </w:r>
            <w:r w:rsidRPr="00DF5C23">
              <w:rPr>
                <w:rFonts w:eastAsia="Calibri"/>
                <w:b/>
                <w:noProof/>
                <w:sz w:val="20"/>
              </w:rPr>
              <w:t xml:space="preserve">2027 </w:t>
            </w:r>
          </w:p>
        </w:tc>
        <w:tc>
          <w:tcPr>
            <w:tcW w:w="837" w:type="dxa"/>
            <w:gridSpan w:val="2"/>
          </w:tcPr>
          <w:p w14:paraId="39097892" w14:textId="77777777" w:rsidR="0038775E" w:rsidRDefault="00877B9C" w:rsidP="002041D4">
            <w:pPr>
              <w:wordWrap w:val="0"/>
              <w:jc w:val="center"/>
              <w:rPr>
                <w:rFonts w:eastAsia="Calibri"/>
                <w:noProof/>
                <w:sz w:val="20"/>
                <w:szCs w:val="20"/>
              </w:rPr>
            </w:pPr>
            <w:r w:rsidRPr="00DF5C23">
              <w:rPr>
                <w:rFonts w:eastAsia="Calibri"/>
                <w:noProof/>
                <w:sz w:val="20"/>
                <w:szCs w:val="20"/>
              </w:rPr>
              <w:t>ポスト</w:t>
            </w:r>
            <w:r w:rsidR="00A1044C" w:rsidRPr="00DF5C23">
              <w:rPr>
                <w:rFonts w:eastAsia="Calibri"/>
                <w:noProof/>
                <w:sz w:val="20"/>
                <w:szCs w:val="20"/>
              </w:rPr>
              <w:t>2027</w:t>
            </w:r>
          </w:p>
        </w:tc>
        <w:tc>
          <w:tcPr>
            <w:tcW w:w="1916" w:type="dxa"/>
            <w:gridSpan w:val="2"/>
            <w:vAlign w:val="center"/>
          </w:tcPr>
          <w:p w14:paraId="3B6347CA" w14:textId="77777777" w:rsidR="0038775E" w:rsidRDefault="00877B9C" w:rsidP="002041D4">
            <w:pPr>
              <w:wordWrap w:val="0"/>
              <w:jc w:val="center"/>
              <w:rPr>
                <w:rFonts w:eastAsia="Calibri"/>
                <w:b/>
                <w:noProof/>
                <w:sz w:val="20"/>
              </w:rPr>
            </w:pPr>
            <w:r w:rsidRPr="00DF5C23">
              <w:rPr>
                <w:rFonts w:eastAsia="Calibri"/>
                <w:b/>
                <w:noProof/>
                <w:sz w:val="20"/>
              </w:rPr>
              <w:t>TOTAL</w:t>
            </w:r>
          </w:p>
        </w:tc>
      </w:tr>
      <w:tr w:rsidR="00BF1765" w:rsidRPr="00DF5C23" w14:paraId="2C3A5AB6" w14:textId="77777777" w:rsidTr="009E22E2">
        <w:trPr>
          <w:trHeight w:val="213"/>
        </w:trPr>
        <w:tc>
          <w:tcPr>
            <w:tcW w:w="5937" w:type="dxa"/>
            <w:gridSpan w:val="6"/>
            <w:vAlign w:val="center"/>
          </w:tcPr>
          <w:p w14:paraId="6AC5E68C" w14:textId="77777777" w:rsidR="0038775E" w:rsidRDefault="00877B9C" w:rsidP="002041D4">
            <w:pPr>
              <w:wordWrap w:val="0"/>
              <w:spacing w:before="20" w:after="20"/>
              <w:rPr>
                <w:rFonts w:eastAsia="Calibri"/>
                <w:noProof/>
                <w:sz w:val="21"/>
              </w:rPr>
            </w:pPr>
            <w:r w:rsidRPr="00DF5C23">
              <w:rPr>
                <w:rFonts w:eastAsia="Calibri"/>
                <w:noProof/>
                <w:sz w:val="21"/>
              </w:rPr>
              <w:sym w:font="Wingdings" w:char="F09F"/>
            </w:r>
            <w:r w:rsidRPr="00DF5C23">
              <w:rPr>
                <w:rFonts w:eastAsia="Calibri"/>
                <w:noProof/>
                <w:sz w:val="21"/>
              </w:rPr>
              <w:t xml:space="preserve"> </w:t>
            </w:r>
            <w:r w:rsidRPr="00DF5C23">
              <w:rPr>
                <w:rFonts w:eastAsia="Calibri"/>
                <w:noProof/>
                <w:sz w:val="21"/>
              </w:rPr>
              <w:t>運営費交付金</w:t>
            </w:r>
            <w:r w:rsidRPr="00DF5C23">
              <w:rPr>
                <w:rFonts w:eastAsia="Calibri"/>
                <w:noProof/>
                <w:sz w:val="21"/>
              </w:rPr>
              <w:t xml:space="preserve"> </w:t>
            </w:r>
          </w:p>
        </w:tc>
        <w:tc>
          <w:tcPr>
            <w:tcW w:w="854" w:type="dxa"/>
            <w:gridSpan w:val="2"/>
            <w:vAlign w:val="center"/>
          </w:tcPr>
          <w:p w14:paraId="2C3A5AAE" w14:textId="77777777" w:rsidR="00BF1765" w:rsidRPr="00DF5C23" w:rsidRDefault="00BF1765" w:rsidP="002041D4">
            <w:pPr>
              <w:wordWrap w:val="0"/>
              <w:rPr>
                <w:rFonts w:eastAsia="Calibri"/>
                <w:noProof/>
                <w:sz w:val="20"/>
              </w:rPr>
            </w:pPr>
          </w:p>
        </w:tc>
        <w:tc>
          <w:tcPr>
            <w:tcW w:w="854" w:type="dxa"/>
            <w:gridSpan w:val="2"/>
            <w:vAlign w:val="center"/>
          </w:tcPr>
          <w:p w14:paraId="2C3A5AAF" w14:textId="77777777" w:rsidR="00BF1765" w:rsidRPr="00DF5C23" w:rsidRDefault="00BF1765" w:rsidP="002041D4">
            <w:pPr>
              <w:wordWrap w:val="0"/>
              <w:rPr>
                <w:rFonts w:eastAsia="Calibri"/>
                <w:noProof/>
                <w:sz w:val="20"/>
              </w:rPr>
            </w:pPr>
          </w:p>
        </w:tc>
        <w:tc>
          <w:tcPr>
            <w:tcW w:w="854" w:type="dxa"/>
            <w:gridSpan w:val="2"/>
            <w:vAlign w:val="center"/>
          </w:tcPr>
          <w:p w14:paraId="2C3A5AB0" w14:textId="77777777" w:rsidR="00BF1765" w:rsidRPr="00DF5C23" w:rsidRDefault="00BF1765" w:rsidP="002041D4">
            <w:pPr>
              <w:wordWrap w:val="0"/>
              <w:rPr>
                <w:rFonts w:eastAsia="Calibri"/>
                <w:noProof/>
                <w:sz w:val="20"/>
              </w:rPr>
            </w:pPr>
          </w:p>
        </w:tc>
        <w:tc>
          <w:tcPr>
            <w:tcW w:w="854" w:type="dxa"/>
            <w:gridSpan w:val="2"/>
            <w:vAlign w:val="center"/>
          </w:tcPr>
          <w:p w14:paraId="2C3A5AB1" w14:textId="77777777" w:rsidR="00BF1765" w:rsidRPr="00DF5C23" w:rsidRDefault="00BF1765" w:rsidP="002041D4">
            <w:pPr>
              <w:wordWrap w:val="0"/>
              <w:rPr>
                <w:rFonts w:eastAsia="Calibri"/>
                <w:noProof/>
                <w:sz w:val="20"/>
              </w:rPr>
            </w:pPr>
          </w:p>
        </w:tc>
        <w:tc>
          <w:tcPr>
            <w:tcW w:w="854" w:type="dxa"/>
            <w:gridSpan w:val="2"/>
            <w:vAlign w:val="center"/>
          </w:tcPr>
          <w:p w14:paraId="2C3A5AB2" w14:textId="77777777" w:rsidR="00BF1765" w:rsidRPr="00DF5C23" w:rsidRDefault="00BF1765" w:rsidP="002041D4">
            <w:pPr>
              <w:wordWrap w:val="0"/>
              <w:rPr>
                <w:rFonts w:eastAsia="Calibri"/>
                <w:noProof/>
                <w:sz w:val="20"/>
              </w:rPr>
            </w:pPr>
          </w:p>
        </w:tc>
        <w:tc>
          <w:tcPr>
            <w:tcW w:w="867" w:type="dxa"/>
            <w:gridSpan w:val="2"/>
            <w:vAlign w:val="center"/>
          </w:tcPr>
          <w:p w14:paraId="2C3A5AB3" w14:textId="77777777" w:rsidR="00BF1765" w:rsidRPr="00DF5C23" w:rsidRDefault="00BF1765" w:rsidP="002041D4">
            <w:pPr>
              <w:wordWrap w:val="0"/>
              <w:rPr>
                <w:rFonts w:eastAsia="Calibri"/>
                <w:noProof/>
                <w:sz w:val="20"/>
              </w:rPr>
            </w:pPr>
          </w:p>
        </w:tc>
        <w:tc>
          <w:tcPr>
            <w:tcW w:w="837" w:type="dxa"/>
            <w:gridSpan w:val="2"/>
          </w:tcPr>
          <w:p w14:paraId="2C3A5AB4" w14:textId="77777777" w:rsidR="00144505" w:rsidRPr="00DF5C23" w:rsidRDefault="00144505" w:rsidP="002041D4">
            <w:pPr>
              <w:wordWrap w:val="0"/>
              <w:rPr>
                <w:rFonts w:eastAsia="Calibri"/>
                <w:b/>
                <w:noProof/>
                <w:sz w:val="20"/>
              </w:rPr>
            </w:pPr>
          </w:p>
        </w:tc>
        <w:tc>
          <w:tcPr>
            <w:tcW w:w="1916" w:type="dxa"/>
            <w:gridSpan w:val="2"/>
            <w:vAlign w:val="center"/>
          </w:tcPr>
          <w:p w14:paraId="2C3A5AB5" w14:textId="77777777" w:rsidR="00BF1765" w:rsidRPr="00DF5C23" w:rsidRDefault="00BF1765" w:rsidP="002041D4">
            <w:pPr>
              <w:wordWrap w:val="0"/>
              <w:rPr>
                <w:rFonts w:eastAsia="Calibri"/>
                <w:b/>
                <w:noProof/>
                <w:sz w:val="20"/>
              </w:rPr>
            </w:pPr>
          </w:p>
        </w:tc>
      </w:tr>
      <w:tr w:rsidR="005C61BF" w:rsidRPr="00DF5C23" w14:paraId="2C3A5AC2" w14:textId="77777777" w:rsidTr="00EC0E40">
        <w:trPr>
          <w:trHeight w:val="277"/>
        </w:trPr>
        <w:tc>
          <w:tcPr>
            <w:tcW w:w="3960" w:type="dxa"/>
            <w:gridSpan w:val="2"/>
            <w:vMerge w:val="restart"/>
            <w:vAlign w:val="center"/>
          </w:tcPr>
          <w:p w14:paraId="452A84B7" w14:textId="77777777" w:rsidR="0038775E" w:rsidRDefault="00877B9C" w:rsidP="002041D4">
            <w:pPr>
              <w:wordWrap w:val="0"/>
              <w:rPr>
                <w:rFonts w:eastAsia="Calibri"/>
                <w:noProof/>
                <w:lang w:eastAsia="ja-JP"/>
              </w:rPr>
            </w:pPr>
            <w:r w:rsidRPr="00DF5C23">
              <w:rPr>
                <w:rFonts w:eastAsia="Calibri"/>
                <w:noProof/>
                <w:sz w:val="20"/>
                <w:szCs w:val="20"/>
                <w:lang w:eastAsia="ja-JP"/>
              </w:rPr>
              <w:t>予算ライン</w:t>
            </w:r>
            <w:r w:rsidR="008B78E1" w:rsidRPr="00DF5C23">
              <w:rPr>
                <w:rStyle w:val="afa"/>
                <w:rFonts w:eastAsia="Calibri"/>
                <w:noProof/>
                <w:sz w:val="20"/>
                <w:szCs w:val="20"/>
              </w:rPr>
              <w:footnoteReference w:id="93"/>
            </w:r>
            <w:r w:rsidRPr="00DF5C23">
              <w:rPr>
                <w:rFonts w:eastAsia="Calibri"/>
                <w:noProof/>
                <w:sz w:val="20"/>
                <w:szCs w:val="20"/>
                <w:lang w:eastAsia="ja-JP"/>
              </w:rPr>
              <w:t xml:space="preserve"> 03.02.01.01 - </w:t>
            </w:r>
            <w:r w:rsidRPr="00DF5C23">
              <w:rPr>
                <w:rFonts w:eastAsia="Calibri"/>
                <w:noProof/>
                <w:sz w:val="20"/>
                <w:szCs w:val="20"/>
                <w:lang w:eastAsia="ja-JP"/>
              </w:rPr>
              <w:t>商品とサービスの国内市場の運営と発展</w:t>
            </w:r>
          </w:p>
        </w:tc>
        <w:tc>
          <w:tcPr>
            <w:tcW w:w="1440" w:type="dxa"/>
            <w:gridSpan w:val="2"/>
            <w:vAlign w:val="center"/>
          </w:tcPr>
          <w:p w14:paraId="2269DCA7" w14:textId="77777777" w:rsidR="0038775E" w:rsidRDefault="00877B9C" w:rsidP="002041D4">
            <w:pPr>
              <w:wordWrap w:val="0"/>
              <w:spacing w:before="20" w:after="20"/>
              <w:rPr>
                <w:rFonts w:eastAsia="Calibri"/>
                <w:noProof/>
                <w:sz w:val="18"/>
              </w:rPr>
            </w:pPr>
            <w:r w:rsidRPr="00DF5C23">
              <w:rPr>
                <w:rFonts w:eastAsia="Calibri"/>
                <w:noProof/>
                <w:sz w:val="18"/>
              </w:rPr>
              <w:t>コミットメント</w:t>
            </w:r>
          </w:p>
        </w:tc>
        <w:tc>
          <w:tcPr>
            <w:tcW w:w="654" w:type="dxa"/>
            <w:gridSpan w:val="3"/>
            <w:vAlign w:val="center"/>
          </w:tcPr>
          <w:p w14:paraId="5242A70B" w14:textId="77777777" w:rsidR="0038775E" w:rsidRDefault="00877B9C" w:rsidP="002041D4">
            <w:pPr>
              <w:wordWrap w:val="0"/>
              <w:spacing w:before="20" w:after="20"/>
              <w:jc w:val="center"/>
              <w:rPr>
                <w:rFonts w:eastAsia="Calibri"/>
                <w:noProof/>
                <w:sz w:val="14"/>
              </w:rPr>
            </w:pPr>
            <w:r w:rsidRPr="00DF5C23">
              <w:rPr>
                <w:rFonts w:eastAsia="Calibri"/>
                <w:noProof/>
                <w:sz w:val="14"/>
              </w:rPr>
              <w:t>(1a)</w:t>
            </w:r>
          </w:p>
        </w:tc>
        <w:tc>
          <w:tcPr>
            <w:tcW w:w="868" w:type="dxa"/>
            <w:gridSpan w:val="2"/>
            <w:vAlign w:val="center"/>
          </w:tcPr>
          <w:p w14:paraId="620F298F" w14:textId="77777777" w:rsidR="0038775E" w:rsidRDefault="00877B9C" w:rsidP="002041D4">
            <w:pPr>
              <w:wordWrap w:val="0"/>
              <w:spacing w:before="20" w:after="20"/>
              <w:jc w:val="right"/>
              <w:rPr>
                <w:rFonts w:eastAsia="Calibri"/>
                <w:noProof/>
                <w:sz w:val="20"/>
              </w:rPr>
            </w:pPr>
            <w:r w:rsidRPr="00DF5C23">
              <w:rPr>
                <w:rFonts w:ascii="Arial Narrow" w:hAnsi="Arial Narrow" w:cs="Calibri"/>
                <w:noProof/>
                <w:color w:val="000000"/>
                <w:sz w:val="20"/>
                <w:szCs w:val="20"/>
              </w:rPr>
              <w:t>3,402</w:t>
            </w:r>
          </w:p>
        </w:tc>
        <w:tc>
          <w:tcPr>
            <w:tcW w:w="868" w:type="dxa"/>
            <w:gridSpan w:val="2"/>
            <w:vAlign w:val="center"/>
          </w:tcPr>
          <w:p w14:paraId="7ABA479C" w14:textId="77777777" w:rsidR="0038775E" w:rsidRDefault="00877B9C" w:rsidP="002041D4">
            <w:pPr>
              <w:wordWrap w:val="0"/>
              <w:spacing w:before="20" w:after="20"/>
              <w:jc w:val="right"/>
              <w:rPr>
                <w:rFonts w:eastAsia="Calibri"/>
                <w:noProof/>
                <w:sz w:val="20"/>
              </w:rPr>
            </w:pPr>
            <w:r w:rsidRPr="00DF5C23">
              <w:rPr>
                <w:rFonts w:ascii="Arial Narrow" w:hAnsi="Arial Narrow" w:cs="Calibri"/>
                <w:noProof/>
                <w:color w:val="000000"/>
                <w:sz w:val="20"/>
                <w:szCs w:val="20"/>
              </w:rPr>
              <w:t>4,056</w:t>
            </w:r>
          </w:p>
        </w:tc>
        <w:tc>
          <w:tcPr>
            <w:tcW w:w="868" w:type="dxa"/>
            <w:gridSpan w:val="2"/>
            <w:vAlign w:val="center"/>
          </w:tcPr>
          <w:p w14:paraId="575A24C1" w14:textId="77777777" w:rsidR="0038775E" w:rsidRDefault="00877B9C" w:rsidP="002041D4">
            <w:pPr>
              <w:wordWrap w:val="0"/>
              <w:spacing w:before="20" w:after="20"/>
              <w:jc w:val="right"/>
              <w:rPr>
                <w:rFonts w:eastAsia="Calibri"/>
                <w:noProof/>
                <w:sz w:val="20"/>
              </w:rPr>
            </w:pPr>
            <w:r w:rsidRPr="00DF5C23">
              <w:rPr>
                <w:rFonts w:ascii="Arial Narrow" w:hAnsi="Arial Narrow" w:cs="Calibri"/>
                <w:noProof/>
                <w:color w:val="000000"/>
                <w:sz w:val="20"/>
                <w:szCs w:val="20"/>
              </w:rPr>
              <w:t>3,770</w:t>
            </w:r>
          </w:p>
        </w:tc>
        <w:tc>
          <w:tcPr>
            <w:tcW w:w="868" w:type="dxa"/>
            <w:gridSpan w:val="2"/>
            <w:vAlign w:val="center"/>
          </w:tcPr>
          <w:p w14:paraId="3840EE55" w14:textId="77777777" w:rsidR="0038775E" w:rsidRDefault="00877B9C" w:rsidP="002041D4">
            <w:pPr>
              <w:wordWrap w:val="0"/>
              <w:spacing w:before="20" w:after="20"/>
              <w:jc w:val="right"/>
              <w:rPr>
                <w:rFonts w:eastAsia="Calibri"/>
                <w:noProof/>
                <w:sz w:val="20"/>
              </w:rPr>
            </w:pPr>
            <w:r w:rsidRPr="00DF5C23">
              <w:rPr>
                <w:rFonts w:ascii="Arial Narrow" w:hAnsi="Arial Narrow" w:cs="Calibri"/>
                <w:noProof/>
                <w:color w:val="000000"/>
                <w:sz w:val="20"/>
                <w:szCs w:val="20"/>
              </w:rPr>
              <w:t>3,370</w:t>
            </w:r>
          </w:p>
        </w:tc>
        <w:tc>
          <w:tcPr>
            <w:tcW w:w="868" w:type="dxa"/>
            <w:gridSpan w:val="2"/>
            <w:vAlign w:val="center"/>
          </w:tcPr>
          <w:p w14:paraId="2E041423" w14:textId="77777777" w:rsidR="0038775E" w:rsidRDefault="00877B9C" w:rsidP="002041D4">
            <w:pPr>
              <w:wordWrap w:val="0"/>
              <w:spacing w:before="20" w:after="20"/>
              <w:jc w:val="right"/>
              <w:rPr>
                <w:rFonts w:eastAsia="Calibri"/>
                <w:noProof/>
                <w:sz w:val="20"/>
              </w:rPr>
            </w:pPr>
            <w:r w:rsidRPr="00DF5C23">
              <w:rPr>
                <w:rFonts w:ascii="Arial Narrow" w:hAnsi="Arial Narrow" w:cs="Calibri"/>
                <w:noProof/>
                <w:color w:val="000000"/>
                <w:sz w:val="20"/>
                <w:szCs w:val="20"/>
              </w:rPr>
              <w:t>4,370</w:t>
            </w:r>
          </w:p>
        </w:tc>
        <w:tc>
          <w:tcPr>
            <w:tcW w:w="881" w:type="dxa"/>
            <w:gridSpan w:val="2"/>
            <w:vAlign w:val="center"/>
          </w:tcPr>
          <w:p w14:paraId="6D8553B6" w14:textId="77777777" w:rsidR="0038775E" w:rsidRDefault="00877B9C" w:rsidP="002041D4">
            <w:pPr>
              <w:wordWrap w:val="0"/>
              <w:spacing w:before="20" w:after="20"/>
              <w:jc w:val="right"/>
              <w:rPr>
                <w:rFonts w:eastAsia="Calibri"/>
                <w:noProof/>
                <w:sz w:val="20"/>
              </w:rPr>
            </w:pPr>
            <w:r w:rsidRPr="00DF5C23">
              <w:rPr>
                <w:rFonts w:ascii="Arial Narrow" w:hAnsi="Arial Narrow" w:cs="Calibri"/>
                <w:noProof/>
                <w:color w:val="000000"/>
                <w:sz w:val="20"/>
                <w:szCs w:val="20"/>
              </w:rPr>
              <w:t>4,370</w:t>
            </w:r>
          </w:p>
        </w:tc>
        <w:tc>
          <w:tcPr>
            <w:tcW w:w="851" w:type="dxa"/>
            <w:gridSpan w:val="2"/>
          </w:tcPr>
          <w:p w14:paraId="2C3A5AC0" w14:textId="77777777" w:rsidR="00144505" w:rsidRPr="00DF5C23" w:rsidRDefault="00144505" w:rsidP="002041D4">
            <w:pPr>
              <w:wordWrap w:val="0"/>
              <w:spacing w:before="0" w:after="0"/>
              <w:jc w:val="right"/>
              <w:rPr>
                <w:rFonts w:ascii="Arial Narrow" w:hAnsi="Arial Narrow" w:cs="Calibri"/>
                <w:noProof/>
                <w:color w:val="000000"/>
                <w:sz w:val="20"/>
                <w:szCs w:val="20"/>
              </w:rPr>
            </w:pPr>
          </w:p>
        </w:tc>
        <w:tc>
          <w:tcPr>
            <w:tcW w:w="1701" w:type="dxa"/>
            <w:vAlign w:val="center"/>
          </w:tcPr>
          <w:p w14:paraId="2EE95485" w14:textId="77777777" w:rsidR="0038775E" w:rsidRDefault="00877B9C" w:rsidP="002041D4">
            <w:pPr>
              <w:wordWrap w:val="0"/>
              <w:spacing w:before="0" w:after="0"/>
              <w:jc w:val="right"/>
              <w:rPr>
                <w:rFonts w:ascii="Arial Narrow" w:eastAsia="Calibri" w:hAnsi="Arial Narrow" w:cs="Calibri"/>
                <w:noProof/>
                <w:color w:val="000000"/>
                <w:sz w:val="20"/>
                <w:szCs w:val="20"/>
              </w:rPr>
            </w:pPr>
            <w:r w:rsidRPr="00DF5C23">
              <w:rPr>
                <w:rFonts w:ascii="Arial Narrow" w:hAnsi="Arial Narrow" w:cs="Calibri"/>
                <w:noProof/>
                <w:color w:val="000000"/>
                <w:sz w:val="20"/>
                <w:szCs w:val="20"/>
              </w:rPr>
              <w:t>23,338</w:t>
            </w:r>
          </w:p>
        </w:tc>
      </w:tr>
      <w:tr w:rsidR="005C61BF" w:rsidRPr="00DF5C23" w14:paraId="2C3A5ACE" w14:textId="77777777" w:rsidTr="00EC0E40">
        <w:tc>
          <w:tcPr>
            <w:tcW w:w="3960" w:type="dxa"/>
            <w:gridSpan w:val="2"/>
            <w:vMerge/>
          </w:tcPr>
          <w:p w14:paraId="2C3A5AC3" w14:textId="77777777" w:rsidR="005C61BF" w:rsidRPr="00DF5C23" w:rsidRDefault="005C61BF" w:rsidP="002041D4">
            <w:pPr>
              <w:wordWrap w:val="0"/>
              <w:jc w:val="center"/>
              <w:rPr>
                <w:rFonts w:eastAsia="Calibri"/>
                <w:noProof/>
                <w:sz w:val="20"/>
              </w:rPr>
            </w:pPr>
          </w:p>
        </w:tc>
        <w:tc>
          <w:tcPr>
            <w:tcW w:w="1440" w:type="dxa"/>
            <w:gridSpan w:val="2"/>
            <w:vAlign w:val="center"/>
          </w:tcPr>
          <w:p w14:paraId="485C3F45" w14:textId="77777777" w:rsidR="0038775E" w:rsidRDefault="00877B9C" w:rsidP="002041D4">
            <w:pPr>
              <w:wordWrap w:val="0"/>
              <w:spacing w:before="20" w:after="20"/>
              <w:rPr>
                <w:rFonts w:eastAsia="Calibri"/>
                <w:noProof/>
                <w:sz w:val="18"/>
              </w:rPr>
            </w:pPr>
            <w:r w:rsidRPr="00DF5C23">
              <w:rPr>
                <w:rFonts w:eastAsia="Calibri"/>
                <w:noProof/>
                <w:sz w:val="18"/>
              </w:rPr>
              <w:t>ペイメント</w:t>
            </w:r>
          </w:p>
        </w:tc>
        <w:tc>
          <w:tcPr>
            <w:tcW w:w="654" w:type="dxa"/>
            <w:gridSpan w:val="3"/>
            <w:vAlign w:val="center"/>
          </w:tcPr>
          <w:p w14:paraId="15F40273" w14:textId="77777777" w:rsidR="0038775E" w:rsidRDefault="00877B9C" w:rsidP="002041D4">
            <w:pPr>
              <w:wordWrap w:val="0"/>
              <w:spacing w:before="20" w:after="20"/>
              <w:jc w:val="center"/>
              <w:rPr>
                <w:rFonts w:eastAsia="Calibri"/>
                <w:noProof/>
                <w:sz w:val="14"/>
              </w:rPr>
            </w:pPr>
            <w:r w:rsidRPr="00DF5C23">
              <w:rPr>
                <w:rFonts w:eastAsia="Calibri"/>
                <w:noProof/>
                <w:sz w:val="14"/>
              </w:rPr>
              <w:t>(2a)</w:t>
            </w:r>
          </w:p>
        </w:tc>
        <w:tc>
          <w:tcPr>
            <w:tcW w:w="868" w:type="dxa"/>
            <w:gridSpan w:val="2"/>
            <w:vAlign w:val="center"/>
          </w:tcPr>
          <w:p w14:paraId="4D0EBB16" w14:textId="77777777" w:rsidR="0038775E" w:rsidRDefault="00877B9C" w:rsidP="002041D4">
            <w:pPr>
              <w:wordWrap w:val="0"/>
              <w:spacing w:before="20" w:after="20"/>
              <w:jc w:val="right"/>
              <w:rPr>
                <w:rFonts w:eastAsia="Calibri"/>
                <w:noProof/>
                <w:sz w:val="20"/>
              </w:rPr>
            </w:pPr>
            <w:r w:rsidRPr="00DF5C23">
              <w:rPr>
                <w:rFonts w:ascii="Arial Narrow" w:hAnsi="Arial Narrow" w:cs="Calibri"/>
                <w:noProof/>
                <w:color w:val="000000"/>
                <w:sz w:val="20"/>
                <w:szCs w:val="20"/>
              </w:rPr>
              <w:t>1,021</w:t>
            </w:r>
          </w:p>
        </w:tc>
        <w:tc>
          <w:tcPr>
            <w:tcW w:w="868" w:type="dxa"/>
            <w:gridSpan w:val="2"/>
            <w:vAlign w:val="center"/>
          </w:tcPr>
          <w:p w14:paraId="492C1581" w14:textId="77777777" w:rsidR="0038775E" w:rsidRDefault="00877B9C" w:rsidP="002041D4">
            <w:pPr>
              <w:wordWrap w:val="0"/>
              <w:spacing w:before="20" w:after="20"/>
              <w:jc w:val="right"/>
              <w:rPr>
                <w:rFonts w:eastAsia="Calibri"/>
                <w:noProof/>
                <w:sz w:val="20"/>
              </w:rPr>
            </w:pPr>
            <w:r w:rsidRPr="00DF5C23">
              <w:rPr>
                <w:rFonts w:ascii="Arial Narrow" w:hAnsi="Arial Narrow" w:cs="Calibri"/>
                <w:noProof/>
                <w:color w:val="000000"/>
                <w:sz w:val="20"/>
                <w:szCs w:val="20"/>
              </w:rPr>
              <w:t>2,237</w:t>
            </w:r>
          </w:p>
        </w:tc>
        <w:tc>
          <w:tcPr>
            <w:tcW w:w="868" w:type="dxa"/>
            <w:gridSpan w:val="2"/>
            <w:vAlign w:val="center"/>
          </w:tcPr>
          <w:p w14:paraId="3B41DFE3" w14:textId="77777777" w:rsidR="0038775E" w:rsidRDefault="00877B9C" w:rsidP="002041D4">
            <w:pPr>
              <w:wordWrap w:val="0"/>
              <w:spacing w:before="20" w:after="20"/>
              <w:jc w:val="right"/>
              <w:rPr>
                <w:rFonts w:eastAsia="Calibri"/>
                <w:noProof/>
                <w:sz w:val="20"/>
              </w:rPr>
            </w:pPr>
            <w:r w:rsidRPr="00DF5C23">
              <w:rPr>
                <w:rFonts w:ascii="Arial Narrow" w:hAnsi="Arial Narrow" w:cs="Calibri"/>
                <w:noProof/>
                <w:color w:val="000000"/>
                <w:sz w:val="20"/>
                <w:szCs w:val="20"/>
              </w:rPr>
              <w:t>3,709</w:t>
            </w:r>
          </w:p>
        </w:tc>
        <w:tc>
          <w:tcPr>
            <w:tcW w:w="868" w:type="dxa"/>
            <w:gridSpan w:val="2"/>
            <w:vAlign w:val="center"/>
          </w:tcPr>
          <w:p w14:paraId="6936E220" w14:textId="77777777" w:rsidR="0038775E" w:rsidRDefault="00877B9C" w:rsidP="002041D4">
            <w:pPr>
              <w:wordWrap w:val="0"/>
              <w:spacing w:before="20" w:after="20"/>
              <w:jc w:val="right"/>
              <w:rPr>
                <w:rFonts w:eastAsia="Calibri"/>
                <w:noProof/>
                <w:sz w:val="20"/>
              </w:rPr>
            </w:pPr>
            <w:r w:rsidRPr="00DF5C23">
              <w:rPr>
                <w:rFonts w:ascii="Arial Narrow" w:hAnsi="Arial Narrow" w:cs="Calibri"/>
                <w:noProof/>
                <w:color w:val="000000"/>
                <w:sz w:val="20"/>
                <w:szCs w:val="20"/>
              </w:rPr>
              <w:t>3,764</w:t>
            </w:r>
          </w:p>
        </w:tc>
        <w:tc>
          <w:tcPr>
            <w:tcW w:w="868" w:type="dxa"/>
            <w:gridSpan w:val="2"/>
            <w:vAlign w:val="center"/>
          </w:tcPr>
          <w:p w14:paraId="798DDD95" w14:textId="77777777" w:rsidR="0038775E" w:rsidRDefault="00877B9C" w:rsidP="002041D4">
            <w:pPr>
              <w:wordWrap w:val="0"/>
              <w:spacing w:before="20" w:after="20"/>
              <w:jc w:val="right"/>
              <w:rPr>
                <w:rFonts w:eastAsia="Calibri"/>
                <w:noProof/>
                <w:sz w:val="20"/>
              </w:rPr>
            </w:pPr>
            <w:r w:rsidRPr="00DF5C23">
              <w:rPr>
                <w:rFonts w:ascii="Arial Narrow" w:hAnsi="Arial Narrow" w:cs="Calibri"/>
                <w:noProof/>
                <w:color w:val="000000"/>
                <w:sz w:val="20"/>
                <w:szCs w:val="20"/>
              </w:rPr>
              <w:t>3,830</w:t>
            </w:r>
          </w:p>
        </w:tc>
        <w:tc>
          <w:tcPr>
            <w:tcW w:w="881" w:type="dxa"/>
            <w:gridSpan w:val="2"/>
            <w:vAlign w:val="center"/>
          </w:tcPr>
          <w:p w14:paraId="527A95EA" w14:textId="77777777" w:rsidR="0038775E" w:rsidRDefault="00877B9C" w:rsidP="002041D4">
            <w:pPr>
              <w:wordWrap w:val="0"/>
              <w:spacing w:before="20" w:after="20"/>
              <w:jc w:val="right"/>
              <w:rPr>
                <w:rFonts w:eastAsia="Calibri"/>
                <w:noProof/>
                <w:sz w:val="20"/>
              </w:rPr>
            </w:pPr>
            <w:r w:rsidRPr="00DF5C23">
              <w:rPr>
                <w:rFonts w:ascii="Arial Narrow" w:hAnsi="Arial Narrow" w:cs="Calibri"/>
                <w:noProof/>
                <w:color w:val="000000"/>
                <w:sz w:val="20"/>
                <w:szCs w:val="20"/>
              </w:rPr>
              <w:t>3,970</w:t>
            </w:r>
          </w:p>
        </w:tc>
        <w:tc>
          <w:tcPr>
            <w:tcW w:w="851" w:type="dxa"/>
            <w:gridSpan w:val="2"/>
            <w:vAlign w:val="center"/>
          </w:tcPr>
          <w:p w14:paraId="43D6045B" w14:textId="77777777" w:rsidR="0038775E" w:rsidRDefault="00877B9C" w:rsidP="002041D4">
            <w:pPr>
              <w:wordWrap w:val="0"/>
              <w:spacing w:before="20" w:after="20"/>
              <w:jc w:val="right"/>
              <w:rPr>
                <w:rFonts w:ascii="Arial Narrow" w:hAnsi="Arial Narrow" w:cs="Calibri"/>
                <w:noProof/>
                <w:color w:val="000000"/>
                <w:sz w:val="20"/>
                <w:szCs w:val="20"/>
              </w:rPr>
            </w:pPr>
            <w:r w:rsidRPr="00DF5C23">
              <w:rPr>
                <w:rFonts w:ascii="Arial Narrow" w:hAnsi="Arial Narrow" w:cs="Calibri"/>
                <w:noProof/>
                <w:color w:val="000000"/>
                <w:sz w:val="20"/>
                <w:szCs w:val="20"/>
              </w:rPr>
              <w:t>4,807</w:t>
            </w:r>
          </w:p>
        </w:tc>
        <w:tc>
          <w:tcPr>
            <w:tcW w:w="1701" w:type="dxa"/>
            <w:vAlign w:val="center"/>
          </w:tcPr>
          <w:p w14:paraId="0471E271" w14:textId="77777777" w:rsidR="0038775E" w:rsidRDefault="00877B9C" w:rsidP="002041D4">
            <w:pPr>
              <w:wordWrap w:val="0"/>
              <w:spacing w:before="20" w:after="20"/>
              <w:jc w:val="right"/>
              <w:rPr>
                <w:rFonts w:eastAsia="Calibri"/>
                <w:b/>
                <w:noProof/>
                <w:sz w:val="20"/>
              </w:rPr>
            </w:pPr>
            <w:r w:rsidRPr="00DF5C23">
              <w:rPr>
                <w:rFonts w:ascii="Arial Narrow" w:hAnsi="Arial Narrow" w:cs="Calibri"/>
                <w:noProof/>
                <w:color w:val="000000"/>
                <w:sz w:val="20"/>
                <w:szCs w:val="20"/>
              </w:rPr>
              <w:t>23,338</w:t>
            </w:r>
          </w:p>
        </w:tc>
      </w:tr>
      <w:tr w:rsidR="005C61BF" w:rsidRPr="00DF5C23" w14:paraId="2C3A5ADA" w14:textId="77777777" w:rsidTr="00EC0E40">
        <w:tc>
          <w:tcPr>
            <w:tcW w:w="3960" w:type="dxa"/>
            <w:gridSpan w:val="2"/>
            <w:vMerge w:val="restart"/>
            <w:vAlign w:val="center"/>
          </w:tcPr>
          <w:p w14:paraId="2008B230" w14:textId="77777777" w:rsidR="0038775E" w:rsidRDefault="00877B9C" w:rsidP="002041D4">
            <w:pPr>
              <w:wordWrap w:val="0"/>
              <w:rPr>
                <w:rFonts w:eastAsia="Calibri"/>
                <w:noProof/>
              </w:rPr>
            </w:pPr>
            <w:r w:rsidRPr="00DF5C23">
              <w:rPr>
                <w:rFonts w:eastAsia="Calibri"/>
                <w:noProof/>
                <w:sz w:val="20"/>
              </w:rPr>
              <w:t>予算ライン</w:t>
            </w:r>
          </w:p>
        </w:tc>
        <w:tc>
          <w:tcPr>
            <w:tcW w:w="1440" w:type="dxa"/>
            <w:gridSpan w:val="2"/>
            <w:vAlign w:val="center"/>
          </w:tcPr>
          <w:p w14:paraId="08A8AA91" w14:textId="77777777" w:rsidR="0038775E" w:rsidRDefault="00877B9C" w:rsidP="002041D4">
            <w:pPr>
              <w:wordWrap w:val="0"/>
              <w:spacing w:before="20" w:after="20"/>
              <w:rPr>
                <w:rFonts w:eastAsia="Calibri"/>
                <w:noProof/>
                <w:sz w:val="18"/>
              </w:rPr>
            </w:pPr>
            <w:r w:rsidRPr="00DF5C23">
              <w:rPr>
                <w:rFonts w:eastAsia="Calibri"/>
                <w:noProof/>
                <w:sz w:val="18"/>
              </w:rPr>
              <w:t>コミットメント</w:t>
            </w:r>
          </w:p>
        </w:tc>
        <w:tc>
          <w:tcPr>
            <w:tcW w:w="654" w:type="dxa"/>
            <w:gridSpan w:val="3"/>
            <w:vAlign w:val="center"/>
          </w:tcPr>
          <w:p w14:paraId="49A428F5" w14:textId="77777777" w:rsidR="0038775E" w:rsidRDefault="00877B9C" w:rsidP="002041D4">
            <w:pPr>
              <w:wordWrap w:val="0"/>
              <w:spacing w:before="20" w:after="20"/>
              <w:jc w:val="center"/>
              <w:rPr>
                <w:rFonts w:eastAsia="Calibri"/>
                <w:noProof/>
                <w:sz w:val="14"/>
              </w:rPr>
            </w:pPr>
            <w:r w:rsidRPr="00DF5C23">
              <w:rPr>
                <w:rFonts w:eastAsia="Calibri"/>
                <w:noProof/>
                <w:sz w:val="14"/>
              </w:rPr>
              <w:t>(1b)</w:t>
            </w:r>
          </w:p>
        </w:tc>
        <w:tc>
          <w:tcPr>
            <w:tcW w:w="868" w:type="dxa"/>
            <w:gridSpan w:val="2"/>
            <w:vAlign w:val="center"/>
          </w:tcPr>
          <w:p w14:paraId="2C3A5AD2" w14:textId="77777777" w:rsidR="005C61BF" w:rsidRPr="00DF5C23" w:rsidRDefault="005C61BF" w:rsidP="002041D4">
            <w:pPr>
              <w:wordWrap w:val="0"/>
              <w:spacing w:before="20" w:after="20"/>
              <w:jc w:val="right"/>
              <w:rPr>
                <w:rFonts w:eastAsia="Calibri"/>
                <w:noProof/>
                <w:sz w:val="20"/>
              </w:rPr>
            </w:pPr>
          </w:p>
        </w:tc>
        <w:tc>
          <w:tcPr>
            <w:tcW w:w="868" w:type="dxa"/>
            <w:gridSpan w:val="2"/>
            <w:vAlign w:val="center"/>
          </w:tcPr>
          <w:p w14:paraId="2C3A5AD3" w14:textId="77777777" w:rsidR="005C61BF" w:rsidRPr="00DF5C23" w:rsidRDefault="005C61BF" w:rsidP="002041D4">
            <w:pPr>
              <w:wordWrap w:val="0"/>
              <w:spacing w:before="20" w:after="20"/>
              <w:jc w:val="right"/>
              <w:rPr>
                <w:rFonts w:eastAsia="Calibri"/>
                <w:noProof/>
                <w:sz w:val="20"/>
              </w:rPr>
            </w:pPr>
          </w:p>
        </w:tc>
        <w:tc>
          <w:tcPr>
            <w:tcW w:w="868" w:type="dxa"/>
            <w:gridSpan w:val="2"/>
            <w:vAlign w:val="center"/>
          </w:tcPr>
          <w:p w14:paraId="2C3A5AD4" w14:textId="77777777" w:rsidR="005C61BF" w:rsidRPr="00DF5C23" w:rsidRDefault="005C61BF" w:rsidP="002041D4">
            <w:pPr>
              <w:wordWrap w:val="0"/>
              <w:spacing w:before="20" w:after="20"/>
              <w:jc w:val="right"/>
              <w:rPr>
                <w:rFonts w:eastAsia="Calibri"/>
                <w:noProof/>
                <w:sz w:val="20"/>
              </w:rPr>
            </w:pPr>
          </w:p>
        </w:tc>
        <w:tc>
          <w:tcPr>
            <w:tcW w:w="868" w:type="dxa"/>
            <w:gridSpan w:val="2"/>
            <w:vAlign w:val="center"/>
          </w:tcPr>
          <w:p w14:paraId="2C3A5AD5" w14:textId="77777777" w:rsidR="005C61BF" w:rsidRPr="00DF5C23" w:rsidRDefault="005C61BF" w:rsidP="002041D4">
            <w:pPr>
              <w:wordWrap w:val="0"/>
              <w:spacing w:before="20" w:after="20"/>
              <w:jc w:val="right"/>
              <w:rPr>
                <w:rFonts w:eastAsia="Calibri"/>
                <w:noProof/>
                <w:sz w:val="20"/>
              </w:rPr>
            </w:pPr>
          </w:p>
        </w:tc>
        <w:tc>
          <w:tcPr>
            <w:tcW w:w="868" w:type="dxa"/>
            <w:gridSpan w:val="2"/>
            <w:vAlign w:val="center"/>
          </w:tcPr>
          <w:p w14:paraId="2C3A5AD6" w14:textId="77777777" w:rsidR="005C61BF" w:rsidRPr="00DF5C23" w:rsidRDefault="005C61BF" w:rsidP="002041D4">
            <w:pPr>
              <w:wordWrap w:val="0"/>
              <w:spacing w:before="20" w:after="20"/>
              <w:jc w:val="right"/>
              <w:rPr>
                <w:rFonts w:eastAsia="Calibri"/>
                <w:noProof/>
                <w:sz w:val="20"/>
              </w:rPr>
            </w:pPr>
          </w:p>
        </w:tc>
        <w:tc>
          <w:tcPr>
            <w:tcW w:w="881" w:type="dxa"/>
            <w:gridSpan w:val="2"/>
            <w:vAlign w:val="center"/>
          </w:tcPr>
          <w:p w14:paraId="2C3A5AD7" w14:textId="77777777" w:rsidR="005C61BF" w:rsidRPr="00DF5C23" w:rsidRDefault="005C61BF" w:rsidP="002041D4">
            <w:pPr>
              <w:wordWrap w:val="0"/>
              <w:spacing w:before="20" w:after="20"/>
              <w:jc w:val="right"/>
              <w:rPr>
                <w:rFonts w:eastAsia="Calibri"/>
                <w:noProof/>
                <w:sz w:val="20"/>
              </w:rPr>
            </w:pPr>
          </w:p>
        </w:tc>
        <w:tc>
          <w:tcPr>
            <w:tcW w:w="851" w:type="dxa"/>
            <w:gridSpan w:val="2"/>
          </w:tcPr>
          <w:p w14:paraId="2C3A5AD8" w14:textId="77777777" w:rsidR="00144505" w:rsidRPr="00DF5C23" w:rsidRDefault="00144505" w:rsidP="002041D4">
            <w:pPr>
              <w:wordWrap w:val="0"/>
              <w:spacing w:before="20" w:after="20"/>
              <w:jc w:val="right"/>
              <w:rPr>
                <w:rFonts w:eastAsia="Calibri"/>
                <w:b/>
                <w:noProof/>
                <w:sz w:val="20"/>
              </w:rPr>
            </w:pPr>
          </w:p>
        </w:tc>
        <w:tc>
          <w:tcPr>
            <w:tcW w:w="1701" w:type="dxa"/>
            <w:vAlign w:val="center"/>
          </w:tcPr>
          <w:p w14:paraId="2C3A5AD9" w14:textId="77777777" w:rsidR="005C61BF" w:rsidRPr="00DF5C23" w:rsidRDefault="005C61BF" w:rsidP="002041D4">
            <w:pPr>
              <w:wordWrap w:val="0"/>
              <w:spacing w:before="20" w:after="20"/>
              <w:jc w:val="right"/>
              <w:rPr>
                <w:rFonts w:eastAsia="Calibri"/>
                <w:b/>
                <w:noProof/>
                <w:sz w:val="20"/>
              </w:rPr>
            </w:pPr>
          </w:p>
        </w:tc>
      </w:tr>
      <w:tr w:rsidR="005C61BF" w:rsidRPr="00DF5C23" w14:paraId="2C3A5AE6" w14:textId="77777777" w:rsidTr="00EC0E40">
        <w:tc>
          <w:tcPr>
            <w:tcW w:w="3960" w:type="dxa"/>
            <w:gridSpan w:val="2"/>
            <w:vMerge/>
          </w:tcPr>
          <w:p w14:paraId="2C3A5ADB" w14:textId="77777777" w:rsidR="005C61BF" w:rsidRPr="00DF5C23" w:rsidRDefault="005C61BF" w:rsidP="002041D4">
            <w:pPr>
              <w:wordWrap w:val="0"/>
              <w:jc w:val="center"/>
              <w:rPr>
                <w:rFonts w:eastAsia="Calibri"/>
                <w:noProof/>
                <w:sz w:val="20"/>
              </w:rPr>
            </w:pPr>
          </w:p>
        </w:tc>
        <w:tc>
          <w:tcPr>
            <w:tcW w:w="1440" w:type="dxa"/>
            <w:gridSpan w:val="2"/>
            <w:vAlign w:val="center"/>
          </w:tcPr>
          <w:p w14:paraId="39C42641" w14:textId="77777777" w:rsidR="0038775E" w:rsidRDefault="00877B9C" w:rsidP="002041D4">
            <w:pPr>
              <w:wordWrap w:val="0"/>
              <w:spacing w:before="20" w:after="20"/>
              <w:rPr>
                <w:rFonts w:eastAsia="Calibri"/>
                <w:noProof/>
                <w:sz w:val="18"/>
              </w:rPr>
            </w:pPr>
            <w:r w:rsidRPr="00DF5C23">
              <w:rPr>
                <w:rFonts w:eastAsia="Calibri"/>
                <w:noProof/>
                <w:sz w:val="18"/>
              </w:rPr>
              <w:t>ペイメント</w:t>
            </w:r>
          </w:p>
        </w:tc>
        <w:tc>
          <w:tcPr>
            <w:tcW w:w="654" w:type="dxa"/>
            <w:gridSpan w:val="3"/>
            <w:vAlign w:val="center"/>
          </w:tcPr>
          <w:p w14:paraId="34FC70FE" w14:textId="77777777" w:rsidR="0038775E" w:rsidRDefault="00877B9C" w:rsidP="002041D4">
            <w:pPr>
              <w:wordWrap w:val="0"/>
              <w:spacing w:before="20" w:after="20"/>
              <w:jc w:val="center"/>
              <w:rPr>
                <w:rFonts w:eastAsia="Calibri"/>
                <w:noProof/>
                <w:sz w:val="14"/>
              </w:rPr>
            </w:pPr>
            <w:r w:rsidRPr="00DF5C23">
              <w:rPr>
                <w:rFonts w:eastAsia="Calibri"/>
                <w:noProof/>
                <w:sz w:val="14"/>
              </w:rPr>
              <w:t>(2b)</w:t>
            </w:r>
          </w:p>
        </w:tc>
        <w:tc>
          <w:tcPr>
            <w:tcW w:w="868" w:type="dxa"/>
            <w:gridSpan w:val="2"/>
            <w:vAlign w:val="center"/>
          </w:tcPr>
          <w:p w14:paraId="2C3A5ADE" w14:textId="77777777" w:rsidR="005C61BF" w:rsidRPr="00DF5C23" w:rsidRDefault="005C61BF" w:rsidP="002041D4">
            <w:pPr>
              <w:wordWrap w:val="0"/>
              <w:spacing w:before="20" w:after="20"/>
              <w:jc w:val="right"/>
              <w:rPr>
                <w:rFonts w:eastAsia="Calibri"/>
                <w:noProof/>
                <w:sz w:val="20"/>
              </w:rPr>
            </w:pPr>
          </w:p>
        </w:tc>
        <w:tc>
          <w:tcPr>
            <w:tcW w:w="868" w:type="dxa"/>
            <w:gridSpan w:val="2"/>
            <w:vAlign w:val="center"/>
          </w:tcPr>
          <w:p w14:paraId="2C3A5ADF" w14:textId="77777777" w:rsidR="005C61BF" w:rsidRPr="00DF5C23" w:rsidRDefault="005C61BF" w:rsidP="002041D4">
            <w:pPr>
              <w:wordWrap w:val="0"/>
              <w:spacing w:before="20" w:after="20"/>
              <w:jc w:val="right"/>
              <w:rPr>
                <w:rFonts w:eastAsia="Calibri"/>
                <w:noProof/>
                <w:sz w:val="20"/>
              </w:rPr>
            </w:pPr>
          </w:p>
        </w:tc>
        <w:tc>
          <w:tcPr>
            <w:tcW w:w="868" w:type="dxa"/>
            <w:gridSpan w:val="2"/>
            <w:vAlign w:val="center"/>
          </w:tcPr>
          <w:p w14:paraId="2C3A5AE0" w14:textId="77777777" w:rsidR="005C61BF" w:rsidRPr="00DF5C23" w:rsidRDefault="005C61BF" w:rsidP="002041D4">
            <w:pPr>
              <w:wordWrap w:val="0"/>
              <w:spacing w:before="20" w:after="20"/>
              <w:jc w:val="right"/>
              <w:rPr>
                <w:rFonts w:eastAsia="Calibri"/>
                <w:noProof/>
                <w:sz w:val="20"/>
              </w:rPr>
            </w:pPr>
          </w:p>
        </w:tc>
        <w:tc>
          <w:tcPr>
            <w:tcW w:w="868" w:type="dxa"/>
            <w:gridSpan w:val="2"/>
            <w:vAlign w:val="center"/>
          </w:tcPr>
          <w:p w14:paraId="2C3A5AE1" w14:textId="77777777" w:rsidR="005C61BF" w:rsidRPr="00DF5C23" w:rsidRDefault="005C61BF" w:rsidP="002041D4">
            <w:pPr>
              <w:wordWrap w:val="0"/>
              <w:spacing w:before="20" w:after="20"/>
              <w:jc w:val="right"/>
              <w:rPr>
                <w:rFonts w:eastAsia="Calibri"/>
                <w:noProof/>
                <w:sz w:val="20"/>
              </w:rPr>
            </w:pPr>
          </w:p>
        </w:tc>
        <w:tc>
          <w:tcPr>
            <w:tcW w:w="868" w:type="dxa"/>
            <w:gridSpan w:val="2"/>
            <w:vAlign w:val="center"/>
          </w:tcPr>
          <w:p w14:paraId="2C3A5AE2" w14:textId="77777777" w:rsidR="005C61BF" w:rsidRPr="00DF5C23" w:rsidRDefault="005C61BF" w:rsidP="002041D4">
            <w:pPr>
              <w:wordWrap w:val="0"/>
              <w:spacing w:before="20" w:after="20"/>
              <w:jc w:val="right"/>
              <w:rPr>
                <w:rFonts w:eastAsia="Calibri"/>
                <w:noProof/>
                <w:sz w:val="20"/>
              </w:rPr>
            </w:pPr>
          </w:p>
        </w:tc>
        <w:tc>
          <w:tcPr>
            <w:tcW w:w="881" w:type="dxa"/>
            <w:gridSpan w:val="2"/>
            <w:vAlign w:val="center"/>
          </w:tcPr>
          <w:p w14:paraId="2C3A5AE3" w14:textId="77777777" w:rsidR="005C61BF" w:rsidRPr="00DF5C23" w:rsidRDefault="005C61BF" w:rsidP="002041D4">
            <w:pPr>
              <w:wordWrap w:val="0"/>
              <w:spacing w:before="20" w:after="20"/>
              <w:jc w:val="right"/>
              <w:rPr>
                <w:rFonts w:eastAsia="Calibri"/>
                <w:noProof/>
                <w:sz w:val="20"/>
              </w:rPr>
            </w:pPr>
          </w:p>
        </w:tc>
        <w:tc>
          <w:tcPr>
            <w:tcW w:w="851" w:type="dxa"/>
            <w:gridSpan w:val="2"/>
          </w:tcPr>
          <w:p w14:paraId="2C3A5AE4" w14:textId="77777777" w:rsidR="00144505" w:rsidRPr="00DF5C23" w:rsidRDefault="00144505" w:rsidP="002041D4">
            <w:pPr>
              <w:wordWrap w:val="0"/>
              <w:spacing w:before="20" w:after="20"/>
              <w:jc w:val="right"/>
              <w:rPr>
                <w:rFonts w:eastAsia="Calibri"/>
                <w:b/>
                <w:noProof/>
                <w:sz w:val="20"/>
              </w:rPr>
            </w:pPr>
          </w:p>
        </w:tc>
        <w:tc>
          <w:tcPr>
            <w:tcW w:w="1701" w:type="dxa"/>
            <w:vAlign w:val="center"/>
          </w:tcPr>
          <w:p w14:paraId="2C3A5AE5" w14:textId="77777777" w:rsidR="005C61BF" w:rsidRPr="00DF5C23" w:rsidRDefault="005C61BF" w:rsidP="002041D4">
            <w:pPr>
              <w:wordWrap w:val="0"/>
              <w:spacing w:before="20" w:after="20"/>
              <w:jc w:val="right"/>
              <w:rPr>
                <w:rFonts w:eastAsia="Calibri"/>
                <w:b/>
                <w:noProof/>
                <w:sz w:val="20"/>
              </w:rPr>
            </w:pPr>
          </w:p>
        </w:tc>
      </w:tr>
      <w:tr w:rsidR="005C61BF" w:rsidRPr="00DF5C23" w14:paraId="2C3A5AF1" w14:textId="77777777" w:rsidTr="009E22E2">
        <w:trPr>
          <w:trHeight w:val="231"/>
        </w:trPr>
        <w:tc>
          <w:tcPr>
            <w:tcW w:w="5937" w:type="dxa"/>
            <w:gridSpan w:val="6"/>
            <w:vAlign w:val="center"/>
          </w:tcPr>
          <w:p w14:paraId="538790E5" w14:textId="77777777" w:rsidR="0038775E" w:rsidRDefault="00877B9C" w:rsidP="002041D4">
            <w:pPr>
              <w:wordWrap w:val="0"/>
              <w:spacing w:before="20" w:after="20"/>
              <w:rPr>
                <w:rFonts w:eastAsia="Calibri"/>
                <w:noProof/>
                <w:lang w:eastAsia="ja-JP"/>
              </w:rPr>
            </w:pPr>
            <w:r w:rsidRPr="00DF5C23">
              <w:rPr>
                <w:rFonts w:eastAsia="Calibri"/>
                <w:noProof/>
                <w:sz w:val="21"/>
                <w:szCs w:val="21"/>
                <w:lang w:eastAsia="ja-JP"/>
              </w:rPr>
              <w:t>特定プログラムのエンベロープから資金を調達する管理的性質の充当金</w:t>
            </w:r>
            <w:r w:rsidR="008B78E1" w:rsidRPr="00DF5C23">
              <w:rPr>
                <w:rStyle w:val="afa"/>
                <w:rFonts w:eastAsia="Calibri"/>
                <w:noProof/>
                <w:sz w:val="21"/>
                <w:szCs w:val="21"/>
              </w:rPr>
              <w:footnoteReference w:id="94"/>
            </w:r>
          </w:p>
          <w:p w14:paraId="2C3A5AE8" w14:textId="77777777" w:rsidR="005C61BF" w:rsidRPr="00DF5C23" w:rsidRDefault="005C61BF" w:rsidP="002041D4">
            <w:pPr>
              <w:wordWrap w:val="0"/>
              <w:spacing w:before="0" w:after="0"/>
              <w:rPr>
                <w:rFonts w:eastAsia="Calibri"/>
                <w:noProof/>
                <w:lang w:eastAsia="ja-JP"/>
              </w:rPr>
            </w:pPr>
          </w:p>
        </w:tc>
        <w:tc>
          <w:tcPr>
            <w:tcW w:w="854" w:type="dxa"/>
            <w:gridSpan w:val="2"/>
            <w:vAlign w:val="center"/>
          </w:tcPr>
          <w:p w14:paraId="2C3A5AE9" w14:textId="77777777" w:rsidR="005C61BF" w:rsidRPr="00DF5C23" w:rsidRDefault="005C61BF" w:rsidP="002041D4">
            <w:pPr>
              <w:wordWrap w:val="0"/>
              <w:rPr>
                <w:rFonts w:eastAsia="Calibri"/>
                <w:b/>
                <w:noProof/>
                <w:sz w:val="20"/>
                <w:lang w:eastAsia="ja-JP"/>
              </w:rPr>
            </w:pPr>
          </w:p>
        </w:tc>
        <w:tc>
          <w:tcPr>
            <w:tcW w:w="854" w:type="dxa"/>
            <w:gridSpan w:val="2"/>
            <w:vAlign w:val="center"/>
          </w:tcPr>
          <w:p w14:paraId="2C3A5AEA" w14:textId="77777777" w:rsidR="005C61BF" w:rsidRPr="00DF5C23" w:rsidRDefault="005C61BF" w:rsidP="002041D4">
            <w:pPr>
              <w:wordWrap w:val="0"/>
              <w:rPr>
                <w:rFonts w:eastAsia="Calibri"/>
                <w:b/>
                <w:noProof/>
                <w:sz w:val="20"/>
                <w:lang w:eastAsia="ja-JP"/>
              </w:rPr>
            </w:pPr>
          </w:p>
        </w:tc>
        <w:tc>
          <w:tcPr>
            <w:tcW w:w="854" w:type="dxa"/>
            <w:gridSpan w:val="2"/>
            <w:vAlign w:val="center"/>
          </w:tcPr>
          <w:p w14:paraId="2C3A5AEB" w14:textId="77777777" w:rsidR="005C61BF" w:rsidRPr="00DF5C23" w:rsidRDefault="005C61BF" w:rsidP="002041D4">
            <w:pPr>
              <w:wordWrap w:val="0"/>
              <w:rPr>
                <w:rFonts w:eastAsia="Calibri"/>
                <w:b/>
                <w:noProof/>
                <w:sz w:val="20"/>
                <w:lang w:eastAsia="ja-JP"/>
              </w:rPr>
            </w:pPr>
          </w:p>
        </w:tc>
        <w:tc>
          <w:tcPr>
            <w:tcW w:w="854" w:type="dxa"/>
            <w:gridSpan w:val="2"/>
            <w:vAlign w:val="center"/>
          </w:tcPr>
          <w:p w14:paraId="2C3A5AEC" w14:textId="77777777" w:rsidR="005C61BF" w:rsidRPr="00DF5C23" w:rsidRDefault="005C61BF" w:rsidP="002041D4">
            <w:pPr>
              <w:wordWrap w:val="0"/>
              <w:rPr>
                <w:rFonts w:eastAsia="Calibri"/>
                <w:b/>
                <w:noProof/>
                <w:sz w:val="20"/>
                <w:lang w:eastAsia="ja-JP"/>
              </w:rPr>
            </w:pPr>
          </w:p>
        </w:tc>
        <w:tc>
          <w:tcPr>
            <w:tcW w:w="854" w:type="dxa"/>
            <w:gridSpan w:val="2"/>
            <w:vAlign w:val="center"/>
          </w:tcPr>
          <w:p w14:paraId="2C3A5AED" w14:textId="77777777" w:rsidR="005C61BF" w:rsidRPr="00DF5C23" w:rsidRDefault="005C61BF" w:rsidP="002041D4">
            <w:pPr>
              <w:wordWrap w:val="0"/>
              <w:rPr>
                <w:rFonts w:eastAsia="Calibri"/>
                <w:b/>
                <w:noProof/>
                <w:sz w:val="20"/>
                <w:lang w:eastAsia="ja-JP"/>
              </w:rPr>
            </w:pPr>
          </w:p>
        </w:tc>
        <w:tc>
          <w:tcPr>
            <w:tcW w:w="867" w:type="dxa"/>
            <w:gridSpan w:val="2"/>
            <w:vAlign w:val="center"/>
          </w:tcPr>
          <w:p w14:paraId="2C3A5AEE" w14:textId="77777777" w:rsidR="005C61BF" w:rsidRPr="00DF5C23" w:rsidRDefault="005C61BF" w:rsidP="002041D4">
            <w:pPr>
              <w:wordWrap w:val="0"/>
              <w:rPr>
                <w:rFonts w:eastAsia="Calibri"/>
                <w:b/>
                <w:noProof/>
                <w:sz w:val="20"/>
                <w:lang w:eastAsia="ja-JP"/>
              </w:rPr>
            </w:pPr>
          </w:p>
        </w:tc>
        <w:tc>
          <w:tcPr>
            <w:tcW w:w="837" w:type="dxa"/>
            <w:gridSpan w:val="2"/>
          </w:tcPr>
          <w:p w14:paraId="2C3A5AEF" w14:textId="77777777" w:rsidR="00144505" w:rsidRPr="00DF5C23" w:rsidRDefault="00144505" w:rsidP="002041D4">
            <w:pPr>
              <w:wordWrap w:val="0"/>
              <w:rPr>
                <w:rFonts w:eastAsia="Calibri"/>
                <w:b/>
                <w:noProof/>
                <w:sz w:val="20"/>
                <w:lang w:eastAsia="ja-JP"/>
              </w:rPr>
            </w:pPr>
          </w:p>
        </w:tc>
        <w:tc>
          <w:tcPr>
            <w:tcW w:w="1916" w:type="dxa"/>
            <w:gridSpan w:val="2"/>
            <w:vAlign w:val="center"/>
          </w:tcPr>
          <w:p w14:paraId="2C3A5AF0" w14:textId="77777777" w:rsidR="005C61BF" w:rsidRPr="00DF5C23" w:rsidRDefault="005C61BF" w:rsidP="002041D4">
            <w:pPr>
              <w:wordWrap w:val="0"/>
              <w:rPr>
                <w:rFonts w:eastAsia="Calibri"/>
                <w:b/>
                <w:noProof/>
                <w:sz w:val="20"/>
                <w:lang w:eastAsia="ja-JP"/>
              </w:rPr>
            </w:pPr>
          </w:p>
        </w:tc>
      </w:tr>
      <w:tr w:rsidR="005C61BF" w:rsidRPr="00DF5C23" w14:paraId="2C3A5AFD" w14:textId="77777777" w:rsidTr="009E22E2">
        <w:trPr>
          <w:trHeight w:val="319"/>
        </w:trPr>
        <w:tc>
          <w:tcPr>
            <w:tcW w:w="3879" w:type="dxa"/>
            <w:vAlign w:val="center"/>
          </w:tcPr>
          <w:p w14:paraId="18E21618" w14:textId="77777777" w:rsidR="0038775E" w:rsidRDefault="00877B9C" w:rsidP="002041D4">
            <w:pPr>
              <w:wordWrap w:val="0"/>
              <w:spacing w:before="60" w:after="60"/>
              <w:rPr>
                <w:rFonts w:eastAsia="Calibri"/>
                <w:noProof/>
              </w:rPr>
            </w:pPr>
            <w:r w:rsidRPr="00DF5C23">
              <w:rPr>
                <w:rFonts w:eastAsia="Calibri"/>
                <w:noProof/>
                <w:sz w:val="20"/>
              </w:rPr>
              <w:t>予算ライン</w:t>
            </w:r>
          </w:p>
        </w:tc>
        <w:tc>
          <w:tcPr>
            <w:tcW w:w="1414" w:type="dxa"/>
            <w:gridSpan w:val="2"/>
            <w:vAlign w:val="center"/>
          </w:tcPr>
          <w:p w14:paraId="2C3A5AF3" w14:textId="77777777" w:rsidR="005C61BF" w:rsidRPr="00DF5C23" w:rsidRDefault="005C61BF" w:rsidP="002041D4">
            <w:pPr>
              <w:wordWrap w:val="0"/>
              <w:spacing w:before="40" w:after="40"/>
              <w:jc w:val="right"/>
              <w:rPr>
                <w:rFonts w:eastAsia="Calibri"/>
                <w:noProof/>
                <w:sz w:val="18"/>
              </w:rPr>
            </w:pPr>
          </w:p>
        </w:tc>
        <w:tc>
          <w:tcPr>
            <w:tcW w:w="644" w:type="dxa"/>
            <w:gridSpan w:val="3"/>
            <w:vAlign w:val="center"/>
          </w:tcPr>
          <w:p w14:paraId="34765D3A" w14:textId="77777777" w:rsidR="0038775E" w:rsidRDefault="00877B9C" w:rsidP="002041D4">
            <w:pPr>
              <w:wordWrap w:val="0"/>
              <w:spacing w:before="40" w:after="40"/>
              <w:jc w:val="center"/>
              <w:rPr>
                <w:rFonts w:eastAsia="Calibri"/>
                <w:noProof/>
                <w:sz w:val="14"/>
              </w:rPr>
            </w:pPr>
            <w:r w:rsidRPr="00DF5C23">
              <w:rPr>
                <w:rFonts w:eastAsia="Calibri"/>
                <w:noProof/>
                <w:sz w:val="14"/>
              </w:rPr>
              <w:t>(3)</w:t>
            </w:r>
          </w:p>
        </w:tc>
        <w:tc>
          <w:tcPr>
            <w:tcW w:w="854" w:type="dxa"/>
            <w:gridSpan w:val="2"/>
            <w:vAlign w:val="center"/>
          </w:tcPr>
          <w:p w14:paraId="2C3A5AF5" w14:textId="77777777" w:rsidR="005C61BF" w:rsidRPr="00DF5C23" w:rsidRDefault="005C61BF" w:rsidP="002041D4">
            <w:pPr>
              <w:wordWrap w:val="0"/>
              <w:spacing w:before="40" w:after="40"/>
              <w:jc w:val="right"/>
              <w:rPr>
                <w:rFonts w:eastAsia="Calibri"/>
                <w:b/>
                <w:noProof/>
                <w:sz w:val="20"/>
              </w:rPr>
            </w:pPr>
          </w:p>
        </w:tc>
        <w:tc>
          <w:tcPr>
            <w:tcW w:w="854" w:type="dxa"/>
            <w:gridSpan w:val="2"/>
            <w:vAlign w:val="center"/>
          </w:tcPr>
          <w:p w14:paraId="2C3A5AF6" w14:textId="77777777" w:rsidR="005C61BF" w:rsidRPr="00DF5C23" w:rsidRDefault="005C61BF" w:rsidP="002041D4">
            <w:pPr>
              <w:wordWrap w:val="0"/>
              <w:spacing w:before="40" w:after="40"/>
              <w:jc w:val="right"/>
              <w:rPr>
                <w:rFonts w:eastAsia="Calibri"/>
                <w:b/>
                <w:noProof/>
                <w:sz w:val="20"/>
              </w:rPr>
            </w:pPr>
          </w:p>
        </w:tc>
        <w:tc>
          <w:tcPr>
            <w:tcW w:w="854" w:type="dxa"/>
            <w:gridSpan w:val="2"/>
            <w:vAlign w:val="center"/>
          </w:tcPr>
          <w:p w14:paraId="2C3A5AF7" w14:textId="77777777" w:rsidR="005C61BF" w:rsidRPr="00DF5C23" w:rsidRDefault="005C61BF" w:rsidP="002041D4">
            <w:pPr>
              <w:wordWrap w:val="0"/>
              <w:spacing w:before="40" w:after="40"/>
              <w:jc w:val="right"/>
              <w:rPr>
                <w:rFonts w:eastAsia="Calibri"/>
                <w:b/>
                <w:noProof/>
                <w:sz w:val="20"/>
              </w:rPr>
            </w:pPr>
          </w:p>
        </w:tc>
        <w:tc>
          <w:tcPr>
            <w:tcW w:w="854" w:type="dxa"/>
            <w:gridSpan w:val="2"/>
            <w:vAlign w:val="center"/>
          </w:tcPr>
          <w:p w14:paraId="2C3A5AF8" w14:textId="77777777" w:rsidR="005C61BF" w:rsidRPr="00DF5C23" w:rsidRDefault="005C61BF" w:rsidP="002041D4">
            <w:pPr>
              <w:wordWrap w:val="0"/>
              <w:spacing w:before="40" w:after="40"/>
              <w:jc w:val="right"/>
              <w:rPr>
                <w:rFonts w:eastAsia="Calibri"/>
                <w:b/>
                <w:noProof/>
                <w:sz w:val="20"/>
              </w:rPr>
            </w:pPr>
          </w:p>
        </w:tc>
        <w:tc>
          <w:tcPr>
            <w:tcW w:w="854" w:type="dxa"/>
            <w:gridSpan w:val="2"/>
            <w:vAlign w:val="center"/>
          </w:tcPr>
          <w:p w14:paraId="2C3A5AF9" w14:textId="77777777" w:rsidR="005C61BF" w:rsidRPr="00DF5C23" w:rsidRDefault="005C61BF" w:rsidP="002041D4">
            <w:pPr>
              <w:wordWrap w:val="0"/>
              <w:spacing w:before="40" w:after="40"/>
              <w:jc w:val="right"/>
              <w:rPr>
                <w:rFonts w:eastAsia="Calibri"/>
                <w:b/>
                <w:noProof/>
                <w:sz w:val="20"/>
              </w:rPr>
            </w:pPr>
          </w:p>
        </w:tc>
        <w:tc>
          <w:tcPr>
            <w:tcW w:w="867" w:type="dxa"/>
            <w:gridSpan w:val="2"/>
            <w:vAlign w:val="center"/>
          </w:tcPr>
          <w:p w14:paraId="2C3A5AFA" w14:textId="77777777" w:rsidR="005C61BF" w:rsidRPr="00DF5C23" w:rsidRDefault="005C61BF" w:rsidP="002041D4">
            <w:pPr>
              <w:wordWrap w:val="0"/>
              <w:spacing w:before="40" w:after="40"/>
              <w:jc w:val="right"/>
              <w:rPr>
                <w:rFonts w:eastAsia="Calibri"/>
                <w:b/>
                <w:noProof/>
                <w:sz w:val="20"/>
              </w:rPr>
            </w:pPr>
          </w:p>
        </w:tc>
        <w:tc>
          <w:tcPr>
            <w:tcW w:w="837" w:type="dxa"/>
            <w:gridSpan w:val="2"/>
          </w:tcPr>
          <w:p w14:paraId="2C3A5AFB" w14:textId="77777777" w:rsidR="00144505" w:rsidRPr="00DF5C23" w:rsidRDefault="00144505" w:rsidP="002041D4">
            <w:pPr>
              <w:wordWrap w:val="0"/>
              <w:spacing w:before="40" w:after="40"/>
              <w:jc w:val="right"/>
              <w:rPr>
                <w:rFonts w:eastAsia="Calibri"/>
                <w:b/>
                <w:noProof/>
                <w:sz w:val="20"/>
              </w:rPr>
            </w:pPr>
          </w:p>
        </w:tc>
        <w:tc>
          <w:tcPr>
            <w:tcW w:w="1916" w:type="dxa"/>
            <w:gridSpan w:val="2"/>
            <w:vAlign w:val="center"/>
          </w:tcPr>
          <w:p w14:paraId="2C3A5AFC" w14:textId="77777777" w:rsidR="005C61BF" w:rsidRPr="00DF5C23" w:rsidRDefault="005C61BF" w:rsidP="002041D4">
            <w:pPr>
              <w:wordWrap w:val="0"/>
              <w:spacing w:before="40" w:after="40"/>
              <w:jc w:val="right"/>
              <w:rPr>
                <w:rFonts w:eastAsia="Calibri"/>
                <w:b/>
                <w:noProof/>
                <w:sz w:val="20"/>
              </w:rPr>
            </w:pPr>
          </w:p>
        </w:tc>
      </w:tr>
      <w:tr w:rsidR="005C61BF" w:rsidRPr="00DF5C23" w14:paraId="2C3A5B09" w14:textId="77777777" w:rsidTr="00EC0E40">
        <w:tc>
          <w:tcPr>
            <w:tcW w:w="3960" w:type="dxa"/>
            <w:gridSpan w:val="2"/>
            <w:vMerge w:val="restart"/>
            <w:vAlign w:val="center"/>
          </w:tcPr>
          <w:p w14:paraId="3BE350FD" w14:textId="77777777" w:rsidR="0038775E" w:rsidRDefault="00877B9C" w:rsidP="002041D4">
            <w:pPr>
              <w:wordWrap w:val="0"/>
              <w:jc w:val="center"/>
              <w:rPr>
                <w:rFonts w:eastAsia="Calibri"/>
                <w:b/>
                <w:noProof/>
              </w:rPr>
            </w:pPr>
            <w:r w:rsidRPr="00DF5C23">
              <w:rPr>
                <w:rFonts w:eastAsia="Calibri"/>
                <w:b/>
                <w:noProof/>
                <w:sz w:val="22"/>
              </w:rPr>
              <w:t>総支給額</w:t>
            </w:r>
            <w:r w:rsidRPr="00DF5C23">
              <w:rPr>
                <w:rFonts w:eastAsia="Calibri"/>
                <w:noProof/>
                <w:sz w:val="22"/>
              </w:rPr>
              <w:br/>
            </w:r>
            <w:r w:rsidRPr="00DF5C23">
              <w:rPr>
                <w:rFonts w:eastAsia="Calibri"/>
                <w:b/>
                <w:noProof/>
                <w:sz w:val="22"/>
              </w:rPr>
              <w:t xml:space="preserve">DG </w:t>
            </w:r>
            <w:r w:rsidRPr="00DF5C23">
              <w:rPr>
                <w:rFonts w:eastAsia="Calibri"/>
                <w:noProof/>
                <w:sz w:val="22"/>
              </w:rPr>
              <w:t>GROW</w:t>
            </w:r>
            <w:r w:rsidRPr="00DF5C23">
              <w:rPr>
                <w:rFonts w:eastAsia="Calibri"/>
                <w:noProof/>
                <w:sz w:val="22"/>
              </w:rPr>
              <w:t>の</w:t>
            </w:r>
            <w:r w:rsidRPr="00DF5C23">
              <w:rPr>
                <w:rFonts w:eastAsia="Calibri"/>
                <w:b/>
                <w:noProof/>
                <w:sz w:val="22"/>
              </w:rPr>
              <w:t>場合</w:t>
            </w:r>
          </w:p>
        </w:tc>
        <w:tc>
          <w:tcPr>
            <w:tcW w:w="1440" w:type="dxa"/>
            <w:gridSpan w:val="2"/>
            <w:vAlign w:val="center"/>
          </w:tcPr>
          <w:p w14:paraId="1AA6C85D" w14:textId="77777777" w:rsidR="0038775E" w:rsidRDefault="00877B9C" w:rsidP="002041D4">
            <w:pPr>
              <w:wordWrap w:val="0"/>
              <w:rPr>
                <w:rFonts w:eastAsia="Calibri"/>
                <w:noProof/>
                <w:sz w:val="18"/>
              </w:rPr>
            </w:pPr>
            <w:r w:rsidRPr="00DF5C23">
              <w:rPr>
                <w:rFonts w:eastAsia="Calibri"/>
                <w:noProof/>
                <w:sz w:val="18"/>
              </w:rPr>
              <w:t>コミットメント</w:t>
            </w:r>
          </w:p>
        </w:tc>
        <w:tc>
          <w:tcPr>
            <w:tcW w:w="654" w:type="dxa"/>
            <w:gridSpan w:val="3"/>
            <w:vAlign w:val="center"/>
          </w:tcPr>
          <w:p w14:paraId="0B615215" w14:textId="77777777" w:rsidR="0038775E" w:rsidRDefault="00877B9C" w:rsidP="002041D4">
            <w:pPr>
              <w:wordWrap w:val="0"/>
              <w:jc w:val="center"/>
              <w:rPr>
                <w:rFonts w:eastAsia="Calibri"/>
                <w:noProof/>
                <w:sz w:val="14"/>
              </w:rPr>
            </w:pPr>
            <w:r w:rsidRPr="00DF5C23">
              <w:rPr>
                <w:rFonts w:eastAsia="Calibri"/>
                <w:noProof/>
                <w:sz w:val="14"/>
              </w:rPr>
              <w:t>=1a+1b +3</w:t>
            </w:r>
          </w:p>
        </w:tc>
        <w:tc>
          <w:tcPr>
            <w:tcW w:w="868" w:type="dxa"/>
            <w:gridSpan w:val="2"/>
            <w:vAlign w:val="center"/>
          </w:tcPr>
          <w:p w14:paraId="2F96AF3F" w14:textId="77777777" w:rsidR="0038775E" w:rsidRDefault="00877B9C" w:rsidP="002041D4">
            <w:pPr>
              <w:wordWrap w:val="0"/>
              <w:spacing w:before="20" w:after="20"/>
              <w:jc w:val="right"/>
              <w:rPr>
                <w:rFonts w:eastAsia="Calibri"/>
                <w:noProof/>
                <w:sz w:val="20"/>
              </w:rPr>
            </w:pPr>
            <w:r w:rsidRPr="00DF5C23">
              <w:rPr>
                <w:rFonts w:ascii="Arial Narrow" w:hAnsi="Arial Narrow" w:cs="Calibri"/>
                <w:noProof/>
                <w:color w:val="000000"/>
                <w:sz w:val="20"/>
                <w:szCs w:val="20"/>
              </w:rPr>
              <w:t>3,402</w:t>
            </w:r>
          </w:p>
        </w:tc>
        <w:tc>
          <w:tcPr>
            <w:tcW w:w="868" w:type="dxa"/>
            <w:gridSpan w:val="2"/>
            <w:vAlign w:val="center"/>
          </w:tcPr>
          <w:p w14:paraId="42CDBF88" w14:textId="77777777" w:rsidR="0038775E" w:rsidRDefault="00877B9C" w:rsidP="002041D4">
            <w:pPr>
              <w:wordWrap w:val="0"/>
              <w:spacing w:before="20" w:after="20"/>
              <w:jc w:val="right"/>
              <w:rPr>
                <w:rFonts w:eastAsia="Calibri"/>
                <w:noProof/>
                <w:sz w:val="20"/>
              </w:rPr>
            </w:pPr>
            <w:r w:rsidRPr="00DF5C23">
              <w:rPr>
                <w:rFonts w:ascii="Arial Narrow" w:hAnsi="Arial Narrow" w:cs="Calibri"/>
                <w:noProof/>
                <w:color w:val="000000"/>
                <w:sz w:val="20"/>
                <w:szCs w:val="20"/>
              </w:rPr>
              <w:t>4,056</w:t>
            </w:r>
          </w:p>
        </w:tc>
        <w:tc>
          <w:tcPr>
            <w:tcW w:w="868" w:type="dxa"/>
            <w:gridSpan w:val="2"/>
            <w:vAlign w:val="center"/>
          </w:tcPr>
          <w:p w14:paraId="6A398E5C" w14:textId="77777777" w:rsidR="0038775E" w:rsidRDefault="00877B9C" w:rsidP="002041D4">
            <w:pPr>
              <w:wordWrap w:val="0"/>
              <w:spacing w:before="20" w:after="20"/>
              <w:jc w:val="right"/>
              <w:rPr>
                <w:rFonts w:eastAsia="Calibri"/>
                <w:noProof/>
                <w:sz w:val="20"/>
              </w:rPr>
            </w:pPr>
            <w:r w:rsidRPr="00DF5C23">
              <w:rPr>
                <w:rFonts w:ascii="Arial Narrow" w:hAnsi="Arial Narrow" w:cs="Calibri"/>
                <w:noProof/>
                <w:color w:val="000000"/>
                <w:sz w:val="20"/>
                <w:szCs w:val="20"/>
              </w:rPr>
              <w:t>3,770</w:t>
            </w:r>
          </w:p>
        </w:tc>
        <w:tc>
          <w:tcPr>
            <w:tcW w:w="868" w:type="dxa"/>
            <w:gridSpan w:val="2"/>
            <w:vAlign w:val="center"/>
          </w:tcPr>
          <w:p w14:paraId="3D1743FA" w14:textId="77777777" w:rsidR="0038775E" w:rsidRDefault="00877B9C" w:rsidP="002041D4">
            <w:pPr>
              <w:wordWrap w:val="0"/>
              <w:spacing w:before="20" w:after="20"/>
              <w:jc w:val="right"/>
              <w:rPr>
                <w:rFonts w:eastAsia="Calibri"/>
                <w:noProof/>
                <w:sz w:val="20"/>
              </w:rPr>
            </w:pPr>
            <w:r w:rsidRPr="00DF5C23">
              <w:rPr>
                <w:rFonts w:ascii="Arial Narrow" w:hAnsi="Arial Narrow" w:cs="Calibri"/>
                <w:noProof/>
                <w:color w:val="000000"/>
                <w:sz w:val="20"/>
                <w:szCs w:val="20"/>
              </w:rPr>
              <w:t>3,370</w:t>
            </w:r>
          </w:p>
        </w:tc>
        <w:tc>
          <w:tcPr>
            <w:tcW w:w="868" w:type="dxa"/>
            <w:gridSpan w:val="2"/>
            <w:vAlign w:val="center"/>
          </w:tcPr>
          <w:p w14:paraId="40979E85" w14:textId="77777777" w:rsidR="0038775E" w:rsidRDefault="00877B9C" w:rsidP="002041D4">
            <w:pPr>
              <w:wordWrap w:val="0"/>
              <w:spacing w:before="20" w:after="20"/>
              <w:jc w:val="right"/>
              <w:rPr>
                <w:rFonts w:eastAsia="Calibri"/>
                <w:noProof/>
                <w:sz w:val="20"/>
              </w:rPr>
            </w:pPr>
            <w:r w:rsidRPr="00DF5C23">
              <w:rPr>
                <w:rFonts w:ascii="Arial Narrow" w:hAnsi="Arial Narrow" w:cs="Calibri"/>
                <w:noProof/>
                <w:color w:val="000000"/>
                <w:sz w:val="20"/>
                <w:szCs w:val="20"/>
              </w:rPr>
              <w:t>4,370</w:t>
            </w:r>
          </w:p>
        </w:tc>
        <w:tc>
          <w:tcPr>
            <w:tcW w:w="881" w:type="dxa"/>
            <w:gridSpan w:val="2"/>
            <w:vAlign w:val="center"/>
          </w:tcPr>
          <w:p w14:paraId="13A91FD9" w14:textId="77777777" w:rsidR="0038775E" w:rsidRDefault="00877B9C" w:rsidP="002041D4">
            <w:pPr>
              <w:wordWrap w:val="0"/>
              <w:spacing w:before="20" w:after="20"/>
              <w:jc w:val="right"/>
              <w:rPr>
                <w:rFonts w:eastAsia="Calibri"/>
                <w:noProof/>
                <w:sz w:val="20"/>
              </w:rPr>
            </w:pPr>
            <w:r w:rsidRPr="00DF5C23">
              <w:rPr>
                <w:rFonts w:ascii="Arial Narrow" w:hAnsi="Arial Narrow" w:cs="Calibri"/>
                <w:noProof/>
                <w:color w:val="000000"/>
                <w:sz w:val="20"/>
                <w:szCs w:val="20"/>
              </w:rPr>
              <w:t>4,370</w:t>
            </w:r>
          </w:p>
        </w:tc>
        <w:tc>
          <w:tcPr>
            <w:tcW w:w="851" w:type="dxa"/>
            <w:gridSpan w:val="2"/>
          </w:tcPr>
          <w:p w14:paraId="2C3A5B07" w14:textId="77777777" w:rsidR="00144505" w:rsidRPr="00DF5C23" w:rsidRDefault="00144505" w:rsidP="002041D4">
            <w:pPr>
              <w:wordWrap w:val="0"/>
              <w:spacing w:before="20" w:after="20"/>
              <w:jc w:val="right"/>
              <w:rPr>
                <w:rFonts w:ascii="Arial Narrow" w:hAnsi="Arial Narrow" w:cs="Calibri"/>
                <w:noProof/>
                <w:color w:val="000000"/>
                <w:sz w:val="20"/>
                <w:szCs w:val="20"/>
              </w:rPr>
            </w:pPr>
          </w:p>
        </w:tc>
        <w:tc>
          <w:tcPr>
            <w:tcW w:w="1701" w:type="dxa"/>
            <w:vAlign w:val="center"/>
          </w:tcPr>
          <w:p w14:paraId="5A377EE7" w14:textId="77777777" w:rsidR="0038775E" w:rsidRDefault="00877B9C" w:rsidP="002041D4">
            <w:pPr>
              <w:wordWrap w:val="0"/>
              <w:spacing w:before="20" w:after="20"/>
              <w:jc w:val="right"/>
              <w:rPr>
                <w:rFonts w:eastAsia="Calibri"/>
                <w:b/>
                <w:noProof/>
                <w:sz w:val="20"/>
              </w:rPr>
            </w:pPr>
            <w:r w:rsidRPr="00DF5C23">
              <w:rPr>
                <w:rFonts w:ascii="Arial Narrow" w:hAnsi="Arial Narrow" w:cs="Calibri"/>
                <w:noProof/>
                <w:color w:val="000000"/>
                <w:sz w:val="20"/>
                <w:szCs w:val="20"/>
              </w:rPr>
              <w:t>23,338</w:t>
            </w:r>
          </w:p>
        </w:tc>
      </w:tr>
      <w:tr w:rsidR="005C61BF" w:rsidRPr="00DF5C23" w14:paraId="2C3A5B16" w14:textId="77777777" w:rsidTr="00EC0E40">
        <w:tc>
          <w:tcPr>
            <w:tcW w:w="3960" w:type="dxa"/>
            <w:gridSpan w:val="2"/>
            <w:vMerge/>
          </w:tcPr>
          <w:p w14:paraId="2C3A5B0A" w14:textId="77777777" w:rsidR="005C61BF" w:rsidRPr="00DF5C23" w:rsidRDefault="005C61BF" w:rsidP="002041D4">
            <w:pPr>
              <w:wordWrap w:val="0"/>
              <w:rPr>
                <w:rFonts w:eastAsia="Calibri"/>
                <w:noProof/>
                <w:sz w:val="20"/>
              </w:rPr>
            </w:pPr>
          </w:p>
        </w:tc>
        <w:tc>
          <w:tcPr>
            <w:tcW w:w="1440" w:type="dxa"/>
            <w:gridSpan w:val="2"/>
            <w:vAlign w:val="center"/>
          </w:tcPr>
          <w:p w14:paraId="1E0C512A" w14:textId="77777777" w:rsidR="0038775E" w:rsidRDefault="00877B9C" w:rsidP="002041D4">
            <w:pPr>
              <w:wordWrap w:val="0"/>
              <w:rPr>
                <w:rFonts w:eastAsia="Calibri"/>
                <w:noProof/>
                <w:sz w:val="18"/>
              </w:rPr>
            </w:pPr>
            <w:r w:rsidRPr="00DF5C23">
              <w:rPr>
                <w:rFonts w:eastAsia="Calibri"/>
                <w:noProof/>
                <w:sz w:val="18"/>
              </w:rPr>
              <w:t>ペイメント</w:t>
            </w:r>
          </w:p>
        </w:tc>
        <w:tc>
          <w:tcPr>
            <w:tcW w:w="654" w:type="dxa"/>
            <w:gridSpan w:val="3"/>
            <w:vAlign w:val="center"/>
          </w:tcPr>
          <w:p w14:paraId="59928BA7" w14:textId="77777777" w:rsidR="0038775E" w:rsidRDefault="00877B9C" w:rsidP="002041D4">
            <w:pPr>
              <w:wordWrap w:val="0"/>
              <w:jc w:val="center"/>
              <w:rPr>
                <w:rFonts w:eastAsia="Calibri"/>
                <w:noProof/>
                <w:sz w:val="14"/>
              </w:rPr>
            </w:pPr>
            <w:r w:rsidRPr="00DF5C23">
              <w:rPr>
                <w:rFonts w:eastAsia="Calibri"/>
                <w:noProof/>
                <w:sz w:val="14"/>
              </w:rPr>
              <w:t>=2a+2b</w:t>
            </w:r>
          </w:p>
          <w:p w14:paraId="660465E0" w14:textId="77777777" w:rsidR="0038775E" w:rsidRDefault="00877B9C" w:rsidP="002041D4">
            <w:pPr>
              <w:wordWrap w:val="0"/>
              <w:jc w:val="center"/>
              <w:rPr>
                <w:rFonts w:eastAsia="Calibri"/>
                <w:noProof/>
                <w:sz w:val="14"/>
              </w:rPr>
            </w:pPr>
            <w:r w:rsidRPr="00DF5C23">
              <w:rPr>
                <w:rFonts w:eastAsia="Calibri"/>
                <w:noProof/>
                <w:sz w:val="14"/>
              </w:rPr>
              <w:t>+3</w:t>
            </w:r>
          </w:p>
        </w:tc>
        <w:tc>
          <w:tcPr>
            <w:tcW w:w="868" w:type="dxa"/>
            <w:gridSpan w:val="2"/>
            <w:vAlign w:val="center"/>
          </w:tcPr>
          <w:p w14:paraId="51C524E8" w14:textId="77777777" w:rsidR="0038775E" w:rsidRDefault="00877B9C" w:rsidP="002041D4">
            <w:pPr>
              <w:wordWrap w:val="0"/>
              <w:spacing w:before="20" w:after="20"/>
              <w:jc w:val="right"/>
              <w:rPr>
                <w:rFonts w:eastAsia="Calibri"/>
                <w:noProof/>
                <w:sz w:val="20"/>
              </w:rPr>
            </w:pPr>
            <w:r w:rsidRPr="00DF5C23">
              <w:rPr>
                <w:rFonts w:ascii="Arial Narrow" w:hAnsi="Arial Narrow" w:cs="Calibri"/>
                <w:noProof/>
                <w:color w:val="000000"/>
                <w:sz w:val="20"/>
                <w:szCs w:val="20"/>
              </w:rPr>
              <w:t>1,021</w:t>
            </w:r>
          </w:p>
        </w:tc>
        <w:tc>
          <w:tcPr>
            <w:tcW w:w="868" w:type="dxa"/>
            <w:gridSpan w:val="2"/>
            <w:vAlign w:val="center"/>
          </w:tcPr>
          <w:p w14:paraId="1325ACA7" w14:textId="77777777" w:rsidR="0038775E" w:rsidRDefault="00877B9C" w:rsidP="002041D4">
            <w:pPr>
              <w:wordWrap w:val="0"/>
              <w:spacing w:before="20" w:after="20"/>
              <w:jc w:val="right"/>
              <w:rPr>
                <w:rFonts w:eastAsia="Calibri"/>
                <w:noProof/>
                <w:sz w:val="20"/>
              </w:rPr>
            </w:pPr>
            <w:r w:rsidRPr="00DF5C23">
              <w:rPr>
                <w:rFonts w:ascii="Arial Narrow" w:hAnsi="Arial Narrow" w:cs="Calibri"/>
                <w:noProof/>
                <w:color w:val="000000"/>
                <w:sz w:val="20"/>
                <w:szCs w:val="20"/>
              </w:rPr>
              <w:t>2,237</w:t>
            </w:r>
          </w:p>
        </w:tc>
        <w:tc>
          <w:tcPr>
            <w:tcW w:w="868" w:type="dxa"/>
            <w:gridSpan w:val="2"/>
            <w:vAlign w:val="center"/>
          </w:tcPr>
          <w:p w14:paraId="275D4A60" w14:textId="77777777" w:rsidR="0038775E" w:rsidRDefault="00877B9C" w:rsidP="002041D4">
            <w:pPr>
              <w:wordWrap w:val="0"/>
              <w:spacing w:before="20" w:after="20"/>
              <w:jc w:val="right"/>
              <w:rPr>
                <w:rFonts w:eastAsia="Calibri"/>
                <w:noProof/>
                <w:sz w:val="20"/>
              </w:rPr>
            </w:pPr>
            <w:r w:rsidRPr="00DF5C23">
              <w:rPr>
                <w:rFonts w:ascii="Arial Narrow" w:hAnsi="Arial Narrow" w:cs="Calibri"/>
                <w:noProof/>
                <w:color w:val="000000"/>
                <w:sz w:val="20"/>
                <w:szCs w:val="20"/>
              </w:rPr>
              <w:t>3,709</w:t>
            </w:r>
          </w:p>
        </w:tc>
        <w:tc>
          <w:tcPr>
            <w:tcW w:w="868" w:type="dxa"/>
            <w:gridSpan w:val="2"/>
            <w:vAlign w:val="center"/>
          </w:tcPr>
          <w:p w14:paraId="40FB1832" w14:textId="77777777" w:rsidR="0038775E" w:rsidRDefault="00877B9C" w:rsidP="002041D4">
            <w:pPr>
              <w:wordWrap w:val="0"/>
              <w:spacing w:before="20" w:after="20"/>
              <w:jc w:val="right"/>
              <w:rPr>
                <w:rFonts w:eastAsia="Calibri"/>
                <w:noProof/>
                <w:sz w:val="20"/>
              </w:rPr>
            </w:pPr>
            <w:r w:rsidRPr="00DF5C23">
              <w:rPr>
                <w:rFonts w:ascii="Arial Narrow" w:hAnsi="Arial Narrow" w:cs="Calibri"/>
                <w:noProof/>
                <w:color w:val="000000"/>
                <w:sz w:val="20"/>
                <w:szCs w:val="20"/>
              </w:rPr>
              <w:t>3,764</w:t>
            </w:r>
          </w:p>
        </w:tc>
        <w:tc>
          <w:tcPr>
            <w:tcW w:w="868" w:type="dxa"/>
            <w:gridSpan w:val="2"/>
            <w:vAlign w:val="center"/>
          </w:tcPr>
          <w:p w14:paraId="7BDC0F66" w14:textId="77777777" w:rsidR="0038775E" w:rsidRDefault="00877B9C" w:rsidP="002041D4">
            <w:pPr>
              <w:wordWrap w:val="0"/>
              <w:spacing w:before="20" w:after="20"/>
              <w:jc w:val="right"/>
              <w:rPr>
                <w:rFonts w:eastAsia="Calibri"/>
                <w:noProof/>
                <w:sz w:val="20"/>
              </w:rPr>
            </w:pPr>
            <w:r w:rsidRPr="00DF5C23">
              <w:rPr>
                <w:rFonts w:ascii="Arial Narrow" w:hAnsi="Arial Narrow" w:cs="Calibri"/>
                <w:noProof/>
                <w:color w:val="000000"/>
                <w:sz w:val="20"/>
                <w:szCs w:val="20"/>
              </w:rPr>
              <w:t>3,830</w:t>
            </w:r>
          </w:p>
        </w:tc>
        <w:tc>
          <w:tcPr>
            <w:tcW w:w="881" w:type="dxa"/>
            <w:gridSpan w:val="2"/>
            <w:vAlign w:val="center"/>
          </w:tcPr>
          <w:p w14:paraId="4447C912" w14:textId="77777777" w:rsidR="0038775E" w:rsidRDefault="00877B9C" w:rsidP="002041D4">
            <w:pPr>
              <w:wordWrap w:val="0"/>
              <w:spacing w:before="20" w:after="20"/>
              <w:jc w:val="right"/>
              <w:rPr>
                <w:rFonts w:eastAsia="Calibri"/>
                <w:noProof/>
                <w:sz w:val="20"/>
              </w:rPr>
            </w:pPr>
            <w:r w:rsidRPr="00DF5C23">
              <w:rPr>
                <w:rFonts w:ascii="Arial Narrow" w:hAnsi="Arial Narrow" w:cs="Calibri"/>
                <w:noProof/>
                <w:color w:val="000000"/>
                <w:sz w:val="20"/>
                <w:szCs w:val="20"/>
              </w:rPr>
              <w:t>3,970</w:t>
            </w:r>
          </w:p>
        </w:tc>
        <w:tc>
          <w:tcPr>
            <w:tcW w:w="851" w:type="dxa"/>
            <w:gridSpan w:val="2"/>
            <w:vAlign w:val="center"/>
          </w:tcPr>
          <w:p w14:paraId="10F98BB0" w14:textId="77777777" w:rsidR="0038775E" w:rsidRDefault="00877B9C" w:rsidP="002041D4">
            <w:pPr>
              <w:wordWrap w:val="0"/>
              <w:spacing w:before="20" w:after="20"/>
              <w:jc w:val="right"/>
              <w:rPr>
                <w:rFonts w:ascii="Arial Narrow" w:hAnsi="Arial Narrow" w:cs="Calibri"/>
                <w:noProof/>
                <w:color w:val="000000"/>
                <w:sz w:val="20"/>
                <w:szCs w:val="20"/>
              </w:rPr>
            </w:pPr>
            <w:r w:rsidRPr="00DF5C23">
              <w:rPr>
                <w:rFonts w:ascii="Arial Narrow" w:hAnsi="Arial Narrow" w:cs="Calibri"/>
                <w:noProof/>
                <w:color w:val="000000"/>
                <w:sz w:val="20"/>
                <w:szCs w:val="20"/>
              </w:rPr>
              <w:t>4,807</w:t>
            </w:r>
          </w:p>
        </w:tc>
        <w:tc>
          <w:tcPr>
            <w:tcW w:w="1701" w:type="dxa"/>
            <w:vAlign w:val="center"/>
          </w:tcPr>
          <w:p w14:paraId="507091BD" w14:textId="77777777" w:rsidR="0038775E" w:rsidRDefault="00877B9C" w:rsidP="002041D4">
            <w:pPr>
              <w:wordWrap w:val="0"/>
              <w:spacing w:before="20" w:after="20"/>
              <w:jc w:val="right"/>
              <w:rPr>
                <w:rFonts w:eastAsia="Calibri"/>
                <w:b/>
                <w:noProof/>
                <w:sz w:val="20"/>
              </w:rPr>
            </w:pPr>
            <w:r w:rsidRPr="00DF5C23">
              <w:rPr>
                <w:rFonts w:ascii="Arial Narrow" w:hAnsi="Arial Narrow" w:cs="Calibri"/>
                <w:noProof/>
                <w:color w:val="000000"/>
                <w:sz w:val="20"/>
                <w:szCs w:val="20"/>
              </w:rPr>
              <w:t>23,338</w:t>
            </w:r>
          </w:p>
        </w:tc>
      </w:tr>
    </w:tbl>
    <w:p w14:paraId="2C3A5B17" w14:textId="77777777" w:rsidR="00BF1765" w:rsidRPr="00DF5C23" w:rsidRDefault="00BF1765" w:rsidP="002041D4">
      <w:pPr>
        <w:wordWrap w:val="0"/>
        <w:rPr>
          <w:rFonts w:eastAsia="Calibri"/>
          <w:noProof/>
        </w:rPr>
      </w:pPr>
      <w:r w:rsidRPr="00DF5C23">
        <w:rPr>
          <w:rFonts w:eastAsia="Calibri"/>
          <w:noProof/>
        </w:rPr>
        <w:br/>
      </w:r>
    </w:p>
    <w:tbl>
      <w:tblPr>
        <w:tblW w:w="1382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81"/>
        <w:gridCol w:w="851"/>
        <w:gridCol w:w="1701"/>
      </w:tblGrid>
      <w:tr w:rsidR="005C61BF" w:rsidRPr="00DF5C23" w14:paraId="2C3A5B23" w14:textId="77777777" w:rsidTr="00224662">
        <w:trPr>
          <w:trHeight w:val="277"/>
        </w:trPr>
        <w:tc>
          <w:tcPr>
            <w:tcW w:w="3960" w:type="dxa"/>
            <w:vMerge w:val="restart"/>
            <w:vAlign w:val="center"/>
          </w:tcPr>
          <w:p w14:paraId="0993DF59" w14:textId="77777777" w:rsidR="0038775E" w:rsidRDefault="00877B9C" w:rsidP="002041D4">
            <w:pPr>
              <w:wordWrap w:val="0"/>
              <w:spacing w:before="20" w:after="20"/>
              <w:rPr>
                <w:rFonts w:eastAsia="Calibri"/>
                <w:noProof/>
              </w:rPr>
            </w:pPr>
            <w:r w:rsidRPr="00DF5C23">
              <w:rPr>
                <w:rFonts w:eastAsia="Calibri"/>
                <w:noProof/>
                <w:sz w:val="22"/>
              </w:rPr>
              <w:br w:type="page"/>
            </w:r>
            <w:r w:rsidRPr="00DF5C23">
              <w:rPr>
                <w:rFonts w:eastAsia="Calibri"/>
                <w:noProof/>
                <w:sz w:val="21"/>
              </w:rPr>
              <w:sym w:font="Wingdings" w:char="F09F"/>
            </w:r>
            <w:r w:rsidRPr="00DF5C23">
              <w:rPr>
                <w:rFonts w:eastAsia="Calibri"/>
                <w:noProof/>
                <w:sz w:val="21"/>
              </w:rPr>
              <w:t xml:space="preserve"> </w:t>
            </w:r>
            <w:r w:rsidRPr="00DF5C23">
              <w:rPr>
                <w:rFonts w:eastAsia="Calibri"/>
                <w:noProof/>
                <w:sz w:val="21"/>
              </w:rPr>
              <w:t>運営費交付金合計</w:t>
            </w:r>
            <w:r w:rsidRPr="00DF5C23">
              <w:rPr>
                <w:rFonts w:eastAsia="Calibri"/>
                <w:noProof/>
                <w:sz w:val="21"/>
              </w:rPr>
              <w:t xml:space="preserve"> </w:t>
            </w:r>
          </w:p>
        </w:tc>
        <w:tc>
          <w:tcPr>
            <w:tcW w:w="1440" w:type="dxa"/>
            <w:vAlign w:val="center"/>
          </w:tcPr>
          <w:p w14:paraId="08EC0B17" w14:textId="77777777" w:rsidR="0038775E" w:rsidRDefault="00877B9C" w:rsidP="002041D4">
            <w:pPr>
              <w:wordWrap w:val="0"/>
              <w:spacing w:beforeLines="20" w:before="48" w:afterLines="20" w:after="48"/>
              <w:rPr>
                <w:rFonts w:eastAsia="Calibri"/>
                <w:noProof/>
                <w:sz w:val="18"/>
              </w:rPr>
            </w:pPr>
            <w:r w:rsidRPr="00DF5C23">
              <w:rPr>
                <w:rFonts w:eastAsia="Calibri"/>
                <w:noProof/>
                <w:sz w:val="18"/>
              </w:rPr>
              <w:t>コミットメント</w:t>
            </w:r>
          </w:p>
        </w:tc>
        <w:tc>
          <w:tcPr>
            <w:tcW w:w="654" w:type="dxa"/>
            <w:vAlign w:val="center"/>
          </w:tcPr>
          <w:p w14:paraId="627215D8" w14:textId="77777777" w:rsidR="0038775E" w:rsidRDefault="00877B9C" w:rsidP="002041D4">
            <w:pPr>
              <w:wordWrap w:val="0"/>
              <w:spacing w:beforeLines="20" w:before="48" w:afterLines="20" w:after="48"/>
              <w:jc w:val="center"/>
              <w:rPr>
                <w:rFonts w:eastAsia="Calibri"/>
                <w:noProof/>
                <w:sz w:val="14"/>
              </w:rPr>
            </w:pPr>
            <w:r w:rsidRPr="00DF5C23">
              <w:rPr>
                <w:rFonts w:eastAsia="Calibri"/>
                <w:noProof/>
                <w:sz w:val="14"/>
              </w:rPr>
              <w:t>(4)</w:t>
            </w:r>
          </w:p>
        </w:tc>
        <w:tc>
          <w:tcPr>
            <w:tcW w:w="868" w:type="dxa"/>
            <w:vAlign w:val="center"/>
          </w:tcPr>
          <w:p w14:paraId="4DBCEAEA" w14:textId="77777777" w:rsidR="0038775E" w:rsidRDefault="00877B9C" w:rsidP="002041D4">
            <w:pPr>
              <w:wordWrap w:val="0"/>
              <w:spacing w:before="20" w:after="20"/>
              <w:jc w:val="right"/>
              <w:rPr>
                <w:rFonts w:eastAsia="Calibri"/>
                <w:noProof/>
                <w:sz w:val="20"/>
              </w:rPr>
            </w:pPr>
            <w:r w:rsidRPr="00DF5C23">
              <w:rPr>
                <w:rFonts w:ascii="Arial Narrow" w:hAnsi="Arial Narrow" w:cs="Calibri"/>
                <w:noProof/>
                <w:color w:val="000000"/>
                <w:sz w:val="20"/>
                <w:szCs w:val="20"/>
              </w:rPr>
              <w:t>3,402</w:t>
            </w:r>
          </w:p>
        </w:tc>
        <w:tc>
          <w:tcPr>
            <w:tcW w:w="868" w:type="dxa"/>
            <w:vAlign w:val="center"/>
          </w:tcPr>
          <w:p w14:paraId="638CFEFA" w14:textId="77777777" w:rsidR="0038775E" w:rsidRDefault="00877B9C" w:rsidP="002041D4">
            <w:pPr>
              <w:wordWrap w:val="0"/>
              <w:spacing w:before="20" w:after="20"/>
              <w:jc w:val="right"/>
              <w:rPr>
                <w:rFonts w:eastAsia="Calibri"/>
                <w:noProof/>
                <w:sz w:val="20"/>
              </w:rPr>
            </w:pPr>
            <w:r w:rsidRPr="00DF5C23">
              <w:rPr>
                <w:rFonts w:ascii="Arial Narrow" w:hAnsi="Arial Narrow" w:cs="Calibri"/>
                <w:noProof/>
                <w:color w:val="000000"/>
                <w:sz w:val="20"/>
                <w:szCs w:val="20"/>
              </w:rPr>
              <w:t>4,056</w:t>
            </w:r>
          </w:p>
        </w:tc>
        <w:tc>
          <w:tcPr>
            <w:tcW w:w="868" w:type="dxa"/>
            <w:vAlign w:val="center"/>
          </w:tcPr>
          <w:p w14:paraId="331EB335" w14:textId="77777777" w:rsidR="0038775E" w:rsidRDefault="00877B9C" w:rsidP="002041D4">
            <w:pPr>
              <w:wordWrap w:val="0"/>
              <w:spacing w:before="20" w:after="20"/>
              <w:jc w:val="right"/>
              <w:rPr>
                <w:rFonts w:eastAsia="Calibri"/>
                <w:noProof/>
                <w:sz w:val="20"/>
              </w:rPr>
            </w:pPr>
            <w:r w:rsidRPr="00DF5C23">
              <w:rPr>
                <w:rFonts w:ascii="Arial Narrow" w:hAnsi="Arial Narrow" w:cs="Calibri"/>
                <w:noProof/>
                <w:color w:val="000000"/>
                <w:sz w:val="20"/>
                <w:szCs w:val="20"/>
              </w:rPr>
              <w:t>3,770</w:t>
            </w:r>
          </w:p>
        </w:tc>
        <w:tc>
          <w:tcPr>
            <w:tcW w:w="868" w:type="dxa"/>
            <w:vAlign w:val="center"/>
          </w:tcPr>
          <w:p w14:paraId="3BCDD1CB" w14:textId="77777777" w:rsidR="0038775E" w:rsidRDefault="00877B9C" w:rsidP="002041D4">
            <w:pPr>
              <w:wordWrap w:val="0"/>
              <w:spacing w:before="20" w:after="20"/>
              <w:jc w:val="right"/>
              <w:rPr>
                <w:rFonts w:eastAsia="Calibri"/>
                <w:noProof/>
                <w:sz w:val="20"/>
              </w:rPr>
            </w:pPr>
            <w:r w:rsidRPr="00DF5C23">
              <w:rPr>
                <w:rFonts w:ascii="Arial Narrow" w:hAnsi="Arial Narrow" w:cs="Calibri"/>
                <w:noProof/>
                <w:color w:val="000000"/>
                <w:sz w:val="20"/>
                <w:szCs w:val="20"/>
              </w:rPr>
              <w:t>3,370</w:t>
            </w:r>
          </w:p>
        </w:tc>
        <w:tc>
          <w:tcPr>
            <w:tcW w:w="868" w:type="dxa"/>
            <w:vAlign w:val="center"/>
          </w:tcPr>
          <w:p w14:paraId="61F634E8" w14:textId="77777777" w:rsidR="0038775E" w:rsidRDefault="00877B9C" w:rsidP="002041D4">
            <w:pPr>
              <w:wordWrap w:val="0"/>
              <w:spacing w:before="20" w:after="20"/>
              <w:jc w:val="right"/>
              <w:rPr>
                <w:rFonts w:eastAsia="Calibri"/>
                <w:noProof/>
                <w:sz w:val="20"/>
              </w:rPr>
            </w:pPr>
            <w:r w:rsidRPr="00DF5C23">
              <w:rPr>
                <w:rFonts w:ascii="Arial Narrow" w:hAnsi="Arial Narrow" w:cs="Calibri"/>
                <w:noProof/>
                <w:color w:val="000000"/>
                <w:sz w:val="20"/>
                <w:szCs w:val="20"/>
              </w:rPr>
              <w:t>4,370</w:t>
            </w:r>
          </w:p>
        </w:tc>
        <w:tc>
          <w:tcPr>
            <w:tcW w:w="881" w:type="dxa"/>
            <w:vAlign w:val="center"/>
          </w:tcPr>
          <w:p w14:paraId="3D589228" w14:textId="77777777" w:rsidR="0038775E" w:rsidRDefault="00877B9C" w:rsidP="002041D4">
            <w:pPr>
              <w:wordWrap w:val="0"/>
              <w:spacing w:before="20" w:after="20"/>
              <w:jc w:val="right"/>
              <w:rPr>
                <w:rFonts w:eastAsia="Calibri"/>
                <w:noProof/>
                <w:sz w:val="20"/>
              </w:rPr>
            </w:pPr>
            <w:r w:rsidRPr="00DF5C23">
              <w:rPr>
                <w:rFonts w:ascii="Arial Narrow" w:hAnsi="Arial Narrow" w:cs="Calibri"/>
                <w:noProof/>
                <w:color w:val="000000"/>
                <w:sz w:val="20"/>
                <w:szCs w:val="20"/>
              </w:rPr>
              <w:t>4,370</w:t>
            </w:r>
          </w:p>
        </w:tc>
        <w:tc>
          <w:tcPr>
            <w:tcW w:w="851" w:type="dxa"/>
          </w:tcPr>
          <w:p w14:paraId="2C3A5B21" w14:textId="77777777" w:rsidR="00224662" w:rsidRPr="00DF5C23" w:rsidRDefault="00224662" w:rsidP="002041D4">
            <w:pPr>
              <w:wordWrap w:val="0"/>
              <w:spacing w:before="20" w:after="20"/>
              <w:jc w:val="right"/>
              <w:rPr>
                <w:rFonts w:ascii="Arial Narrow" w:hAnsi="Arial Narrow" w:cs="Calibri"/>
                <w:noProof/>
                <w:color w:val="000000"/>
                <w:sz w:val="20"/>
                <w:szCs w:val="20"/>
              </w:rPr>
            </w:pPr>
          </w:p>
        </w:tc>
        <w:tc>
          <w:tcPr>
            <w:tcW w:w="1701" w:type="dxa"/>
            <w:vAlign w:val="center"/>
          </w:tcPr>
          <w:p w14:paraId="09EBD543" w14:textId="77777777" w:rsidR="0038775E" w:rsidRDefault="00877B9C" w:rsidP="002041D4">
            <w:pPr>
              <w:wordWrap w:val="0"/>
              <w:spacing w:before="20" w:after="20"/>
              <w:jc w:val="right"/>
              <w:rPr>
                <w:rFonts w:eastAsia="Calibri"/>
                <w:b/>
                <w:noProof/>
                <w:sz w:val="20"/>
              </w:rPr>
            </w:pPr>
            <w:r w:rsidRPr="00DF5C23">
              <w:rPr>
                <w:rFonts w:ascii="Arial Narrow" w:hAnsi="Arial Narrow" w:cs="Calibri"/>
                <w:noProof/>
                <w:color w:val="000000"/>
                <w:sz w:val="20"/>
                <w:szCs w:val="20"/>
              </w:rPr>
              <w:t>23,338</w:t>
            </w:r>
          </w:p>
        </w:tc>
      </w:tr>
      <w:tr w:rsidR="005C61BF" w:rsidRPr="00DF5C23" w14:paraId="2C3A5B2F" w14:textId="77777777" w:rsidTr="00224662">
        <w:tc>
          <w:tcPr>
            <w:tcW w:w="3960" w:type="dxa"/>
            <w:vMerge/>
          </w:tcPr>
          <w:p w14:paraId="2C3A5B24" w14:textId="77777777" w:rsidR="005C61BF" w:rsidRPr="00DF5C23" w:rsidRDefault="005C61BF" w:rsidP="002041D4">
            <w:pPr>
              <w:wordWrap w:val="0"/>
              <w:jc w:val="center"/>
              <w:rPr>
                <w:rFonts w:eastAsia="Calibri"/>
                <w:noProof/>
                <w:sz w:val="20"/>
              </w:rPr>
            </w:pPr>
          </w:p>
        </w:tc>
        <w:tc>
          <w:tcPr>
            <w:tcW w:w="1440" w:type="dxa"/>
            <w:vAlign w:val="center"/>
          </w:tcPr>
          <w:p w14:paraId="37611ED1" w14:textId="77777777" w:rsidR="0038775E" w:rsidRDefault="00877B9C" w:rsidP="002041D4">
            <w:pPr>
              <w:wordWrap w:val="0"/>
              <w:spacing w:beforeLines="20" w:before="48" w:afterLines="20" w:after="48"/>
              <w:rPr>
                <w:rFonts w:eastAsia="Calibri"/>
                <w:noProof/>
                <w:sz w:val="18"/>
              </w:rPr>
            </w:pPr>
            <w:r w:rsidRPr="00DF5C23">
              <w:rPr>
                <w:rFonts w:eastAsia="Calibri"/>
                <w:noProof/>
                <w:sz w:val="18"/>
              </w:rPr>
              <w:t>ペイメント</w:t>
            </w:r>
          </w:p>
        </w:tc>
        <w:tc>
          <w:tcPr>
            <w:tcW w:w="654" w:type="dxa"/>
            <w:vAlign w:val="center"/>
          </w:tcPr>
          <w:p w14:paraId="23E8099A" w14:textId="77777777" w:rsidR="0038775E" w:rsidRDefault="00877B9C" w:rsidP="002041D4">
            <w:pPr>
              <w:wordWrap w:val="0"/>
              <w:spacing w:beforeLines="20" w:before="48" w:afterLines="20" w:after="48"/>
              <w:jc w:val="center"/>
              <w:rPr>
                <w:rFonts w:eastAsia="Calibri"/>
                <w:noProof/>
                <w:sz w:val="14"/>
              </w:rPr>
            </w:pPr>
            <w:r w:rsidRPr="00DF5C23">
              <w:rPr>
                <w:rFonts w:eastAsia="Calibri"/>
                <w:noProof/>
                <w:sz w:val="14"/>
              </w:rPr>
              <w:t>(5)</w:t>
            </w:r>
          </w:p>
        </w:tc>
        <w:tc>
          <w:tcPr>
            <w:tcW w:w="868" w:type="dxa"/>
            <w:vAlign w:val="center"/>
          </w:tcPr>
          <w:p w14:paraId="17C50BF9" w14:textId="77777777" w:rsidR="0038775E" w:rsidRDefault="00877B9C" w:rsidP="002041D4">
            <w:pPr>
              <w:wordWrap w:val="0"/>
              <w:spacing w:before="20" w:after="20"/>
              <w:jc w:val="right"/>
              <w:rPr>
                <w:rFonts w:eastAsia="Calibri"/>
                <w:noProof/>
                <w:sz w:val="20"/>
              </w:rPr>
            </w:pPr>
            <w:r w:rsidRPr="00DF5C23">
              <w:rPr>
                <w:rFonts w:ascii="Arial Narrow" w:hAnsi="Arial Narrow" w:cs="Calibri"/>
                <w:noProof/>
                <w:color w:val="000000"/>
                <w:sz w:val="20"/>
                <w:szCs w:val="20"/>
              </w:rPr>
              <w:t>1,021</w:t>
            </w:r>
          </w:p>
        </w:tc>
        <w:tc>
          <w:tcPr>
            <w:tcW w:w="868" w:type="dxa"/>
            <w:vAlign w:val="center"/>
          </w:tcPr>
          <w:p w14:paraId="7D691DAE" w14:textId="77777777" w:rsidR="0038775E" w:rsidRDefault="00877B9C" w:rsidP="002041D4">
            <w:pPr>
              <w:wordWrap w:val="0"/>
              <w:spacing w:before="20" w:after="20"/>
              <w:jc w:val="right"/>
              <w:rPr>
                <w:rFonts w:eastAsia="Calibri"/>
                <w:noProof/>
                <w:sz w:val="20"/>
              </w:rPr>
            </w:pPr>
            <w:r w:rsidRPr="00DF5C23">
              <w:rPr>
                <w:rFonts w:ascii="Arial Narrow" w:hAnsi="Arial Narrow" w:cs="Calibri"/>
                <w:noProof/>
                <w:color w:val="000000"/>
                <w:sz w:val="20"/>
                <w:szCs w:val="20"/>
              </w:rPr>
              <w:t>2,237</w:t>
            </w:r>
          </w:p>
        </w:tc>
        <w:tc>
          <w:tcPr>
            <w:tcW w:w="868" w:type="dxa"/>
            <w:vAlign w:val="center"/>
          </w:tcPr>
          <w:p w14:paraId="44A48E54" w14:textId="77777777" w:rsidR="0038775E" w:rsidRDefault="00877B9C" w:rsidP="002041D4">
            <w:pPr>
              <w:wordWrap w:val="0"/>
              <w:spacing w:before="20" w:after="20"/>
              <w:jc w:val="right"/>
              <w:rPr>
                <w:rFonts w:eastAsia="Calibri"/>
                <w:noProof/>
                <w:sz w:val="20"/>
              </w:rPr>
            </w:pPr>
            <w:r w:rsidRPr="00DF5C23">
              <w:rPr>
                <w:rFonts w:ascii="Arial Narrow" w:hAnsi="Arial Narrow" w:cs="Calibri"/>
                <w:noProof/>
                <w:color w:val="000000"/>
                <w:sz w:val="20"/>
                <w:szCs w:val="20"/>
              </w:rPr>
              <w:t>3,709</w:t>
            </w:r>
          </w:p>
        </w:tc>
        <w:tc>
          <w:tcPr>
            <w:tcW w:w="868" w:type="dxa"/>
            <w:vAlign w:val="center"/>
          </w:tcPr>
          <w:p w14:paraId="77F4F891" w14:textId="77777777" w:rsidR="0038775E" w:rsidRDefault="00877B9C" w:rsidP="002041D4">
            <w:pPr>
              <w:wordWrap w:val="0"/>
              <w:spacing w:before="20" w:after="20"/>
              <w:jc w:val="right"/>
              <w:rPr>
                <w:rFonts w:eastAsia="Calibri"/>
                <w:noProof/>
                <w:sz w:val="20"/>
              </w:rPr>
            </w:pPr>
            <w:r w:rsidRPr="00DF5C23">
              <w:rPr>
                <w:rFonts w:ascii="Arial Narrow" w:hAnsi="Arial Narrow" w:cs="Calibri"/>
                <w:noProof/>
                <w:color w:val="000000"/>
                <w:sz w:val="20"/>
                <w:szCs w:val="20"/>
              </w:rPr>
              <w:t>3,764</w:t>
            </w:r>
          </w:p>
        </w:tc>
        <w:tc>
          <w:tcPr>
            <w:tcW w:w="868" w:type="dxa"/>
            <w:vAlign w:val="center"/>
          </w:tcPr>
          <w:p w14:paraId="0BF0BA88" w14:textId="77777777" w:rsidR="0038775E" w:rsidRDefault="00877B9C" w:rsidP="002041D4">
            <w:pPr>
              <w:wordWrap w:val="0"/>
              <w:spacing w:before="20" w:after="20"/>
              <w:jc w:val="right"/>
              <w:rPr>
                <w:rFonts w:eastAsia="Calibri"/>
                <w:noProof/>
                <w:sz w:val="20"/>
              </w:rPr>
            </w:pPr>
            <w:r w:rsidRPr="00DF5C23">
              <w:rPr>
                <w:rFonts w:ascii="Arial Narrow" w:hAnsi="Arial Narrow" w:cs="Calibri"/>
                <w:noProof/>
                <w:color w:val="000000"/>
                <w:sz w:val="20"/>
                <w:szCs w:val="20"/>
              </w:rPr>
              <w:t>3,830</w:t>
            </w:r>
          </w:p>
        </w:tc>
        <w:tc>
          <w:tcPr>
            <w:tcW w:w="881" w:type="dxa"/>
            <w:vAlign w:val="center"/>
          </w:tcPr>
          <w:p w14:paraId="2D309D98" w14:textId="77777777" w:rsidR="0038775E" w:rsidRDefault="00877B9C" w:rsidP="002041D4">
            <w:pPr>
              <w:wordWrap w:val="0"/>
              <w:spacing w:before="20" w:after="20"/>
              <w:jc w:val="right"/>
              <w:rPr>
                <w:rFonts w:eastAsia="Calibri"/>
                <w:noProof/>
                <w:sz w:val="20"/>
              </w:rPr>
            </w:pPr>
            <w:r w:rsidRPr="00DF5C23">
              <w:rPr>
                <w:rFonts w:ascii="Arial Narrow" w:hAnsi="Arial Narrow" w:cs="Calibri"/>
                <w:noProof/>
                <w:color w:val="000000"/>
                <w:sz w:val="20"/>
                <w:szCs w:val="20"/>
              </w:rPr>
              <w:t>3,970</w:t>
            </w:r>
          </w:p>
        </w:tc>
        <w:tc>
          <w:tcPr>
            <w:tcW w:w="851" w:type="dxa"/>
          </w:tcPr>
          <w:p w14:paraId="3D1A8DCF" w14:textId="77777777" w:rsidR="0038775E" w:rsidRDefault="00877B9C" w:rsidP="002041D4">
            <w:pPr>
              <w:wordWrap w:val="0"/>
              <w:spacing w:before="20" w:after="20"/>
              <w:jc w:val="right"/>
              <w:rPr>
                <w:rFonts w:ascii="Arial Narrow" w:hAnsi="Arial Narrow" w:cs="Calibri"/>
                <w:noProof/>
                <w:color w:val="000000"/>
                <w:sz w:val="20"/>
                <w:szCs w:val="20"/>
              </w:rPr>
            </w:pPr>
            <w:r w:rsidRPr="00DF5C23">
              <w:rPr>
                <w:rFonts w:ascii="Arial Narrow" w:hAnsi="Arial Narrow" w:cs="Calibri"/>
                <w:noProof/>
                <w:color w:val="000000"/>
                <w:sz w:val="20"/>
                <w:szCs w:val="20"/>
              </w:rPr>
              <w:t>4,807</w:t>
            </w:r>
          </w:p>
        </w:tc>
        <w:tc>
          <w:tcPr>
            <w:tcW w:w="1701" w:type="dxa"/>
            <w:vAlign w:val="center"/>
          </w:tcPr>
          <w:p w14:paraId="3EBF23E1" w14:textId="77777777" w:rsidR="0038775E" w:rsidRDefault="00877B9C" w:rsidP="002041D4">
            <w:pPr>
              <w:wordWrap w:val="0"/>
              <w:spacing w:before="20" w:after="20"/>
              <w:jc w:val="right"/>
              <w:rPr>
                <w:rFonts w:eastAsia="Calibri"/>
                <w:b/>
                <w:noProof/>
                <w:sz w:val="20"/>
              </w:rPr>
            </w:pPr>
            <w:r w:rsidRPr="00DF5C23">
              <w:rPr>
                <w:rFonts w:ascii="Arial Narrow" w:hAnsi="Arial Narrow" w:cs="Calibri"/>
                <w:noProof/>
                <w:color w:val="000000"/>
                <w:sz w:val="20"/>
                <w:szCs w:val="20"/>
              </w:rPr>
              <w:t>23,338</w:t>
            </w:r>
          </w:p>
        </w:tc>
      </w:tr>
      <w:tr w:rsidR="005C61BF" w:rsidRPr="00DF5C23" w14:paraId="2C3A5B3A" w14:textId="77777777" w:rsidTr="00224662">
        <w:trPr>
          <w:trHeight w:val="533"/>
        </w:trPr>
        <w:tc>
          <w:tcPr>
            <w:tcW w:w="5400" w:type="dxa"/>
            <w:gridSpan w:val="2"/>
            <w:vAlign w:val="center"/>
          </w:tcPr>
          <w:p w14:paraId="45D034DF" w14:textId="77777777" w:rsidR="0038775E" w:rsidRDefault="00877B9C" w:rsidP="002041D4">
            <w:pPr>
              <w:wordWrap w:val="0"/>
              <w:spacing w:beforeLines="20" w:before="48" w:afterLines="20" w:after="48"/>
              <w:rPr>
                <w:rFonts w:eastAsia="Calibri"/>
                <w:noProof/>
                <w:lang w:eastAsia="ja-JP"/>
              </w:rPr>
            </w:pPr>
            <w:r w:rsidRPr="00DF5C23">
              <w:rPr>
                <w:rFonts w:eastAsia="Calibri"/>
                <w:noProof/>
                <w:sz w:val="21"/>
              </w:rPr>
              <w:sym w:font="Wingdings" w:char="F09F"/>
            </w:r>
            <w:r w:rsidRPr="00DF5C23">
              <w:rPr>
                <w:rFonts w:eastAsia="Calibri"/>
                <w:noProof/>
                <w:sz w:val="21"/>
                <w:lang w:eastAsia="ja-JP"/>
              </w:rPr>
              <w:t xml:space="preserve"> </w:t>
            </w:r>
            <w:r w:rsidRPr="00DF5C23">
              <w:rPr>
                <w:rFonts w:eastAsia="Calibri"/>
                <w:noProof/>
                <w:sz w:val="21"/>
                <w:lang w:eastAsia="ja-JP"/>
              </w:rPr>
              <w:t>特定のプログラムのためのエンベロープから資金を調達する行政的性質の充当金合計。</w:t>
            </w:r>
            <w:r w:rsidRPr="00DF5C23">
              <w:rPr>
                <w:rFonts w:eastAsia="Calibri"/>
                <w:noProof/>
                <w:sz w:val="21"/>
                <w:lang w:eastAsia="ja-JP"/>
              </w:rPr>
              <w:t xml:space="preserve"> </w:t>
            </w:r>
          </w:p>
        </w:tc>
        <w:tc>
          <w:tcPr>
            <w:tcW w:w="654" w:type="dxa"/>
            <w:vAlign w:val="center"/>
          </w:tcPr>
          <w:p w14:paraId="5F892973" w14:textId="77777777" w:rsidR="0038775E" w:rsidRDefault="00877B9C" w:rsidP="002041D4">
            <w:pPr>
              <w:wordWrap w:val="0"/>
              <w:spacing w:beforeLines="20" w:before="48" w:afterLines="20" w:after="48"/>
              <w:jc w:val="center"/>
              <w:rPr>
                <w:rFonts w:eastAsia="Calibri"/>
                <w:noProof/>
                <w:sz w:val="14"/>
              </w:rPr>
            </w:pPr>
            <w:r w:rsidRPr="00DF5C23">
              <w:rPr>
                <w:rFonts w:eastAsia="Calibri"/>
                <w:noProof/>
                <w:sz w:val="14"/>
              </w:rPr>
              <w:t>(6)</w:t>
            </w:r>
          </w:p>
        </w:tc>
        <w:tc>
          <w:tcPr>
            <w:tcW w:w="868" w:type="dxa"/>
            <w:vAlign w:val="center"/>
          </w:tcPr>
          <w:p w14:paraId="2C3A5B32" w14:textId="77777777" w:rsidR="005C61BF" w:rsidRPr="00DF5C23" w:rsidRDefault="005C61BF" w:rsidP="002041D4">
            <w:pPr>
              <w:wordWrap w:val="0"/>
              <w:spacing w:before="20" w:after="20"/>
              <w:jc w:val="right"/>
              <w:rPr>
                <w:rFonts w:eastAsia="Calibri"/>
                <w:b/>
                <w:noProof/>
                <w:sz w:val="20"/>
              </w:rPr>
            </w:pPr>
          </w:p>
        </w:tc>
        <w:tc>
          <w:tcPr>
            <w:tcW w:w="868" w:type="dxa"/>
            <w:vAlign w:val="center"/>
          </w:tcPr>
          <w:p w14:paraId="2C3A5B33" w14:textId="77777777" w:rsidR="005C61BF" w:rsidRPr="00DF5C23" w:rsidRDefault="005C61BF" w:rsidP="002041D4">
            <w:pPr>
              <w:wordWrap w:val="0"/>
              <w:spacing w:before="20" w:after="20"/>
              <w:jc w:val="right"/>
              <w:rPr>
                <w:rFonts w:eastAsia="Calibri"/>
                <w:b/>
                <w:noProof/>
                <w:sz w:val="20"/>
              </w:rPr>
            </w:pPr>
          </w:p>
        </w:tc>
        <w:tc>
          <w:tcPr>
            <w:tcW w:w="868" w:type="dxa"/>
            <w:vAlign w:val="center"/>
          </w:tcPr>
          <w:p w14:paraId="2C3A5B34" w14:textId="77777777" w:rsidR="005C61BF" w:rsidRPr="00DF5C23" w:rsidRDefault="005C61BF" w:rsidP="002041D4">
            <w:pPr>
              <w:wordWrap w:val="0"/>
              <w:spacing w:before="20" w:after="20"/>
              <w:jc w:val="right"/>
              <w:rPr>
                <w:rFonts w:eastAsia="Calibri"/>
                <w:b/>
                <w:noProof/>
                <w:sz w:val="20"/>
              </w:rPr>
            </w:pPr>
          </w:p>
        </w:tc>
        <w:tc>
          <w:tcPr>
            <w:tcW w:w="868" w:type="dxa"/>
            <w:vAlign w:val="center"/>
          </w:tcPr>
          <w:p w14:paraId="2C3A5B35" w14:textId="77777777" w:rsidR="005C61BF" w:rsidRPr="00DF5C23" w:rsidRDefault="005C61BF" w:rsidP="002041D4">
            <w:pPr>
              <w:wordWrap w:val="0"/>
              <w:spacing w:before="20" w:after="20"/>
              <w:jc w:val="right"/>
              <w:rPr>
                <w:rFonts w:eastAsia="Calibri"/>
                <w:b/>
                <w:noProof/>
                <w:sz w:val="20"/>
              </w:rPr>
            </w:pPr>
          </w:p>
        </w:tc>
        <w:tc>
          <w:tcPr>
            <w:tcW w:w="868" w:type="dxa"/>
            <w:vAlign w:val="center"/>
          </w:tcPr>
          <w:p w14:paraId="2C3A5B36" w14:textId="77777777" w:rsidR="005C61BF" w:rsidRPr="00DF5C23" w:rsidRDefault="005C61BF" w:rsidP="002041D4">
            <w:pPr>
              <w:wordWrap w:val="0"/>
              <w:spacing w:before="20" w:after="20"/>
              <w:jc w:val="right"/>
              <w:rPr>
                <w:rFonts w:eastAsia="Calibri"/>
                <w:b/>
                <w:noProof/>
                <w:sz w:val="20"/>
              </w:rPr>
            </w:pPr>
          </w:p>
        </w:tc>
        <w:tc>
          <w:tcPr>
            <w:tcW w:w="881" w:type="dxa"/>
            <w:vAlign w:val="center"/>
          </w:tcPr>
          <w:p w14:paraId="2C3A5B37" w14:textId="77777777" w:rsidR="005C61BF" w:rsidRPr="00DF5C23" w:rsidRDefault="005C61BF" w:rsidP="002041D4">
            <w:pPr>
              <w:wordWrap w:val="0"/>
              <w:spacing w:before="20" w:after="20"/>
              <w:jc w:val="right"/>
              <w:rPr>
                <w:rFonts w:eastAsia="Calibri"/>
                <w:b/>
                <w:noProof/>
                <w:sz w:val="20"/>
              </w:rPr>
            </w:pPr>
          </w:p>
        </w:tc>
        <w:tc>
          <w:tcPr>
            <w:tcW w:w="851" w:type="dxa"/>
          </w:tcPr>
          <w:p w14:paraId="2C3A5B38" w14:textId="77777777" w:rsidR="00224662" w:rsidRPr="00DF5C23" w:rsidRDefault="00224662" w:rsidP="002041D4">
            <w:pPr>
              <w:wordWrap w:val="0"/>
              <w:spacing w:before="20" w:after="20"/>
              <w:jc w:val="right"/>
              <w:rPr>
                <w:rFonts w:eastAsia="Calibri"/>
                <w:b/>
                <w:noProof/>
                <w:sz w:val="20"/>
              </w:rPr>
            </w:pPr>
          </w:p>
        </w:tc>
        <w:tc>
          <w:tcPr>
            <w:tcW w:w="1701" w:type="dxa"/>
            <w:vAlign w:val="center"/>
          </w:tcPr>
          <w:p w14:paraId="2C3A5B39" w14:textId="77777777" w:rsidR="005C61BF" w:rsidRPr="00DF5C23" w:rsidRDefault="005C61BF" w:rsidP="002041D4">
            <w:pPr>
              <w:wordWrap w:val="0"/>
              <w:spacing w:before="20" w:after="20"/>
              <w:jc w:val="right"/>
              <w:rPr>
                <w:rFonts w:eastAsia="Calibri"/>
                <w:b/>
                <w:noProof/>
                <w:sz w:val="20"/>
              </w:rPr>
            </w:pPr>
          </w:p>
        </w:tc>
      </w:tr>
      <w:tr w:rsidR="005C61BF" w:rsidRPr="00DF5C23" w14:paraId="2C3A5B46" w14:textId="77777777" w:rsidTr="00224662">
        <w:tc>
          <w:tcPr>
            <w:tcW w:w="3960" w:type="dxa"/>
            <w:vMerge w:val="restart"/>
            <w:shd w:val="thinDiagStripe" w:color="C0C0C0" w:fill="auto"/>
            <w:vAlign w:val="center"/>
          </w:tcPr>
          <w:p w14:paraId="2C0803D6" w14:textId="77777777" w:rsidR="0038775E" w:rsidRDefault="00877B9C" w:rsidP="002041D4">
            <w:pPr>
              <w:wordWrap w:val="0"/>
              <w:jc w:val="center"/>
              <w:rPr>
                <w:rFonts w:eastAsia="Calibri"/>
                <w:b/>
                <w:noProof/>
                <w:lang w:eastAsia="ja-JP"/>
              </w:rPr>
            </w:pPr>
            <w:r w:rsidRPr="00DF5C23">
              <w:rPr>
                <w:rFonts w:eastAsia="Calibri"/>
                <w:b/>
                <w:noProof/>
                <w:sz w:val="22"/>
                <w:lang w:eastAsia="ja-JP"/>
              </w:rPr>
              <w:t>総支給額</w:t>
            </w:r>
            <w:r w:rsidRPr="00DF5C23">
              <w:rPr>
                <w:rFonts w:eastAsia="Calibri"/>
                <w:b/>
                <w:noProof/>
                <w:sz w:val="22"/>
                <w:lang w:eastAsia="ja-JP"/>
              </w:rPr>
              <w:t xml:space="preserve"> </w:t>
            </w:r>
            <w:r w:rsidRPr="00DF5C23">
              <w:rPr>
                <w:rFonts w:eastAsia="Calibri"/>
                <w:noProof/>
                <w:sz w:val="22"/>
                <w:lang w:eastAsia="ja-JP"/>
              </w:rPr>
              <w:br/>
            </w:r>
            <w:r w:rsidRPr="00DF5C23">
              <w:rPr>
                <w:rFonts w:eastAsia="Calibri"/>
                <w:noProof/>
                <w:sz w:val="22"/>
                <w:lang w:eastAsia="ja-JP"/>
              </w:rPr>
              <w:br/>
            </w:r>
            <w:r w:rsidRPr="00DF5C23">
              <w:rPr>
                <w:rFonts w:eastAsia="Calibri"/>
                <w:noProof/>
                <w:sz w:val="22"/>
                <w:lang w:eastAsia="ja-JP"/>
              </w:rPr>
              <w:t>多年間財務枠組みの</w:t>
            </w:r>
            <w:r w:rsidRPr="00DF5C23">
              <w:rPr>
                <w:rFonts w:eastAsia="Calibri"/>
                <w:b/>
                <w:noProof/>
                <w:sz w:val="22"/>
                <w:lang w:eastAsia="ja-JP"/>
              </w:rPr>
              <w:t>見出し</w:t>
            </w:r>
            <w:r w:rsidRPr="00DF5C23">
              <w:rPr>
                <w:rFonts w:eastAsia="Calibri"/>
                <w:b/>
                <w:noProof/>
                <w:sz w:val="22"/>
                <w:lang w:eastAsia="ja-JP"/>
              </w:rPr>
              <w:t>1</w:t>
            </w:r>
            <w:r w:rsidRPr="00DF5C23">
              <w:rPr>
                <w:rFonts w:eastAsia="Calibri"/>
                <w:b/>
                <w:noProof/>
                <w:sz w:val="22"/>
                <w:lang w:eastAsia="ja-JP"/>
              </w:rPr>
              <w:t>において</w:t>
            </w:r>
          </w:p>
        </w:tc>
        <w:tc>
          <w:tcPr>
            <w:tcW w:w="1440" w:type="dxa"/>
            <w:vAlign w:val="center"/>
          </w:tcPr>
          <w:p w14:paraId="4A87E12A" w14:textId="77777777" w:rsidR="0038775E" w:rsidRDefault="00877B9C" w:rsidP="002041D4">
            <w:pPr>
              <w:wordWrap w:val="0"/>
              <w:rPr>
                <w:rFonts w:eastAsia="Calibri"/>
                <w:noProof/>
                <w:sz w:val="18"/>
              </w:rPr>
            </w:pPr>
            <w:r w:rsidRPr="00DF5C23">
              <w:rPr>
                <w:rFonts w:eastAsia="Calibri"/>
                <w:noProof/>
                <w:sz w:val="18"/>
              </w:rPr>
              <w:t>コミットメント</w:t>
            </w:r>
          </w:p>
        </w:tc>
        <w:tc>
          <w:tcPr>
            <w:tcW w:w="654" w:type="dxa"/>
            <w:vAlign w:val="center"/>
          </w:tcPr>
          <w:p w14:paraId="59D5D97B" w14:textId="77777777" w:rsidR="0038775E" w:rsidRDefault="00877B9C" w:rsidP="002041D4">
            <w:pPr>
              <w:wordWrap w:val="0"/>
              <w:jc w:val="center"/>
              <w:rPr>
                <w:rFonts w:eastAsia="Calibri"/>
                <w:noProof/>
                <w:sz w:val="14"/>
              </w:rPr>
            </w:pPr>
            <w:r w:rsidRPr="00DF5C23">
              <w:rPr>
                <w:rFonts w:eastAsia="Calibri"/>
                <w:noProof/>
                <w:sz w:val="14"/>
              </w:rPr>
              <w:t>=4+ 6</w:t>
            </w:r>
          </w:p>
        </w:tc>
        <w:tc>
          <w:tcPr>
            <w:tcW w:w="868" w:type="dxa"/>
            <w:vAlign w:val="center"/>
          </w:tcPr>
          <w:p w14:paraId="7C05199F" w14:textId="77777777" w:rsidR="0038775E" w:rsidRDefault="00877B9C" w:rsidP="002041D4">
            <w:pPr>
              <w:wordWrap w:val="0"/>
              <w:spacing w:before="20" w:after="20"/>
              <w:jc w:val="right"/>
              <w:rPr>
                <w:rFonts w:eastAsia="Calibri"/>
                <w:noProof/>
                <w:sz w:val="20"/>
              </w:rPr>
            </w:pPr>
            <w:r w:rsidRPr="00DF5C23">
              <w:rPr>
                <w:rFonts w:ascii="Arial Narrow" w:hAnsi="Arial Narrow" w:cs="Calibri"/>
                <w:noProof/>
                <w:color w:val="000000"/>
                <w:sz w:val="20"/>
                <w:szCs w:val="20"/>
              </w:rPr>
              <w:t>3,402</w:t>
            </w:r>
          </w:p>
        </w:tc>
        <w:tc>
          <w:tcPr>
            <w:tcW w:w="868" w:type="dxa"/>
            <w:vAlign w:val="center"/>
          </w:tcPr>
          <w:p w14:paraId="6AB4F613" w14:textId="77777777" w:rsidR="0038775E" w:rsidRDefault="00877B9C" w:rsidP="002041D4">
            <w:pPr>
              <w:wordWrap w:val="0"/>
              <w:spacing w:before="20" w:after="20"/>
              <w:jc w:val="right"/>
              <w:rPr>
                <w:rFonts w:eastAsia="Calibri"/>
                <w:noProof/>
                <w:sz w:val="20"/>
              </w:rPr>
            </w:pPr>
            <w:r w:rsidRPr="00DF5C23">
              <w:rPr>
                <w:rFonts w:ascii="Arial Narrow" w:hAnsi="Arial Narrow" w:cs="Calibri"/>
                <w:noProof/>
                <w:color w:val="000000"/>
                <w:sz w:val="20"/>
                <w:szCs w:val="20"/>
              </w:rPr>
              <w:t>4,056</w:t>
            </w:r>
          </w:p>
        </w:tc>
        <w:tc>
          <w:tcPr>
            <w:tcW w:w="868" w:type="dxa"/>
            <w:vAlign w:val="center"/>
          </w:tcPr>
          <w:p w14:paraId="3B5126EC" w14:textId="77777777" w:rsidR="0038775E" w:rsidRDefault="00877B9C" w:rsidP="002041D4">
            <w:pPr>
              <w:wordWrap w:val="0"/>
              <w:spacing w:before="20" w:after="20"/>
              <w:jc w:val="right"/>
              <w:rPr>
                <w:rFonts w:eastAsia="Calibri"/>
                <w:noProof/>
                <w:sz w:val="20"/>
              </w:rPr>
            </w:pPr>
            <w:r w:rsidRPr="00DF5C23">
              <w:rPr>
                <w:rFonts w:ascii="Arial Narrow" w:hAnsi="Arial Narrow" w:cs="Calibri"/>
                <w:noProof/>
                <w:color w:val="000000"/>
                <w:sz w:val="20"/>
                <w:szCs w:val="20"/>
              </w:rPr>
              <w:t>3,770</w:t>
            </w:r>
          </w:p>
        </w:tc>
        <w:tc>
          <w:tcPr>
            <w:tcW w:w="868" w:type="dxa"/>
            <w:vAlign w:val="center"/>
          </w:tcPr>
          <w:p w14:paraId="334EF46A" w14:textId="77777777" w:rsidR="0038775E" w:rsidRDefault="00877B9C" w:rsidP="002041D4">
            <w:pPr>
              <w:wordWrap w:val="0"/>
              <w:spacing w:before="20" w:after="20"/>
              <w:jc w:val="right"/>
              <w:rPr>
                <w:rFonts w:eastAsia="Calibri"/>
                <w:noProof/>
                <w:sz w:val="20"/>
              </w:rPr>
            </w:pPr>
            <w:r w:rsidRPr="00DF5C23">
              <w:rPr>
                <w:rFonts w:ascii="Arial Narrow" w:hAnsi="Arial Narrow" w:cs="Calibri"/>
                <w:noProof/>
                <w:color w:val="000000"/>
                <w:sz w:val="20"/>
                <w:szCs w:val="20"/>
              </w:rPr>
              <w:t>3,370</w:t>
            </w:r>
          </w:p>
        </w:tc>
        <w:tc>
          <w:tcPr>
            <w:tcW w:w="868" w:type="dxa"/>
            <w:vAlign w:val="center"/>
          </w:tcPr>
          <w:p w14:paraId="770367B0" w14:textId="77777777" w:rsidR="0038775E" w:rsidRDefault="00877B9C" w:rsidP="002041D4">
            <w:pPr>
              <w:wordWrap w:val="0"/>
              <w:spacing w:before="20" w:after="20"/>
              <w:jc w:val="right"/>
              <w:rPr>
                <w:rFonts w:eastAsia="Calibri"/>
                <w:noProof/>
                <w:sz w:val="20"/>
              </w:rPr>
            </w:pPr>
            <w:r w:rsidRPr="00DF5C23">
              <w:rPr>
                <w:rFonts w:ascii="Arial Narrow" w:hAnsi="Arial Narrow" w:cs="Calibri"/>
                <w:noProof/>
                <w:color w:val="000000"/>
                <w:sz w:val="20"/>
                <w:szCs w:val="20"/>
              </w:rPr>
              <w:t>4,370</w:t>
            </w:r>
          </w:p>
        </w:tc>
        <w:tc>
          <w:tcPr>
            <w:tcW w:w="881" w:type="dxa"/>
            <w:vAlign w:val="center"/>
          </w:tcPr>
          <w:p w14:paraId="58ADBB54" w14:textId="77777777" w:rsidR="0038775E" w:rsidRDefault="00877B9C" w:rsidP="002041D4">
            <w:pPr>
              <w:wordWrap w:val="0"/>
              <w:spacing w:before="20" w:after="20"/>
              <w:jc w:val="right"/>
              <w:rPr>
                <w:rFonts w:eastAsia="Calibri"/>
                <w:noProof/>
                <w:sz w:val="20"/>
              </w:rPr>
            </w:pPr>
            <w:r w:rsidRPr="00DF5C23">
              <w:rPr>
                <w:rFonts w:ascii="Arial Narrow" w:hAnsi="Arial Narrow" w:cs="Calibri"/>
                <w:noProof/>
                <w:color w:val="000000"/>
                <w:sz w:val="20"/>
                <w:szCs w:val="20"/>
              </w:rPr>
              <w:t>4,370</w:t>
            </w:r>
          </w:p>
        </w:tc>
        <w:tc>
          <w:tcPr>
            <w:tcW w:w="851" w:type="dxa"/>
          </w:tcPr>
          <w:p w14:paraId="2C3A5B44" w14:textId="77777777" w:rsidR="00224662" w:rsidRPr="00DF5C23" w:rsidRDefault="00224662" w:rsidP="002041D4">
            <w:pPr>
              <w:wordWrap w:val="0"/>
              <w:spacing w:before="20" w:after="20"/>
              <w:jc w:val="right"/>
              <w:rPr>
                <w:rFonts w:ascii="Arial Narrow" w:hAnsi="Arial Narrow" w:cs="Calibri"/>
                <w:noProof/>
                <w:color w:val="000000"/>
                <w:sz w:val="20"/>
                <w:szCs w:val="20"/>
              </w:rPr>
            </w:pPr>
          </w:p>
        </w:tc>
        <w:tc>
          <w:tcPr>
            <w:tcW w:w="1701" w:type="dxa"/>
            <w:vAlign w:val="center"/>
          </w:tcPr>
          <w:p w14:paraId="1BF8710A" w14:textId="77777777" w:rsidR="0038775E" w:rsidRDefault="00877B9C" w:rsidP="002041D4">
            <w:pPr>
              <w:wordWrap w:val="0"/>
              <w:spacing w:before="20" w:after="20"/>
              <w:jc w:val="right"/>
              <w:rPr>
                <w:rFonts w:eastAsia="Calibri"/>
                <w:b/>
                <w:noProof/>
                <w:sz w:val="20"/>
              </w:rPr>
            </w:pPr>
            <w:r w:rsidRPr="00DF5C23">
              <w:rPr>
                <w:rFonts w:ascii="Arial Narrow" w:hAnsi="Arial Narrow" w:cs="Calibri"/>
                <w:noProof/>
                <w:color w:val="000000"/>
                <w:sz w:val="20"/>
                <w:szCs w:val="20"/>
              </w:rPr>
              <w:t>23,338</w:t>
            </w:r>
          </w:p>
        </w:tc>
      </w:tr>
      <w:tr w:rsidR="005C61BF" w:rsidRPr="00DF5C23" w14:paraId="2C3A5B52" w14:textId="77777777" w:rsidTr="00224662">
        <w:tc>
          <w:tcPr>
            <w:tcW w:w="3960" w:type="dxa"/>
            <w:vMerge/>
            <w:shd w:val="thinDiagStripe" w:color="C0C0C0" w:fill="auto"/>
          </w:tcPr>
          <w:p w14:paraId="2C3A5B47" w14:textId="77777777" w:rsidR="005C61BF" w:rsidRPr="00DF5C23" w:rsidRDefault="005C61BF" w:rsidP="002041D4">
            <w:pPr>
              <w:wordWrap w:val="0"/>
              <w:rPr>
                <w:rFonts w:eastAsia="Calibri"/>
                <w:noProof/>
                <w:sz w:val="20"/>
              </w:rPr>
            </w:pPr>
          </w:p>
        </w:tc>
        <w:tc>
          <w:tcPr>
            <w:tcW w:w="1440" w:type="dxa"/>
            <w:vAlign w:val="center"/>
          </w:tcPr>
          <w:p w14:paraId="25155936" w14:textId="77777777" w:rsidR="0038775E" w:rsidRDefault="00877B9C" w:rsidP="002041D4">
            <w:pPr>
              <w:wordWrap w:val="0"/>
              <w:rPr>
                <w:rFonts w:eastAsia="Calibri"/>
                <w:noProof/>
                <w:sz w:val="18"/>
              </w:rPr>
            </w:pPr>
            <w:r w:rsidRPr="00DF5C23">
              <w:rPr>
                <w:rFonts w:eastAsia="Calibri"/>
                <w:noProof/>
                <w:sz w:val="18"/>
              </w:rPr>
              <w:t>ペイメント</w:t>
            </w:r>
          </w:p>
        </w:tc>
        <w:tc>
          <w:tcPr>
            <w:tcW w:w="654" w:type="dxa"/>
            <w:vAlign w:val="center"/>
          </w:tcPr>
          <w:p w14:paraId="3F0C3885" w14:textId="77777777" w:rsidR="0038775E" w:rsidRDefault="00877B9C" w:rsidP="002041D4">
            <w:pPr>
              <w:wordWrap w:val="0"/>
              <w:jc w:val="center"/>
              <w:rPr>
                <w:rFonts w:eastAsia="Calibri"/>
                <w:noProof/>
                <w:sz w:val="14"/>
              </w:rPr>
            </w:pPr>
            <w:r w:rsidRPr="00DF5C23">
              <w:rPr>
                <w:rFonts w:eastAsia="Calibri"/>
                <w:noProof/>
                <w:sz w:val="14"/>
              </w:rPr>
              <w:t>=5+ 6</w:t>
            </w:r>
          </w:p>
        </w:tc>
        <w:tc>
          <w:tcPr>
            <w:tcW w:w="868" w:type="dxa"/>
            <w:vAlign w:val="center"/>
          </w:tcPr>
          <w:p w14:paraId="52E1203B" w14:textId="77777777" w:rsidR="0038775E" w:rsidRDefault="00877B9C" w:rsidP="002041D4">
            <w:pPr>
              <w:wordWrap w:val="0"/>
              <w:spacing w:before="20" w:after="20"/>
              <w:jc w:val="right"/>
              <w:rPr>
                <w:rFonts w:eastAsia="Calibri"/>
                <w:noProof/>
                <w:sz w:val="20"/>
              </w:rPr>
            </w:pPr>
            <w:r w:rsidRPr="00DF5C23">
              <w:rPr>
                <w:rFonts w:ascii="Arial Narrow" w:hAnsi="Arial Narrow" w:cs="Calibri"/>
                <w:noProof/>
                <w:color w:val="000000"/>
                <w:sz w:val="20"/>
                <w:szCs w:val="20"/>
              </w:rPr>
              <w:t>1,021</w:t>
            </w:r>
          </w:p>
        </w:tc>
        <w:tc>
          <w:tcPr>
            <w:tcW w:w="868" w:type="dxa"/>
            <w:vAlign w:val="center"/>
          </w:tcPr>
          <w:p w14:paraId="219E5013" w14:textId="77777777" w:rsidR="0038775E" w:rsidRDefault="00877B9C" w:rsidP="002041D4">
            <w:pPr>
              <w:wordWrap w:val="0"/>
              <w:spacing w:before="20" w:after="20"/>
              <w:jc w:val="right"/>
              <w:rPr>
                <w:rFonts w:eastAsia="Calibri"/>
                <w:noProof/>
                <w:sz w:val="20"/>
              </w:rPr>
            </w:pPr>
            <w:r w:rsidRPr="00DF5C23">
              <w:rPr>
                <w:rFonts w:ascii="Arial Narrow" w:hAnsi="Arial Narrow" w:cs="Calibri"/>
                <w:noProof/>
                <w:color w:val="000000"/>
                <w:sz w:val="20"/>
                <w:szCs w:val="20"/>
              </w:rPr>
              <w:t>2,237</w:t>
            </w:r>
          </w:p>
        </w:tc>
        <w:tc>
          <w:tcPr>
            <w:tcW w:w="868" w:type="dxa"/>
            <w:vAlign w:val="center"/>
          </w:tcPr>
          <w:p w14:paraId="5172BE2C" w14:textId="77777777" w:rsidR="0038775E" w:rsidRDefault="00877B9C" w:rsidP="002041D4">
            <w:pPr>
              <w:wordWrap w:val="0"/>
              <w:spacing w:before="20" w:after="20"/>
              <w:jc w:val="right"/>
              <w:rPr>
                <w:rFonts w:eastAsia="Calibri"/>
                <w:noProof/>
                <w:sz w:val="20"/>
              </w:rPr>
            </w:pPr>
            <w:r w:rsidRPr="00DF5C23">
              <w:rPr>
                <w:rFonts w:ascii="Arial Narrow" w:hAnsi="Arial Narrow" w:cs="Calibri"/>
                <w:noProof/>
                <w:color w:val="000000"/>
                <w:sz w:val="20"/>
                <w:szCs w:val="20"/>
              </w:rPr>
              <w:t>3,709</w:t>
            </w:r>
          </w:p>
        </w:tc>
        <w:tc>
          <w:tcPr>
            <w:tcW w:w="868" w:type="dxa"/>
            <w:vAlign w:val="center"/>
          </w:tcPr>
          <w:p w14:paraId="39F66C96" w14:textId="77777777" w:rsidR="0038775E" w:rsidRDefault="00877B9C" w:rsidP="002041D4">
            <w:pPr>
              <w:wordWrap w:val="0"/>
              <w:spacing w:before="20" w:after="20"/>
              <w:jc w:val="right"/>
              <w:rPr>
                <w:rFonts w:eastAsia="Calibri"/>
                <w:noProof/>
                <w:sz w:val="20"/>
              </w:rPr>
            </w:pPr>
            <w:r w:rsidRPr="00DF5C23">
              <w:rPr>
                <w:rFonts w:ascii="Arial Narrow" w:hAnsi="Arial Narrow" w:cs="Calibri"/>
                <w:noProof/>
                <w:color w:val="000000"/>
                <w:sz w:val="20"/>
                <w:szCs w:val="20"/>
              </w:rPr>
              <w:t>3,764</w:t>
            </w:r>
          </w:p>
        </w:tc>
        <w:tc>
          <w:tcPr>
            <w:tcW w:w="868" w:type="dxa"/>
            <w:vAlign w:val="center"/>
          </w:tcPr>
          <w:p w14:paraId="3DB07EB9" w14:textId="77777777" w:rsidR="0038775E" w:rsidRDefault="00877B9C" w:rsidP="002041D4">
            <w:pPr>
              <w:wordWrap w:val="0"/>
              <w:spacing w:before="20" w:after="20"/>
              <w:jc w:val="right"/>
              <w:rPr>
                <w:rFonts w:eastAsia="Calibri"/>
                <w:noProof/>
                <w:sz w:val="20"/>
              </w:rPr>
            </w:pPr>
            <w:r w:rsidRPr="00DF5C23">
              <w:rPr>
                <w:rFonts w:ascii="Arial Narrow" w:hAnsi="Arial Narrow" w:cs="Calibri"/>
                <w:noProof/>
                <w:color w:val="000000"/>
                <w:sz w:val="20"/>
                <w:szCs w:val="20"/>
              </w:rPr>
              <w:t>3,830</w:t>
            </w:r>
          </w:p>
        </w:tc>
        <w:tc>
          <w:tcPr>
            <w:tcW w:w="881" w:type="dxa"/>
            <w:vAlign w:val="center"/>
          </w:tcPr>
          <w:p w14:paraId="36FA5CF1" w14:textId="77777777" w:rsidR="0038775E" w:rsidRDefault="00877B9C" w:rsidP="002041D4">
            <w:pPr>
              <w:wordWrap w:val="0"/>
              <w:spacing w:before="20" w:after="20"/>
              <w:jc w:val="right"/>
              <w:rPr>
                <w:rFonts w:eastAsia="Calibri"/>
                <w:noProof/>
                <w:sz w:val="20"/>
              </w:rPr>
            </w:pPr>
            <w:r w:rsidRPr="00DF5C23">
              <w:rPr>
                <w:rFonts w:ascii="Arial Narrow" w:hAnsi="Arial Narrow" w:cs="Calibri"/>
                <w:noProof/>
                <w:color w:val="000000"/>
                <w:sz w:val="20"/>
                <w:szCs w:val="20"/>
              </w:rPr>
              <w:t>3,970</w:t>
            </w:r>
          </w:p>
        </w:tc>
        <w:tc>
          <w:tcPr>
            <w:tcW w:w="851" w:type="dxa"/>
          </w:tcPr>
          <w:p w14:paraId="3DCC6C4F" w14:textId="77777777" w:rsidR="0038775E" w:rsidRDefault="00877B9C" w:rsidP="002041D4">
            <w:pPr>
              <w:wordWrap w:val="0"/>
              <w:spacing w:before="20" w:after="20"/>
              <w:jc w:val="right"/>
              <w:rPr>
                <w:rFonts w:ascii="Arial Narrow" w:hAnsi="Arial Narrow" w:cs="Calibri"/>
                <w:noProof/>
                <w:color w:val="000000"/>
                <w:sz w:val="20"/>
                <w:szCs w:val="20"/>
              </w:rPr>
            </w:pPr>
            <w:r w:rsidRPr="00DF5C23">
              <w:rPr>
                <w:rFonts w:ascii="Arial Narrow" w:hAnsi="Arial Narrow" w:cs="Calibri"/>
                <w:noProof/>
                <w:color w:val="000000"/>
                <w:sz w:val="20"/>
                <w:szCs w:val="20"/>
              </w:rPr>
              <w:t>4,807</w:t>
            </w:r>
          </w:p>
        </w:tc>
        <w:tc>
          <w:tcPr>
            <w:tcW w:w="1701" w:type="dxa"/>
            <w:vAlign w:val="center"/>
          </w:tcPr>
          <w:p w14:paraId="6663D59C" w14:textId="77777777" w:rsidR="0038775E" w:rsidRDefault="00877B9C" w:rsidP="002041D4">
            <w:pPr>
              <w:wordWrap w:val="0"/>
              <w:spacing w:before="20" w:after="20"/>
              <w:jc w:val="right"/>
              <w:rPr>
                <w:rFonts w:eastAsia="Calibri"/>
                <w:b/>
                <w:noProof/>
                <w:sz w:val="20"/>
              </w:rPr>
            </w:pPr>
            <w:r w:rsidRPr="00DF5C23">
              <w:rPr>
                <w:rFonts w:ascii="Arial Narrow" w:hAnsi="Arial Narrow" w:cs="Calibri"/>
                <w:noProof/>
                <w:color w:val="000000"/>
                <w:sz w:val="20"/>
                <w:szCs w:val="20"/>
              </w:rPr>
              <w:t>23,338</w:t>
            </w:r>
          </w:p>
        </w:tc>
      </w:tr>
    </w:tbl>
    <w:p w14:paraId="1F06A361" w14:textId="77777777" w:rsidR="0038775E" w:rsidRDefault="00877B9C" w:rsidP="002041D4">
      <w:pPr>
        <w:wordWrap w:val="0"/>
        <w:jc w:val="right"/>
        <w:rPr>
          <w:rFonts w:eastAsia="Calibri"/>
          <w:noProof/>
          <w:sz w:val="18"/>
          <w:szCs w:val="18"/>
          <w:lang w:eastAsia="ja-JP"/>
        </w:rPr>
      </w:pPr>
      <w:r w:rsidRPr="00DF5C23">
        <w:rPr>
          <w:rFonts w:eastAsia="Calibri"/>
          <w:noProof/>
          <w:sz w:val="18"/>
          <w:szCs w:val="18"/>
          <w:lang w:eastAsia="ja-JP"/>
        </w:rPr>
        <w:t>百万ユーロ（小数点以下</w:t>
      </w:r>
      <w:r w:rsidRPr="00DF5C23">
        <w:rPr>
          <w:rFonts w:eastAsia="Calibri"/>
          <w:noProof/>
          <w:sz w:val="18"/>
          <w:szCs w:val="18"/>
          <w:lang w:eastAsia="ja-JP"/>
        </w:rPr>
        <w:t>3</w:t>
      </w:r>
      <w:r w:rsidRPr="00DF5C23">
        <w:rPr>
          <w:rFonts w:eastAsia="Calibri"/>
          <w:noProof/>
          <w:sz w:val="18"/>
          <w:szCs w:val="18"/>
          <w:lang w:eastAsia="ja-JP"/>
        </w:rPr>
        <w:t>桁まで）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BF1765" w:rsidRPr="00DF5C23" w14:paraId="2C3A5B57" w14:textId="77777777" w:rsidTr="00743354">
        <w:trPr>
          <w:jc w:val="center"/>
        </w:trPr>
        <w:tc>
          <w:tcPr>
            <w:tcW w:w="4744" w:type="dxa"/>
            <w:shd w:val="thinDiagStripe" w:color="C0C0C0" w:fill="auto"/>
            <w:vAlign w:val="center"/>
          </w:tcPr>
          <w:p w14:paraId="5CB694AE" w14:textId="77777777" w:rsidR="0038775E" w:rsidRDefault="00877B9C" w:rsidP="002041D4">
            <w:pPr>
              <w:wordWrap w:val="0"/>
              <w:spacing w:before="60" w:after="60"/>
              <w:jc w:val="center"/>
              <w:rPr>
                <w:rFonts w:eastAsia="Calibri"/>
                <w:b/>
                <w:noProof/>
                <w:lang w:eastAsia="ja-JP"/>
              </w:rPr>
            </w:pPr>
            <w:r w:rsidRPr="00DF5C23">
              <w:rPr>
                <w:rFonts w:eastAsia="Calibri"/>
                <w:b/>
                <w:noProof/>
                <w:sz w:val="22"/>
                <w:lang w:eastAsia="ja-JP"/>
              </w:rPr>
              <w:t>多年間財務の見出し</w:t>
            </w:r>
            <w:r w:rsidRPr="00DF5C23">
              <w:rPr>
                <w:rFonts w:eastAsia="Calibri"/>
                <w:b/>
                <w:noProof/>
                <w:sz w:val="22"/>
                <w:lang w:eastAsia="ja-JP"/>
              </w:rPr>
              <w:t xml:space="preserve"> </w:t>
            </w:r>
            <w:r w:rsidRPr="00DF5C23">
              <w:rPr>
                <w:rFonts w:eastAsia="Calibri"/>
                <w:noProof/>
                <w:sz w:val="22"/>
                <w:lang w:eastAsia="ja-JP"/>
              </w:rPr>
              <w:br/>
            </w:r>
            <w:r w:rsidRPr="00DF5C23">
              <w:rPr>
                <w:rFonts w:eastAsia="Calibri"/>
                <w:b/>
                <w:noProof/>
                <w:sz w:val="22"/>
                <w:lang w:eastAsia="ja-JP"/>
              </w:rPr>
              <w:t>フレームワーク</w:t>
            </w:r>
            <w:r w:rsidRPr="00DF5C23">
              <w:rPr>
                <w:rFonts w:eastAsia="Calibri"/>
                <w:b/>
                <w:noProof/>
                <w:sz w:val="22"/>
                <w:lang w:eastAsia="ja-JP"/>
              </w:rPr>
              <w:t xml:space="preserve"> </w:t>
            </w:r>
          </w:p>
        </w:tc>
        <w:tc>
          <w:tcPr>
            <w:tcW w:w="1080" w:type="dxa"/>
            <w:vAlign w:val="center"/>
          </w:tcPr>
          <w:p w14:paraId="6372CC3F" w14:textId="77777777" w:rsidR="0038775E" w:rsidRDefault="00877B9C" w:rsidP="002041D4">
            <w:pPr>
              <w:wordWrap w:val="0"/>
              <w:spacing w:before="60" w:after="60"/>
              <w:jc w:val="center"/>
              <w:rPr>
                <w:rFonts w:eastAsia="Calibri"/>
                <w:noProof/>
              </w:rPr>
            </w:pPr>
            <w:r w:rsidRPr="00DF5C23">
              <w:rPr>
                <w:rFonts w:eastAsia="Calibri"/>
                <w:noProof/>
                <w:sz w:val="22"/>
              </w:rPr>
              <w:t>番号</w:t>
            </w:r>
          </w:p>
        </w:tc>
        <w:tc>
          <w:tcPr>
            <w:tcW w:w="7817" w:type="dxa"/>
            <w:vAlign w:val="center"/>
          </w:tcPr>
          <w:p w14:paraId="46128273" w14:textId="77777777" w:rsidR="0038775E" w:rsidRDefault="00877B9C" w:rsidP="002041D4">
            <w:pPr>
              <w:wordWrap w:val="0"/>
              <w:spacing w:before="60" w:after="60"/>
              <w:rPr>
                <w:rFonts w:eastAsia="Calibri"/>
                <w:noProof/>
                <w:lang w:eastAsia="ja-JP"/>
              </w:rPr>
            </w:pPr>
            <w:r w:rsidRPr="00DF5C23">
              <w:rPr>
                <w:rFonts w:eastAsia="Calibri"/>
                <w:noProof/>
                <w:lang w:eastAsia="ja-JP"/>
              </w:rPr>
              <w:t>見出し</w:t>
            </w:r>
            <w:r w:rsidRPr="00DF5C23">
              <w:rPr>
                <w:rFonts w:eastAsia="Calibri"/>
                <w:noProof/>
                <w:lang w:eastAsia="ja-JP"/>
              </w:rPr>
              <w:t>3</w:t>
            </w:r>
            <w:r w:rsidRPr="00DF5C23">
              <w:rPr>
                <w:rFonts w:eastAsia="Calibri"/>
                <w:noProof/>
                <w:lang w:eastAsia="ja-JP"/>
              </w:rPr>
              <w:t>（天然資源と環境）</w:t>
            </w:r>
          </w:p>
        </w:tc>
      </w:tr>
    </w:tbl>
    <w:p w14:paraId="2C3A5B58" w14:textId="77777777" w:rsidR="00BF1765" w:rsidRPr="00DF5C23" w:rsidRDefault="00BF1765" w:rsidP="002041D4">
      <w:pPr>
        <w:wordWrap w:val="0"/>
        <w:rPr>
          <w:rFonts w:eastAsia="Calibri"/>
          <w:noProof/>
          <w:sz w:val="16"/>
          <w:lang w:eastAsia="ja-JP"/>
        </w:rPr>
      </w:pPr>
    </w:p>
    <w:tbl>
      <w:tblPr>
        <w:tblW w:w="1382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20"/>
        <w:gridCol w:w="534"/>
        <w:gridCol w:w="868"/>
        <w:gridCol w:w="868"/>
        <w:gridCol w:w="868"/>
        <w:gridCol w:w="868"/>
        <w:gridCol w:w="868"/>
        <w:gridCol w:w="881"/>
        <w:gridCol w:w="851"/>
        <w:gridCol w:w="1701"/>
      </w:tblGrid>
      <w:tr w:rsidR="00BF1765" w:rsidRPr="00DF5C23" w14:paraId="2C3A5B64" w14:textId="77777777" w:rsidTr="00EC0E40">
        <w:tc>
          <w:tcPr>
            <w:tcW w:w="3960" w:type="dxa"/>
            <w:vAlign w:val="center"/>
          </w:tcPr>
          <w:p w14:paraId="4F234F64" w14:textId="77777777" w:rsidR="0038775E" w:rsidRDefault="00877B9C" w:rsidP="002041D4">
            <w:pPr>
              <w:wordWrap w:val="0"/>
              <w:jc w:val="center"/>
              <w:rPr>
                <w:rFonts w:eastAsia="Calibri"/>
                <w:noProof/>
              </w:rPr>
            </w:pPr>
            <w:r w:rsidRPr="00DF5C23">
              <w:rPr>
                <w:rFonts w:eastAsia="Calibri"/>
                <w:noProof/>
                <w:sz w:val="22"/>
              </w:rPr>
              <w:t>DG: ENV</w:t>
            </w:r>
          </w:p>
        </w:tc>
        <w:tc>
          <w:tcPr>
            <w:tcW w:w="1560" w:type="dxa"/>
            <w:gridSpan w:val="2"/>
          </w:tcPr>
          <w:p w14:paraId="2C3A5B5A" w14:textId="77777777" w:rsidR="00BF1765" w:rsidRPr="00DF5C23" w:rsidRDefault="00BF1765" w:rsidP="002041D4">
            <w:pPr>
              <w:wordWrap w:val="0"/>
              <w:rPr>
                <w:rFonts w:eastAsia="Calibri"/>
                <w:noProof/>
                <w:sz w:val="20"/>
              </w:rPr>
            </w:pPr>
          </w:p>
        </w:tc>
        <w:tc>
          <w:tcPr>
            <w:tcW w:w="534" w:type="dxa"/>
          </w:tcPr>
          <w:p w14:paraId="2C3A5B5B" w14:textId="77777777" w:rsidR="00BF1765" w:rsidRPr="00DF5C23" w:rsidRDefault="00BF1765" w:rsidP="002041D4">
            <w:pPr>
              <w:wordWrap w:val="0"/>
              <w:jc w:val="center"/>
              <w:rPr>
                <w:rFonts w:eastAsia="Calibri"/>
                <w:noProof/>
                <w:sz w:val="20"/>
              </w:rPr>
            </w:pPr>
          </w:p>
        </w:tc>
        <w:tc>
          <w:tcPr>
            <w:tcW w:w="868" w:type="dxa"/>
            <w:vAlign w:val="center"/>
          </w:tcPr>
          <w:p w14:paraId="18A99276" w14:textId="77777777" w:rsidR="0038775E" w:rsidRDefault="00877B9C" w:rsidP="002041D4">
            <w:pPr>
              <w:wordWrap w:val="0"/>
              <w:jc w:val="center"/>
              <w:rPr>
                <w:rFonts w:eastAsia="Calibri"/>
                <w:noProof/>
                <w:sz w:val="20"/>
              </w:rPr>
            </w:pPr>
            <w:r w:rsidRPr="00DF5C23">
              <w:rPr>
                <w:rFonts w:eastAsia="Calibri"/>
                <w:noProof/>
                <w:sz w:val="20"/>
                <w:szCs w:val="20"/>
              </w:rPr>
              <w:t>年</w:t>
            </w:r>
            <w:r w:rsidRPr="00DF5C23">
              <w:rPr>
                <w:rFonts w:eastAsia="Calibri"/>
                <w:noProof/>
                <w:sz w:val="22"/>
              </w:rPr>
              <w:br/>
            </w:r>
            <w:r w:rsidRPr="00DF5C23">
              <w:rPr>
                <w:rFonts w:eastAsia="Calibri"/>
                <w:b/>
                <w:bCs/>
                <w:noProof/>
                <w:sz w:val="20"/>
                <w:szCs w:val="20"/>
              </w:rPr>
              <w:t>2022</w:t>
            </w:r>
          </w:p>
        </w:tc>
        <w:tc>
          <w:tcPr>
            <w:tcW w:w="868" w:type="dxa"/>
            <w:vAlign w:val="center"/>
          </w:tcPr>
          <w:p w14:paraId="3C647842" w14:textId="77777777" w:rsidR="0038775E" w:rsidRDefault="00877B9C" w:rsidP="002041D4">
            <w:pPr>
              <w:wordWrap w:val="0"/>
              <w:jc w:val="center"/>
              <w:rPr>
                <w:rFonts w:eastAsia="Calibri"/>
                <w:noProof/>
                <w:sz w:val="20"/>
              </w:rPr>
            </w:pPr>
            <w:r w:rsidRPr="00DF5C23">
              <w:rPr>
                <w:rFonts w:eastAsia="Calibri"/>
                <w:noProof/>
                <w:sz w:val="20"/>
              </w:rPr>
              <w:t>年</w:t>
            </w:r>
            <w:r w:rsidRPr="00DF5C23">
              <w:rPr>
                <w:rFonts w:eastAsia="Calibri"/>
                <w:noProof/>
                <w:sz w:val="22"/>
              </w:rPr>
              <w:br/>
            </w:r>
            <w:r w:rsidRPr="00DF5C23">
              <w:rPr>
                <w:rFonts w:eastAsia="Calibri"/>
                <w:b/>
                <w:noProof/>
                <w:sz w:val="20"/>
              </w:rPr>
              <w:t>2023</w:t>
            </w:r>
          </w:p>
        </w:tc>
        <w:tc>
          <w:tcPr>
            <w:tcW w:w="868" w:type="dxa"/>
            <w:vAlign w:val="center"/>
          </w:tcPr>
          <w:p w14:paraId="75664913" w14:textId="77777777" w:rsidR="0038775E" w:rsidRDefault="00877B9C" w:rsidP="002041D4">
            <w:pPr>
              <w:wordWrap w:val="0"/>
              <w:jc w:val="center"/>
              <w:rPr>
                <w:rFonts w:eastAsia="Calibri"/>
                <w:noProof/>
                <w:sz w:val="20"/>
              </w:rPr>
            </w:pPr>
            <w:r w:rsidRPr="00DF5C23">
              <w:rPr>
                <w:rFonts w:eastAsia="Calibri"/>
                <w:noProof/>
                <w:sz w:val="20"/>
              </w:rPr>
              <w:t>年</w:t>
            </w:r>
            <w:r w:rsidRPr="00DF5C23">
              <w:rPr>
                <w:rFonts w:eastAsia="Calibri"/>
                <w:noProof/>
                <w:sz w:val="22"/>
              </w:rPr>
              <w:br/>
            </w:r>
            <w:r w:rsidRPr="00DF5C23">
              <w:rPr>
                <w:rFonts w:eastAsia="Calibri"/>
                <w:b/>
                <w:noProof/>
                <w:sz w:val="20"/>
              </w:rPr>
              <w:t>2024</w:t>
            </w:r>
          </w:p>
        </w:tc>
        <w:tc>
          <w:tcPr>
            <w:tcW w:w="868" w:type="dxa"/>
            <w:vAlign w:val="center"/>
          </w:tcPr>
          <w:p w14:paraId="700E5A95" w14:textId="77777777" w:rsidR="0038775E" w:rsidRDefault="00877B9C" w:rsidP="002041D4">
            <w:pPr>
              <w:wordWrap w:val="0"/>
              <w:jc w:val="center"/>
              <w:rPr>
                <w:rFonts w:eastAsia="Calibri"/>
                <w:noProof/>
                <w:sz w:val="20"/>
              </w:rPr>
            </w:pPr>
            <w:r w:rsidRPr="00DF5C23">
              <w:rPr>
                <w:rFonts w:eastAsia="Calibri"/>
                <w:noProof/>
                <w:sz w:val="20"/>
              </w:rPr>
              <w:t>年</w:t>
            </w:r>
            <w:r w:rsidRPr="00DF5C23">
              <w:rPr>
                <w:rFonts w:eastAsia="Calibri"/>
                <w:noProof/>
                <w:sz w:val="22"/>
              </w:rPr>
              <w:br/>
            </w:r>
            <w:r w:rsidRPr="00DF5C23">
              <w:rPr>
                <w:rFonts w:eastAsia="Calibri"/>
                <w:b/>
                <w:noProof/>
                <w:sz w:val="20"/>
              </w:rPr>
              <w:t>2025</w:t>
            </w:r>
          </w:p>
        </w:tc>
        <w:tc>
          <w:tcPr>
            <w:tcW w:w="868" w:type="dxa"/>
            <w:vAlign w:val="center"/>
          </w:tcPr>
          <w:p w14:paraId="71B5E98E" w14:textId="77777777" w:rsidR="0038775E" w:rsidRDefault="00877B9C" w:rsidP="002041D4">
            <w:pPr>
              <w:wordWrap w:val="0"/>
              <w:jc w:val="center"/>
              <w:rPr>
                <w:rFonts w:eastAsia="Calibri"/>
                <w:b/>
                <w:noProof/>
                <w:sz w:val="18"/>
              </w:rPr>
            </w:pPr>
            <w:r w:rsidRPr="00DF5C23">
              <w:rPr>
                <w:rFonts w:eastAsia="Calibri"/>
                <w:noProof/>
                <w:sz w:val="20"/>
              </w:rPr>
              <w:t>年</w:t>
            </w:r>
            <w:r w:rsidRPr="00DF5C23">
              <w:rPr>
                <w:rFonts w:eastAsia="Calibri"/>
                <w:noProof/>
                <w:sz w:val="22"/>
              </w:rPr>
              <w:br/>
            </w:r>
            <w:r w:rsidRPr="00DF5C23">
              <w:rPr>
                <w:rFonts w:eastAsia="Calibri"/>
                <w:b/>
                <w:noProof/>
                <w:sz w:val="20"/>
              </w:rPr>
              <w:t>2026</w:t>
            </w:r>
          </w:p>
        </w:tc>
        <w:tc>
          <w:tcPr>
            <w:tcW w:w="881" w:type="dxa"/>
            <w:vAlign w:val="center"/>
          </w:tcPr>
          <w:p w14:paraId="6ACDEE49" w14:textId="77777777" w:rsidR="0038775E" w:rsidRDefault="00877B9C" w:rsidP="002041D4">
            <w:pPr>
              <w:wordWrap w:val="0"/>
              <w:jc w:val="center"/>
              <w:rPr>
                <w:rFonts w:eastAsia="Calibri"/>
                <w:b/>
                <w:noProof/>
                <w:sz w:val="18"/>
              </w:rPr>
            </w:pPr>
            <w:r w:rsidRPr="00DF5C23">
              <w:rPr>
                <w:rFonts w:eastAsia="Calibri"/>
                <w:noProof/>
                <w:sz w:val="20"/>
              </w:rPr>
              <w:t>年</w:t>
            </w:r>
            <w:r w:rsidRPr="00DF5C23">
              <w:rPr>
                <w:rFonts w:eastAsia="Calibri"/>
                <w:noProof/>
                <w:sz w:val="22"/>
              </w:rPr>
              <w:br/>
            </w:r>
            <w:r w:rsidRPr="00DF5C23">
              <w:rPr>
                <w:rFonts w:eastAsia="Calibri"/>
                <w:b/>
                <w:noProof/>
                <w:sz w:val="20"/>
              </w:rPr>
              <w:t xml:space="preserve">2027 </w:t>
            </w:r>
          </w:p>
        </w:tc>
        <w:tc>
          <w:tcPr>
            <w:tcW w:w="851" w:type="dxa"/>
          </w:tcPr>
          <w:p w14:paraId="793B508A" w14:textId="77777777" w:rsidR="0038775E" w:rsidRDefault="00877B9C" w:rsidP="002041D4">
            <w:pPr>
              <w:wordWrap w:val="0"/>
              <w:jc w:val="center"/>
              <w:rPr>
                <w:rFonts w:eastAsia="Calibri"/>
                <w:noProof/>
                <w:sz w:val="20"/>
                <w:szCs w:val="20"/>
              </w:rPr>
            </w:pPr>
            <w:r w:rsidRPr="00DF5C23">
              <w:rPr>
                <w:rFonts w:eastAsia="Calibri"/>
                <w:noProof/>
                <w:sz w:val="20"/>
                <w:szCs w:val="20"/>
              </w:rPr>
              <w:t>ポスト</w:t>
            </w:r>
            <w:r w:rsidRPr="00DF5C23">
              <w:rPr>
                <w:rFonts w:eastAsia="Calibri"/>
                <w:noProof/>
                <w:sz w:val="20"/>
                <w:szCs w:val="20"/>
              </w:rPr>
              <w:t>2027</w:t>
            </w:r>
          </w:p>
        </w:tc>
        <w:tc>
          <w:tcPr>
            <w:tcW w:w="1701" w:type="dxa"/>
            <w:vAlign w:val="center"/>
          </w:tcPr>
          <w:p w14:paraId="738DBF3B" w14:textId="77777777" w:rsidR="0038775E" w:rsidRDefault="00877B9C" w:rsidP="002041D4">
            <w:pPr>
              <w:wordWrap w:val="0"/>
              <w:jc w:val="center"/>
              <w:rPr>
                <w:rFonts w:eastAsia="Calibri"/>
                <w:b/>
                <w:noProof/>
                <w:sz w:val="20"/>
              </w:rPr>
            </w:pPr>
            <w:r w:rsidRPr="00DF5C23">
              <w:rPr>
                <w:rFonts w:eastAsia="Calibri"/>
                <w:b/>
                <w:noProof/>
                <w:sz w:val="20"/>
              </w:rPr>
              <w:t>TOTAL</w:t>
            </w:r>
          </w:p>
        </w:tc>
      </w:tr>
      <w:tr w:rsidR="00BF1765" w:rsidRPr="00DF5C23" w14:paraId="2C3A5B6E" w14:textId="77777777" w:rsidTr="00EC0E40">
        <w:trPr>
          <w:trHeight w:val="213"/>
        </w:trPr>
        <w:tc>
          <w:tcPr>
            <w:tcW w:w="6054" w:type="dxa"/>
            <w:gridSpan w:val="4"/>
            <w:vAlign w:val="center"/>
          </w:tcPr>
          <w:p w14:paraId="1FEE3970" w14:textId="77777777" w:rsidR="0038775E" w:rsidRDefault="00877B9C" w:rsidP="002041D4">
            <w:pPr>
              <w:wordWrap w:val="0"/>
              <w:spacing w:before="20" w:after="20"/>
              <w:rPr>
                <w:rFonts w:eastAsia="Calibri"/>
                <w:noProof/>
                <w:sz w:val="21"/>
              </w:rPr>
            </w:pPr>
            <w:r w:rsidRPr="00DF5C23">
              <w:rPr>
                <w:rFonts w:eastAsia="Calibri"/>
                <w:noProof/>
                <w:sz w:val="21"/>
              </w:rPr>
              <w:sym w:font="Wingdings" w:char="F09F"/>
            </w:r>
            <w:r w:rsidRPr="00DF5C23">
              <w:rPr>
                <w:rFonts w:eastAsia="Calibri"/>
                <w:noProof/>
                <w:sz w:val="21"/>
              </w:rPr>
              <w:t xml:space="preserve"> </w:t>
            </w:r>
            <w:r w:rsidRPr="00DF5C23">
              <w:rPr>
                <w:rFonts w:eastAsia="Calibri"/>
                <w:noProof/>
                <w:sz w:val="21"/>
              </w:rPr>
              <w:t>運営費交付金</w:t>
            </w:r>
            <w:r w:rsidRPr="00DF5C23">
              <w:rPr>
                <w:rFonts w:eastAsia="Calibri"/>
                <w:noProof/>
                <w:sz w:val="21"/>
              </w:rPr>
              <w:t xml:space="preserve"> </w:t>
            </w:r>
          </w:p>
        </w:tc>
        <w:tc>
          <w:tcPr>
            <w:tcW w:w="868" w:type="dxa"/>
            <w:vAlign w:val="center"/>
          </w:tcPr>
          <w:p w14:paraId="2C3A5B66" w14:textId="77777777" w:rsidR="00BF1765" w:rsidRPr="00DF5C23" w:rsidRDefault="00BF1765" w:rsidP="002041D4">
            <w:pPr>
              <w:wordWrap w:val="0"/>
              <w:rPr>
                <w:rFonts w:eastAsia="Calibri"/>
                <w:noProof/>
                <w:sz w:val="20"/>
              </w:rPr>
            </w:pPr>
          </w:p>
        </w:tc>
        <w:tc>
          <w:tcPr>
            <w:tcW w:w="868" w:type="dxa"/>
            <w:vAlign w:val="center"/>
          </w:tcPr>
          <w:p w14:paraId="2C3A5B67" w14:textId="77777777" w:rsidR="00BF1765" w:rsidRPr="00DF5C23" w:rsidRDefault="00BF1765" w:rsidP="002041D4">
            <w:pPr>
              <w:wordWrap w:val="0"/>
              <w:rPr>
                <w:rFonts w:eastAsia="Calibri"/>
                <w:noProof/>
                <w:sz w:val="20"/>
              </w:rPr>
            </w:pPr>
          </w:p>
        </w:tc>
        <w:tc>
          <w:tcPr>
            <w:tcW w:w="868" w:type="dxa"/>
            <w:vAlign w:val="center"/>
          </w:tcPr>
          <w:p w14:paraId="2C3A5B68" w14:textId="77777777" w:rsidR="00BF1765" w:rsidRPr="00DF5C23" w:rsidRDefault="00BF1765" w:rsidP="002041D4">
            <w:pPr>
              <w:wordWrap w:val="0"/>
              <w:rPr>
                <w:rFonts w:eastAsia="Calibri"/>
                <w:noProof/>
                <w:sz w:val="20"/>
              </w:rPr>
            </w:pPr>
          </w:p>
        </w:tc>
        <w:tc>
          <w:tcPr>
            <w:tcW w:w="868" w:type="dxa"/>
            <w:vAlign w:val="center"/>
          </w:tcPr>
          <w:p w14:paraId="2C3A5B69" w14:textId="77777777" w:rsidR="00BF1765" w:rsidRPr="00DF5C23" w:rsidRDefault="00BF1765" w:rsidP="002041D4">
            <w:pPr>
              <w:wordWrap w:val="0"/>
              <w:rPr>
                <w:rFonts w:eastAsia="Calibri"/>
                <w:noProof/>
                <w:sz w:val="20"/>
              </w:rPr>
            </w:pPr>
          </w:p>
        </w:tc>
        <w:tc>
          <w:tcPr>
            <w:tcW w:w="868" w:type="dxa"/>
            <w:vAlign w:val="center"/>
          </w:tcPr>
          <w:p w14:paraId="2C3A5B6A" w14:textId="77777777" w:rsidR="00BF1765" w:rsidRPr="00DF5C23" w:rsidRDefault="00BF1765" w:rsidP="002041D4">
            <w:pPr>
              <w:wordWrap w:val="0"/>
              <w:rPr>
                <w:rFonts w:eastAsia="Calibri"/>
                <w:noProof/>
                <w:sz w:val="20"/>
              </w:rPr>
            </w:pPr>
          </w:p>
        </w:tc>
        <w:tc>
          <w:tcPr>
            <w:tcW w:w="881" w:type="dxa"/>
            <w:vAlign w:val="center"/>
          </w:tcPr>
          <w:p w14:paraId="2C3A5B6B" w14:textId="77777777" w:rsidR="00BF1765" w:rsidRPr="00DF5C23" w:rsidRDefault="00BF1765" w:rsidP="002041D4">
            <w:pPr>
              <w:wordWrap w:val="0"/>
              <w:rPr>
                <w:rFonts w:eastAsia="Calibri"/>
                <w:noProof/>
                <w:sz w:val="20"/>
              </w:rPr>
            </w:pPr>
          </w:p>
        </w:tc>
        <w:tc>
          <w:tcPr>
            <w:tcW w:w="851" w:type="dxa"/>
          </w:tcPr>
          <w:p w14:paraId="2C3A5B6C" w14:textId="77777777" w:rsidR="005F7372" w:rsidRPr="00DF5C23" w:rsidRDefault="005F7372" w:rsidP="002041D4">
            <w:pPr>
              <w:wordWrap w:val="0"/>
              <w:rPr>
                <w:rFonts w:eastAsia="Calibri"/>
                <w:b/>
                <w:noProof/>
                <w:sz w:val="20"/>
              </w:rPr>
            </w:pPr>
          </w:p>
        </w:tc>
        <w:tc>
          <w:tcPr>
            <w:tcW w:w="1701" w:type="dxa"/>
            <w:vAlign w:val="center"/>
          </w:tcPr>
          <w:p w14:paraId="2C3A5B6D" w14:textId="77777777" w:rsidR="00BF1765" w:rsidRPr="00DF5C23" w:rsidRDefault="00BF1765" w:rsidP="002041D4">
            <w:pPr>
              <w:wordWrap w:val="0"/>
              <w:rPr>
                <w:rFonts w:eastAsia="Calibri"/>
                <w:b/>
                <w:noProof/>
                <w:sz w:val="20"/>
              </w:rPr>
            </w:pPr>
          </w:p>
        </w:tc>
      </w:tr>
      <w:tr w:rsidR="005C61BF" w:rsidRPr="00DF5C23" w14:paraId="2C3A5B7A" w14:textId="77777777" w:rsidTr="00EC0E40">
        <w:trPr>
          <w:trHeight w:val="277"/>
        </w:trPr>
        <w:tc>
          <w:tcPr>
            <w:tcW w:w="3960" w:type="dxa"/>
            <w:vMerge w:val="restart"/>
            <w:vAlign w:val="center"/>
          </w:tcPr>
          <w:p w14:paraId="111E5309" w14:textId="77777777" w:rsidR="0038775E" w:rsidRDefault="00877B9C" w:rsidP="002041D4">
            <w:pPr>
              <w:wordWrap w:val="0"/>
              <w:rPr>
                <w:rFonts w:eastAsia="Calibri"/>
                <w:noProof/>
              </w:rPr>
            </w:pPr>
            <w:r w:rsidRPr="00DF5C23">
              <w:rPr>
                <w:rFonts w:eastAsia="Calibri"/>
                <w:noProof/>
                <w:sz w:val="20"/>
                <w:szCs w:val="20"/>
              </w:rPr>
              <w:t>予算枠</w:t>
            </w:r>
            <w:r w:rsidR="008B78E1" w:rsidRPr="00DF5C23">
              <w:rPr>
                <w:rStyle w:val="afa"/>
                <w:rFonts w:eastAsia="Calibri"/>
                <w:noProof/>
                <w:sz w:val="20"/>
                <w:szCs w:val="20"/>
              </w:rPr>
              <w:footnoteReference w:id="95"/>
            </w:r>
            <w:r w:rsidRPr="00DF5C23">
              <w:rPr>
                <w:rFonts w:eastAsia="Calibri"/>
                <w:noProof/>
                <w:sz w:val="22"/>
              </w:rPr>
              <w:t xml:space="preserve"> 09.02.02 LIFE </w:t>
            </w:r>
            <w:r w:rsidRPr="00DF5C23">
              <w:rPr>
                <w:rFonts w:eastAsia="Calibri"/>
                <w:noProof/>
                <w:sz w:val="22"/>
              </w:rPr>
              <w:t>循環型経済と生活の質</w:t>
            </w:r>
          </w:p>
        </w:tc>
        <w:tc>
          <w:tcPr>
            <w:tcW w:w="1440" w:type="dxa"/>
            <w:vAlign w:val="center"/>
          </w:tcPr>
          <w:p w14:paraId="457E1F6E" w14:textId="77777777" w:rsidR="0038775E" w:rsidRDefault="00877B9C" w:rsidP="002041D4">
            <w:pPr>
              <w:wordWrap w:val="0"/>
              <w:spacing w:before="20" w:after="20"/>
              <w:rPr>
                <w:rFonts w:eastAsia="Calibri"/>
                <w:noProof/>
                <w:sz w:val="18"/>
              </w:rPr>
            </w:pPr>
            <w:r w:rsidRPr="00DF5C23">
              <w:rPr>
                <w:rFonts w:eastAsia="Calibri"/>
                <w:noProof/>
                <w:sz w:val="18"/>
              </w:rPr>
              <w:t>コミットメント</w:t>
            </w:r>
          </w:p>
        </w:tc>
        <w:tc>
          <w:tcPr>
            <w:tcW w:w="654" w:type="dxa"/>
            <w:gridSpan w:val="2"/>
            <w:vAlign w:val="center"/>
          </w:tcPr>
          <w:p w14:paraId="12889D13" w14:textId="77777777" w:rsidR="0038775E" w:rsidRDefault="00877B9C" w:rsidP="002041D4">
            <w:pPr>
              <w:wordWrap w:val="0"/>
              <w:spacing w:before="20" w:after="20"/>
              <w:jc w:val="center"/>
              <w:rPr>
                <w:rFonts w:eastAsia="Calibri"/>
                <w:noProof/>
                <w:sz w:val="14"/>
              </w:rPr>
            </w:pPr>
            <w:r w:rsidRPr="00DF5C23">
              <w:rPr>
                <w:rFonts w:eastAsia="Calibri"/>
                <w:noProof/>
                <w:sz w:val="14"/>
              </w:rPr>
              <w:t>(1a)</w:t>
            </w:r>
          </w:p>
        </w:tc>
        <w:tc>
          <w:tcPr>
            <w:tcW w:w="868" w:type="dxa"/>
            <w:vAlign w:val="center"/>
          </w:tcPr>
          <w:p w14:paraId="1DFE9AC6" w14:textId="77777777" w:rsidR="0038775E" w:rsidRDefault="00877B9C" w:rsidP="002041D4">
            <w:pPr>
              <w:wordWrap w:val="0"/>
              <w:spacing w:before="20" w:after="20"/>
              <w:jc w:val="right"/>
              <w:rPr>
                <w:rFonts w:eastAsia="Calibri"/>
                <w:noProof/>
              </w:rPr>
            </w:pPr>
            <w:r w:rsidRPr="00DF5C23">
              <w:rPr>
                <w:rFonts w:ascii="Arial Narrow" w:hAnsi="Arial Narrow" w:cs="Calibri"/>
                <w:noProof/>
                <w:color w:val="000000"/>
                <w:sz w:val="20"/>
                <w:szCs w:val="20"/>
              </w:rPr>
              <w:t>2,276</w:t>
            </w:r>
          </w:p>
        </w:tc>
        <w:tc>
          <w:tcPr>
            <w:tcW w:w="868" w:type="dxa"/>
            <w:vAlign w:val="center"/>
          </w:tcPr>
          <w:p w14:paraId="4B847299" w14:textId="77777777" w:rsidR="0038775E" w:rsidRDefault="00877B9C" w:rsidP="002041D4">
            <w:pPr>
              <w:wordWrap w:val="0"/>
              <w:spacing w:before="20" w:after="20"/>
              <w:jc w:val="right"/>
              <w:rPr>
                <w:rFonts w:eastAsia="Calibri"/>
                <w:noProof/>
              </w:rPr>
            </w:pPr>
            <w:r w:rsidRPr="00DF5C23">
              <w:rPr>
                <w:rFonts w:ascii="Arial Narrow" w:hAnsi="Arial Narrow" w:cs="Calibri"/>
                <w:noProof/>
                <w:color w:val="000000"/>
                <w:sz w:val="20"/>
                <w:szCs w:val="20"/>
              </w:rPr>
              <w:t>2,948</w:t>
            </w:r>
          </w:p>
        </w:tc>
        <w:tc>
          <w:tcPr>
            <w:tcW w:w="868" w:type="dxa"/>
            <w:vAlign w:val="center"/>
          </w:tcPr>
          <w:p w14:paraId="332D3B2A" w14:textId="77777777" w:rsidR="0038775E" w:rsidRDefault="00877B9C" w:rsidP="002041D4">
            <w:pPr>
              <w:wordWrap w:val="0"/>
              <w:spacing w:before="20" w:after="20"/>
              <w:jc w:val="right"/>
              <w:rPr>
                <w:rFonts w:eastAsia="Calibri"/>
                <w:noProof/>
              </w:rPr>
            </w:pPr>
            <w:r w:rsidRPr="00DF5C23">
              <w:rPr>
                <w:rFonts w:ascii="Arial Narrow" w:hAnsi="Arial Narrow" w:cs="Calibri"/>
                <w:noProof/>
                <w:color w:val="000000"/>
                <w:sz w:val="20"/>
                <w:szCs w:val="20"/>
              </w:rPr>
              <w:t>2,180</w:t>
            </w:r>
          </w:p>
        </w:tc>
        <w:tc>
          <w:tcPr>
            <w:tcW w:w="868" w:type="dxa"/>
            <w:vAlign w:val="center"/>
          </w:tcPr>
          <w:p w14:paraId="69437D17" w14:textId="77777777" w:rsidR="0038775E" w:rsidRDefault="00877B9C" w:rsidP="002041D4">
            <w:pPr>
              <w:wordWrap w:val="0"/>
              <w:spacing w:before="20" w:after="20"/>
              <w:jc w:val="right"/>
              <w:rPr>
                <w:rFonts w:eastAsia="Calibri"/>
                <w:noProof/>
              </w:rPr>
            </w:pPr>
            <w:r w:rsidRPr="00DF5C23">
              <w:rPr>
                <w:rFonts w:ascii="Arial Narrow" w:hAnsi="Arial Narrow" w:cs="Calibri"/>
                <w:noProof/>
                <w:color w:val="000000"/>
                <w:sz w:val="20"/>
                <w:szCs w:val="20"/>
              </w:rPr>
              <w:t>2,680</w:t>
            </w:r>
          </w:p>
        </w:tc>
        <w:tc>
          <w:tcPr>
            <w:tcW w:w="868" w:type="dxa"/>
            <w:vAlign w:val="center"/>
          </w:tcPr>
          <w:p w14:paraId="5D22DC75" w14:textId="77777777" w:rsidR="0038775E" w:rsidRDefault="00877B9C" w:rsidP="002041D4">
            <w:pPr>
              <w:wordWrap w:val="0"/>
              <w:spacing w:before="20" w:after="20"/>
              <w:jc w:val="right"/>
              <w:rPr>
                <w:rFonts w:eastAsia="Calibri"/>
                <w:noProof/>
              </w:rPr>
            </w:pPr>
            <w:r w:rsidRPr="00DF5C23">
              <w:rPr>
                <w:rFonts w:ascii="Arial Narrow" w:hAnsi="Arial Narrow" w:cs="Calibri"/>
                <w:noProof/>
                <w:color w:val="000000"/>
                <w:sz w:val="20"/>
                <w:szCs w:val="20"/>
              </w:rPr>
              <w:t>3,680</w:t>
            </w:r>
          </w:p>
        </w:tc>
        <w:tc>
          <w:tcPr>
            <w:tcW w:w="881" w:type="dxa"/>
            <w:vAlign w:val="center"/>
          </w:tcPr>
          <w:p w14:paraId="1D704D12" w14:textId="77777777" w:rsidR="0038775E" w:rsidRDefault="00877B9C" w:rsidP="002041D4">
            <w:pPr>
              <w:wordWrap w:val="0"/>
              <w:spacing w:before="20" w:after="20"/>
              <w:jc w:val="right"/>
              <w:rPr>
                <w:rFonts w:eastAsia="Calibri"/>
                <w:noProof/>
              </w:rPr>
            </w:pPr>
            <w:r w:rsidRPr="00DF5C23">
              <w:rPr>
                <w:rFonts w:ascii="Arial Narrow" w:hAnsi="Arial Narrow" w:cs="Calibri"/>
                <w:noProof/>
                <w:color w:val="000000"/>
                <w:sz w:val="20"/>
                <w:szCs w:val="20"/>
              </w:rPr>
              <w:t>3,680</w:t>
            </w:r>
          </w:p>
        </w:tc>
        <w:tc>
          <w:tcPr>
            <w:tcW w:w="851" w:type="dxa"/>
          </w:tcPr>
          <w:p w14:paraId="2C3A5B78" w14:textId="77777777" w:rsidR="005F7372" w:rsidRPr="00DF5C23" w:rsidRDefault="005F7372" w:rsidP="002041D4">
            <w:pPr>
              <w:wordWrap w:val="0"/>
              <w:spacing w:before="20" w:after="20"/>
              <w:jc w:val="right"/>
              <w:rPr>
                <w:rFonts w:ascii="Arial Narrow" w:hAnsi="Arial Narrow" w:cs="Calibri"/>
                <w:noProof/>
                <w:color w:val="000000"/>
                <w:sz w:val="20"/>
                <w:szCs w:val="20"/>
              </w:rPr>
            </w:pPr>
          </w:p>
        </w:tc>
        <w:tc>
          <w:tcPr>
            <w:tcW w:w="1701" w:type="dxa"/>
            <w:vAlign w:val="center"/>
          </w:tcPr>
          <w:p w14:paraId="784979D6" w14:textId="77777777" w:rsidR="0038775E" w:rsidRDefault="00877B9C" w:rsidP="002041D4">
            <w:pPr>
              <w:wordWrap w:val="0"/>
              <w:spacing w:before="20" w:after="20"/>
              <w:jc w:val="right"/>
              <w:rPr>
                <w:rFonts w:eastAsia="Calibri"/>
                <w:noProof/>
              </w:rPr>
            </w:pPr>
            <w:r w:rsidRPr="00DF5C23">
              <w:rPr>
                <w:rFonts w:ascii="Arial Narrow" w:hAnsi="Arial Narrow" w:cs="Calibri"/>
                <w:noProof/>
                <w:color w:val="000000"/>
                <w:sz w:val="20"/>
                <w:szCs w:val="20"/>
              </w:rPr>
              <w:t>17,444</w:t>
            </w:r>
          </w:p>
        </w:tc>
      </w:tr>
      <w:tr w:rsidR="005C61BF" w:rsidRPr="00DF5C23" w14:paraId="2C3A5B86" w14:textId="77777777" w:rsidTr="00EC0E40">
        <w:tc>
          <w:tcPr>
            <w:tcW w:w="3960" w:type="dxa"/>
            <w:vMerge/>
          </w:tcPr>
          <w:p w14:paraId="2C3A5B7B" w14:textId="77777777" w:rsidR="005C61BF" w:rsidRPr="00DF5C23" w:rsidRDefault="005C61BF" w:rsidP="002041D4">
            <w:pPr>
              <w:wordWrap w:val="0"/>
              <w:jc w:val="center"/>
              <w:rPr>
                <w:rFonts w:eastAsia="Calibri"/>
                <w:noProof/>
                <w:sz w:val="20"/>
              </w:rPr>
            </w:pPr>
          </w:p>
        </w:tc>
        <w:tc>
          <w:tcPr>
            <w:tcW w:w="1440" w:type="dxa"/>
            <w:vAlign w:val="center"/>
          </w:tcPr>
          <w:p w14:paraId="35D3FFD4" w14:textId="77777777" w:rsidR="0038775E" w:rsidRDefault="00877B9C" w:rsidP="002041D4">
            <w:pPr>
              <w:wordWrap w:val="0"/>
              <w:spacing w:before="20" w:after="20"/>
              <w:rPr>
                <w:rFonts w:eastAsia="Calibri"/>
                <w:noProof/>
                <w:sz w:val="18"/>
              </w:rPr>
            </w:pPr>
            <w:r w:rsidRPr="00DF5C23">
              <w:rPr>
                <w:rFonts w:eastAsia="Calibri"/>
                <w:noProof/>
                <w:sz w:val="18"/>
              </w:rPr>
              <w:t>ペイメント</w:t>
            </w:r>
          </w:p>
        </w:tc>
        <w:tc>
          <w:tcPr>
            <w:tcW w:w="654" w:type="dxa"/>
            <w:gridSpan w:val="2"/>
            <w:vAlign w:val="center"/>
          </w:tcPr>
          <w:p w14:paraId="210A2FE0" w14:textId="77777777" w:rsidR="0038775E" w:rsidRDefault="00877B9C" w:rsidP="002041D4">
            <w:pPr>
              <w:wordWrap w:val="0"/>
              <w:spacing w:before="20" w:after="20"/>
              <w:jc w:val="center"/>
              <w:rPr>
                <w:rFonts w:eastAsia="Calibri"/>
                <w:noProof/>
                <w:sz w:val="14"/>
              </w:rPr>
            </w:pPr>
            <w:r w:rsidRPr="00DF5C23">
              <w:rPr>
                <w:rFonts w:eastAsia="Calibri"/>
                <w:noProof/>
                <w:sz w:val="14"/>
              </w:rPr>
              <w:t>(2a)</w:t>
            </w:r>
          </w:p>
        </w:tc>
        <w:tc>
          <w:tcPr>
            <w:tcW w:w="868" w:type="dxa"/>
            <w:vAlign w:val="center"/>
          </w:tcPr>
          <w:p w14:paraId="1EDB5F45" w14:textId="77777777" w:rsidR="0038775E" w:rsidRDefault="00877B9C" w:rsidP="002041D4">
            <w:pPr>
              <w:wordWrap w:val="0"/>
              <w:spacing w:before="20" w:after="20"/>
              <w:jc w:val="right"/>
              <w:rPr>
                <w:rFonts w:eastAsia="Calibri"/>
                <w:noProof/>
                <w:sz w:val="20"/>
              </w:rPr>
            </w:pPr>
            <w:r w:rsidRPr="00DF5C23">
              <w:rPr>
                <w:rFonts w:ascii="Arial Narrow" w:hAnsi="Arial Narrow" w:cs="Calibri"/>
                <w:noProof/>
                <w:color w:val="000000"/>
                <w:sz w:val="20"/>
                <w:szCs w:val="20"/>
              </w:rPr>
              <w:t>0,683</w:t>
            </w:r>
          </w:p>
        </w:tc>
        <w:tc>
          <w:tcPr>
            <w:tcW w:w="868" w:type="dxa"/>
            <w:vAlign w:val="center"/>
          </w:tcPr>
          <w:p w14:paraId="60E2AB10" w14:textId="77777777" w:rsidR="0038775E" w:rsidRDefault="00877B9C" w:rsidP="002041D4">
            <w:pPr>
              <w:wordWrap w:val="0"/>
              <w:spacing w:before="20" w:after="20"/>
              <w:jc w:val="right"/>
              <w:rPr>
                <w:rFonts w:eastAsia="Calibri"/>
                <w:noProof/>
                <w:sz w:val="20"/>
              </w:rPr>
            </w:pPr>
            <w:r w:rsidRPr="00DF5C23">
              <w:rPr>
                <w:rFonts w:ascii="Arial Narrow" w:hAnsi="Arial Narrow" w:cs="Calibri"/>
                <w:noProof/>
                <w:color w:val="000000"/>
                <w:sz w:val="20"/>
                <w:szCs w:val="20"/>
              </w:rPr>
              <w:t>1,567</w:t>
            </w:r>
          </w:p>
        </w:tc>
        <w:tc>
          <w:tcPr>
            <w:tcW w:w="868" w:type="dxa"/>
            <w:vAlign w:val="center"/>
          </w:tcPr>
          <w:p w14:paraId="72C96C36" w14:textId="77777777" w:rsidR="0038775E" w:rsidRDefault="00877B9C" w:rsidP="002041D4">
            <w:pPr>
              <w:wordWrap w:val="0"/>
              <w:spacing w:before="20" w:after="20"/>
              <w:jc w:val="right"/>
              <w:rPr>
                <w:rFonts w:eastAsia="Calibri"/>
                <w:noProof/>
                <w:sz w:val="20"/>
              </w:rPr>
            </w:pPr>
            <w:r w:rsidRPr="00DF5C23">
              <w:rPr>
                <w:rFonts w:ascii="Arial Narrow" w:hAnsi="Arial Narrow" w:cs="Calibri"/>
                <w:noProof/>
                <w:color w:val="000000"/>
                <w:sz w:val="20"/>
                <w:szCs w:val="20"/>
              </w:rPr>
              <w:t>2,449</w:t>
            </w:r>
          </w:p>
        </w:tc>
        <w:tc>
          <w:tcPr>
            <w:tcW w:w="868" w:type="dxa"/>
            <w:vAlign w:val="center"/>
          </w:tcPr>
          <w:p w14:paraId="344946EF" w14:textId="77777777" w:rsidR="0038775E" w:rsidRDefault="00877B9C" w:rsidP="002041D4">
            <w:pPr>
              <w:wordWrap w:val="0"/>
              <w:spacing w:before="20" w:after="20"/>
              <w:jc w:val="right"/>
              <w:rPr>
                <w:rFonts w:eastAsia="Calibri"/>
                <w:noProof/>
                <w:sz w:val="20"/>
              </w:rPr>
            </w:pPr>
            <w:r w:rsidRPr="00DF5C23">
              <w:rPr>
                <w:rFonts w:ascii="Arial Narrow" w:hAnsi="Arial Narrow" w:cs="Calibri"/>
                <w:noProof/>
                <w:color w:val="000000"/>
                <w:sz w:val="20"/>
                <w:szCs w:val="20"/>
              </w:rPr>
              <w:t>2,637</w:t>
            </w:r>
          </w:p>
        </w:tc>
        <w:tc>
          <w:tcPr>
            <w:tcW w:w="868" w:type="dxa"/>
            <w:vAlign w:val="center"/>
          </w:tcPr>
          <w:p w14:paraId="7A330747" w14:textId="77777777" w:rsidR="0038775E" w:rsidRDefault="00877B9C" w:rsidP="002041D4">
            <w:pPr>
              <w:wordWrap w:val="0"/>
              <w:spacing w:before="20" w:after="20"/>
              <w:jc w:val="right"/>
              <w:rPr>
                <w:rFonts w:eastAsia="Calibri"/>
                <w:noProof/>
                <w:sz w:val="20"/>
              </w:rPr>
            </w:pPr>
            <w:r w:rsidRPr="00DF5C23">
              <w:rPr>
                <w:rFonts w:ascii="Arial Narrow" w:hAnsi="Arial Narrow" w:cs="Calibri"/>
                <w:noProof/>
                <w:color w:val="000000"/>
                <w:sz w:val="20"/>
                <w:szCs w:val="20"/>
              </w:rPr>
              <w:t>2,780</w:t>
            </w:r>
          </w:p>
        </w:tc>
        <w:tc>
          <w:tcPr>
            <w:tcW w:w="881" w:type="dxa"/>
            <w:vAlign w:val="center"/>
          </w:tcPr>
          <w:p w14:paraId="12AB2170" w14:textId="77777777" w:rsidR="0038775E" w:rsidRDefault="00877B9C" w:rsidP="002041D4">
            <w:pPr>
              <w:wordWrap w:val="0"/>
              <w:spacing w:before="20" w:after="20"/>
              <w:jc w:val="right"/>
              <w:rPr>
                <w:rFonts w:eastAsia="Calibri"/>
                <w:noProof/>
                <w:sz w:val="20"/>
              </w:rPr>
            </w:pPr>
            <w:r w:rsidRPr="00DF5C23">
              <w:rPr>
                <w:rFonts w:ascii="Arial Narrow" w:hAnsi="Arial Narrow" w:cs="Calibri"/>
                <w:noProof/>
                <w:color w:val="000000"/>
                <w:sz w:val="20"/>
                <w:szCs w:val="20"/>
              </w:rPr>
              <w:t>3,280</w:t>
            </w:r>
          </w:p>
        </w:tc>
        <w:tc>
          <w:tcPr>
            <w:tcW w:w="851" w:type="dxa"/>
          </w:tcPr>
          <w:p w14:paraId="4A2E75DE" w14:textId="77777777" w:rsidR="0038775E" w:rsidRDefault="00877B9C" w:rsidP="002041D4">
            <w:pPr>
              <w:wordWrap w:val="0"/>
              <w:spacing w:before="20" w:after="20"/>
              <w:jc w:val="right"/>
              <w:rPr>
                <w:rFonts w:ascii="Arial Narrow" w:hAnsi="Arial Narrow" w:cs="Calibri"/>
                <w:noProof/>
                <w:color w:val="000000"/>
                <w:sz w:val="20"/>
                <w:szCs w:val="20"/>
              </w:rPr>
            </w:pPr>
            <w:r w:rsidRPr="00DF5C23">
              <w:rPr>
                <w:rFonts w:ascii="Arial Narrow" w:hAnsi="Arial Narrow" w:cs="Calibri"/>
                <w:noProof/>
                <w:color w:val="000000"/>
                <w:sz w:val="20"/>
                <w:szCs w:val="20"/>
              </w:rPr>
              <w:t>4,048</w:t>
            </w:r>
          </w:p>
        </w:tc>
        <w:tc>
          <w:tcPr>
            <w:tcW w:w="1701" w:type="dxa"/>
            <w:vAlign w:val="center"/>
          </w:tcPr>
          <w:p w14:paraId="736C979E" w14:textId="77777777" w:rsidR="0038775E" w:rsidRDefault="00877B9C" w:rsidP="002041D4">
            <w:pPr>
              <w:wordWrap w:val="0"/>
              <w:spacing w:before="20" w:after="20"/>
              <w:jc w:val="right"/>
              <w:rPr>
                <w:rFonts w:eastAsia="Calibri"/>
                <w:b/>
                <w:noProof/>
                <w:sz w:val="20"/>
              </w:rPr>
            </w:pPr>
            <w:r w:rsidRPr="00DF5C23">
              <w:rPr>
                <w:rFonts w:ascii="Arial Narrow" w:hAnsi="Arial Narrow" w:cs="Calibri"/>
                <w:noProof/>
                <w:color w:val="000000"/>
                <w:sz w:val="20"/>
                <w:szCs w:val="20"/>
              </w:rPr>
              <w:t>17,444</w:t>
            </w:r>
          </w:p>
        </w:tc>
      </w:tr>
      <w:tr w:rsidR="00D12295" w:rsidRPr="00DF5C23" w14:paraId="2C3A5B92" w14:textId="77777777" w:rsidTr="00EC0E40">
        <w:tc>
          <w:tcPr>
            <w:tcW w:w="3960" w:type="dxa"/>
            <w:vMerge w:val="restart"/>
            <w:vAlign w:val="center"/>
          </w:tcPr>
          <w:p w14:paraId="28017DAA" w14:textId="77777777" w:rsidR="0038775E" w:rsidRDefault="00877B9C" w:rsidP="002041D4">
            <w:pPr>
              <w:wordWrap w:val="0"/>
              <w:rPr>
                <w:rFonts w:eastAsia="Calibri"/>
                <w:noProof/>
                <w:lang w:eastAsia="ja-JP"/>
              </w:rPr>
            </w:pPr>
            <w:r w:rsidRPr="00DF5C23">
              <w:rPr>
                <w:noProof/>
                <w:sz w:val="20"/>
                <w:szCs w:val="20"/>
                <w:lang w:eastAsia="ja-JP"/>
              </w:rPr>
              <w:t>予算ライン</w:t>
            </w:r>
            <w:r w:rsidRPr="00DF5C23">
              <w:rPr>
                <w:noProof/>
                <w:sz w:val="20"/>
                <w:szCs w:val="20"/>
                <w:lang w:eastAsia="ja-JP"/>
              </w:rPr>
              <w:t xml:space="preserve"> </w:t>
            </w:r>
            <w:r w:rsidRPr="00DF5C23">
              <w:rPr>
                <w:noProof/>
                <w:sz w:val="22"/>
                <w:lang w:eastAsia="ja-JP"/>
              </w:rPr>
              <w:t xml:space="preserve">09.02.02 LIFE </w:t>
            </w:r>
            <w:r w:rsidRPr="00DF5C23">
              <w:rPr>
                <w:noProof/>
                <w:sz w:val="22"/>
                <w:lang w:eastAsia="ja-JP"/>
              </w:rPr>
              <w:t>循環型経済とクオリティ・オブ・ライフ</w:t>
            </w:r>
            <w:r w:rsidR="008B78E1" w:rsidRPr="00DF5C23">
              <w:rPr>
                <w:rStyle w:val="afa"/>
                <w:noProof/>
                <w:sz w:val="22"/>
              </w:rPr>
              <w:footnoteReference w:id="96"/>
            </w:r>
          </w:p>
        </w:tc>
        <w:tc>
          <w:tcPr>
            <w:tcW w:w="1440" w:type="dxa"/>
            <w:vAlign w:val="center"/>
          </w:tcPr>
          <w:p w14:paraId="69A2FB9F" w14:textId="77777777" w:rsidR="0038775E" w:rsidRDefault="00877B9C" w:rsidP="002041D4">
            <w:pPr>
              <w:wordWrap w:val="0"/>
              <w:spacing w:before="20" w:after="20"/>
              <w:rPr>
                <w:rFonts w:eastAsia="Calibri"/>
                <w:noProof/>
                <w:sz w:val="18"/>
              </w:rPr>
            </w:pPr>
            <w:r w:rsidRPr="00DF5C23">
              <w:rPr>
                <w:rFonts w:eastAsia="Calibri"/>
                <w:noProof/>
                <w:sz w:val="18"/>
              </w:rPr>
              <w:t>コミットメント</w:t>
            </w:r>
          </w:p>
        </w:tc>
        <w:tc>
          <w:tcPr>
            <w:tcW w:w="654" w:type="dxa"/>
            <w:gridSpan w:val="2"/>
            <w:vAlign w:val="center"/>
          </w:tcPr>
          <w:p w14:paraId="2C9BE2E5" w14:textId="77777777" w:rsidR="0038775E" w:rsidRDefault="00877B9C" w:rsidP="002041D4">
            <w:pPr>
              <w:wordWrap w:val="0"/>
              <w:spacing w:before="20" w:after="20"/>
              <w:jc w:val="center"/>
              <w:rPr>
                <w:rFonts w:eastAsia="Calibri"/>
                <w:noProof/>
                <w:sz w:val="14"/>
              </w:rPr>
            </w:pPr>
            <w:r w:rsidRPr="00DF5C23">
              <w:rPr>
                <w:rFonts w:eastAsia="Calibri"/>
                <w:noProof/>
                <w:sz w:val="14"/>
              </w:rPr>
              <w:t>(1b)</w:t>
            </w:r>
          </w:p>
        </w:tc>
        <w:tc>
          <w:tcPr>
            <w:tcW w:w="868" w:type="dxa"/>
            <w:vAlign w:val="center"/>
          </w:tcPr>
          <w:p w14:paraId="735C46C0" w14:textId="77777777" w:rsidR="0038775E" w:rsidRDefault="00877B9C" w:rsidP="002041D4">
            <w:pPr>
              <w:wordWrap w:val="0"/>
              <w:spacing w:before="20" w:after="20"/>
              <w:jc w:val="right"/>
              <w:rPr>
                <w:rFonts w:eastAsia="Calibri"/>
                <w:noProof/>
                <w:sz w:val="20"/>
              </w:rPr>
            </w:pPr>
            <w:r w:rsidRPr="00DF5C23">
              <w:rPr>
                <w:noProof/>
                <w:sz w:val="20"/>
              </w:rPr>
              <w:t>0</w:t>
            </w:r>
          </w:p>
        </w:tc>
        <w:tc>
          <w:tcPr>
            <w:tcW w:w="868" w:type="dxa"/>
            <w:vAlign w:val="center"/>
          </w:tcPr>
          <w:p w14:paraId="3613329B" w14:textId="77777777" w:rsidR="0038775E" w:rsidRDefault="00877B9C" w:rsidP="002041D4">
            <w:pPr>
              <w:wordWrap w:val="0"/>
              <w:spacing w:before="20" w:after="20"/>
              <w:jc w:val="right"/>
              <w:rPr>
                <w:rFonts w:eastAsia="Calibri"/>
                <w:noProof/>
                <w:sz w:val="20"/>
              </w:rPr>
            </w:pPr>
            <w:r w:rsidRPr="00DF5C23">
              <w:rPr>
                <w:noProof/>
                <w:sz w:val="20"/>
              </w:rPr>
              <w:t>0</w:t>
            </w:r>
          </w:p>
        </w:tc>
        <w:tc>
          <w:tcPr>
            <w:tcW w:w="868" w:type="dxa"/>
            <w:vAlign w:val="center"/>
          </w:tcPr>
          <w:p w14:paraId="19892BB8" w14:textId="77777777" w:rsidR="0038775E" w:rsidRDefault="00877B9C" w:rsidP="002041D4">
            <w:pPr>
              <w:wordWrap w:val="0"/>
              <w:spacing w:before="20" w:after="20"/>
              <w:jc w:val="right"/>
              <w:rPr>
                <w:rFonts w:eastAsia="Calibri"/>
                <w:noProof/>
                <w:sz w:val="20"/>
              </w:rPr>
            </w:pPr>
            <w:r w:rsidRPr="00DF5C23">
              <w:rPr>
                <w:noProof/>
                <w:sz w:val="20"/>
              </w:rPr>
              <w:t>0,400</w:t>
            </w:r>
          </w:p>
        </w:tc>
        <w:tc>
          <w:tcPr>
            <w:tcW w:w="868" w:type="dxa"/>
            <w:vAlign w:val="center"/>
          </w:tcPr>
          <w:p w14:paraId="3E5EE94B" w14:textId="77777777" w:rsidR="0038775E" w:rsidRDefault="00877B9C" w:rsidP="002041D4">
            <w:pPr>
              <w:wordWrap w:val="0"/>
              <w:spacing w:before="20" w:after="20"/>
              <w:jc w:val="right"/>
              <w:rPr>
                <w:rFonts w:eastAsia="Calibri"/>
                <w:noProof/>
                <w:sz w:val="20"/>
              </w:rPr>
            </w:pPr>
            <w:r w:rsidRPr="00DF5C23">
              <w:rPr>
                <w:noProof/>
                <w:sz w:val="20"/>
              </w:rPr>
              <w:t>0,350</w:t>
            </w:r>
          </w:p>
        </w:tc>
        <w:tc>
          <w:tcPr>
            <w:tcW w:w="868" w:type="dxa"/>
            <w:vAlign w:val="center"/>
          </w:tcPr>
          <w:p w14:paraId="5A28A59B" w14:textId="77777777" w:rsidR="0038775E" w:rsidRDefault="00877B9C" w:rsidP="002041D4">
            <w:pPr>
              <w:wordWrap w:val="0"/>
              <w:spacing w:before="20" w:after="20"/>
              <w:jc w:val="right"/>
              <w:rPr>
                <w:rFonts w:eastAsia="Calibri"/>
                <w:noProof/>
                <w:sz w:val="20"/>
              </w:rPr>
            </w:pPr>
            <w:r w:rsidRPr="00DF5C23">
              <w:rPr>
                <w:noProof/>
                <w:sz w:val="20"/>
              </w:rPr>
              <w:t>0,350</w:t>
            </w:r>
          </w:p>
        </w:tc>
        <w:tc>
          <w:tcPr>
            <w:tcW w:w="881" w:type="dxa"/>
            <w:vAlign w:val="center"/>
          </w:tcPr>
          <w:p w14:paraId="64661076" w14:textId="77777777" w:rsidR="0038775E" w:rsidRDefault="00877B9C" w:rsidP="002041D4">
            <w:pPr>
              <w:wordWrap w:val="0"/>
              <w:spacing w:before="20" w:after="20"/>
              <w:jc w:val="right"/>
              <w:rPr>
                <w:rFonts w:eastAsia="Calibri"/>
                <w:noProof/>
                <w:sz w:val="20"/>
              </w:rPr>
            </w:pPr>
            <w:r w:rsidRPr="00DF5C23">
              <w:rPr>
                <w:noProof/>
                <w:sz w:val="20"/>
              </w:rPr>
              <w:t>0,150</w:t>
            </w:r>
          </w:p>
        </w:tc>
        <w:tc>
          <w:tcPr>
            <w:tcW w:w="851" w:type="dxa"/>
          </w:tcPr>
          <w:p w14:paraId="2C3A5B90" w14:textId="77777777" w:rsidR="005F7372" w:rsidRPr="00DF5C23" w:rsidRDefault="005F7372" w:rsidP="002041D4">
            <w:pPr>
              <w:wordWrap w:val="0"/>
              <w:spacing w:before="20" w:after="20"/>
              <w:jc w:val="right"/>
              <w:rPr>
                <w:noProof/>
                <w:sz w:val="20"/>
              </w:rPr>
            </w:pPr>
          </w:p>
        </w:tc>
        <w:tc>
          <w:tcPr>
            <w:tcW w:w="1701" w:type="dxa"/>
            <w:vAlign w:val="center"/>
          </w:tcPr>
          <w:p w14:paraId="3A9260F3" w14:textId="77777777" w:rsidR="0038775E" w:rsidRDefault="00877B9C" w:rsidP="002041D4">
            <w:pPr>
              <w:wordWrap w:val="0"/>
              <w:spacing w:before="20" w:after="20"/>
              <w:jc w:val="right"/>
              <w:rPr>
                <w:rFonts w:eastAsia="Calibri"/>
                <w:b/>
                <w:noProof/>
                <w:sz w:val="20"/>
              </w:rPr>
            </w:pPr>
            <w:r w:rsidRPr="00DF5C23">
              <w:rPr>
                <w:noProof/>
                <w:sz w:val="20"/>
              </w:rPr>
              <w:t>1,250</w:t>
            </w:r>
          </w:p>
        </w:tc>
      </w:tr>
      <w:tr w:rsidR="00D12295" w:rsidRPr="00DF5C23" w14:paraId="2C3A5B9E" w14:textId="77777777" w:rsidTr="00EC0E40">
        <w:tc>
          <w:tcPr>
            <w:tcW w:w="3960" w:type="dxa"/>
            <w:vMerge/>
          </w:tcPr>
          <w:p w14:paraId="2C3A5B93" w14:textId="77777777" w:rsidR="00D12295" w:rsidRPr="00DF5C23" w:rsidRDefault="00D12295" w:rsidP="002041D4">
            <w:pPr>
              <w:wordWrap w:val="0"/>
              <w:jc w:val="center"/>
              <w:rPr>
                <w:rFonts w:eastAsia="Calibri"/>
                <w:noProof/>
                <w:sz w:val="20"/>
              </w:rPr>
            </w:pPr>
          </w:p>
        </w:tc>
        <w:tc>
          <w:tcPr>
            <w:tcW w:w="1440" w:type="dxa"/>
            <w:vAlign w:val="center"/>
          </w:tcPr>
          <w:p w14:paraId="1C9E1B34" w14:textId="77777777" w:rsidR="0038775E" w:rsidRDefault="00877B9C" w:rsidP="002041D4">
            <w:pPr>
              <w:wordWrap w:val="0"/>
              <w:spacing w:before="20" w:after="20"/>
              <w:rPr>
                <w:rFonts w:eastAsia="Calibri"/>
                <w:noProof/>
                <w:sz w:val="18"/>
              </w:rPr>
            </w:pPr>
            <w:r w:rsidRPr="00DF5C23">
              <w:rPr>
                <w:rFonts w:eastAsia="Calibri"/>
                <w:noProof/>
                <w:sz w:val="18"/>
              </w:rPr>
              <w:t>ペイメント</w:t>
            </w:r>
          </w:p>
        </w:tc>
        <w:tc>
          <w:tcPr>
            <w:tcW w:w="654" w:type="dxa"/>
            <w:gridSpan w:val="2"/>
            <w:vAlign w:val="center"/>
          </w:tcPr>
          <w:p w14:paraId="788653F5" w14:textId="77777777" w:rsidR="0038775E" w:rsidRDefault="00877B9C" w:rsidP="002041D4">
            <w:pPr>
              <w:wordWrap w:val="0"/>
              <w:spacing w:before="20" w:after="20"/>
              <w:jc w:val="center"/>
              <w:rPr>
                <w:rFonts w:eastAsia="Calibri"/>
                <w:noProof/>
                <w:sz w:val="14"/>
              </w:rPr>
            </w:pPr>
            <w:r w:rsidRPr="00DF5C23">
              <w:rPr>
                <w:rFonts w:eastAsia="Calibri"/>
                <w:noProof/>
                <w:sz w:val="14"/>
              </w:rPr>
              <w:t>(2b)</w:t>
            </w:r>
          </w:p>
        </w:tc>
        <w:tc>
          <w:tcPr>
            <w:tcW w:w="868" w:type="dxa"/>
            <w:vAlign w:val="center"/>
          </w:tcPr>
          <w:p w14:paraId="544FD570" w14:textId="77777777" w:rsidR="0038775E" w:rsidRDefault="00877B9C" w:rsidP="002041D4">
            <w:pPr>
              <w:wordWrap w:val="0"/>
              <w:spacing w:before="20" w:after="20"/>
              <w:jc w:val="right"/>
              <w:rPr>
                <w:rFonts w:eastAsia="Calibri"/>
                <w:noProof/>
                <w:sz w:val="20"/>
              </w:rPr>
            </w:pPr>
            <w:r w:rsidRPr="00DF5C23">
              <w:rPr>
                <w:noProof/>
                <w:sz w:val="20"/>
              </w:rPr>
              <w:t>0</w:t>
            </w:r>
          </w:p>
        </w:tc>
        <w:tc>
          <w:tcPr>
            <w:tcW w:w="868" w:type="dxa"/>
            <w:vAlign w:val="center"/>
          </w:tcPr>
          <w:p w14:paraId="15BC1836" w14:textId="77777777" w:rsidR="0038775E" w:rsidRDefault="00877B9C" w:rsidP="002041D4">
            <w:pPr>
              <w:wordWrap w:val="0"/>
              <w:spacing w:before="20" w:after="20"/>
              <w:jc w:val="right"/>
              <w:rPr>
                <w:rFonts w:eastAsia="Calibri"/>
                <w:noProof/>
                <w:sz w:val="20"/>
              </w:rPr>
            </w:pPr>
            <w:r w:rsidRPr="00DF5C23">
              <w:rPr>
                <w:noProof/>
                <w:sz w:val="20"/>
              </w:rPr>
              <w:t>0</w:t>
            </w:r>
          </w:p>
        </w:tc>
        <w:tc>
          <w:tcPr>
            <w:tcW w:w="868" w:type="dxa"/>
            <w:vAlign w:val="center"/>
          </w:tcPr>
          <w:p w14:paraId="6BF98005" w14:textId="77777777" w:rsidR="0038775E" w:rsidRDefault="00877B9C" w:rsidP="002041D4">
            <w:pPr>
              <w:wordWrap w:val="0"/>
              <w:spacing w:before="20" w:after="20"/>
              <w:jc w:val="right"/>
              <w:rPr>
                <w:rFonts w:eastAsia="Calibri"/>
                <w:noProof/>
                <w:sz w:val="20"/>
              </w:rPr>
            </w:pPr>
            <w:r w:rsidRPr="00DF5C23">
              <w:rPr>
                <w:noProof/>
                <w:sz w:val="20"/>
              </w:rPr>
              <w:t>0,280</w:t>
            </w:r>
          </w:p>
        </w:tc>
        <w:tc>
          <w:tcPr>
            <w:tcW w:w="868" w:type="dxa"/>
            <w:vAlign w:val="center"/>
          </w:tcPr>
          <w:p w14:paraId="5DB126B1" w14:textId="77777777" w:rsidR="0038775E" w:rsidRDefault="00877B9C" w:rsidP="002041D4">
            <w:pPr>
              <w:wordWrap w:val="0"/>
              <w:spacing w:before="20" w:after="20"/>
              <w:jc w:val="right"/>
              <w:rPr>
                <w:rFonts w:eastAsia="Calibri"/>
                <w:noProof/>
                <w:sz w:val="20"/>
              </w:rPr>
            </w:pPr>
            <w:r w:rsidRPr="00DF5C23">
              <w:rPr>
                <w:noProof/>
                <w:sz w:val="20"/>
              </w:rPr>
              <w:t>0,365</w:t>
            </w:r>
          </w:p>
        </w:tc>
        <w:tc>
          <w:tcPr>
            <w:tcW w:w="868" w:type="dxa"/>
            <w:vAlign w:val="center"/>
          </w:tcPr>
          <w:p w14:paraId="70263D46" w14:textId="77777777" w:rsidR="0038775E" w:rsidRDefault="00877B9C" w:rsidP="002041D4">
            <w:pPr>
              <w:wordWrap w:val="0"/>
              <w:spacing w:before="20" w:after="20"/>
              <w:jc w:val="right"/>
              <w:rPr>
                <w:rFonts w:eastAsia="Calibri"/>
                <w:noProof/>
                <w:sz w:val="20"/>
              </w:rPr>
            </w:pPr>
            <w:r w:rsidRPr="00DF5C23">
              <w:rPr>
                <w:noProof/>
                <w:sz w:val="20"/>
              </w:rPr>
              <w:t>0,350</w:t>
            </w:r>
          </w:p>
        </w:tc>
        <w:tc>
          <w:tcPr>
            <w:tcW w:w="881" w:type="dxa"/>
            <w:vAlign w:val="center"/>
          </w:tcPr>
          <w:p w14:paraId="060992A1" w14:textId="77777777" w:rsidR="0038775E" w:rsidRDefault="00877B9C" w:rsidP="002041D4">
            <w:pPr>
              <w:wordWrap w:val="0"/>
              <w:spacing w:before="20" w:after="20"/>
              <w:jc w:val="right"/>
              <w:rPr>
                <w:rFonts w:eastAsia="Calibri"/>
                <w:noProof/>
                <w:sz w:val="20"/>
              </w:rPr>
            </w:pPr>
            <w:r w:rsidRPr="00DF5C23">
              <w:rPr>
                <w:noProof/>
                <w:sz w:val="20"/>
              </w:rPr>
              <w:t>0,210</w:t>
            </w:r>
          </w:p>
        </w:tc>
        <w:tc>
          <w:tcPr>
            <w:tcW w:w="851" w:type="dxa"/>
          </w:tcPr>
          <w:p w14:paraId="384AE90E" w14:textId="77777777" w:rsidR="0038775E" w:rsidRDefault="00877B9C" w:rsidP="002041D4">
            <w:pPr>
              <w:wordWrap w:val="0"/>
              <w:spacing w:before="20" w:after="20"/>
              <w:jc w:val="right"/>
              <w:rPr>
                <w:noProof/>
                <w:sz w:val="20"/>
              </w:rPr>
            </w:pPr>
            <w:r w:rsidRPr="00DF5C23">
              <w:rPr>
                <w:noProof/>
                <w:sz w:val="20"/>
              </w:rPr>
              <w:t>0,</w:t>
            </w:r>
            <w:r w:rsidR="005D3B78" w:rsidRPr="00DF5C23">
              <w:rPr>
                <w:noProof/>
                <w:sz w:val="20"/>
              </w:rPr>
              <w:t>450</w:t>
            </w:r>
          </w:p>
        </w:tc>
        <w:tc>
          <w:tcPr>
            <w:tcW w:w="1701" w:type="dxa"/>
            <w:vAlign w:val="center"/>
          </w:tcPr>
          <w:p w14:paraId="2CDB8B43" w14:textId="77777777" w:rsidR="0038775E" w:rsidRDefault="00877B9C" w:rsidP="002041D4">
            <w:pPr>
              <w:wordWrap w:val="0"/>
              <w:spacing w:before="20" w:after="20"/>
              <w:jc w:val="right"/>
              <w:rPr>
                <w:rFonts w:eastAsia="Calibri"/>
                <w:b/>
                <w:noProof/>
                <w:sz w:val="20"/>
              </w:rPr>
            </w:pPr>
            <w:r w:rsidRPr="00DF5C23">
              <w:rPr>
                <w:noProof/>
                <w:sz w:val="20"/>
              </w:rPr>
              <w:t>1,250</w:t>
            </w:r>
          </w:p>
        </w:tc>
      </w:tr>
      <w:tr w:rsidR="00D12295" w:rsidRPr="00DF5C23" w14:paraId="2C3A5BA9" w14:textId="77777777" w:rsidTr="00EC0E40">
        <w:trPr>
          <w:trHeight w:val="231"/>
        </w:trPr>
        <w:tc>
          <w:tcPr>
            <w:tcW w:w="6054" w:type="dxa"/>
            <w:gridSpan w:val="4"/>
            <w:vAlign w:val="center"/>
          </w:tcPr>
          <w:p w14:paraId="7D7A669F" w14:textId="77777777" w:rsidR="0038775E" w:rsidRDefault="00877B9C" w:rsidP="002041D4">
            <w:pPr>
              <w:wordWrap w:val="0"/>
              <w:spacing w:before="20" w:after="20"/>
              <w:rPr>
                <w:rFonts w:eastAsia="Calibri"/>
                <w:noProof/>
                <w:lang w:eastAsia="ja-JP"/>
              </w:rPr>
            </w:pPr>
            <w:r w:rsidRPr="00DF5C23">
              <w:rPr>
                <w:rFonts w:eastAsia="Calibri"/>
                <w:noProof/>
                <w:sz w:val="21"/>
                <w:szCs w:val="21"/>
                <w:lang w:eastAsia="ja-JP"/>
              </w:rPr>
              <w:t>特定プログラムのエンベロープから資金を調達する管理的性質の収用</w:t>
            </w:r>
            <w:r w:rsidRPr="00DF5C23">
              <w:rPr>
                <w:rFonts w:eastAsia="Calibri"/>
                <w:noProof/>
                <w:sz w:val="21"/>
                <w:szCs w:val="21"/>
                <w:lang w:eastAsia="ja-JP"/>
              </w:rPr>
              <w:t xml:space="preserve"> </w:t>
            </w:r>
            <w:r w:rsidR="008B78E1" w:rsidRPr="00DF5C23">
              <w:rPr>
                <w:rStyle w:val="afa"/>
                <w:rFonts w:eastAsia="Calibri"/>
                <w:noProof/>
                <w:sz w:val="21"/>
                <w:szCs w:val="21"/>
              </w:rPr>
              <w:footnoteReference w:id="97"/>
            </w:r>
          </w:p>
          <w:p w14:paraId="2C3A5BA0" w14:textId="77777777" w:rsidR="00D12295" w:rsidRPr="00DF5C23" w:rsidRDefault="00D12295" w:rsidP="002041D4">
            <w:pPr>
              <w:wordWrap w:val="0"/>
              <w:spacing w:before="0" w:after="0"/>
              <w:rPr>
                <w:rFonts w:eastAsia="Calibri"/>
                <w:noProof/>
                <w:lang w:eastAsia="ja-JP"/>
              </w:rPr>
            </w:pPr>
          </w:p>
        </w:tc>
        <w:tc>
          <w:tcPr>
            <w:tcW w:w="868" w:type="dxa"/>
            <w:vAlign w:val="center"/>
          </w:tcPr>
          <w:p w14:paraId="2C3A5BA1" w14:textId="77777777" w:rsidR="00D12295" w:rsidRPr="00DF5C23" w:rsidRDefault="00D12295" w:rsidP="002041D4">
            <w:pPr>
              <w:wordWrap w:val="0"/>
              <w:rPr>
                <w:rFonts w:eastAsia="Calibri"/>
                <w:b/>
                <w:noProof/>
                <w:sz w:val="20"/>
                <w:lang w:eastAsia="ja-JP"/>
              </w:rPr>
            </w:pPr>
          </w:p>
        </w:tc>
        <w:tc>
          <w:tcPr>
            <w:tcW w:w="868" w:type="dxa"/>
            <w:vAlign w:val="center"/>
          </w:tcPr>
          <w:p w14:paraId="2C3A5BA2" w14:textId="77777777" w:rsidR="00D12295" w:rsidRPr="00DF5C23" w:rsidRDefault="00D12295" w:rsidP="002041D4">
            <w:pPr>
              <w:wordWrap w:val="0"/>
              <w:rPr>
                <w:rFonts w:eastAsia="Calibri"/>
                <w:b/>
                <w:noProof/>
                <w:sz w:val="20"/>
                <w:lang w:eastAsia="ja-JP"/>
              </w:rPr>
            </w:pPr>
          </w:p>
        </w:tc>
        <w:tc>
          <w:tcPr>
            <w:tcW w:w="868" w:type="dxa"/>
            <w:vAlign w:val="center"/>
          </w:tcPr>
          <w:p w14:paraId="2C3A5BA3" w14:textId="77777777" w:rsidR="00D12295" w:rsidRPr="00DF5C23" w:rsidRDefault="00D12295" w:rsidP="002041D4">
            <w:pPr>
              <w:wordWrap w:val="0"/>
              <w:rPr>
                <w:rFonts w:eastAsia="Calibri"/>
                <w:b/>
                <w:noProof/>
                <w:sz w:val="20"/>
                <w:lang w:eastAsia="ja-JP"/>
              </w:rPr>
            </w:pPr>
          </w:p>
        </w:tc>
        <w:tc>
          <w:tcPr>
            <w:tcW w:w="868" w:type="dxa"/>
            <w:vAlign w:val="center"/>
          </w:tcPr>
          <w:p w14:paraId="2C3A5BA4" w14:textId="77777777" w:rsidR="00D12295" w:rsidRPr="00DF5C23" w:rsidRDefault="00D12295" w:rsidP="002041D4">
            <w:pPr>
              <w:wordWrap w:val="0"/>
              <w:rPr>
                <w:rFonts w:eastAsia="Calibri"/>
                <w:b/>
                <w:noProof/>
                <w:sz w:val="20"/>
                <w:lang w:eastAsia="ja-JP"/>
              </w:rPr>
            </w:pPr>
          </w:p>
        </w:tc>
        <w:tc>
          <w:tcPr>
            <w:tcW w:w="868" w:type="dxa"/>
            <w:vAlign w:val="center"/>
          </w:tcPr>
          <w:p w14:paraId="2C3A5BA5" w14:textId="77777777" w:rsidR="00D12295" w:rsidRPr="00DF5C23" w:rsidRDefault="00D12295" w:rsidP="002041D4">
            <w:pPr>
              <w:wordWrap w:val="0"/>
              <w:rPr>
                <w:rFonts w:eastAsia="Calibri"/>
                <w:b/>
                <w:noProof/>
                <w:sz w:val="20"/>
                <w:lang w:eastAsia="ja-JP"/>
              </w:rPr>
            </w:pPr>
          </w:p>
        </w:tc>
        <w:tc>
          <w:tcPr>
            <w:tcW w:w="881" w:type="dxa"/>
            <w:vAlign w:val="center"/>
          </w:tcPr>
          <w:p w14:paraId="2C3A5BA6" w14:textId="77777777" w:rsidR="00D12295" w:rsidRPr="00DF5C23" w:rsidRDefault="00D12295" w:rsidP="002041D4">
            <w:pPr>
              <w:wordWrap w:val="0"/>
              <w:rPr>
                <w:rFonts w:eastAsia="Calibri"/>
                <w:b/>
                <w:noProof/>
                <w:sz w:val="20"/>
                <w:lang w:eastAsia="ja-JP"/>
              </w:rPr>
            </w:pPr>
          </w:p>
        </w:tc>
        <w:tc>
          <w:tcPr>
            <w:tcW w:w="851" w:type="dxa"/>
          </w:tcPr>
          <w:p w14:paraId="2C3A5BA7" w14:textId="77777777" w:rsidR="005F7372" w:rsidRPr="00DF5C23" w:rsidRDefault="005F7372" w:rsidP="002041D4">
            <w:pPr>
              <w:wordWrap w:val="0"/>
              <w:rPr>
                <w:rFonts w:eastAsia="Calibri"/>
                <w:b/>
                <w:noProof/>
                <w:sz w:val="20"/>
                <w:lang w:eastAsia="ja-JP"/>
              </w:rPr>
            </w:pPr>
          </w:p>
        </w:tc>
        <w:tc>
          <w:tcPr>
            <w:tcW w:w="1701" w:type="dxa"/>
            <w:vAlign w:val="center"/>
          </w:tcPr>
          <w:p w14:paraId="2C3A5BA8" w14:textId="77777777" w:rsidR="00D12295" w:rsidRPr="00DF5C23" w:rsidRDefault="00D12295" w:rsidP="002041D4">
            <w:pPr>
              <w:wordWrap w:val="0"/>
              <w:rPr>
                <w:rFonts w:eastAsia="Calibri"/>
                <w:b/>
                <w:noProof/>
                <w:sz w:val="20"/>
                <w:lang w:eastAsia="ja-JP"/>
              </w:rPr>
            </w:pPr>
          </w:p>
        </w:tc>
      </w:tr>
      <w:tr w:rsidR="00D12295" w:rsidRPr="00DF5C23" w14:paraId="2C3A5BB5" w14:textId="77777777" w:rsidTr="00EC0E40">
        <w:trPr>
          <w:trHeight w:val="319"/>
        </w:trPr>
        <w:tc>
          <w:tcPr>
            <w:tcW w:w="3960" w:type="dxa"/>
            <w:vAlign w:val="center"/>
          </w:tcPr>
          <w:p w14:paraId="6C1E68F6" w14:textId="77777777" w:rsidR="0038775E" w:rsidRDefault="00877B9C" w:rsidP="002041D4">
            <w:pPr>
              <w:wordWrap w:val="0"/>
              <w:spacing w:before="60" w:after="60"/>
              <w:rPr>
                <w:rFonts w:eastAsia="Calibri"/>
                <w:noProof/>
              </w:rPr>
            </w:pPr>
            <w:r w:rsidRPr="00DF5C23">
              <w:rPr>
                <w:rFonts w:eastAsia="Calibri"/>
                <w:noProof/>
                <w:sz w:val="20"/>
              </w:rPr>
              <w:t>予算ライン</w:t>
            </w:r>
          </w:p>
        </w:tc>
        <w:tc>
          <w:tcPr>
            <w:tcW w:w="1440" w:type="dxa"/>
            <w:vAlign w:val="center"/>
          </w:tcPr>
          <w:p w14:paraId="2C3A5BAB" w14:textId="77777777" w:rsidR="00D12295" w:rsidRPr="00DF5C23" w:rsidRDefault="00D12295" w:rsidP="002041D4">
            <w:pPr>
              <w:wordWrap w:val="0"/>
              <w:spacing w:before="40" w:after="40"/>
              <w:jc w:val="right"/>
              <w:rPr>
                <w:rFonts w:eastAsia="Calibri"/>
                <w:noProof/>
                <w:sz w:val="18"/>
              </w:rPr>
            </w:pPr>
          </w:p>
        </w:tc>
        <w:tc>
          <w:tcPr>
            <w:tcW w:w="654" w:type="dxa"/>
            <w:gridSpan w:val="2"/>
            <w:vAlign w:val="center"/>
          </w:tcPr>
          <w:p w14:paraId="65AD84D3" w14:textId="77777777" w:rsidR="0038775E" w:rsidRDefault="00877B9C" w:rsidP="002041D4">
            <w:pPr>
              <w:wordWrap w:val="0"/>
              <w:spacing w:before="40" w:after="40"/>
              <w:jc w:val="center"/>
              <w:rPr>
                <w:rFonts w:eastAsia="Calibri"/>
                <w:noProof/>
                <w:sz w:val="14"/>
              </w:rPr>
            </w:pPr>
            <w:r w:rsidRPr="00DF5C23">
              <w:rPr>
                <w:rFonts w:eastAsia="Calibri"/>
                <w:noProof/>
                <w:sz w:val="14"/>
              </w:rPr>
              <w:t>(3)</w:t>
            </w:r>
          </w:p>
        </w:tc>
        <w:tc>
          <w:tcPr>
            <w:tcW w:w="868" w:type="dxa"/>
            <w:vAlign w:val="center"/>
          </w:tcPr>
          <w:p w14:paraId="2C3A5BAD" w14:textId="77777777" w:rsidR="00D12295" w:rsidRPr="00DF5C23" w:rsidRDefault="00D12295" w:rsidP="002041D4">
            <w:pPr>
              <w:wordWrap w:val="0"/>
              <w:spacing w:before="40" w:after="40"/>
              <w:jc w:val="right"/>
              <w:rPr>
                <w:rFonts w:eastAsia="Calibri"/>
                <w:b/>
                <w:noProof/>
                <w:sz w:val="20"/>
              </w:rPr>
            </w:pPr>
          </w:p>
        </w:tc>
        <w:tc>
          <w:tcPr>
            <w:tcW w:w="868" w:type="dxa"/>
            <w:vAlign w:val="center"/>
          </w:tcPr>
          <w:p w14:paraId="2C3A5BAE" w14:textId="77777777" w:rsidR="00D12295" w:rsidRPr="00DF5C23" w:rsidRDefault="00D12295" w:rsidP="002041D4">
            <w:pPr>
              <w:wordWrap w:val="0"/>
              <w:spacing w:before="40" w:after="40"/>
              <w:jc w:val="right"/>
              <w:rPr>
                <w:rFonts w:eastAsia="Calibri"/>
                <w:b/>
                <w:noProof/>
                <w:sz w:val="20"/>
              </w:rPr>
            </w:pPr>
          </w:p>
        </w:tc>
        <w:tc>
          <w:tcPr>
            <w:tcW w:w="868" w:type="dxa"/>
            <w:vAlign w:val="center"/>
          </w:tcPr>
          <w:p w14:paraId="2C3A5BAF" w14:textId="77777777" w:rsidR="00D12295" w:rsidRPr="00DF5C23" w:rsidRDefault="00D12295" w:rsidP="002041D4">
            <w:pPr>
              <w:wordWrap w:val="0"/>
              <w:spacing w:before="40" w:after="40"/>
              <w:jc w:val="right"/>
              <w:rPr>
                <w:rFonts w:eastAsia="Calibri"/>
                <w:b/>
                <w:noProof/>
                <w:sz w:val="20"/>
              </w:rPr>
            </w:pPr>
          </w:p>
        </w:tc>
        <w:tc>
          <w:tcPr>
            <w:tcW w:w="868" w:type="dxa"/>
            <w:vAlign w:val="center"/>
          </w:tcPr>
          <w:p w14:paraId="2C3A5BB0" w14:textId="77777777" w:rsidR="00D12295" w:rsidRPr="00DF5C23" w:rsidRDefault="00D12295" w:rsidP="002041D4">
            <w:pPr>
              <w:wordWrap w:val="0"/>
              <w:spacing w:before="40" w:after="40"/>
              <w:jc w:val="right"/>
              <w:rPr>
                <w:rFonts w:eastAsia="Calibri"/>
                <w:b/>
                <w:noProof/>
                <w:sz w:val="20"/>
              </w:rPr>
            </w:pPr>
          </w:p>
        </w:tc>
        <w:tc>
          <w:tcPr>
            <w:tcW w:w="868" w:type="dxa"/>
            <w:vAlign w:val="center"/>
          </w:tcPr>
          <w:p w14:paraId="2C3A5BB1" w14:textId="77777777" w:rsidR="00D12295" w:rsidRPr="00DF5C23" w:rsidRDefault="00D12295" w:rsidP="002041D4">
            <w:pPr>
              <w:wordWrap w:val="0"/>
              <w:spacing w:before="40" w:after="40"/>
              <w:jc w:val="right"/>
              <w:rPr>
                <w:rFonts w:eastAsia="Calibri"/>
                <w:b/>
                <w:noProof/>
                <w:sz w:val="20"/>
              </w:rPr>
            </w:pPr>
          </w:p>
        </w:tc>
        <w:tc>
          <w:tcPr>
            <w:tcW w:w="881" w:type="dxa"/>
            <w:vAlign w:val="center"/>
          </w:tcPr>
          <w:p w14:paraId="2C3A5BB2" w14:textId="77777777" w:rsidR="00D12295" w:rsidRPr="00DF5C23" w:rsidRDefault="00D12295" w:rsidP="002041D4">
            <w:pPr>
              <w:wordWrap w:val="0"/>
              <w:spacing w:before="40" w:after="40"/>
              <w:jc w:val="right"/>
              <w:rPr>
                <w:rFonts w:eastAsia="Calibri"/>
                <w:b/>
                <w:noProof/>
                <w:sz w:val="20"/>
              </w:rPr>
            </w:pPr>
          </w:p>
        </w:tc>
        <w:tc>
          <w:tcPr>
            <w:tcW w:w="851" w:type="dxa"/>
          </w:tcPr>
          <w:p w14:paraId="2C3A5BB3" w14:textId="77777777" w:rsidR="005F7372" w:rsidRPr="00DF5C23" w:rsidRDefault="005F7372" w:rsidP="002041D4">
            <w:pPr>
              <w:wordWrap w:val="0"/>
              <w:spacing w:before="40" w:after="40"/>
              <w:jc w:val="right"/>
              <w:rPr>
                <w:rFonts w:eastAsia="Calibri"/>
                <w:b/>
                <w:noProof/>
                <w:sz w:val="20"/>
              </w:rPr>
            </w:pPr>
          </w:p>
        </w:tc>
        <w:tc>
          <w:tcPr>
            <w:tcW w:w="1701" w:type="dxa"/>
            <w:vAlign w:val="center"/>
          </w:tcPr>
          <w:p w14:paraId="2C3A5BB4" w14:textId="77777777" w:rsidR="00D12295" w:rsidRPr="00DF5C23" w:rsidRDefault="00D12295" w:rsidP="002041D4">
            <w:pPr>
              <w:wordWrap w:val="0"/>
              <w:spacing w:before="40" w:after="40"/>
              <w:jc w:val="right"/>
              <w:rPr>
                <w:rFonts w:eastAsia="Calibri"/>
                <w:b/>
                <w:noProof/>
                <w:sz w:val="20"/>
              </w:rPr>
            </w:pPr>
          </w:p>
        </w:tc>
      </w:tr>
      <w:tr w:rsidR="00D12295" w:rsidRPr="00DF5C23" w14:paraId="2C3A5BC2" w14:textId="77777777" w:rsidTr="00EC0E40">
        <w:tc>
          <w:tcPr>
            <w:tcW w:w="3960" w:type="dxa"/>
            <w:vMerge w:val="restart"/>
            <w:vAlign w:val="center"/>
          </w:tcPr>
          <w:p w14:paraId="4CCD7C60" w14:textId="77777777" w:rsidR="0038775E" w:rsidRDefault="00877B9C" w:rsidP="002041D4">
            <w:pPr>
              <w:wordWrap w:val="0"/>
              <w:jc w:val="center"/>
              <w:rPr>
                <w:rFonts w:eastAsia="Calibri"/>
                <w:b/>
                <w:noProof/>
              </w:rPr>
            </w:pPr>
            <w:r w:rsidRPr="00DF5C23">
              <w:rPr>
                <w:rFonts w:eastAsia="Calibri"/>
                <w:b/>
                <w:noProof/>
                <w:sz w:val="22"/>
              </w:rPr>
              <w:t>総支給額</w:t>
            </w:r>
            <w:r w:rsidRPr="00DF5C23">
              <w:rPr>
                <w:rFonts w:eastAsia="Calibri"/>
                <w:noProof/>
                <w:sz w:val="22"/>
              </w:rPr>
              <w:br/>
            </w:r>
            <w:r w:rsidRPr="00DF5C23">
              <w:rPr>
                <w:rFonts w:eastAsia="Calibri"/>
                <w:b/>
                <w:noProof/>
                <w:sz w:val="22"/>
              </w:rPr>
              <w:t xml:space="preserve">DG </w:t>
            </w:r>
            <w:r w:rsidRPr="00DF5C23">
              <w:rPr>
                <w:rFonts w:eastAsia="Calibri"/>
                <w:noProof/>
                <w:sz w:val="22"/>
              </w:rPr>
              <w:t>ENV</w:t>
            </w:r>
            <w:r w:rsidRPr="00DF5C23">
              <w:rPr>
                <w:rFonts w:eastAsia="Calibri"/>
                <w:noProof/>
                <w:sz w:val="22"/>
              </w:rPr>
              <w:t>の</w:t>
            </w:r>
            <w:r w:rsidRPr="00DF5C23">
              <w:rPr>
                <w:rFonts w:eastAsia="Calibri"/>
                <w:b/>
                <w:noProof/>
                <w:sz w:val="22"/>
              </w:rPr>
              <w:t>場合</w:t>
            </w:r>
          </w:p>
        </w:tc>
        <w:tc>
          <w:tcPr>
            <w:tcW w:w="1440" w:type="dxa"/>
            <w:vAlign w:val="center"/>
          </w:tcPr>
          <w:p w14:paraId="02295408" w14:textId="77777777" w:rsidR="0038775E" w:rsidRDefault="00877B9C" w:rsidP="002041D4">
            <w:pPr>
              <w:wordWrap w:val="0"/>
              <w:rPr>
                <w:rFonts w:eastAsia="Calibri"/>
                <w:noProof/>
                <w:sz w:val="18"/>
              </w:rPr>
            </w:pPr>
            <w:r w:rsidRPr="00DF5C23">
              <w:rPr>
                <w:rFonts w:eastAsia="Calibri"/>
                <w:noProof/>
                <w:sz w:val="18"/>
              </w:rPr>
              <w:t>コミットメント</w:t>
            </w:r>
          </w:p>
        </w:tc>
        <w:tc>
          <w:tcPr>
            <w:tcW w:w="654" w:type="dxa"/>
            <w:gridSpan w:val="2"/>
            <w:vAlign w:val="center"/>
          </w:tcPr>
          <w:p w14:paraId="068972A1" w14:textId="77777777" w:rsidR="0038775E" w:rsidRDefault="00877B9C" w:rsidP="002041D4">
            <w:pPr>
              <w:wordWrap w:val="0"/>
              <w:jc w:val="center"/>
              <w:rPr>
                <w:rFonts w:eastAsia="Calibri"/>
                <w:noProof/>
                <w:sz w:val="14"/>
              </w:rPr>
            </w:pPr>
            <w:r w:rsidRPr="00DF5C23">
              <w:rPr>
                <w:rFonts w:eastAsia="Calibri"/>
                <w:noProof/>
                <w:sz w:val="14"/>
              </w:rPr>
              <w:t>=1a+1b +3</w:t>
            </w:r>
          </w:p>
        </w:tc>
        <w:tc>
          <w:tcPr>
            <w:tcW w:w="868" w:type="dxa"/>
            <w:vAlign w:val="center"/>
          </w:tcPr>
          <w:p w14:paraId="61FF350C" w14:textId="77777777" w:rsidR="0038775E" w:rsidRDefault="00877B9C" w:rsidP="002041D4">
            <w:pPr>
              <w:wordWrap w:val="0"/>
              <w:spacing w:before="20" w:after="20"/>
              <w:jc w:val="right"/>
              <w:rPr>
                <w:rFonts w:eastAsia="Calibri"/>
                <w:noProof/>
                <w:sz w:val="20"/>
              </w:rPr>
            </w:pPr>
            <w:r w:rsidRPr="00DF5C23">
              <w:rPr>
                <w:rFonts w:ascii="Arial Narrow" w:hAnsi="Arial Narrow" w:cs="Calibri"/>
                <w:noProof/>
                <w:color w:val="000000"/>
                <w:sz w:val="20"/>
                <w:szCs w:val="20"/>
              </w:rPr>
              <w:t>2,276</w:t>
            </w:r>
          </w:p>
        </w:tc>
        <w:tc>
          <w:tcPr>
            <w:tcW w:w="868" w:type="dxa"/>
            <w:vAlign w:val="center"/>
          </w:tcPr>
          <w:p w14:paraId="16A304CA" w14:textId="77777777" w:rsidR="0038775E" w:rsidRDefault="00877B9C" w:rsidP="002041D4">
            <w:pPr>
              <w:wordWrap w:val="0"/>
              <w:spacing w:before="20" w:after="20"/>
              <w:jc w:val="right"/>
              <w:rPr>
                <w:rFonts w:eastAsia="Calibri"/>
                <w:noProof/>
                <w:sz w:val="20"/>
              </w:rPr>
            </w:pPr>
            <w:r w:rsidRPr="00DF5C23">
              <w:rPr>
                <w:rFonts w:ascii="Arial Narrow" w:hAnsi="Arial Narrow" w:cs="Calibri"/>
                <w:noProof/>
                <w:color w:val="000000"/>
                <w:sz w:val="20"/>
                <w:szCs w:val="20"/>
              </w:rPr>
              <w:t>2,948</w:t>
            </w:r>
          </w:p>
        </w:tc>
        <w:tc>
          <w:tcPr>
            <w:tcW w:w="868" w:type="dxa"/>
            <w:vAlign w:val="center"/>
          </w:tcPr>
          <w:p w14:paraId="06FB721B" w14:textId="77777777" w:rsidR="0038775E" w:rsidRDefault="00877B9C" w:rsidP="002041D4">
            <w:pPr>
              <w:wordWrap w:val="0"/>
              <w:spacing w:before="20" w:after="20"/>
              <w:jc w:val="right"/>
              <w:rPr>
                <w:rFonts w:eastAsia="Calibri"/>
                <w:noProof/>
                <w:sz w:val="20"/>
              </w:rPr>
            </w:pPr>
            <w:r w:rsidRPr="00DF5C23">
              <w:rPr>
                <w:rFonts w:ascii="Arial Narrow" w:hAnsi="Arial Narrow" w:cs="Calibri"/>
                <w:noProof/>
                <w:color w:val="000000"/>
                <w:sz w:val="20"/>
                <w:szCs w:val="20"/>
              </w:rPr>
              <w:t>2,580</w:t>
            </w:r>
          </w:p>
        </w:tc>
        <w:tc>
          <w:tcPr>
            <w:tcW w:w="868" w:type="dxa"/>
            <w:vAlign w:val="center"/>
          </w:tcPr>
          <w:p w14:paraId="77553C8A" w14:textId="77777777" w:rsidR="0038775E" w:rsidRDefault="00877B9C" w:rsidP="002041D4">
            <w:pPr>
              <w:wordWrap w:val="0"/>
              <w:spacing w:before="20" w:after="20"/>
              <w:jc w:val="right"/>
              <w:rPr>
                <w:rFonts w:eastAsia="Calibri"/>
                <w:noProof/>
                <w:sz w:val="20"/>
              </w:rPr>
            </w:pPr>
            <w:r w:rsidRPr="00DF5C23">
              <w:rPr>
                <w:rFonts w:ascii="Arial Narrow" w:hAnsi="Arial Narrow" w:cs="Calibri"/>
                <w:noProof/>
                <w:color w:val="000000"/>
                <w:sz w:val="20"/>
                <w:szCs w:val="20"/>
              </w:rPr>
              <w:t>3,030</w:t>
            </w:r>
          </w:p>
        </w:tc>
        <w:tc>
          <w:tcPr>
            <w:tcW w:w="868" w:type="dxa"/>
            <w:vAlign w:val="center"/>
          </w:tcPr>
          <w:p w14:paraId="1C0065F5" w14:textId="77777777" w:rsidR="0038775E" w:rsidRDefault="00877B9C" w:rsidP="002041D4">
            <w:pPr>
              <w:wordWrap w:val="0"/>
              <w:spacing w:before="20" w:after="20"/>
              <w:jc w:val="right"/>
              <w:rPr>
                <w:rFonts w:eastAsia="Calibri"/>
                <w:noProof/>
                <w:sz w:val="20"/>
              </w:rPr>
            </w:pPr>
            <w:r w:rsidRPr="00DF5C23">
              <w:rPr>
                <w:rFonts w:ascii="Arial Narrow" w:hAnsi="Arial Narrow" w:cs="Calibri"/>
                <w:noProof/>
                <w:color w:val="000000"/>
                <w:sz w:val="20"/>
                <w:szCs w:val="20"/>
              </w:rPr>
              <w:t>4,030</w:t>
            </w:r>
          </w:p>
        </w:tc>
        <w:tc>
          <w:tcPr>
            <w:tcW w:w="881" w:type="dxa"/>
            <w:vAlign w:val="center"/>
          </w:tcPr>
          <w:p w14:paraId="56542A2A" w14:textId="77777777" w:rsidR="0038775E" w:rsidRDefault="00877B9C" w:rsidP="002041D4">
            <w:pPr>
              <w:wordWrap w:val="0"/>
              <w:spacing w:before="20" w:after="20"/>
              <w:jc w:val="right"/>
              <w:rPr>
                <w:rFonts w:eastAsia="Calibri"/>
                <w:noProof/>
                <w:sz w:val="20"/>
              </w:rPr>
            </w:pPr>
            <w:r w:rsidRPr="00DF5C23">
              <w:rPr>
                <w:rFonts w:ascii="Arial Narrow" w:hAnsi="Arial Narrow" w:cs="Calibri"/>
                <w:noProof/>
                <w:color w:val="000000"/>
                <w:sz w:val="20"/>
                <w:szCs w:val="20"/>
              </w:rPr>
              <w:t>3,830</w:t>
            </w:r>
          </w:p>
        </w:tc>
        <w:tc>
          <w:tcPr>
            <w:tcW w:w="851" w:type="dxa"/>
          </w:tcPr>
          <w:p w14:paraId="2C3A5BBF" w14:textId="77777777" w:rsidR="005F7372" w:rsidRPr="00DF5C23" w:rsidRDefault="005F7372" w:rsidP="002041D4">
            <w:pPr>
              <w:wordWrap w:val="0"/>
              <w:spacing w:before="20" w:after="20"/>
              <w:jc w:val="right"/>
              <w:rPr>
                <w:rFonts w:ascii="Arial Narrow" w:hAnsi="Arial Narrow" w:cs="Calibri"/>
                <w:noProof/>
                <w:color w:val="000000"/>
                <w:sz w:val="20"/>
                <w:szCs w:val="20"/>
              </w:rPr>
            </w:pPr>
          </w:p>
        </w:tc>
        <w:tc>
          <w:tcPr>
            <w:tcW w:w="1701" w:type="dxa"/>
            <w:vAlign w:val="center"/>
          </w:tcPr>
          <w:p w14:paraId="75E27601" w14:textId="77777777" w:rsidR="0038775E" w:rsidRDefault="00877B9C" w:rsidP="002041D4">
            <w:pPr>
              <w:wordWrap w:val="0"/>
              <w:spacing w:before="0" w:after="0"/>
              <w:jc w:val="right"/>
              <w:rPr>
                <w:rFonts w:ascii="Arial Narrow" w:hAnsi="Arial Narrow" w:cs="Calibri"/>
                <w:noProof/>
                <w:color w:val="000000"/>
                <w:sz w:val="20"/>
                <w:szCs w:val="20"/>
              </w:rPr>
            </w:pPr>
            <w:r w:rsidRPr="00DF5C23">
              <w:rPr>
                <w:rFonts w:ascii="Arial Narrow" w:hAnsi="Arial Narrow" w:cs="Calibri"/>
                <w:noProof/>
                <w:color w:val="000000"/>
                <w:sz w:val="20"/>
                <w:szCs w:val="20"/>
              </w:rPr>
              <w:t>18,694</w:t>
            </w:r>
          </w:p>
          <w:p w14:paraId="2C3A5BC1" w14:textId="77777777" w:rsidR="00D12295" w:rsidRPr="00DF5C23" w:rsidRDefault="00D12295" w:rsidP="002041D4">
            <w:pPr>
              <w:wordWrap w:val="0"/>
              <w:spacing w:before="20" w:after="20"/>
              <w:jc w:val="right"/>
              <w:rPr>
                <w:rFonts w:eastAsia="Calibri"/>
                <w:b/>
                <w:noProof/>
                <w:sz w:val="20"/>
              </w:rPr>
            </w:pPr>
          </w:p>
        </w:tc>
      </w:tr>
      <w:tr w:rsidR="00D12295" w:rsidRPr="00DF5C23" w14:paraId="2C3A5BD0" w14:textId="77777777" w:rsidTr="00EC0E40">
        <w:tc>
          <w:tcPr>
            <w:tcW w:w="3960" w:type="dxa"/>
            <w:vMerge/>
          </w:tcPr>
          <w:p w14:paraId="2C3A5BC3" w14:textId="77777777" w:rsidR="00D12295" w:rsidRPr="00DF5C23" w:rsidRDefault="00D12295" w:rsidP="002041D4">
            <w:pPr>
              <w:wordWrap w:val="0"/>
              <w:rPr>
                <w:rFonts w:eastAsia="Calibri"/>
                <w:noProof/>
                <w:sz w:val="20"/>
              </w:rPr>
            </w:pPr>
          </w:p>
        </w:tc>
        <w:tc>
          <w:tcPr>
            <w:tcW w:w="1440" w:type="dxa"/>
            <w:vAlign w:val="center"/>
          </w:tcPr>
          <w:p w14:paraId="0BD60206" w14:textId="77777777" w:rsidR="0038775E" w:rsidRDefault="00877B9C" w:rsidP="002041D4">
            <w:pPr>
              <w:wordWrap w:val="0"/>
              <w:rPr>
                <w:rFonts w:eastAsia="Calibri"/>
                <w:noProof/>
                <w:sz w:val="18"/>
              </w:rPr>
            </w:pPr>
            <w:r w:rsidRPr="00DF5C23">
              <w:rPr>
                <w:rFonts w:eastAsia="Calibri"/>
                <w:noProof/>
                <w:sz w:val="18"/>
              </w:rPr>
              <w:t>ペイメント</w:t>
            </w:r>
          </w:p>
        </w:tc>
        <w:tc>
          <w:tcPr>
            <w:tcW w:w="654" w:type="dxa"/>
            <w:gridSpan w:val="2"/>
            <w:vAlign w:val="center"/>
          </w:tcPr>
          <w:p w14:paraId="2C1844D2" w14:textId="77777777" w:rsidR="0038775E" w:rsidRDefault="00877B9C" w:rsidP="002041D4">
            <w:pPr>
              <w:wordWrap w:val="0"/>
              <w:jc w:val="center"/>
              <w:rPr>
                <w:rFonts w:eastAsia="Calibri"/>
                <w:noProof/>
                <w:sz w:val="14"/>
              </w:rPr>
            </w:pPr>
            <w:r w:rsidRPr="00DF5C23">
              <w:rPr>
                <w:rFonts w:eastAsia="Calibri"/>
                <w:noProof/>
                <w:sz w:val="14"/>
              </w:rPr>
              <w:t>=2a+2b</w:t>
            </w:r>
          </w:p>
          <w:p w14:paraId="3A14FF4F" w14:textId="77777777" w:rsidR="0038775E" w:rsidRDefault="00877B9C" w:rsidP="002041D4">
            <w:pPr>
              <w:wordWrap w:val="0"/>
              <w:jc w:val="center"/>
              <w:rPr>
                <w:rFonts w:eastAsia="Calibri"/>
                <w:noProof/>
                <w:sz w:val="14"/>
              </w:rPr>
            </w:pPr>
            <w:r w:rsidRPr="00DF5C23">
              <w:rPr>
                <w:rFonts w:eastAsia="Calibri"/>
                <w:noProof/>
                <w:sz w:val="14"/>
              </w:rPr>
              <w:t>+3</w:t>
            </w:r>
          </w:p>
        </w:tc>
        <w:tc>
          <w:tcPr>
            <w:tcW w:w="868" w:type="dxa"/>
            <w:vAlign w:val="center"/>
          </w:tcPr>
          <w:p w14:paraId="52935D6E" w14:textId="77777777" w:rsidR="0038775E" w:rsidRDefault="00877B9C" w:rsidP="002041D4">
            <w:pPr>
              <w:wordWrap w:val="0"/>
              <w:spacing w:before="20" w:after="20"/>
              <w:jc w:val="right"/>
              <w:rPr>
                <w:rFonts w:eastAsia="Calibri"/>
                <w:noProof/>
                <w:sz w:val="20"/>
              </w:rPr>
            </w:pPr>
            <w:r w:rsidRPr="00DF5C23">
              <w:rPr>
                <w:rFonts w:ascii="Arial Narrow" w:hAnsi="Arial Narrow" w:cs="Calibri"/>
                <w:noProof/>
                <w:color w:val="000000"/>
                <w:sz w:val="20"/>
                <w:szCs w:val="20"/>
              </w:rPr>
              <w:t>0,683</w:t>
            </w:r>
          </w:p>
        </w:tc>
        <w:tc>
          <w:tcPr>
            <w:tcW w:w="868" w:type="dxa"/>
            <w:vAlign w:val="center"/>
          </w:tcPr>
          <w:p w14:paraId="7A7415BB" w14:textId="77777777" w:rsidR="0038775E" w:rsidRDefault="00877B9C" w:rsidP="002041D4">
            <w:pPr>
              <w:wordWrap w:val="0"/>
              <w:spacing w:before="20" w:after="20"/>
              <w:jc w:val="right"/>
              <w:rPr>
                <w:rFonts w:eastAsia="Calibri"/>
                <w:noProof/>
                <w:sz w:val="20"/>
              </w:rPr>
            </w:pPr>
            <w:r w:rsidRPr="00DF5C23">
              <w:rPr>
                <w:rFonts w:ascii="Arial Narrow" w:hAnsi="Arial Narrow" w:cs="Calibri"/>
                <w:noProof/>
                <w:color w:val="000000"/>
                <w:sz w:val="20"/>
                <w:szCs w:val="20"/>
              </w:rPr>
              <w:t>1,567</w:t>
            </w:r>
          </w:p>
        </w:tc>
        <w:tc>
          <w:tcPr>
            <w:tcW w:w="868" w:type="dxa"/>
            <w:vAlign w:val="center"/>
          </w:tcPr>
          <w:p w14:paraId="52729FCB" w14:textId="77777777" w:rsidR="0038775E" w:rsidRDefault="00877B9C" w:rsidP="002041D4">
            <w:pPr>
              <w:wordWrap w:val="0"/>
              <w:spacing w:before="20" w:after="20"/>
              <w:jc w:val="right"/>
              <w:rPr>
                <w:rFonts w:ascii="Arial Narrow" w:hAnsi="Arial Narrow" w:cs="Calibri"/>
                <w:noProof/>
                <w:color w:val="000000"/>
                <w:sz w:val="20"/>
                <w:szCs w:val="20"/>
              </w:rPr>
            </w:pPr>
            <w:r w:rsidRPr="00DF5C23">
              <w:rPr>
                <w:rFonts w:ascii="Arial Narrow" w:hAnsi="Arial Narrow" w:cs="Calibri"/>
                <w:noProof/>
                <w:color w:val="000000"/>
                <w:sz w:val="20"/>
                <w:szCs w:val="20"/>
              </w:rPr>
              <w:t>2,729</w:t>
            </w:r>
          </w:p>
        </w:tc>
        <w:tc>
          <w:tcPr>
            <w:tcW w:w="868" w:type="dxa"/>
            <w:vAlign w:val="center"/>
          </w:tcPr>
          <w:p w14:paraId="12690823" w14:textId="77777777" w:rsidR="0038775E" w:rsidRDefault="00877B9C" w:rsidP="002041D4">
            <w:pPr>
              <w:wordWrap w:val="0"/>
              <w:spacing w:before="20" w:after="20"/>
              <w:jc w:val="right"/>
              <w:rPr>
                <w:rFonts w:ascii="Arial Narrow" w:hAnsi="Arial Narrow" w:cs="Calibri"/>
                <w:noProof/>
                <w:color w:val="000000"/>
                <w:sz w:val="20"/>
                <w:szCs w:val="20"/>
              </w:rPr>
            </w:pPr>
            <w:r w:rsidRPr="00DF5C23">
              <w:rPr>
                <w:rFonts w:ascii="Arial Narrow" w:hAnsi="Arial Narrow" w:cs="Calibri"/>
                <w:noProof/>
                <w:color w:val="000000"/>
                <w:sz w:val="20"/>
                <w:szCs w:val="20"/>
              </w:rPr>
              <w:t>3,002</w:t>
            </w:r>
          </w:p>
        </w:tc>
        <w:tc>
          <w:tcPr>
            <w:tcW w:w="868" w:type="dxa"/>
            <w:vAlign w:val="center"/>
          </w:tcPr>
          <w:p w14:paraId="6269F4F0" w14:textId="77777777" w:rsidR="0038775E" w:rsidRDefault="00877B9C" w:rsidP="002041D4">
            <w:pPr>
              <w:wordWrap w:val="0"/>
              <w:spacing w:before="20" w:after="20"/>
              <w:jc w:val="right"/>
              <w:rPr>
                <w:rFonts w:ascii="Arial Narrow" w:hAnsi="Arial Narrow" w:cs="Calibri"/>
                <w:noProof/>
                <w:color w:val="000000"/>
                <w:sz w:val="20"/>
                <w:szCs w:val="20"/>
              </w:rPr>
            </w:pPr>
            <w:r w:rsidRPr="00DF5C23">
              <w:rPr>
                <w:rFonts w:ascii="Arial Narrow" w:hAnsi="Arial Narrow" w:cs="Calibri"/>
                <w:noProof/>
                <w:color w:val="000000"/>
                <w:sz w:val="20"/>
                <w:szCs w:val="20"/>
              </w:rPr>
              <w:t>3,</w:t>
            </w:r>
            <w:r w:rsidR="005D3B78" w:rsidRPr="00DF5C23">
              <w:rPr>
                <w:rFonts w:ascii="Arial Narrow" w:hAnsi="Arial Narrow" w:cs="Calibri"/>
                <w:noProof/>
                <w:color w:val="000000"/>
                <w:sz w:val="20"/>
                <w:szCs w:val="20"/>
              </w:rPr>
              <w:t>130</w:t>
            </w:r>
          </w:p>
        </w:tc>
        <w:tc>
          <w:tcPr>
            <w:tcW w:w="881" w:type="dxa"/>
            <w:vAlign w:val="center"/>
          </w:tcPr>
          <w:p w14:paraId="15E68D4E" w14:textId="77777777" w:rsidR="0038775E" w:rsidRDefault="00877B9C" w:rsidP="002041D4">
            <w:pPr>
              <w:wordWrap w:val="0"/>
              <w:spacing w:before="20" w:after="20"/>
              <w:jc w:val="right"/>
              <w:rPr>
                <w:rFonts w:ascii="Arial Narrow" w:hAnsi="Arial Narrow" w:cs="Calibri"/>
                <w:noProof/>
                <w:color w:val="000000"/>
                <w:sz w:val="20"/>
                <w:szCs w:val="20"/>
              </w:rPr>
            </w:pPr>
            <w:r w:rsidRPr="00DF5C23">
              <w:rPr>
                <w:rFonts w:ascii="Arial Narrow" w:hAnsi="Arial Narrow" w:cs="Calibri"/>
                <w:noProof/>
                <w:color w:val="000000"/>
                <w:sz w:val="20"/>
                <w:szCs w:val="20"/>
              </w:rPr>
              <w:t>3,</w:t>
            </w:r>
            <w:r w:rsidR="005D3B78" w:rsidRPr="00DF5C23">
              <w:rPr>
                <w:rFonts w:ascii="Arial Narrow" w:hAnsi="Arial Narrow" w:cs="Calibri"/>
                <w:noProof/>
                <w:color w:val="000000"/>
                <w:sz w:val="20"/>
                <w:szCs w:val="20"/>
              </w:rPr>
              <w:t>490</w:t>
            </w:r>
          </w:p>
        </w:tc>
        <w:tc>
          <w:tcPr>
            <w:tcW w:w="851" w:type="dxa"/>
          </w:tcPr>
          <w:p w14:paraId="48C7B550" w14:textId="77777777" w:rsidR="0038775E" w:rsidRDefault="00877B9C" w:rsidP="002041D4">
            <w:pPr>
              <w:wordWrap w:val="0"/>
              <w:spacing w:before="20" w:after="20"/>
              <w:jc w:val="right"/>
              <w:rPr>
                <w:rFonts w:ascii="Arial Narrow" w:hAnsi="Arial Narrow" w:cs="Calibri"/>
                <w:noProof/>
                <w:color w:val="000000"/>
                <w:sz w:val="20"/>
                <w:szCs w:val="20"/>
              </w:rPr>
            </w:pPr>
            <w:r w:rsidRPr="00DF5C23">
              <w:rPr>
                <w:rFonts w:ascii="Arial Narrow" w:hAnsi="Arial Narrow" w:cs="Calibri"/>
                <w:noProof/>
                <w:color w:val="000000"/>
                <w:sz w:val="20"/>
                <w:szCs w:val="20"/>
              </w:rPr>
              <w:t>4,</w:t>
            </w:r>
            <w:r w:rsidR="006B4EAB" w:rsidRPr="00DF5C23">
              <w:rPr>
                <w:rFonts w:ascii="Arial Narrow" w:hAnsi="Arial Narrow" w:cs="Calibri"/>
                <w:noProof/>
                <w:color w:val="000000"/>
                <w:sz w:val="20"/>
                <w:szCs w:val="20"/>
              </w:rPr>
              <w:t>093</w:t>
            </w:r>
          </w:p>
        </w:tc>
        <w:tc>
          <w:tcPr>
            <w:tcW w:w="1701" w:type="dxa"/>
            <w:vAlign w:val="center"/>
          </w:tcPr>
          <w:p w14:paraId="30839EF2" w14:textId="77777777" w:rsidR="0038775E" w:rsidRDefault="00877B9C" w:rsidP="002041D4">
            <w:pPr>
              <w:wordWrap w:val="0"/>
              <w:spacing w:before="0" w:after="0"/>
              <w:jc w:val="right"/>
              <w:rPr>
                <w:rFonts w:ascii="Arial Narrow" w:hAnsi="Arial Narrow" w:cs="Calibri"/>
                <w:noProof/>
                <w:color w:val="000000"/>
                <w:sz w:val="20"/>
                <w:szCs w:val="20"/>
              </w:rPr>
            </w:pPr>
            <w:r w:rsidRPr="00DF5C23">
              <w:rPr>
                <w:rFonts w:ascii="Arial Narrow" w:hAnsi="Arial Narrow" w:cs="Calibri"/>
                <w:noProof/>
                <w:color w:val="000000"/>
                <w:sz w:val="20"/>
                <w:szCs w:val="20"/>
              </w:rPr>
              <w:t>18,694</w:t>
            </w:r>
          </w:p>
          <w:p w14:paraId="2C3A5BCF" w14:textId="77777777" w:rsidR="00D12295" w:rsidRPr="00DF5C23" w:rsidRDefault="00D12295" w:rsidP="002041D4">
            <w:pPr>
              <w:wordWrap w:val="0"/>
              <w:spacing w:before="20" w:after="20"/>
              <w:jc w:val="right"/>
              <w:rPr>
                <w:rFonts w:ascii="Arial Narrow" w:hAnsi="Arial Narrow" w:cs="Calibri"/>
                <w:noProof/>
                <w:color w:val="000000"/>
                <w:sz w:val="20"/>
                <w:szCs w:val="20"/>
              </w:rPr>
            </w:pPr>
          </w:p>
        </w:tc>
      </w:tr>
    </w:tbl>
    <w:p w14:paraId="2C3A5BD1" w14:textId="77777777" w:rsidR="00BF1765" w:rsidRPr="00DF5C23" w:rsidRDefault="00BF1765" w:rsidP="002041D4">
      <w:pPr>
        <w:wordWrap w:val="0"/>
        <w:rPr>
          <w:rFonts w:eastAsia="Calibri"/>
          <w:noProof/>
        </w:rPr>
      </w:pPr>
      <w:r w:rsidRPr="00DF5C23">
        <w:rPr>
          <w:rFonts w:eastAsia="Calibri"/>
          <w:noProof/>
        </w:rPr>
        <w:br/>
      </w:r>
    </w:p>
    <w:tbl>
      <w:tblPr>
        <w:tblW w:w="1382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20"/>
        <w:gridCol w:w="534"/>
        <w:gridCol w:w="868"/>
        <w:gridCol w:w="868"/>
        <w:gridCol w:w="868"/>
        <w:gridCol w:w="868"/>
        <w:gridCol w:w="868"/>
        <w:gridCol w:w="881"/>
        <w:gridCol w:w="851"/>
        <w:gridCol w:w="1701"/>
      </w:tblGrid>
      <w:tr w:rsidR="00BF1765" w:rsidRPr="00DF5C23" w14:paraId="2C3A5BDD" w14:textId="77777777" w:rsidTr="00EC0E40">
        <w:tc>
          <w:tcPr>
            <w:tcW w:w="3960" w:type="dxa"/>
            <w:vAlign w:val="center"/>
          </w:tcPr>
          <w:p w14:paraId="44757E6F" w14:textId="77777777" w:rsidR="0038775E" w:rsidRDefault="00877B9C" w:rsidP="002041D4">
            <w:pPr>
              <w:wordWrap w:val="0"/>
              <w:jc w:val="center"/>
              <w:rPr>
                <w:rFonts w:eastAsia="Calibri"/>
                <w:noProof/>
              </w:rPr>
            </w:pPr>
            <w:r w:rsidRPr="00DF5C23">
              <w:rPr>
                <w:rFonts w:eastAsia="Calibri"/>
                <w:noProof/>
                <w:sz w:val="22"/>
              </w:rPr>
              <w:t>DG: ENER</w:t>
            </w:r>
          </w:p>
        </w:tc>
        <w:tc>
          <w:tcPr>
            <w:tcW w:w="1560" w:type="dxa"/>
            <w:gridSpan w:val="2"/>
          </w:tcPr>
          <w:p w14:paraId="2C3A5BD3" w14:textId="77777777" w:rsidR="00BF1765" w:rsidRPr="00DF5C23" w:rsidRDefault="00BF1765" w:rsidP="002041D4">
            <w:pPr>
              <w:wordWrap w:val="0"/>
              <w:rPr>
                <w:rFonts w:eastAsia="Calibri"/>
                <w:noProof/>
                <w:sz w:val="20"/>
              </w:rPr>
            </w:pPr>
          </w:p>
        </w:tc>
        <w:tc>
          <w:tcPr>
            <w:tcW w:w="534" w:type="dxa"/>
          </w:tcPr>
          <w:p w14:paraId="2C3A5BD4" w14:textId="77777777" w:rsidR="00BF1765" w:rsidRPr="00DF5C23" w:rsidRDefault="00BF1765" w:rsidP="002041D4">
            <w:pPr>
              <w:wordWrap w:val="0"/>
              <w:jc w:val="center"/>
              <w:rPr>
                <w:rFonts w:eastAsia="Calibri"/>
                <w:noProof/>
                <w:sz w:val="20"/>
              </w:rPr>
            </w:pPr>
          </w:p>
        </w:tc>
        <w:tc>
          <w:tcPr>
            <w:tcW w:w="868" w:type="dxa"/>
            <w:vAlign w:val="center"/>
          </w:tcPr>
          <w:p w14:paraId="6A803DF7" w14:textId="77777777" w:rsidR="0038775E" w:rsidRDefault="00877B9C" w:rsidP="002041D4">
            <w:pPr>
              <w:wordWrap w:val="0"/>
              <w:jc w:val="center"/>
              <w:rPr>
                <w:rFonts w:eastAsia="Calibri"/>
                <w:noProof/>
                <w:sz w:val="20"/>
              </w:rPr>
            </w:pPr>
            <w:r w:rsidRPr="00DF5C23">
              <w:rPr>
                <w:rFonts w:eastAsia="Calibri"/>
                <w:noProof/>
                <w:sz w:val="20"/>
                <w:szCs w:val="20"/>
              </w:rPr>
              <w:t>年</w:t>
            </w:r>
            <w:r w:rsidRPr="00DF5C23">
              <w:rPr>
                <w:rFonts w:eastAsia="Calibri"/>
                <w:noProof/>
                <w:sz w:val="22"/>
              </w:rPr>
              <w:br/>
            </w:r>
            <w:r w:rsidRPr="00DF5C23">
              <w:rPr>
                <w:rFonts w:eastAsia="Calibri"/>
                <w:b/>
                <w:bCs/>
                <w:noProof/>
                <w:sz w:val="20"/>
                <w:szCs w:val="20"/>
              </w:rPr>
              <w:t>2022</w:t>
            </w:r>
          </w:p>
        </w:tc>
        <w:tc>
          <w:tcPr>
            <w:tcW w:w="868" w:type="dxa"/>
            <w:vAlign w:val="center"/>
          </w:tcPr>
          <w:p w14:paraId="54D61E2C" w14:textId="77777777" w:rsidR="0038775E" w:rsidRDefault="00877B9C" w:rsidP="002041D4">
            <w:pPr>
              <w:wordWrap w:val="0"/>
              <w:jc w:val="center"/>
              <w:rPr>
                <w:rFonts w:eastAsia="Calibri"/>
                <w:noProof/>
                <w:sz w:val="20"/>
              </w:rPr>
            </w:pPr>
            <w:r w:rsidRPr="00DF5C23">
              <w:rPr>
                <w:rFonts w:eastAsia="Calibri"/>
                <w:noProof/>
                <w:sz w:val="20"/>
              </w:rPr>
              <w:t>年</w:t>
            </w:r>
            <w:r w:rsidRPr="00DF5C23">
              <w:rPr>
                <w:rFonts w:eastAsia="Calibri"/>
                <w:noProof/>
                <w:sz w:val="22"/>
              </w:rPr>
              <w:br/>
            </w:r>
            <w:r w:rsidRPr="00DF5C23">
              <w:rPr>
                <w:rFonts w:eastAsia="Calibri"/>
                <w:b/>
                <w:noProof/>
                <w:sz w:val="20"/>
              </w:rPr>
              <w:t>2023</w:t>
            </w:r>
          </w:p>
        </w:tc>
        <w:tc>
          <w:tcPr>
            <w:tcW w:w="868" w:type="dxa"/>
            <w:vAlign w:val="center"/>
          </w:tcPr>
          <w:p w14:paraId="355057F9" w14:textId="77777777" w:rsidR="0038775E" w:rsidRDefault="00877B9C" w:rsidP="002041D4">
            <w:pPr>
              <w:wordWrap w:val="0"/>
              <w:jc w:val="center"/>
              <w:rPr>
                <w:rFonts w:eastAsia="Calibri"/>
                <w:noProof/>
                <w:sz w:val="20"/>
              </w:rPr>
            </w:pPr>
            <w:r w:rsidRPr="00DF5C23">
              <w:rPr>
                <w:rFonts w:eastAsia="Calibri"/>
                <w:noProof/>
                <w:sz w:val="20"/>
              </w:rPr>
              <w:t>年</w:t>
            </w:r>
            <w:r w:rsidRPr="00DF5C23">
              <w:rPr>
                <w:rFonts w:eastAsia="Calibri"/>
                <w:noProof/>
                <w:sz w:val="22"/>
              </w:rPr>
              <w:br/>
            </w:r>
            <w:r w:rsidRPr="00DF5C23">
              <w:rPr>
                <w:rFonts w:eastAsia="Calibri"/>
                <w:b/>
                <w:noProof/>
                <w:sz w:val="20"/>
              </w:rPr>
              <w:t>2024</w:t>
            </w:r>
          </w:p>
        </w:tc>
        <w:tc>
          <w:tcPr>
            <w:tcW w:w="868" w:type="dxa"/>
            <w:vAlign w:val="center"/>
          </w:tcPr>
          <w:p w14:paraId="664BCB10" w14:textId="77777777" w:rsidR="0038775E" w:rsidRDefault="00877B9C" w:rsidP="002041D4">
            <w:pPr>
              <w:wordWrap w:val="0"/>
              <w:jc w:val="center"/>
              <w:rPr>
                <w:rFonts w:eastAsia="Calibri"/>
                <w:noProof/>
                <w:sz w:val="20"/>
              </w:rPr>
            </w:pPr>
            <w:r w:rsidRPr="00DF5C23">
              <w:rPr>
                <w:rFonts w:eastAsia="Calibri"/>
                <w:noProof/>
                <w:sz w:val="20"/>
              </w:rPr>
              <w:t>年</w:t>
            </w:r>
            <w:r w:rsidRPr="00DF5C23">
              <w:rPr>
                <w:rFonts w:eastAsia="Calibri"/>
                <w:noProof/>
                <w:sz w:val="22"/>
              </w:rPr>
              <w:br/>
            </w:r>
            <w:r w:rsidRPr="00DF5C23">
              <w:rPr>
                <w:rFonts w:eastAsia="Calibri"/>
                <w:b/>
                <w:noProof/>
                <w:sz w:val="20"/>
              </w:rPr>
              <w:t>2025</w:t>
            </w:r>
          </w:p>
        </w:tc>
        <w:tc>
          <w:tcPr>
            <w:tcW w:w="868" w:type="dxa"/>
            <w:vAlign w:val="center"/>
          </w:tcPr>
          <w:p w14:paraId="04BA1C54" w14:textId="77777777" w:rsidR="0038775E" w:rsidRDefault="00877B9C" w:rsidP="002041D4">
            <w:pPr>
              <w:wordWrap w:val="0"/>
              <w:jc w:val="center"/>
              <w:rPr>
                <w:rFonts w:eastAsia="Calibri"/>
                <w:b/>
                <w:noProof/>
                <w:sz w:val="18"/>
              </w:rPr>
            </w:pPr>
            <w:r w:rsidRPr="00DF5C23">
              <w:rPr>
                <w:rFonts w:eastAsia="Calibri"/>
                <w:noProof/>
                <w:sz w:val="20"/>
              </w:rPr>
              <w:t>年</w:t>
            </w:r>
            <w:r w:rsidRPr="00DF5C23">
              <w:rPr>
                <w:rFonts w:eastAsia="Calibri"/>
                <w:noProof/>
                <w:sz w:val="22"/>
              </w:rPr>
              <w:br/>
            </w:r>
            <w:r w:rsidRPr="00DF5C23">
              <w:rPr>
                <w:rFonts w:eastAsia="Calibri"/>
                <w:b/>
                <w:noProof/>
                <w:sz w:val="20"/>
              </w:rPr>
              <w:t>2026</w:t>
            </w:r>
          </w:p>
        </w:tc>
        <w:tc>
          <w:tcPr>
            <w:tcW w:w="881" w:type="dxa"/>
            <w:vAlign w:val="center"/>
          </w:tcPr>
          <w:p w14:paraId="72DD6B20" w14:textId="77777777" w:rsidR="0038775E" w:rsidRDefault="00877B9C" w:rsidP="002041D4">
            <w:pPr>
              <w:wordWrap w:val="0"/>
              <w:jc w:val="center"/>
              <w:rPr>
                <w:rFonts w:eastAsia="Calibri"/>
                <w:b/>
                <w:noProof/>
                <w:sz w:val="18"/>
              </w:rPr>
            </w:pPr>
            <w:r w:rsidRPr="00DF5C23">
              <w:rPr>
                <w:rFonts w:eastAsia="Calibri"/>
                <w:noProof/>
                <w:sz w:val="20"/>
              </w:rPr>
              <w:t>年</w:t>
            </w:r>
            <w:r w:rsidRPr="00DF5C23">
              <w:rPr>
                <w:rFonts w:eastAsia="Calibri"/>
                <w:noProof/>
                <w:sz w:val="22"/>
              </w:rPr>
              <w:br/>
            </w:r>
            <w:r w:rsidRPr="00DF5C23">
              <w:rPr>
                <w:rFonts w:eastAsia="Calibri"/>
                <w:b/>
                <w:noProof/>
                <w:sz w:val="20"/>
              </w:rPr>
              <w:t xml:space="preserve">2027 </w:t>
            </w:r>
          </w:p>
        </w:tc>
        <w:tc>
          <w:tcPr>
            <w:tcW w:w="851" w:type="dxa"/>
          </w:tcPr>
          <w:p w14:paraId="336395B3" w14:textId="77777777" w:rsidR="0038775E" w:rsidRDefault="00877B9C" w:rsidP="002041D4">
            <w:pPr>
              <w:wordWrap w:val="0"/>
              <w:jc w:val="center"/>
              <w:rPr>
                <w:rFonts w:eastAsia="Calibri"/>
                <w:noProof/>
                <w:sz w:val="20"/>
                <w:szCs w:val="20"/>
              </w:rPr>
            </w:pPr>
            <w:r w:rsidRPr="00DF5C23">
              <w:rPr>
                <w:rFonts w:eastAsia="Calibri"/>
                <w:noProof/>
                <w:sz w:val="20"/>
                <w:szCs w:val="20"/>
              </w:rPr>
              <w:t>ポスト</w:t>
            </w:r>
            <w:r w:rsidRPr="00DF5C23">
              <w:rPr>
                <w:rFonts w:eastAsia="Calibri"/>
                <w:noProof/>
                <w:sz w:val="20"/>
                <w:szCs w:val="20"/>
              </w:rPr>
              <w:t>2027</w:t>
            </w:r>
          </w:p>
        </w:tc>
        <w:tc>
          <w:tcPr>
            <w:tcW w:w="1701" w:type="dxa"/>
            <w:vAlign w:val="center"/>
          </w:tcPr>
          <w:p w14:paraId="0E72BD3C" w14:textId="77777777" w:rsidR="0038775E" w:rsidRDefault="00877B9C" w:rsidP="002041D4">
            <w:pPr>
              <w:wordWrap w:val="0"/>
              <w:jc w:val="center"/>
              <w:rPr>
                <w:rFonts w:eastAsia="Calibri"/>
                <w:b/>
                <w:noProof/>
                <w:sz w:val="20"/>
              </w:rPr>
            </w:pPr>
            <w:r w:rsidRPr="00DF5C23">
              <w:rPr>
                <w:rFonts w:eastAsia="Calibri"/>
                <w:b/>
                <w:noProof/>
                <w:sz w:val="20"/>
              </w:rPr>
              <w:t>TOTAL</w:t>
            </w:r>
          </w:p>
        </w:tc>
      </w:tr>
      <w:tr w:rsidR="00BF1765" w:rsidRPr="00DF5C23" w14:paraId="2C3A5BE7" w14:textId="77777777" w:rsidTr="00EC0E40">
        <w:trPr>
          <w:trHeight w:val="213"/>
        </w:trPr>
        <w:tc>
          <w:tcPr>
            <w:tcW w:w="6054" w:type="dxa"/>
            <w:gridSpan w:val="4"/>
            <w:vAlign w:val="center"/>
          </w:tcPr>
          <w:p w14:paraId="62D26C07" w14:textId="77777777" w:rsidR="0038775E" w:rsidRDefault="00877B9C" w:rsidP="002041D4">
            <w:pPr>
              <w:wordWrap w:val="0"/>
              <w:spacing w:before="20" w:after="20"/>
              <w:rPr>
                <w:rFonts w:eastAsia="Calibri"/>
                <w:noProof/>
                <w:sz w:val="21"/>
              </w:rPr>
            </w:pPr>
            <w:r w:rsidRPr="00DF5C23">
              <w:rPr>
                <w:rFonts w:eastAsia="Calibri"/>
                <w:noProof/>
                <w:sz w:val="21"/>
              </w:rPr>
              <w:sym w:font="Wingdings" w:char="F09F"/>
            </w:r>
            <w:r w:rsidRPr="00DF5C23">
              <w:rPr>
                <w:rFonts w:eastAsia="Calibri"/>
                <w:noProof/>
                <w:sz w:val="21"/>
              </w:rPr>
              <w:t xml:space="preserve"> </w:t>
            </w:r>
            <w:r w:rsidRPr="00DF5C23">
              <w:rPr>
                <w:rFonts w:eastAsia="Calibri"/>
                <w:noProof/>
                <w:sz w:val="21"/>
              </w:rPr>
              <w:t>運営費交付金</w:t>
            </w:r>
            <w:r w:rsidRPr="00DF5C23">
              <w:rPr>
                <w:rFonts w:eastAsia="Calibri"/>
                <w:noProof/>
                <w:sz w:val="21"/>
              </w:rPr>
              <w:t xml:space="preserve"> </w:t>
            </w:r>
          </w:p>
        </w:tc>
        <w:tc>
          <w:tcPr>
            <w:tcW w:w="868" w:type="dxa"/>
            <w:vAlign w:val="center"/>
          </w:tcPr>
          <w:p w14:paraId="2C3A5BDF" w14:textId="77777777" w:rsidR="00BF1765" w:rsidRPr="00DF5C23" w:rsidRDefault="00BF1765" w:rsidP="002041D4">
            <w:pPr>
              <w:wordWrap w:val="0"/>
              <w:rPr>
                <w:rFonts w:eastAsia="Calibri"/>
                <w:noProof/>
                <w:sz w:val="20"/>
              </w:rPr>
            </w:pPr>
          </w:p>
        </w:tc>
        <w:tc>
          <w:tcPr>
            <w:tcW w:w="868" w:type="dxa"/>
            <w:vAlign w:val="center"/>
          </w:tcPr>
          <w:p w14:paraId="2C3A5BE0" w14:textId="77777777" w:rsidR="00BF1765" w:rsidRPr="00DF5C23" w:rsidRDefault="00BF1765" w:rsidP="002041D4">
            <w:pPr>
              <w:wordWrap w:val="0"/>
              <w:rPr>
                <w:rFonts w:eastAsia="Calibri"/>
                <w:noProof/>
                <w:sz w:val="20"/>
              </w:rPr>
            </w:pPr>
          </w:p>
        </w:tc>
        <w:tc>
          <w:tcPr>
            <w:tcW w:w="868" w:type="dxa"/>
            <w:vAlign w:val="center"/>
          </w:tcPr>
          <w:p w14:paraId="2C3A5BE1" w14:textId="77777777" w:rsidR="00BF1765" w:rsidRPr="00DF5C23" w:rsidRDefault="00BF1765" w:rsidP="002041D4">
            <w:pPr>
              <w:wordWrap w:val="0"/>
              <w:rPr>
                <w:rFonts w:eastAsia="Calibri"/>
                <w:noProof/>
                <w:sz w:val="20"/>
              </w:rPr>
            </w:pPr>
          </w:p>
        </w:tc>
        <w:tc>
          <w:tcPr>
            <w:tcW w:w="868" w:type="dxa"/>
            <w:vAlign w:val="center"/>
          </w:tcPr>
          <w:p w14:paraId="2C3A5BE2" w14:textId="77777777" w:rsidR="00BF1765" w:rsidRPr="00DF5C23" w:rsidRDefault="00BF1765" w:rsidP="002041D4">
            <w:pPr>
              <w:wordWrap w:val="0"/>
              <w:rPr>
                <w:rFonts w:eastAsia="Calibri"/>
                <w:noProof/>
                <w:sz w:val="20"/>
              </w:rPr>
            </w:pPr>
          </w:p>
        </w:tc>
        <w:tc>
          <w:tcPr>
            <w:tcW w:w="868" w:type="dxa"/>
            <w:vAlign w:val="center"/>
          </w:tcPr>
          <w:p w14:paraId="2C3A5BE3" w14:textId="77777777" w:rsidR="00BF1765" w:rsidRPr="00DF5C23" w:rsidRDefault="00BF1765" w:rsidP="002041D4">
            <w:pPr>
              <w:wordWrap w:val="0"/>
              <w:rPr>
                <w:rFonts w:eastAsia="Calibri"/>
                <w:noProof/>
                <w:sz w:val="20"/>
              </w:rPr>
            </w:pPr>
          </w:p>
        </w:tc>
        <w:tc>
          <w:tcPr>
            <w:tcW w:w="881" w:type="dxa"/>
            <w:vAlign w:val="center"/>
          </w:tcPr>
          <w:p w14:paraId="2C3A5BE4" w14:textId="77777777" w:rsidR="00BF1765" w:rsidRPr="00DF5C23" w:rsidRDefault="00BF1765" w:rsidP="002041D4">
            <w:pPr>
              <w:wordWrap w:val="0"/>
              <w:rPr>
                <w:rFonts w:eastAsia="Calibri"/>
                <w:noProof/>
                <w:sz w:val="20"/>
              </w:rPr>
            </w:pPr>
          </w:p>
        </w:tc>
        <w:tc>
          <w:tcPr>
            <w:tcW w:w="851" w:type="dxa"/>
          </w:tcPr>
          <w:p w14:paraId="2C3A5BE5" w14:textId="77777777" w:rsidR="004510A0" w:rsidRPr="00DF5C23" w:rsidRDefault="004510A0" w:rsidP="002041D4">
            <w:pPr>
              <w:wordWrap w:val="0"/>
              <w:rPr>
                <w:rFonts w:eastAsia="Calibri"/>
                <w:b/>
                <w:noProof/>
                <w:sz w:val="20"/>
              </w:rPr>
            </w:pPr>
          </w:p>
        </w:tc>
        <w:tc>
          <w:tcPr>
            <w:tcW w:w="1701" w:type="dxa"/>
            <w:vAlign w:val="center"/>
          </w:tcPr>
          <w:p w14:paraId="2C3A5BE6" w14:textId="77777777" w:rsidR="00BF1765" w:rsidRPr="00DF5C23" w:rsidRDefault="00BF1765" w:rsidP="002041D4">
            <w:pPr>
              <w:wordWrap w:val="0"/>
              <w:rPr>
                <w:rFonts w:eastAsia="Calibri"/>
                <w:b/>
                <w:noProof/>
                <w:sz w:val="20"/>
              </w:rPr>
            </w:pPr>
          </w:p>
        </w:tc>
      </w:tr>
      <w:tr w:rsidR="005C61BF" w:rsidRPr="00DF5C23" w14:paraId="2C3A5BF3" w14:textId="77777777" w:rsidTr="00EC0E40">
        <w:trPr>
          <w:trHeight w:val="277"/>
        </w:trPr>
        <w:tc>
          <w:tcPr>
            <w:tcW w:w="3960" w:type="dxa"/>
            <w:vMerge w:val="restart"/>
            <w:vAlign w:val="center"/>
          </w:tcPr>
          <w:p w14:paraId="3D874274" w14:textId="77777777" w:rsidR="0038775E" w:rsidRDefault="00877B9C" w:rsidP="002041D4">
            <w:pPr>
              <w:wordWrap w:val="0"/>
              <w:rPr>
                <w:rFonts w:eastAsia="Calibri"/>
                <w:noProof/>
                <w:lang w:eastAsia="ja-JP"/>
              </w:rPr>
            </w:pPr>
            <w:r w:rsidRPr="00DF5C23">
              <w:rPr>
                <w:rFonts w:eastAsia="Calibri"/>
                <w:noProof/>
                <w:sz w:val="20"/>
                <w:szCs w:val="20"/>
                <w:lang w:eastAsia="ja-JP"/>
              </w:rPr>
              <w:t>予算ライン</w:t>
            </w:r>
            <w:r w:rsidR="008B78E1" w:rsidRPr="00DF5C23">
              <w:rPr>
                <w:rStyle w:val="afa"/>
                <w:rFonts w:eastAsia="Calibri"/>
                <w:noProof/>
                <w:sz w:val="20"/>
                <w:szCs w:val="20"/>
              </w:rPr>
              <w:footnoteReference w:id="98"/>
            </w:r>
            <w:r w:rsidRPr="00DF5C23">
              <w:rPr>
                <w:rFonts w:eastAsia="Calibri"/>
                <w:noProof/>
                <w:sz w:val="22"/>
                <w:lang w:eastAsia="ja-JP"/>
              </w:rPr>
              <w:t xml:space="preserve"> 09.02.04 LIFE </w:t>
            </w:r>
            <w:r w:rsidRPr="00DF5C23">
              <w:rPr>
                <w:rFonts w:eastAsia="Calibri"/>
                <w:noProof/>
                <w:sz w:val="22"/>
                <w:lang w:eastAsia="ja-JP"/>
              </w:rPr>
              <w:t>クリーンエネルギー移行</w:t>
            </w:r>
          </w:p>
        </w:tc>
        <w:tc>
          <w:tcPr>
            <w:tcW w:w="1440" w:type="dxa"/>
            <w:vAlign w:val="center"/>
          </w:tcPr>
          <w:p w14:paraId="5827EF06" w14:textId="77777777" w:rsidR="0038775E" w:rsidRDefault="00877B9C" w:rsidP="002041D4">
            <w:pPr>
              <w:wordWrap w:val="0"/>
              <w:spacing w:before="20" w:after="20"/>
              <w:rPr>
                <w:rFonts w:eastAsia="Calibri"/>
                <w:noProof/>
                <w:sz w:val="18"/>
              </w:rPr>
            </w:pPr>
            <w:r w:rsidRPr="00DF5C23">
              <w:rPr>
                <w:rFonts w:eastAsia="Calibri"/>
                <w:noProof/>
                <w:sz w:val="18"/>
              </w:rPr>
              <w:t>コミットメント</w:t>
            </w:r>
          </w:p>
        </w:tc>
        <w:tc>
          <w:tcPr>
            <w:tcW w:w="654" w:type="dxa"/>
            <w:gridSpan w:val="2"/>
            <w:vAlign w:val="center"/>
          </w:tcPr>
          <w:p w14:paraId="0F098E4D" w14:textId="77777777" w:rsidR="0038775E" w:rsidRDefault="00877B9C" w:rsidP="002041D4">
            <w:pPr>
              <w:wordWrap w:val="0"/>
              <w:spacing w:before="20" w:after="20"/>
              <w:jc w:val="center"/>
              <w:rPr>
                <w:rFonts w:eastAsia="Calibri"/>
                <w:noProof/>
                <w:sz w:val="14"/>
              </w:rPr>
            </w:pPr>
            <w:r w:rsidRPr="00DF5C23">
              <w:rPr>
                <w:rFonts w:eastAsia="Calibri"/>
                <w:noProof/>
                <w:sz w:val="14"/>
              </w:rPr>
              <w:t>(1a)</w:t>
            </w:r>
          </w:p>
        </w:tc>
        <w:tc>
          <w:tcPr>
            <w:tcW w:w="868" w:type="dxa"/>
            <w:vAlign w:val="center"/>
          </w:tcPr>
          <w:p w14:paraId="7CA4E0A2" w14:textId="77777777" w:rsidR="0038775E" w:rsidRDefault="00877B9C" w:rsidP="002041D4">
            <w:pPr>
              <w:wordWrap w:val="0"/>
              <w:spacing w:before="20" w:after="20"/>
              <w:jc w:val="right"/>
              <w:rPr>
                <w:rFonts w:eastAsia="Calibri"/>
                <w:noProof/>
                <w:sz w:val="20"/>
              </w:rPr>
            </w:pPr>
            <w:r w:rsidRPr="00DF5C23">
              <w:rPr>
                <w:rFonts w:ascii="Arial Narrow" w:hAnsi="Arial Narrow" w:cs="Calibri"/>
                <w:noProof/>
                <w:color w:val="000000"/>
                <w:sz w:val="20"/>
                <w:szCs w:val="20"/>
              </w:rPr>
              <w:t>1,622</w:t>
            </w:r>
          </w:p>
        </w:tc>
        <w:tc>
          <w:tcPr>
            <w:tcW w:w="868" w:type="dxa"/>
            <w:vAlign w:val="center"/>
          </w:tcPr>
          <w:p w14:paraId="5C4A9DB0" w14:textId="77777777" w:rsidR="0038775E" w:rsidRDefault="00877B9C" w:rsidP="002041D4">
            <w:pPr>
              <w:wordWrap w:val="0"/>
              <w:spacing w:before="20" w:after="20"/>
              <w:jc w:val="right"/>
              <w:rPr>
                <w:rFonts w:eastAsia="Calibri"/>
                <w:noProof/>
                <w:sz w:val="20"/>
              </w:rPr>
            </w:pPr>
            <w:r w:rsidRPr="00DF5C23">
              <w:rPr>
                <w:rFonts w:ascii="Arial Narrow" w:hAnsi="Arial Narrow" w:cs="Calibri"/>
                <w:noProof/>
                <w:color w:val="000000"/>
                <w:sz w:val="20"/>
                <w:szCs w:val="20"/>
              </w:rPr>
              <w:t>1,596</w:t>
            </w:r>
          </w:p>
        </w:tc>
        <w:tc>
          <w:tcPr>
            <w:tcW w:w="868" w:type="dxa"/>
            <w:vAlign w:val="center"/>
          </w:tcPr>
          <w:p w14:paraId="35904613" w14:textId="77777777" w:rsidR="0038775E" w:rsidRDefault="00877B9C" w:rsidP="002041D4">
            <w:pPr>
              <w:wordWrap w:val="0"/>
              <w:spacing w:before="20" w:after="20"/>
              <w:jc w:val="right"/>
              <w:rPr>
                <w:rFonts w:eastAsia="Calibri"/>
                <w:noProof/>
                <w:sz w:val="20"/>
              </w:rPr>
            </w:pPr>
            <w:r w:rsidRPr="00DF5C23">
              <w:rPr>
                <w:rFonts w:ascii="Arial Narrow" w:hAnsi="Arial Narrow" w:cs="Calibri"/>
                <w:noProof/>
                <w:color w:val="000000"/>
                <w:sz w:val="20"/>
                <w:szCs w:val="20"/>
              </w:rPr>
              <w:t>4,250</w:t>
            </w:r>
          </w:p>
        </w:tc>
        <w:tc>
          <w:tcPr>
            <w:tcW w:w="868" w:type="dxa"/>
            <w:vAlign w:val="center"/>
          </w:tcPr>
          <w:p w14:paraId="7ADD1845" w14:textId="77777777" w:rsidR="0038775E" w:rsidRDefault="00877B9C" w:rsidP="002041D4">
            <w:pPr>
              <w:wordWrap w:val="0"/>
              <w:spacing w:before="20" w:after="20"/>
              <w:jc w:val="right"/>
              <w:rPr>
                <w:rFonts w:eastAsia="Calibri"/>
                <w:noProof/>
                <w:sz w:val="20"/>
              </w:rPr>
            </w:pPr>
            <w:r w:rsidRPr="00DF5C23">
              <w:rPr>
                <w:rFonts w:ascii="Arial Narrow" w:hAnsi="Arial Narrow" w:cs="Calibri"/>
                <w:noProof/>
                <w:color w:val="000000"/>
                <w:sz w:val="20"/>
                <w:szCs w:val="20"/>
              </w:rPr>
              <w:t>5,250</w:t>
            </w:r>
          </w:p>
        </w:tc>
        <w:tc>
          <w:tcPr>
            <w:tcW w:w="868" w:type="dxa"/>
            <w:vAlign w:val="center"/>
          </w:tcPr>
          <w:p w14:paraId="0EF91950" w14:textId="77777777" w:rsidR="0038775E" w:rsidRDefault="00877B9C" w:rsidP="002041D4">
            <w:pPr>
              <w:wordWrap w:val="0"/>
              <w:spacing w:before="20" w:after="20"/>
              <w:jc w:val="right"/>
              <w:rPr>
                <w:rFonts w:eastAsia="Calibri"/>
                <w:noProof/>
                <w:sz w:val="20"/>
              </w:rPr>
            </w:pPr>
            <w:r w:rsidRPr="00DF5C23">
              <w:rPr>
                <w:rFonts w:ascii="Arial Narrow" w:hAnsi="Arial Narrow" w:cs="Calibri"/>
                <w:noProof/>
                <w:color w:val="000000"/>
                <w:sz w:val="20"/>
                <w:szCs w:val="20"/>
              </w:rPr>
              <w:t>6,250</w:t>
            </w:r>
          </w:p>
        </w:tc>
        <w:tc>
          <w:tcPr>
            <w:tcW w:w="881" w:type="dxa"/>
            <w:vAlign w:val="center"/>
          </w:tcPr>
          <w:p w14:paraId="054CCA7D" w14:textId="77777777" w:rsidR="0038775E" w:rsidRDefault="00877B9C" w:rsidP="002041D4">
            <w:pPr>
              <w:wordWrap w:val="0"/>
              <w:spacing w:before="20" w:after="20"/>
              <w:jc w:val="right"/>
              <w:rPr>
                <w:rFonts w:eastAsia="Calibri"/>
                <w:noProof/>
                <w:sz w:val="20"/>
              </w:rPr>
            </w:pPr>
            <w:r w:rsidRPr="00DF5C23">
              <w:rPr>
                <w:rFonts w:ascii="Arial Narrow" w:hAnsi="Arial Narrow" w:cs="Calibri"/>
                <w:noProof/>
                <w:color w:val="000000"/>
                <w:sz w:val="20"/>
                <w:szCs w:val="20"/>
              </w:rPr>
              <w:t>6,250</w:t>
            </w:r>
          </w:p>
        </w:tc>
        <w:tc>
          <w:tcPr>
            <w:tcW w:w="851" w:type="dxa"/>
          </w:tcPr>
          <w:p w14:paraId="2C3A5BF1" w14:textId="77777777" w:rsidR="004510A0" w:rsidRPr="00DF5C23" w:rsidRDefault="004510A0" w:rsidP="002041D4">
            <w:pPr>
              <w:wordWrap w:val="0"/>
              <w:spacing w:before="20" w:after="20"/>
              <w:jc w:val="right"/>
              <w:rPr>
                <w:rFonts w:ascii="Arial Narrow" w:hAnsi="Arial Narrow" w:cs="Calibri"/>
                <w:noProof/>
                <w:color w:val="000000"/>
                <w:sz w:val="20"/>
                <w:szCs w:val="20"/>
              </w:rPr>
            </w:pPr>
          </w:p>
        </w:tc>
        <w:tc>
          <w:tcPr>
            <w:tcW w:w="1701" w:type="dxa"/>
            <w:vAlign w:val="center"/>
          </w:tcPr>
          <w:p w14:paraId="6E00C844" w14:textId="77777777" w:rsidR="0038775E" w:rsidRDefault="00877B9C" w:rsidP="002041D4">
            <w:pPr>
              <w:wordWrap w:val="0"/>
              <w:spacing w:before="20" w:after="20"/>
              <w:jc w:val="right"/>
              <w:rPr>
                <w:rFonts w:eastAsia="Calibri"/>
                <w:b/>
                <w:noProof/>
                <w:sz w:val="20"/>
              </w:rPr>
            </w:pPr>
            <w:r w:rsidRPr="00DF5C23">
              <w:rPr>
                <w:rFonts w:ascii="Arial Narrow" w:hAnsi="Arial Narrow" w:cs="Calibri"/>
                <w:noProof/>
                <w:color w:val="000000"/>
                <w:sz w:val="20"/>
                <w:szCs w:val="20"/>
              </w:rPr>
              <w:t>25,218</w:t>
            </w:r>
          </w:p>
        </w:tc>
      </w:tr>
      <w:tr w:rsidR="005C61BF" w:rsidRPr="00DF5C23" w14:paraId="2C3A5BFF" w14:textId="77777777" w:rsidTr="00EC0E40">
        <w:tc>
          <w:tcPr>
            <w:tcW w:w="3960" w:type="dxa"/>
            <w:vMerge/>
          </w:tcPr>
          <w:p w14:paraId="2C3A5BF4" w14:textId="77777777" w:rsidR="005C61BF" w:rsidRPr="00DF5C23" w:rsidRDefault="005C61BF" w:rsidP="002041D4">
            <w:pPr>
              <w:wordWrap w:val="0"/>
              <w:jc w:val="center"/>
              <w:rPr>
                <w:rFonts w:eastAsia="Calibri"/>
                <w:noProof/>
                <w:sz w:val="20"/>
              </w:rPr>
            </w:pPr>
          </w:p>
        </w:tc>
        <w:tc>
          <w:tcPr>
            <w:tcW w:w="1440" w:type="dxa"/>
            <w:vAlign w:val="center"/>
          </w:tcPr>
          <w:p w14:paraId="2F0FD503" w14:textId="77777777" w:rsidR="0038775E" w:rsidRDefault="00877B9C" w:rsidP="002041D4">
            <w:pPr>
              <w:wordWrap w:val="0"/>
              <w:spacing w:before="20" w:after="20"/>
              <w:rPr>
                <w:rFonts w:eastAsia="Calibri"/>
                <w:noProof/>
                <w:sz w:val="18"/>
              </w:rPr>
            </w:pPr>
            <w:r w:rsidRPr="00DF5C23">
              <w:rPr>
                <w:rFonts w:eastAsia="Calibri"/>
                <w:noProof/>
                <w:sz w:val="18"/>
              </w:rPr>
              <w:t>ペイメント</w:t>
            </w:r>
          </w:p>
        </w:tc>
        <w:tc>
          <w:tcPr>
            <w:tcW w:w="654" w:type="dxa"/>
            <w:gridSpan w:val="2"/>
            <w:vAlign w:val="center"/>
          </w:tcPr>
          <w:p w14:paraId="0D6B94C2" w14:textId="77777777" w:rsidR="0038775E" w:rsidRDefault="00877B9C" w:rsidP="002041D4">
            <w:pPr>
              <w:wordWrap w:val="0"/>
              <w:spacing w:before="20" w:after="20"/>
              <w:jc w:val="center"/>
              <w:rPr>
                <w:rFonts w:eastAsia="Calibri"/>
                <w:noProof/>
                <w:sz w:val="14"/>
              </w:rPr>
            </w:pPr>
            <w:r w:rsidRPr="00DF5C23">
              <w:rPr>
                <w:rFonts w:eastAsia="Calibri"/>
                <w:noProof/>
                <w:sz w:val="14"/>
              </w:rPr>
              <w:t>(2a)</w:t>
            </w:r>
          </w:p>
        </w:tc>
        <w:tc>
          <w:tcPr>
            <w:tcW w:w="868" w:type="dxa"/>
            <w:vAlign w:val="center"/>
          </w:tcPr>
          <w:p w14:paraId="73368095" w14:textId="77777777" w:rsidR="0038775E" w:rsidRDefault="00877B9C" w:rsidP="002041D4">
            <w:pPr>
              <w:wordWrap w:val="0"/>
              <w:spacing w:before="20" w:after="20"/>
              <w:jc w:val="right"/>
              <w:rPr>
                <w:rFonts w:eastAsia="Calibri"/>
                <w:noProof/>
                <w:sz w:val="20"/>
              </w:rPr>
            </w:pPr>
            <w:r w:rsidRPr="00DF5C23">
              <w:rPr>
                <w:rFonts w:ascii="Arial Narrow" w:hAnsi="Arial Narrow" w:cs="Calibri"/>
                <w:noProof/>
                <w:color w:val="000000"/>
                <w:sz w:val="20"/>
                <w:szCs w:val="20"/>
              </w:rPr>
              <w:t>0,487</w:t>
            </w:r>
          </w:p>
        </w:tc>
        <w:tc>
          <w:tcPr>
            <w:tcW w:w="868" w:type="dxa"/>
            <w:vAlign w:val="center"/>
          </w:tcPr>
          <w:p w14:paraId="0CEFD77B" w14:textId="77777777" w:rsidR="0038775E" w:rsidRDefault="00877B9C" w:rsidP="002041D4">
            <w:pPr>
              <w:wordWrap w:val="0"/>
              <w:spacing w:before="20" w:after="20"/>
              <w:jc w:val="right"/>
              <w:rPr>
                <w:rFonts w:eastAsia="Calibri"/>
                <w:noProof/>
                <w:sz w:val="20"/>
              </w:rPr>
            </w:pPr>
            <w:r w:rsidRPr="00DF5C23">
              <w:rPr>
                <w:rFonts w:ascii="Arial Narrow" w:hAnsi="Arial Narrow" w:cs="Calibri"/>
                <w:noProof/>
                <w:color w:val="000000"/>
                <w:sz w:val="20"/>
                <w:szCs w:val="20"/>
              </w:rPr>
              <w:t>0,965</w:t>
            </w:r>
          </w:p>
        </w:tc>
        <w:tc>
          <w:tcPr>
            <w:tcW w:w="868" w:type="dxa"/>
            <w:vAlign w:val="center"/>
          </w:tcPr>
          <w:p w14:paraId="682A4D31" w14:textId="77777777" w:rsidR="0038775E" w:rsidRDefault="00877B9C" w:rsidP="002041D4">
            <w:pPr>
              <w:wordWrap w:val="0"/>
              <w:spacing w:before="20" w:after="20"/>
              <w:jc w:val="right"/>
              <w:rPr>
                <w:rFonts w:eastAsia="Calibri"/>
                <w:noProof/>
                <w:sz w:val="20"/>
              </w:rPr>
            </w:pPr>
            <w:r w:rsidRPr="00DF5C23">
              <w:rPr>
                <w:rFonts w:ascii="Arial Narrow" w:hAnsi="Arial Narrow" w:cs="Calibri"/>
                <w:noProof/>
                <w:color w:val="000000"/>
                <w:sz w:val="20"/>
                <w:szCs w:val="20"/>
              </w:rPr>
              <w:t>2,403</w:t>
            </w:r>
          </w:p>
        </w:tc>
        <w:tc>
          <w:tcPr>
            <w:tcW w:w="868" w:type="dxa"/>
            <w:vAlign w:val="center"/>
          </w:tcPr>
          <w:p w14:paraId="39E043E4" w14:textId="77777777" w:rsidR="0038775E" w:rsidRDefault="00877B9C" w:rsidP="002041D4">
            <w:pPr>
              <w:wordWrap w:val="0"/>
              <w:spacing w:before="20" w:after="20"/>
              <w:jc w:val="right"/>
              <w:rPr>
                <w:rFonts w:eastAsia="Calibri"/>
                <w:noProof/>
                <w:sz w:val="20"/>
              </w:rPr>
            </w:pPr>
            <w:r w:rsidRPr="00DF5C23">
              <w:rPr>
                <w:rFonts w:ascii="Arial Narrow" w:hAnsi="Arial Narrow" w:cs="Calibri"/>
                <w:noProof/>
                <w:color w:val="000000"/>
                <w:sz w:val="20"/>
                <w:szCs w:val="20"/>
              </w:rPr>
              <w:t>3,488</w:t>
            </w:r>
          </w:p>
        </w:tc>
        <w:tc>
          <w:tcPr>
            <w:tcW w:w="868" w:type="dxa"/>
            <w:vAlign w:val="center"/>
          </w:tcPr>
          <w:p w14:paraId="6B995BAA" w14:textId="77777777" w:rsidR="0038775E" w:rsidRDefault="00877B9C" w:rsidP="002041D4">
            <w:pPr>
              <w:wordWrap w:val="0"/>
              <w:spacing w:before="20" w:after="20"/>
              <w:jc w:val="right"/>
              <w:rPr>
                <w:rFonts w:eastAsia="Calibri"/>
                <w:noProof/>
                <w:sz w:val="20"/>
              </w:rPr>
            </w:pPr>
            <w:r w:rsidRPr="00DF5C23">
              <w:rPr>
                <w:rFonts w:ascii="Arial Narrow" w:hAnsi="Arial Narrow" w:cs="Calibri"/>
                <w:noProof/>
                <w:color w:val="000000"/>
                <w:sz w:val="20"/>
                <w:szCs w:val="20"/>
              </w:rPr>
              <w:t>5,150</w:t>
            </w:r>
          </w:p>
        </w:tc>
        <w:tc>
          <w:tcPr>
            <w:tcW w:w="881" w:type="dxa"/>
            <w:vAlign w:val="center"/>
          </w:tcPr>
          <w:p w14:paraId="755E80CA" w14:textId="77777777" w:rsidR="0038775E" w:rsidRDefault="00877B9C" w:rsidP="002041D4">
            <w:pPr>
              <w:wordWrap w:val="0"/>
              <w:spacing w:before="20" w:after="20"/>
              <w:jc w:val="right"/>
              <w:rPr>
                <w:rFonts w:eastAsia="Calibri"/>
                <w:noProof/>
                <w:sz w:val="20"/>
              </w:rPr>
            </w:pPr>
            <w:r w:rsidRPr="00DF5C23">
              <w:rPr>
                <w:rFonts w:ascii="Arial Narrow" w:hAnsi="Arial Narrow" w:cs="Calibri"/>
                <w:noProof/>
                <w:color w:val="000000"/>
                <w:sz w:val="20"/>
                <w:szCs w:val="20"/>
              </w:rPr>
              <w:t>5,850</w:t>
            </w:r>
          </w:p>
        </w:tc>
        <w:tc>
          <w:tcPr>
            <w:tcW w:w="851" w:type="dxa"/>
          </w:tcPr>
          <w:p w14:paraId="457FC549" w14:textId="77777777" w:rsidR="0038775E" w:rsidRDefault="00877B9C" w:rsidP="002041D4">
            <w:pPr>
              <w:wordWrap w:val="0"/>
              <w:spacing w:before="20" w:after="20"/>
              <w:jc w:val="right"/>
              <w:rPr>
                <w:rFonts w:ascii="Arial Narrow" w:hAnsi="Arial Narrow" w:cs="Calibri"/>
                <w:noProof/>
                <w:color w:val="000000"/>
                <w:sz w:val="20"/>
                <w:szCs w:val="20"/>
              </w:rPr>
            </w:pPr>
            <w:r w:rsidRPr="00DF5C23">
              <w:rPr>
                <w:rFonts w:ascii="Arial Narrow" w:hAnsi="Arial Narrow" w:cs="Calibri"/>
                <w:noProof/>
                <w:color w:val="000000"/>
                <w:sz w:val="20"/>
                <w:szCs w:val="20"/>
              </w:rPr>
              <w:t>6,875</w:t>
            </w:r>
          </w:p>
        </w:tc>
        <w:tc>
          <w:tcPr>
            <w:tcW w:w="1701" w:type="dxa"/>
            <w:vAlign w:val="center"/>
          </w:tcPr>
          <w:p w14:paraId="51C05DC1" w14:textId="77777777" w:rsidR="0038775E" w:rsidRDefault="00877B9C" w:rsidP="002041D4">
            <w:pPr>
              <w:wordWrap w:val="0"/>
              <w:spacing w:before="20" w:after="20"/>
              <w:jc w:val="right"/>
              <w:rPr>
                <w:rFonts w:eastAsia="Calibri"/>
                <w:b/>
                <w:noProof/>
                <w:sz w:val="20"/>
              </w:rPr>
            </w:pPr>
            <w:r w:rsidRPr="00DF5C23">
              <w:rPr>
                <w:rFonts w:ascii="Arial Narrow" w:hAnsi="Arial Narrow" w:cs="Calibri"/>
                <w:noProof/>
                <w:color w:val="000000"/>
                <w:sz w:val="20"/>
                <w:szCs w:val="20"/>
              </w:rPr>
              <w:t>25,218</w:t>
            </w:r>
          </w:p>
        </w:tc>
      </w:tr>
      <w:tr w:rsidR="005C61BF" w:rsidRPr="00DF5C23" w14:paraId="2C3A5C0B" w14:textId="77777777" w:rsidTr="00EC0E40">
        <w:tc>
          <w:tcPr>
            <w:tcW w:w="3960" w:type="dxa"/>
            <w:vMerge w:val="restart"/>
            <w:vAlign w:val="center"/>
          </w:tcPr>
          <w:p w14:paraId="5BD9A5F4" w14:textId="77777777" w:rsidR="0038775E" w:rsidRDefault="00877B9C" w:rsidP="002041D4">
            <w:pPr>
              <w:wordWrap w:val="0"/>
              <w:rPr>
                <w:rFonts w:eastAsia="Calibri"/>
                <w:noProof/>
              </w:rPr>
            </w:pPr>
            <w:r w:rsidRPr="00DF5C23">
              <w:rPr>
                <w:rFonts w:eastAsia="Calibri"/>
                <w:noProof/>
                <w:sz w:val="20"/>
              </w:rPr>
              <w:t>予算ライン</w:t>
            </w:r>
          </w:p>
        </w:tc>
        <w:tc>
          <w:tcPr>
            <w:tcW w:w="1440" w:type="dxa"/>
            <w:vAlign w:val="center"/>
          </w:tcPr>
          <w:p w14:paraId="47C0709C" w14:textId="77777777" w:rsidR="0038775E" w:rsidRDefault="00877B9C" w:rsidP="002041D4">
            <w:pPr>
              <w:wordWrap w:val="0"/>
              <w:spacing w:before="20" w:after="20"/>
              <w:rPr>
                <w:rFonts w:eastAsia="Calibri"/>
                <w:noProof/>
                <w:sz w:val="18"/>
              </w:rPr>
            </w:pPr>
            <w:r w:rsidRPr="00DF5C23">
              <w:rPr>
                <w:rFonts w:eastAsia="Calibri"/>
                <w:noProof/>
                <w:sz w:val="18"/>
              </w:rPr>
              <w:t>コミットメント</w:t>
            </w:r>
          </w:p>
        </w:tc>
        <w:tc>
          <w:tcPr>
            <w:tcW w:w="654" w:type="dxa"/>
            <w:gridSpan w:val="2"/>
            <w:vAlign w:val="center"/>
          </w:tcPr>
          <w:p w14:paraId="3CACEAE3" w14:textId="77777777" w:rsidR="0038775E" w:rsidRDefault="00877B9C" w:rsidP="002041D4">
            <w:pPr>
              <w:wordWrap w:val="0"/>
              <w:spacing w:before="20" w:after="20"/>
              <w:jc w:val="center"/>
              <w:rPr>
                <w:rFonts w:eastAsia="Calibri"/>
                <w:noProof/>
                <w:sz w:val="14"/>
              </w:rPr>
            </w:pPr>
            <w:r w:rsidRPr="00DF5C23">
              <w:rPr>
                <w:rFonts w:eastAsia="Calibri"/>
                <w:noProof/>
                <w:sz w:val="14"/>
              </w:rPr>
              <w:t>(1b)</w:t>
            </w:r>
          </w:p>
        </w:tc>
        <w:tc>
          <w:tcPr>
            <w:tcW w:w="868" w:type="dxa"/>
            <w:vAlign w:val="center"/>
          </w:tcPr>
          <w:p w14:paraId="2C3A5C03" w14:textId="77777777" w:rsidR="005C61BF" w:rsidRPr="00DF5C23" w:rsidRDefault="005C61BF" w:rsidP="002041D4">
            <w:pPr>
              <w:wordWrap w:val="0"/>
              <w:spacing w:before="20" w:after="20"/>
              <w:jc w:val="right"/>
              <w:rPr>
                <w:rFonts w:eastAsia="Calibri"/>
                <w:noProof/>
                <w:sz w:val="20"/>
              </w:rPr>
            </w:pPr>
          </w:p>
        </w:tc>
        <w:tc>
          <w:tcPr>
            <w:tcW w:w="868" w:type="dxa"/>
            <w:vAlign w:val="center"/>
          </w:tcPr>
          <w:p w14:paraId="2C3A5C04" w14:textId="77777777" w:rsidR="005C61BF" w:rsidRPr="00DF5C23" w:rsidRDefault="005C61BF" w:rsidP="002041D4">
            <w:pPr>
              <w:wordWrap w:val="0"/>
              <w:spacing w:before="20" w:after="20"/>
              <w:jc w:val="right"/>
              <w:rPr>
                <w:rFonts w:eastAsia="Calibri"/>
                <w:noProof/>
                <w:sz w:val="20"/>
              </w:rPr>
            </w:pPr>
          </w:p>
        </w:tc>
        <w:tc>
          <w:tcPr>
            <w:tcW w:w="868" w:type="dxa"/>
            <w:vAlign w:val="center"/>
          </w:tcPr>
          <w:p w14:paraId="2C3A5C05" w14:textId="77777777" w:rsidR="005C61BF" w:rsidRPr="00DF5C23" w:rsidRDefault="005C61BF" w:rsidP="002041D4">
            <w:pPr>
              <w:wordWrap w:val="0"/>
              <w:spacing w:before="20" w:after="20"/>
              <w:jc w:val="right"/>
              <w:rPr>
                <w:rFonts w:eastAsia="Calibri"/>
                <w:noProof/>
                <w:sz w:val="20"/>
              </w:rPr>
            </w:pPr>
          </w:p>
        </w:tc>
        <w:tc>
          <w:tcPr>
            <w:tcW w:w="868" w:type="dxa"/>
            <w:vAlign w:val="center"/>
          </w:tcPr>
          <w:p w14:paraId="2C3A5C06" w14:textId="77777777" w:rsidR="005C61BF" w:rsidRPr="00DF5C23" w:rsidRDefault="005C61BF" w:rsidP="002041D4">
            <w:pPr>
              <w:wordWrap w:val="0"/>
              <w:spacing w:before="20" w:after="20"/>
              <w:jc w:val="right"/>
              <w:rPr>
                <w:rFonts w:eastAsia="Calibri"/>
                <w:noProof/>
                <w:sz w:val="20"/>
              </w:rPr>
            </w:pPr>
          </w:p>
        </w:tc>
        <w:tc>
          <w:tcPr>
            <w:tcW w:w="868" w:type="dxa"/>
            <w:vAlign w:val="center"/>
          </w:tcPr>
          <w:p w14:paraId="2C3A5C07" w14:textId="77777777" w:rsidR="005C61BF" w:rsidRPr="00DF5C23" w:rsidRDefault="005C61BF" w:rsidP="002041D4">
            <w:pPr>
              <w:wordWrap w:val="0"/>
              <w:spacing w:before="20" w:after="20"/>
              <w:jc w:val="right"/>
              <w:rPr>
                <w:rFonts w:eastAsia="Calibri"/>
                <w:noProof/>
                <w:sz w:val="20"/>
              </w:rPr>
            </w:pPr>
          </w:p>
        </w:tc>
        <w:tc>
          <w:tcPr>
            <w:tcW w:w="881" w:type="dxa"/>
            <w:vAlign w:val="center"/>
          </w:tcPr>
          <w:p w14:paraId="2C3A5C08" w14:textId="77777777" w:rsidR="005C61BF" w:rsidRPr="00DF5C23" w:rsidRDefault="005C61BF" w:rsidP="002041D4">
            <w:pPr>
              <w:wordWrap w:val="0"/>
              <w:spacing w:before="20" w:after="20"/>
              <w:jc w:val="right"/>
              <w:rPr>
                <w:rFonts w:eastAsia="Calibri"/>
                <w:noProof/>
                <w:sz w:val="20"/>
              </w:rPr>
            </w:pPr>
          </w:p>
        </w:tc>
        <w:tc>
          <w:tcPr>
            <w:tcW w:w="851" w:type="dxa"/>
          </w:tcPr>
          <w:p w14:paraId="2C3A5C09" w14:textId="77777777" w:rsidR="004510A0" w:rsidRPr="00DF5C23" w:rsidRDefault="004510A0" w:rsidP="002041D4">
            <w:pPr>
              <w:wordWrap w:val="0"/>
              <w:spacing w:before="20" w:after="20"/>
              <w:jc w:val="right"/>
              <w:rPr>
                <w:rFonts w:eastAsia="Calibri"/>
                <w:b/>
                <w:noProof/>
                <w:sz w:val="20"/>
              </w:rPr>
            </w:pPr>
          </w:p>
        </w:tc>
        <w:tc>
          <w:tcPr>
            <w:tcW w:w="1701" w:type="dxa"/>
            <w:vAlign w:val="center"/>
          </w:tcPr>
          <w:p w14:paraId="2C3A5C0A" w14:textId="77777777" w:rsidR="005C61BF" w:rsidRPr="00DF5C23" w:rsidRDefault="005C61BF" w:rsidP="002041D4">
            <w:pPr>
              <w:wordWrap w:val="0"/>
              <w:spacing w:before="20" w:after="20"/>
              <w:jc w:val="right"/>
              <w:rPr>
                <w:rFonts w:eastAsia="Calibri"/>
                <w:b/>
                <w:noProof/>
                <w:sz w:val="20"/>
              </w:rPr>
            </w:pPr>
          </w:p>
        </w:tc>
      </w:tr>
      <w:tr w:rsidR="005C61BF" w:rsidRPr="00DF5C23" w14:paraId="2C3A5C17" w14:textId="77777777" w:rsidTr="00EC0E40">
        <w:tc>
          <w:tcPr>
            <w:tcW w:w="3960" w:type="dxa"/>
            <w:vMerge/>
          </w:tcPr>
          <w:p w14:paraId="2C3A5C0C" w14:textId="77777777" w:rsidR="005C61BF" w:rsidRPr="00DF5C23" w:rsidRDefault="005C61BF" w:rsidP="002041D4">
            <w:pPr>
              <w:wordWrap w:val="0"/>
              <w:jc w:val="center"/>
              <w:rPr>
                <w:rFonts w:eastAsia="Calibri"/>
                <w:noProof/>
                <w:sz w:val="20"/>
              </w:rPr>
            </w:pPr>
          </w:p>
        </w:tc>
        <w:tc>
          <w:tcPr>
            <w:tcW w:w="1440" w:type="dxa"/>
            <w:vAlign w:val="center"/>
          </w:tcPr>
          <w:p w14:paraId="50BBD49D" w14:textId="77777777" w:rsidR="0038775E" w:rsidRDefault="00877B9C" w:rsidP="002041D4">
            <w:pPr>
              <w:wordWrap w:val="0"/>
              <w:spacing w:before="20" w:after="20"/>
              <w:rPr>
                <w:rFonts w:eastAsia="Calibri"/>
                <w:noProof/>
                <w:sz w:val="18"/>
              </w:rPr>
            </w:pPr>
            <w:r w:rsidRPr="00DF5C23">
              <w:rPr>
                <w:rFonts w:eastAsia="Calibri"/>
                <w:noProof/>
                <w:sz w:val="18"/>
              </w:rPr>
              <w:t>ペイメント</w:t>
            </w:r>
          </w:p>
        </w:tc>
        <w:tc>
          <w:tcPr>
            <w:tcW w:w="654" w:type="dxa"/>
            <w:gridSpan w:val="2"/>
            <w:vAlign w:val="center"/>
          </w:tcPr>
          <w:p w14:paraId="50D8762F" w14:textId="77777777" w:rsidR="0038775E" w:rsidRDefault="00877B9C" w:rsidP="002041D4">
            <w:pPr>
              <w:wordWrap w:val="0"/>
              <w:spacing w:before="20" w:after="20"/>
              <w:jc w:val="center"/>
              <w:rPr>
                <w:rFonts w:eastAsia="Calibri"/>
                <w:noProof/>
                <w:sz w:val="14"/>
              </w:rPr>
            </w:pPr>
            <w:r w:rsidRPr="00DF5C23">
              <w:rPr>
                <w:rFonts w:eastAsia="Calibri"/>
                <w:noProof/>
                <w:sz w:val="14"/>
              </w:rPr>
              <w:t>(2b)</w:t>
            </w:r>
          </w:p>
        </w:tc>
        <w:tc>
          <w:tcPr>
            <w:tcW w:w="868" w:type="dxa"/>
            <w:vAlign w:val="center"/>
          </w:tcPr>
          <w:p w14:paraId="2C3A5C0F" w14:textId="77777777" w:rsidR="005C61BF" w:rsidRPr="00DF5C23" w:rsidRDefault="005C61BF" w:rsidP="002041D4">
            <w:pPr>
              <w:wordWrap w:val="0"/>
              <w:spacing w:before="20" w:after="20"/>
              <w:jc w:val="right"/>
              <w:rPr>
                <w:rFonts w:eastAsia="Calibri"/>
                <w:noProof/>
                <w:sz w:val="20"/>
              </w:rPr>
            </w:pPr>
          </w:p>
        </w:tc>
        <w:tc>
          <w:tcPr>
            <w:tcW w:w="868" w:type="dxa"/>
            <w:vAlign w:val="center"/>
          </w:tcPr>
          <w:p w14:paraId="2C3A5C10" w14:textId="77777777" w:rsidR="005C61BF" w:rsidRPr="00DF5C23" w:rsidRDefault="005C61BF" w:rsidP="002041D4">
            <w:pPr>
              <w:wordWrap w:val="0"/>
              <w:spacing w:before="20" w:after="20"/>
              <w:jc w:val="right"/>
              <w:rPr>
                <w:rFonts w:eastAsia="Calibri"/>
                <w:noProof/>
                <w:sz w:val="20"/>
              </w:rPr>
            </w:pPr>
          </w:p>
        </w:tc>
        <w:tc>
          <w:tcPr>
            <w:tcW w:w="868" w:type="dxa"/>
            <w:vAlign w:val="center"/>
          </w:tcPr>
          <w:p w14:paraId="2C3A5C11" w14:textId="77777777" w:rsidR="005C61BF" w:rsidRPr="00DF5C23" w:rsidRDefault="005C61BF" w:rsidP="002041D4">
            <w:pPr>
              <w:wordWrap w:val="0"/>
              <w:spacing w:before="20" w:after="20"/>
              <w:jc w:val="right"/>
              <w:rPr>
                <w:rFonts w:eastAsia="Calibri"/>
                <w:noProof/>
                <w:sz w:val="20"/>
              </w:rPr>
            </w:pPr>
          </w:p>
        </w:tc>
        <w:tc>
          <w:tcPr>
            <w:tcW w:w="868" w:type="dxa"/>
            <w:vAlign w:val="center"/>
          </w:tcPr>
          <w:p w14:paraId="2C3A5C12" w14:textId="77777777" w:rsidR="005C61BF" w:rsidRPr="00DF5C23" w:rsidRDefault="005C61BF" w:rsidP="002041D4">
            <w:pPr>
              <w:wordWrap w:val="0"/>
              <w:spacing w:before="20" w:after="20"/>
              <w:jc w:val="right"/>
              <w:rPr>
                <w:rFonts w:eastAsia="Calibri"/>
                <w:noProof/>
                <w:sz w:val="20"/>
              </w:rPr>
            </w:pPr>
          </w:p>
        </w:tc>
        <w:tc>
          <w:tcPr>
            <w:tcW w:w="868" w:type="dxa"/>
            <w:vAlign w:val="center"/>
          </w:tcPr>
          <w:p w14:paraId="2C3A5C13" w14:textId="77777777" w:rsidR="005C61BF" w:rsidRPr="00DF5C23" w:rsidRDefault="005C61BF" w:rsidP="002041D4">
            <w:pPr>
              <w:wordWrap w:val="0"/>
              <w:spacing w:before="20" w:after="20"/>
              <w:jc w:val="right"/>
              <w:rPr>
                <w:rFonts w:eastAsia="Calibri"/>
                <w:noProof/>
                <w:sz w:val="20"/>
              </w:rPr>
            </w:pPr>
          </w:p>
        </w:tc>
        <w:tc>
          <w:tcPr>
            <w:tcW w:w="881" w:type="dxa"/>
            <w:vAlign w:val="center"/>
          </w:tcPr>
          <w:p w14:paraId="2C3A5C14" w14:textId="77777777" w:rsidR="005C61BF" w:rsidRPr="00DF5C23" w:rsidRDefault="005C61BF" w:rsidP="002041D4">
            <w:pPr>
              <w:wordWrap w:val="0"/>
              <w:spacing w:before="20" w:after="20"/>
              <w:jc w:val="right"/>
              <w:rPr>
                <w:rFonts w:eastAsia="Calibri"/>
                <w:noProof/>
                <w:sz w:val="20"/>
              </w:rPr>
            </w:pPr>
          </w:p>
        </w:tc>
        <w:tc>
          <w:tcPr>
            <w:tcW w:w="851" w:type="dxa"/>
          </w:tcPr>
          <w:p w14:paraId="2C3A5C15" w14:textId="77777777" w:rsidR="004510A0" w:rsidRPr="00DF5C23" w:rsidRDefault="004510A0" w:rsidP="002041D4">
            <w:pPr>
              <w:wordWrap w:val="0"/>
              <w:spacing w:before="20" w:after="20"/>
              <w:jc w:val="right"/>
              <w:rPr>
                <w:rFonts w:eastAsia="Calibri"/>
                <w:b/>
                <w:noProof/>
                <w:sz w:val="20"/>
              </w:rPr>
            </w:pPr>
          </w:p>
        </w:tc>
        <w:tc>
          <w:tcPr>
            <w:tcW w:w="1701" w:type="dxa"/>
            <w:vAlign w:val="center"/>
          </w:tcPr>
          <w:p w14:paraId="2C3A5C16" w14:textId="77777777" w:rsidR="005C61BF" w:rsidRPr="00DF5C23" w:rsidRDefault="005C61BF" w:rsidP="002041D4">
            <w:pPr>
              <w:wordWrap w:val="0"/>
              <w:spacing w:before="20" w:after="20"/>
              <w:jc w:val="right"/>
              <w:rPr>
                <w:rFonts w:eastAsia="Calibri"/>
                <w:b/>
                <w:noProof/>
                <w:sz w:val="20"/>
              </w:rPr>
            </w:pPr>
          </w:p>
        </w:tc>
      </w:tr>
      <w:tr w:rsidR="005C61BF" w:rsidRPr="00DF5C23" w14:paraId="2C3A5C22" w14:textId="77777777" w:rsidTr="00EC0E40">
        <w:trPr>
          <w:trHeight w:val="231"/>
        </w:trPr>
        <w:tc>
          <w:tcPr>
            <w:tcW w:w="6054" w:type="dxa"/>
            <w:gridSpan w:val="4"/>
            <w:vAlign w:val="center"/>
          </w:tcPr>
          <w:p w14:paraId="1B3AB92D" w14:textId="77777777" w:rsidR="0038775E" w:rsidRDefault="00877B9C" w:rsidP="002041D4">
            <w:pPr>
              <w:wordWrap w:val="0"/>
              <w:spacing w:before="20" w:after="20"/>
              <w:rPr>
                <w:rFonts w:eastAsia="Calibri"/>
                <w:noProof/>
                <w:lang w:eastAsia="ja-JP"/>
              </w:rPr>
            </w:pPr>
            <w:r w:rsidRPr="00DF5C23">
              <w:rPr>
                <w:rFonts w:eastAsia="Calibri"/>
                <w:noProof/>
                <w:sz w:val="21"/>
                <w:szCs w:val="21"/>
                <w:lang w:eastAsia="ja-JP"/>
              </w:rPr>
              <w:lastRenderedPageBreak/>
              <w:t>特定プログラムのエンベロープから資金を調達する管理的性質の収用</w:t>
            </w:r>
            <w:r w:rsidRPr="00DF5C23">
              <w:rPr>
                <w:rFonts w:eastAsia="Calibri"/>
                <w:noProof/>
                <w:sz w:val="21"/>
                <w:szCs w:val="21"/>
                <w:lang w:eastAsia="ja-JP"/>
              </w:rPr>
              <w:t xml:space="preserve"> </w:t>
            </w:r>
            <w:r w:rsidR="008B78E1" w:rsidRPr="00DF5C23">
              <w:rPr>
                <w:rStyle w:val="afa"/>
                <w:rFonts w:eastAsia="Calibri"/>
                <w:noProof/>
                <w:sz w:val="21"/>
                <w:szCs w:val="21"/>
              </w:rPr>
              <w:footnoteReference w:id="99"/>
            </w:r>
          </w:p>
          <w:p w14:paraId="2C3A5C19" w14:textId="77777777" w:rsidR="005C61BF" w:rsidRPr="00DF5C23" w:rsidRDefault="005C61BF" w:rsidP="002041D4">
            <w:pPr>
              <w:wordWrap w:val="0"/>
              <w:spacing w:before="0" w:after="0"/>
              <w:rPr>
                <w:rFonts w:eastAsia="Calibri"/>
                <w:noProof/>
                <w:lang w:eastAsia="ja-JP"/>
              </w:rPr>
            </w:pPr>
          </w:p>
        </w:tc>
        <w:tc>
          <w:tcPr>
            <w:tcW w:w="868" w:type="dxa"/>
            <w:vAlign w:val="center"/>
          </w:tcPr>
          <w:p w14:paraId="2C3A5C1A" w14:textId="77777777" w:rsidR="005C61BF" w:rsidRPr="00DF5C23" w:rsidRDefault="005C61BF" w:rsidP="002041D4">
            <w:pPr>
              <w:wordWrap w:val="0"/>
              <w:rPr>
                <w:rFonts w:eastAsia="Calibri"/>
                <w:b/>
                <w:noProof/>
                <w:sz w:val="20"/>
                <w:lang w:eastAsia="ja-JP"/>
              </w:rPr>
            </w:pPr>
          </w:p>
        </w:tc>
        <w:tc>
          <w:tcPr>
            <w:tcW w:w="868" w:type="dxa"/>
            <w:vAlign w:val="center"/>
          </w:tcPr>
          <w:p w14:paraId="2C3A5C1B" w14:textId="77777777" w:rsidR="005C61BF" w:rsidRPr="00DF5C23" w:rsidRDefault="005C61BF" w:rsidP="002041D4">
            <w:pPr>
              <w:wordWrap w:val="0"/>
              <w:rPr>
                <w:rFonts w:eastAsia="Calibri"/>
                <w:b/>
                <w:noProof/>
                <w:sz w:val="20"/>
                <w:lang w:eastAsia="ja-JP"/>
              </w:rPr>
            </w:pPr>
          </w:p>
        </w:tc>
        <w:tc>
          <w:tcPr>
            <w:tcW w:w="868" w:type="dxa"/>
            <w:vAlign w:val="center"/>
          </w:tcPr>
          <w:p w14:paraId="2C3A5C1C" w14:textId="77777777" w:rsidR="005C61BF" w:rsidRPr="00DF5C23" w:rsidRDefault="005C61BF" w:rsidP="002041D4">
            <w:pPr>
              <w:wordWrap w:val="0"/>
              <w:rPr>
                <w:rFonts w:eastAsia="Calibri"/>
                <w:b/>
                <w:noProof/>
                <w:sz w:val="20"/>
                <w:lang w:eastAsia="ja-JP"/>
              </w:rPr>
            </w:pPr>
          </w:p>
        </w:tc>
        <w:tc>
          <w:tcPr>
            <w:tcW w:w="868" w:type="dxa"/>
            <w:vAlign w:val="center"/>
          </w:tcPr>
          <w:p w14:paraId="2C3A5C1D" w14:textId="77777777" w:rsidR="005C61BF" w:rsidRPr="00DF5C23" w:rsidRDefault="005C61BF" w:rsidP="002041D4">
            <w:pPr>
              <w:wordWrap w:val="0"/>
              <w:rPr>
                <w:rFonts w:eastAsia="Calibri"/>
                <w:b/>
                <w:noProof/>
                <w:sz w:val="20"/>
                <w:lang w:eastAsia="ja-JP"/>
              </w:rPr>
            </w:pPr>
          </w:p>
        </w:tc>
        <w:tc>
          <w:tcPr>
            <w:tcW w:w="868" w:type="dxa"/>
            <w:vAlign w:val="center"/>
          </w:tcPr>
          <w:p w14:paraId="2C3A5C1E" w14:textId="77777777" w:rsidR="005C61BF" w:rsidRPr="00DF5C23" w:rsidRDefault="005C61BF" w:rsidP="002041D4">
            <w:pPr>
              <w:wordWrap w:val="0"/>
              <w:rPr>
                <w:rFonts w:eastAsia="Calibri"/>
                <w:b/>
                <w:noProof/>
                <w:sz w:val="20"/>
                <w:lang w:eastAsia="ja-JP"/>
              </w:rPr>
            </w:pPr>
          </w:p>
        </w:tc>
        <w:tc>
          <w:tcPr>
            <w:tcW w:w="881" w:type="dxa"/>
            <w:vAlign w:val="center"/>
          </w:tcPr>
          <w:p w14:paraId="2C3A5C1F" w14:textId="77777777" w:rsidR="005C61BF" w:rsidRPr="00DF5C23" w:rsidRDefault="005C61BF" w:rsidP="002041D4">
            <w:pPr>
              <w:wordWrap w:val="0"/>
              <w:rPr>
                <w:rFonts w:eastAsia="Calibri"/>
                <w:b/>
                <w:noProof/>
                <w:sz w:val="20"/>
                <w:lang w:eastAsia="ja-JP"/>
              </w:rPr>
            </w:pPr>
          </w:p>
        </w:tc>
        <w:tc>
          <w:tcPr>
            <w:tcW w:w="851" w:type="dxa"/>
          </w:tcPr>
          <w:p w14:paraId="2C3A5C20" w14:textId="77777777" w:rsidR="004510A0" w:rsidRPr="00DF5C23" w:rsidRDefault="004510A0" w:rsidP="002041D4">
            <w:pPr>
              <w:wordWrap w:val="0"/>
              <w:rPr>
                <w:rFonts w:eastAsia="Calibri"/>
                <w:b/>
                <w:noProof/>
                <w:sz w:val="20"/>
                <w:lang w:eastAsia="ja-JP"/>
              </w:rPr>
            </w:pPr>
          </w:p>
        </w:tc>
        <w:tc>
          <w:tcPr>
            <w:tcW w:w="1701" w:type="dxa"/>
            <w:vAlign w:val="center"/>
          </w:tcPr>
          <w:p w14:paraId="2C3A5C21" w14:textId="77777777" w:rsidR="005C61BF" w:rsidRPr="00DF5C23" w:rsidRDefault="005C61BF" w:rsidP="002041D4">
            <w:pPr>
              <w:wordWrap w:val="0"/>
              <w:rPr>
                <w:rFonts w:eastAsia="Calibri"/>
                <w:b/>
                <w:noProof/>
                <w:sz w:val="20"/>
                <w:lang w:eastAsia="ja-JP"/>
              </w:rPr>
            </w:pPr>
          </w:p>
        </w:tc>
      </w:tr>
      <w:tr w:rsidR="005C61BF" w:rsidRPr="00DF5C23" w14:paraId="2C3A5C2E" w14:textId="77777777" w:rsidTr="00EC0E40">
        <w:trPr>
          <w:trHeight w:val="319"/>
        </w:trPr>
        <w:tc>
          <w:tcPr>
            <w:tcW w:w="3960" w:type="dxa"/>
            <w:vAlign w:val="center"/>
          </w:tcPr>
          <w:p w14:paraId="17B292D1" w14:textId="77777777" w:rsidR="0038775E" w:rsidRDefault="00877B9C" w:rsidP="002041D4">
            <w:pPr>
              <w:wordWrap w:val="0"/>
              <w:spacing w:before="60" w:after="60"/>
              <w:rPr>
                <w:rFonts w:eastAsia="Calibri"/>
                <w:noProof/>
              </w:rPr>
            </w:pPr>
            <w:r w:rsidRPr="00DF5C23">
              <w:rPr>
                <w:rFonts w:eastAsia="Calibri"/>
                <w:noProof/>
                <w:sz w:val="20"/>
              </w:rPr>
              <w:t>予算ライン</w:t>
            </w:r>
          </w:p>
        </w:tc>
        <w:tc>
          <w:tcPr>
            <w:tcW w:w="1440" w:type="dxa"/>
            <w:vAlign w:val="center"/>
          </w:tcPr>
          <w:p w14:paraId="2C3A5C24" w14:textId="77777777" w:rsidR="005C61BF" w:rsidRPr="00DF5C23" w:rsidRDefault="005C61BF" w:rsidP="002041D4">
            <w:pPr>
              <w:wordWrap w:val="0"/>
              <w:spacing w:before="40" w:after="40"/>
              <w:jc w:val="right"/>
              <w:rPr>
                <w:rFonts w:eastAsia="Calibri"/>
                <w:noProof/>
                <w:sz w:val="18"/>
              </w:rPr>
            </w:pPr>
          </w:p>
        </w:tc>
        <w:tc>
          <w:tcPr>
            <w:tcW w:w="654" w:type="dxa"/>
            <w:gridSpan w:val="2"/>
            <w:vAlign w:val="center"/>
          </w:tcPr>
          <w:p w14:paraId="38B71FD0" w14:textId="77777777" w:rsidR="0038775E" w:rsidRDefault="00877B9C" w:rsidP="002041D4">
            <w:pPr>
              <w:wordWrap w:val="0"/>
              <w:spacing w:before="40" w:after="40"/>
              <w:jc w:val="center"/>
              <w:rPr>
                <w:rFonts w:eastAsia="Calibri"/>
                <w:noProof/>
                <w:sz w:val="14"/>
              </w:rPr>
            </w:pPr>
            <w:r w:rsidRPr="00DF5C23">
              <w:rPr>
                <w:rFonts w:eastAsia="Calibri"/>
                <w:noProof/>
                <w:sz w:val="14"/>
              </w:rPr>
              <w:t>(3)</w:t>
            </w:r>
          </w:p>
        </w:tc>
        <w:tc>
          <w:tcPr>
            <w:tcW w:w="868" w:type="dxa"/>
            <w:vAlign w:val="center"/>
          </w:tcPr>
          <w:p w14:paraId="2C3A5C26" w14:textId="77777777" w:rsidR="005C61BF" w:rsidRPr="00DF5C23" w:rsidRDefault="005C61BF" w:rsidP="002041D4">
            <w:pPr>
              <w:wordWrap w:val="0"/>
              <w:spacing w:before="40" w:after="40"/>
              <w:jc w:val="right"/>
              <w:rPr>
                <w:rFonts w:eastAsia="Calibri"/>
                <w:b/>
                <w:noProof/>
                <w:sz w:val="20"/>
              </w:rPr>
            </w:pPr>
          </w:p>
        </w:tc>
        <w:tc>
          <w:tcPr>
            <w:tcW w:w="868" w:type="dxa"/>
            <w:vAlign w:val="center"/>
          </w:tcPr>
          <w:p w14:paraId="2C3A5C27" w14:textId="77777777" w:rsidR="005C61BF" w:rsidRPr="00DF5C23" w:rsidRDefault="005C61BF" w:rsidP="002041D4">
            <w:pPr>
              <w:wordWrap w:val="0"/>
              <w:spacing w:before="40" w:after="40"/>
              <w:jc w:val="right"/>
              <w:rPr>
                <w:rFonts w:eastAsia="Calibri"/>
                <w:b/>
                <w:noProof/>
                <w:sz w:val="20"/>
              </w:rPr>
            </w:pPr>
          </w:p>
        </w:tc>
        <w:tc>
          <w:tcPr>
            <w:tcW w:w="868" w:type="dxa"/>
            <w:vAlign w:val="center"/>
          </w:tcPr>
          <w:p w14:paraId="2C3A5C28" w14:textId="77777777" w:rsidR="005C61BF" w:rsidRPr="00DF5C23" w:rsidRDefault="005C61BF" w:rsidP="002041D4">
            <w:pPr>
              <w:wordWrap w:val="0"/>
              <w:spacing w:before="40" w:after="40"/>
              <w:jc w:val="right"/>
              <w:rPr>
                <w:rFonts w:eastAsia="Calibri"/>
                <w:b/>
                <w:noProof/>
                <w:sz w:val="20"/>
              </w:rPr>
            </w:pPr>
          </w:p>
        </w:tc>
        <w:tc>
          <w:tcPr>
            <w:tcW w:w="868" w:type="dxa"/>
            <w:vAlign w:val="center"/>
          </w:tcPr>
          <w:p w14:paraId="2C3A5C29" w14:textId="77777777" w:rsidR="005C61BF" w:rsidRPr="00DF5C23" w:rsidRDefault="005C61BF" w:rsidP="002041D4">
            <w:pPr>
              <w:wordWrap w:val="0"/>
              <w:spacing w:before="40" w:after="40"/>
              <w:jc w:val="right"/>
              <w:rPr>
                <w:rFonts w:eastAsia="Calibri"/>
                <w:b/>
                <w:noProof/>
                <w:sz w:val="20"/>
              </w:rPr>
            </w:pPr>
          </w:p>
        </w:tc>
        <w:tc>
          <w:tcPr>
            <w:tcW w:w="868" w:type="dxa"/>
            <w:vAlign w:val="center"/>
          </w:tcPr>
          <w:p w14:paraId="2C3A5C2A" w14:textId="77777777" w:rsidR="005C61BF" w:rsidRPr="00DF5C23" w:rsidRDefault="005C61BF" w:rsidP="002041D4">
            <w:pPr>
              <w:wordWrap w:val="0"/>
              <w:spacing w:before="40" w:after="40"/>
              <w:jc w:val="right"/>
              <w:rPr>
                <w:rFonts w:eastAsia="Calibri"/>
                <w:b/>
                <w:noProof/>
                <w:sz w:val="20"/>
              </w:rPr>
            </w:pPr>
          </w:p>
        </w:tc>
        <w:tc>
          <w:tcPr>
            <w:tcW w:w="881" w:type="dxa"/>
            <w:vAlign w:val="center"/>
          </w:tcPr>
          <w:p w14:paraId="2C3A5C2B" w14:textId="77777777" w:rsidR="005C61BF" w:rsidRPr="00DF5C23" w:rsidRDefault="005C61BF" w:rsidP="002041D4">
            <w:pPr>
              <w:wordWrap w:val="0"/>
              <w:spacing w:before="40" w:after="40"/>
              <w:jc w:val="right"/>
              <w:rPr>
                <w:rFonts w:eastAsia="Calibri"/>
                <w:b/>
                <w:noProof/>
                <w:sz w:val="20"/>
              </w:rPr>
            </w:pPr>
          </w:p>
        </w:tc>
        <w:tc>
          <w:tcPr>
            <w:tcW w:w="851" w:type="dxa"/>
          </w:tcPr>
          <w:p w14:paraId="2C3A5C2C" w14:textId="77777777" w:rsidR="004510A0" w:rsidRPr="00DF5C23" w:rsidRDefault="004510A0" w:rsidP="002041D4">
            <w:pPr>
              <w:wordWrap w:val="0"/>
              <w:spacing w:before="40" w:after="40"/>
              <w:jc w:val="right"/>
              <w:rPr>
                <w:rFonts w:eastAsia="Calibri"/>
                <w:b/>
                <w:noProof/>
                <w:sz w:val="20"/>
              </w:rPr>
            </w:pPr>
          </w:p>
        </w:tc>
        <w:tc>
          <w:tcPr>
            <w:tcW w:w="1701" w:type="dxa"/>
            <w:vAlign w:val="center"/>
          </w:tcPr>
          <w:p w14:paraId="2C3A5C2D" w14:textId="77777777" w:rsidR="005C61BF" w:rsidRPr="00DF5C23" w:rsidRDefault="005C61BF" w:rsidP="002041D4">
            <w:pPr>
              <w:wordWrap w:val="0"/>
              <w:spacing w:before="40" w:after="40"/>
              <w:jc w:val="right"/>
              <w:rPr>
                <w:rFonts w:eastAsia="Calibri"/>
                <w:b/>
                <w:noProof/>
                <w:sz w:val="20"/>
              </w:rPr>
            </w:pPr>
          </w:p>
        </w:tc>
      </w:tr>
      <w:tr w:rsidR="005C61BF" w:rsidRPr="00DF5C23" w14:paraId="2C3A5C3B" w14:textId="77777777" w:rsidTr="00EC0E40">
        <w:tc>
          <w:tcPr>
            <w:tcW w:w="3960" w:type="dxa"/>
            <w:vMerge w:val="restart"/>
            <w:vAlign w:val="center"/>
          </w:tcPr>
          <w:p w14:paraId="644C37C4" w14:textId="77777777" w:rsidR="0038775E" w:rsidRDefault="00877B9C" w:rsidP="002041D4">
            <w:pPr>
              <w:wordWrap w:val="0"/>
              <w:jc w:val="center"/>
              <w:rPr>
                <w:rFonts w:eastAsia="Calibri"/>
                <w:b/>
                <w:noProof/>
              </w:rPr>
            </w:pPr>
            <w:r w:rsidRPr="00DF5C23">
              <w:rPr>
                <w:rFonts w:eastAsia="Calibri"/>
                <w:b/>
                <w:noProof/>
                <w:sz w:val="22"/>
              </w:rPr>
              <w:t>総支給額</w:t>
            </w:r>
            <w:r w:rsidRPr="00DF5C23">
              <w:rPr>
                <w:rFonts w:eastAsia="Calibri"/>
                <w:noProof/>
                <w:sz w:val="22"/>
              </w:rPr>
              <w:br/>
            </w:r>
            <w:r w:rsidRPr="00DF5C23">
              <w:rPr>
                <w:rFonts w:eastAsia="Calibri"/>
                <w:b/>
                <w:noProof/>
                <w:sz w:val="22"/>
              </w:rPr>
              <w:t>DG ENER</w:t>
            </w:r>
            <w:r w:rsidRPr="00DF5C23">
              <w:rPr>
                <w:rFonts w:eastAsia="Calibri"/>
                <w:b/>
                <w:noProof/>
                <w:sz w:val="22"/>
              </w:rPr>
              <w:t>向け</w:t>
            </w:r>
          </w:p>
          <w:p w14:paraId="2C3A5C30" w14:textId="77777777" w:rsidR="005C61BF" w:rsidRPr="00DF5C23" w:rsidRDefault="005C61BF" w:rsidP="002041D4">
            <w:pPr>
              <w:wordWrap w:val="0"/>
              <w:jc w:val="center"/>
              <w:rPr>
                <w:rFonts w:eastAsia="Calibri"/>
                <w:b/>
                <w:noProof/>
              </w:rPr>
            </w:pPr>
          </w:p>
        </w:tc>
        <w:tc>
          <w:tcPr>
            <w:tcW w:w="1440" w:type="dxa"/>
            <w:vAlign w:val="center"/>
          </w:tcPr>
          <w:p w14:paraId="5B0445CC" w14:textId="77777777" w:rsidR="0038775E" w:rsidRDefault="00877B9C" w:rsidP="002041D4">
            <w:pPr>
              <w:wordWrap w:val="0"/>
              <w:rPr>
                <w:rFonts w:eastAsia="Calibri"/>
                <w:noProof/>
                <w:sz w:val="18"/>
              </w:rPr>
            </w:pPr>
            <w:r w:rsidRPr="00DF5C23">
              <w:rPr>
                <w:rFonts w:eastAsia="Calibri"/>
                <w:noProof/>
                <w:sz w:val="18"/>
              </w:rPr>
              <w:t>コミットメント</w:t>
            </w:r>
          </w:p>
        </w:tc>
        <w:tc>
          <w:tcPr>
            <w:tcW w:w="654" w:type="dxa"/>
            <w:gridSpan w:val="2"/>
            <w:vAlign w:val="center"/>
          </w:tcPr>
          <w:p w14:paraId="4DF69D04" w14:textId="77777777" w:rsidR="0038775E" w:rsidRDefault="00877B9C" w:rsidP="002041D4">
            <w:pPr>
              <w:wordWrap w:val="0"/>
              <w:jc w:val="center"/>
              <w:rPr>
                <w:rFonts w:eastAsia="Calibri"/>
                <w:noProof/>
                <w:sz w:val="14"/>
              </w:rPr>
            </w:pPr>
            <w:r w:rsidRPr="00DF5C23">
              <w:rPr>
                <w:rFonts w:eastAsia="Calibri"/>
                <w:noProof/>
                <w:sz w:val="14"/>
              </w:rPr>
              <w:t>=1a+1b +3</w:t>
            </w:r>
          </w:p>
        </w:tc>
        <w:tc>
          <w:tcPr>
            <w:tcW w:w="868" w:type="dxa"/>
            <w:vAlign w:val="center"/>
          </w:tcPr>
          <w:p w14:paraId="08F2909A" w14:textId="77777777" w:rsidR="0038775E" w:rsidRDefault="00877B9C" w:rsidP="002041D4">
            <w:pPr>
              <w:wordWrap w:val="0"/>
              <w:spacing w:before="20" w:after="20"/>
              <w:jc w:val="right"/>
              <w:rPr>
                <w:rFonts w:eastAsia="Calibri"/>
                <w:noProof/>
                <w:sz w:val="20"/>
              </w:rPr>
            </w:pPr>
            <w:r w:rsidRPr="00DF5C23">
              <w:rPr>
                <w:rFonts w:ascii="Arial Narrow" w:hAnsi="Arial Narrow" w:cs="Calibri"/>
                <w:noProof/>
                <w:color w:val="000000"/>
                <w:sz w:val="20"/>
                <w:szCs w:val="20"/>
              </w:rPr>
              <w:t>1,622</w:t>
            </w:r>
          </w:p>
        </w:tc>
        <w:tc>
          <w:tcPr>
            <w:tcW w:w="868" w:type="dxa"/>
            <w:vAlign w:val="center"/>
          </w:tcPr>
          <w:p w14:paraId="5CA217DF" w14:textId="77777777" w:rsidR="0038775E" w:rsidRDefault="00877B9C" w:rsidP="002041D4">
            <w:pPr>
              <w:wordWrap w:val="0"/>
              <w:spacing w:before="20" w:after="20"/>
              <w:jc w:val="right"/>
              <w:rPr>
                <w:rFonts w:eastAsia="Calibri"/>
                <w:noProof/>
                <w:sz w:val="20"/>
              </w:rPr>
            </w:pPr>
            <w:r w:rsidRPr="00DF5C23">
              <w:rPr>
                <w:rFonts w:ascii="Arial Narrow" w:hAnsi="Arial Narrow" w:cs="Calibri"/>
                <w:noProof/>
                <w:color w:val="000000"/>
                <w:sz w:val="20"/>
                <w:szCs w:val="20"/>
              </w:rPr>
              <w:t>1,596</w:t>
            </w:r>
          </w:p>
        </w:tc>
        <w:tc>
          <w:tcPr>
            <w:tcW w:w="868" w:type="dxa"/>
            <w:vAlign w:val="center"/>
          </w:tcPr>
          <w:p w14:paraId="517A9B21" w14:textId="77777777" w:rsidR="0038775E" w:rsidRDefault="00877B9C" w:rsidP="002041D4">
            <w:pPr>
              <w:wordWrap w:val="0"/>
              <w:spacing w:before="20" w:after="20"/>
              <w:jc w:val="right"/>
              <w:rPr>
                <w:rFonts w:eastAsia="Calibri"/>
                <w:noProof/>
                <w:sz w:val="20"/>
              </w:rPr>
            </w:pPr>
            <w:r w:rsidRPr="00DF5C23">
              <w:rPr>
                <w:rFonts w:ascii="Arial Narrow" w:hAnsi="Arial Narrow" w:cs="Calibri"/>
                <w:noProof/>
                <w:color w:val="000000"/>
                <w:sz w:val="20"/>
                <w:szCs w:val="20"/>
              </w:rPr>
              <w:t>4,250</w:t>
            </w:r>
          </w:p>
        </w:tc>
        <w:tc>
          <w:tcPr>
            <w:tcW w:w="868" w:type="dxa"/>
            <w:vAlign w:val="center"/>
          </w:tcPr>
          <w:p w14:paraId="679E2803" w14:textId="77777777" w:rsidR="0038775E" w:rsidRDefault="00877B9C" w:rsidP="002041D4">
            <w:pPr>
              <w:wordWrap w:val="0"/>
              <w:spacing w:before="20" w:after="20"/>
              <w:jc w:val="right"/>
              <w:rPr>
                <w:rFonts w:eastAsia="Calibri"/>
                <w:noProof/>
                <w:sz w:val="20"/>
              </w:rPr>
            </w:pPr>
            <w:r w:rsidRPr="00DF5C23">
              <w:rPr>
                <w:rFonts w:ascii="Arial Narrow" w:hAnsi="Arial Narrow" w:cs="Calibri"/>
                <w:noProof/>
                <w:color w:val="000000"/>
                <w:sz w:val="20"/>
                <w:szCs w:val="20"/>
              </w:rPr>
              <w:t>5,250</w:t>
            </w:r>
          </w:p>
        </w:tc>
        <w:tc>
          <w:tcPr>
            <w:tcW w:w="868" w:type="dxa"/>
            <w:vAlign w:val="center"/>
          </w:tcPr>
          <w:p w14:paraId="3971F1ED" w14:textId="77777777" w:rsidR="0038775E" w:rsidRDefault="00877B9C" w:rsidP="002041D4">
            <w:pPr>
              <w:wordWrap w:val="0"/>
              <w:spacing w:before="20" w:after="20"/>
              <w:jc w:val="right"/>
              <w:rPr>
                <w:rFonts w:eastAsia="Calibri"/>
                <w:noProof/>
                <w:sz w:val="20"/>
              </w:rPr>
            </w:pPr>
            <w:r w:rsidRPr="00DF5C23">
              <w:rPr>
                <w:rFonts w:ascii="Arial Narrow" w:hAnsi="Arial Narrow" w:cs="Calibri"/>
                <w:noProof/>
                <w:color w:val="000000"/>
                <w:sz w:val="20"/>
                <w:szCs w:val="20"/>
              </w:rPr>
              <w:t>6,250</w:t>
            </w:r>
          </w:p>
        </w:tc>
        <w:tc>
          <w:tcPr>
            <w:tcW w:w="881" w:type="dxa"/>
            <w:vAlign w:val="center"/>
          </w:tcPr>
          <w:p w14:paraId="635AEE15" w14:textId="77777777" w:rsidR="0038775E" w:rsidRDefault="00877B9C" w:rsidP="002041D4">
            <w:pPr>
              <w:wordWrap w:val="0"/>
              <w:spacing w:before="20" w:after="20"/>
              <w:jc w:val="right"/>
              <w:rPr>
                <w:rFonts w:eastAsia="Calibri"/>
                <w:noProof/>
                <w:sz w:val="20"/>
              </w:rPr>
            </w:pPr>
            <w:r w:rsidRPr="00DF5C23">
              <w:rPr>
                <w:rFonts w:ascii="Arial Narrow" w:hAnsi="Arial Narrow" w:cs="Calibri"/>
                <w:noProof/>
                <w:color w:val="000000"/>
                <w:sz w:val="20"/>
                <w:szCs w:val="20"/>
              </w:rPr>
              <w:t>6,250</w:t>
            </w:r>
          </w:p>
        </w:tc>
        <w:tc>
          <w:tcPr>
            <w:tcW w:w="851" w:type="dxa"/>
          </w:tcPr>
          <w:p w14:paraId="2C3A5C39" w14:textId="77777777" w:rsidR="004510A0" w:rsidRPr="00DF5C23" w:rsidRDefault="004510A0" w:rsidP="002041D4">
            <w:pPr>
              <w:wordWrap w:val="0"/>
              <w:spacing w:before="20" w:after="20"/>
              <w:jc w:val="right"/>
              <w:rPr>
                <w:rFonts w:ascii="Arial Narrow" w:hAnsi="Arial Narrow" w:cs="Calibri"/>
                <w:noProof/>
                <w:color w:val="000000"/>
                <w:sz w:val="20"/>
                <w:szCs w:val="20"/>
              </w:rPr>
            </w:pPr>
          </w:p>
        </w:tc>
        <w:tc>
          <w:tcPr>
            <w:tcW w:w="1701" w:type="dxa"/>
            <w:vAlign w:val="center"/>
          </w:tcPr>
          <w:p w14:paraId="326C856E" w14:textId="77777777" w:rsidR="0038775E" w:rsidRDefault="00877B9C" w:rsidP="002041D4">
            <w:pPr>
              <w:wordWrap w:val="0"/>
              <w:spacing w:before="20" w:after="20"/>
              <w:jc w:val="right"/>
              <w:rPr>
                <w:rFonts w:eastAsia="Calibri"/>
                <w:b/>
                <w:noProof/>
                <w:sz w:val="20"/>
              </w:rPr>
            </w:pPr>
            <w:r w:rsidRPr="00DF5C23">
              <w:rPr>
                <w:rFonts w:ascii="Arial Narrow" w:hAnsi="Arial Narrow" w:cs="Calibri"/>
                <w:noProof/>
                <w:color w:val="000000"/>
                <w:sz w:val="20"/>
                <w:szCs w:val="20"/>
              </w:rPr>
              <w:t>25,218</w:t>
            </w:r>
          </w:p>
        </w:tc>
      </w:tr>
      <w:tr w:rsidR="005C61BF" w:rsidRPr="00DF5C23" w14:paraId="2C3A5C48" w14:textId="77777777" w:rsidTr="00EC0E40">
        <w:tc>
          <w:tcPr>
            <w:tcW w:w="3960" w:type="dxa"/>
            <w:vMerge/>
            <w:vAlign w:val="center"/>
          </w:tcPr>
          <w:p w14:paraId="2C3A5C3C" w14:textId="77777777" w:rsidR="005C61BF" w:rsidRPr="00DF5C23" w:rsidRDefault="005C61BF" w:rsidP="002041D4">
            <w:pPr>
              <w:wordWrap w:val="0"/>
              <w:jc w:val="center"/>
              <w:rPr>
                <w:rFonts w:eastAsia="Calibri"/>
                <w:b/>
                <w:noProof/>
                <w:sz w:val="22"/>
              </w:rPr>
            </w:pPr>
          </w:p>
        </w:tc>
        <w:tc>
          <w:tcPr>
            <w:tcW w:w="1440" w:type="dxa"/>
            <w:vAlign w:val="center"/>
          </w:tcPr>
          <w:p w14:paraId="084792B9" w14:textId="77777777" w:rsidR="0038775E" w:rsidRDefault="00877B9C" w:rsidP="002041D4">
            <w:pPr>
              <w:wordWrap w:val="0"/>
              <w:rPr>
                <w:rFonts w:eastAsia="Calibri"/>
                <w:noProof/>
                <w:sz w:val="18"/>
              </w:rPr>
            </w:pPr>
            <w:r w:rsidRPr="00DF5C23">
              <w:rPr>
                <w:rFonts w:eastAsia="Calibri"/>
                <w:noProof/>
                <w:sz w:val="18"/>
              </w:rPr>
              <w:t>ペイメント</w:t>
            </w:r>
          </w:p>
        </w:tc>
        <w:tc>
          <w:tcPr>
            <w:tcW w:w="654" w:type="dxa"/>
            <w:gridSpan w:val="2"/>
            <w:vAlign w:val="center"/>
          </w:tcPr>
          <w:p w14:paraId="3CD47ACE" w14:textId="77777777" w:rsidR="0038775E" w:rsidRDefault="00877B9C" w:rsidP="002041D4">
            <w:pPr>
              <w:wordWrap w:val="0"/>
              <w:jc w:val="center"/>
              <w:rPr>
                <w:rFonts w:eastAsia="Calibri"/>
                <w:noProof/>
                <w:sz w:val="14"/>
              </w:rPr>
            </w:pPr>
            <w:r w:rsidRPr="00DF5C23">
              <w:rPr>
                <w:rFonts w:eastAsia="Calibri"/>
                <w:noProof/>
                <w:sz w:val="14"/>
              </w:rPr>
              <w:t>=2a+2b</w:t>
            </w:r>
          </w:p>
          <w:p w14:paraId="3E780222" w14:textId="77777777" w:rsidR="0038775E" w:rsidRDefault="00877B9C" w:rsidP="002041D4">
            <w:pPr>
              <w:wordWrap w:val="0"/>
              <w:jc w:val="center"/>
              <w:rPr>
                <w:rFonts w:eastAsia="Calibri"/>
                <w:noProof/>
                <w:sz w:val="14"/>
              </w:rPr>
            </w:pPr>
            <w:r w:rsidRPr="00DF5C23">
              <w:rPr>
                <w:rFonts w:eastAsia="Calibri"/>
                <w:noProof/>
                <w:sz w:val="14"/>
              </w:rPr>
              <w:t>+3</w:t>
            </w:r>
          </w:p>
        </w:tc>
        <w:tc>
          <w:tcPr>
            <w:tcW w:w="868" w:type="dxa"/>
            <w:vAlign w:val="center"/>
          </w:tcPr>
          <w:p w14:paraId="1CF6AF44" w14:textId="77777777" w:rsidR="0038775E" w:rsidRDefault="00877B9C" w:rsidP="002041D4">
            <w:pPr>
              <w:wordWrap w:val="0"/>
              <w:spacing w:before="20" w:after="20"/>
              <w:jc w:val="right"/>
              <w:rPr>
                <w:rFonts w:eastAsia="Calibri"/>
                <w:noProof/>
                <w:sz w:val="20"/>
              </w:rPr>
            </w:pPr>
            <w:r w:rsidRPr="00DF5C23">
              <w:rPr>
                <w:rFonts w:ascii="Arial Narrow" w:hAnsi="Arial Narrow" w:cs="Calibri"/>
                <w:noProof/>
                <w:color w:val="000000"/>
                <w:sz w:val="20"/>
                <w:szCs w:val="20"/>
              </w:rPr>
              <w:t>0,487</w:t>
            </w:r>
          </w:p>
        </w:tc>
        <w:tc>
          <w:tcPr>
            <w:tcW w:w="868" w:type="dxa"/>
            <w:vAlign w:val="center"/>
          </w:tcPr>
          <w:p w14:paraId="3EAE802C" w14:textId="77777777" w:rsidR="0038775E" w:rsidRDefault="00877B9C" w:rsidP="002041D4">
            <w:pPr>
              <w:wordWrap w:val="0"/>
              <w:spacing w:before="20" w:after="20"/>
              <w:jc w:val="right"/>
              <w:rPr>
                <w:rFonts w:eastAsia="Calibri"/>
                <w:noProof/>
                <w:sz w:val="20"/>
              </w:rPr>
            </w:pPr>
            <w:r w:rsidRPr="00DF5C23">
              <w:rPr>
                <w:rFonts w:ascii="Arial Narrow" w:hAnsi="Arial Narrow" w:cs="Calibri"/>
                <w:noProof/>
                <w:color w:val="000000"/>
                <w:sz w:val="20"/>
                <w:szCs w:val="20"/>
              </w:rPr>
              <w:t>0,965</w:t>
            </w:r>
          </w:p>
        </w:tc>
        <w:tc>
          <w:tcPr>
            <w:tcW w:w="868" w:type="dxa"/>
            <w:vAlign w:val="center"/>
          </w:tcPr>
          <w:p w14:paraId="4777E1DD" w14:textId="77777777" w:rsidR="0038775E" w:rsidRDefault="00877B9C" w:rsidP="002041D4">
            <w:pPr>
              <w:wordWrap w:val="0"/>
              <w:spacing w:before="20" w:after="20"/>
              <w:jc w:val="right"/>
              <w:rPr>
                <w:rFonts w:eastAsia="Calibri"/>
                <w:noProof/>
                <w:sz w:val="20"/>
              </w:rPr>
            </w:pPr>
            <w:r w:rsidRPr="00DF5C23">
              <w:rPr>
                <w:rFonts w:ascii="Arial Narrow" w:hAnsi="Arial Narrow" w:cs="Calibri"/>
                <w:noProof/>
                <w:color w:val="000000"/>
                <w:sz w:val="20"/>
                <w:szCs w:val="20"/>
              </w:rPr>
              <w:t>2,403</w:t>
            </w:r>
          </w:p>
        </w:tc>
        <w:tc>
          <w:tcPr>
            <w:tcW w:w="868" w:type="dxa"/>
            <w:vAlign w:val="center"/>
          </w:tcPr>
          <w:p w14:paraId="5D20B8DE" w14:textId="77777777" w:rsidR="0038775E" w:rsidRDefault="00877B9C" w:rsidP="002041D4">
            <w:pPr>
              <w:wordWrap w:val="0"/>
              <w:spacing w:before="20" w:after="20"/>
              <w:jc w:val="right"/>
              <w:rPr>
                <w:rFonts w:eastAsia="Calibri"/>
                <w:noProof/>
                <w:sz w:val="20"/>
              </w:rPr>
            </w:pPr>
            <w:r w:rsidRPr="00DF5C23">
              <w:rPr>
                <w:rFonts w:ascii="Arial Narrow" w:hAnsi="Arial Narrow" w:cs="Calibri"/>
                <w:noProof/>
                <w:color w:val="000000"/>
                <w:sz w:val="20"/>
                <w:szCs w:val="20"/>
              </w:rPr>
              <w:t>3,488</w:t>
            </w:r>
          </w:p>
        </w:tc>
        <w:tc>
          <w:tcPr>
            <w:tcW w:w="868" w:type="dxa"/>
            <w:vAlign w:val="center"/>
          </w:tcPr>
          <w:p w14:paraId="4B6117D5" w14:textId="77777777" w:rsidR="0038775E" w:rsidRDefault="00877B9C" w:rsidP="002041D4">
            <w:pPr>
              <w:wordWrap w:val="0"/>
              <w:spacing w:before="20" w:after="20"/>
              <w:jc w:val="right"/>
              <w:rPr>
                <w:rFonts w:eastAsia="Calibri"/>
                <w:noProof/>
                <w:sz w:val="20"/>
              </w:rPr>
            </w:pPr>
            <w:r w:rsidRPr="00DF5C23">
              <w:rPr>
                <w:rFonts w:ascii="Arial Narrow" w:hAnsi="Arial Narrow" w:cs="Calibri"/>
                <w:noProof/>
                <w:color w:val="000000"/>
                <w:sz w:val="20"/>
                <w:szCs w:val="20"/>
              </w:rPr>
              <w:t>5,150</w:t>
            </w:r>
          </w:p>
        </w:tc>
        <w:tc>
          <w:tcPr>
            <w:tcW w:w="881" w:type="dxa"/>
            <w:vAlign w:val="center"/>
          </w:tcPr>
          <w:p w14:paraId="66DC1188" w14:textId="77777777" w:rsidR="0038775E" w:rsidRDefault="00877B9C" w:rsidP="002041D4">
            <w:pPr>
              <w:wordWrap w:val="0"/>
              <w:spacing w:before="20" w:after="20"/>
              <w:jc w:val="right"/>
              <w:rPr>
                <w:rFonts w:eastAsia="Calibri"/>
                <w:noProof/>
                <w:sz w:val="20"/>
              </w:rPr>
            </w:pPr>
            <w:r w:rsidRPr="00DF5C23">
              <w:rPr>
                <w:rFonts w:ascii="Arial Narrow" w:hAnsi="Arial Narrow" w:cs="Calibri"/>
                <w:noProof/>
                <w:color w:val="000000"/>
                <w:sz w:val="20"/>
                <w:szCs w:val="20"/>
              </w:rPr>
              <w:t>5,850</w:t>
            </w:r>
          </w:p>
        </w:tc>
        <w:tc>
          <w:tcPr>
            <w:tcW w:w="851" w:type="dxa"/>
          </w:tcPr>
          <w:p w14:paraId="23996F5E" w14:textId="77777777" w:rsidR="0038775E" w:rsidRDefault="00877B9C" w:rsidP="002041D4">
            <w:pPr>
              <w:wordWrap w:val="0"/>
              <w:spacing w:before="20" w:after="20"/>
              <w:jc w:val="right"/>
              <w:rPr>
                <w:rFonts w:ascii="Arial Narrow" w:hAnsi="Arial Narrow" w:cs="Calibri"/>
                <w:noProof/>
                <w:color w:val="000000"/>
                <w:sz w:val="20"/>
                <w:szCs w:val="20"/>
              </w:rPr>
            </w:pPr>
            <w:r w:rsidRPr="00DF5C23">
              <w:rPr>
                <w:rFonts w:ascii="Arial Narrow" w:hAnsi="Arial Narrow" w:cs="Calibri"/>
                <w:noProof/>
                <w:color w:val="000000"/>
                <w:sz w:val="20"/>
                <w:szCs w:val="20"/>
              </w:rPr>
              <w:t>6,875</w:t>
            </w:r>
          </w:p>
        </w:tc>
        <w:tc>
          <w:tcPr>
            <w:tcW w:w="1701" w:type="dxa"/>
            <w:vAlign w:val="center"/>
          </w:tcPr>
          <w:p w14:paraId="50521E46" w14:textId="77777777" w:rsidR="0038775E" w:rsidRDefault="00877B9C" w:rsidP="002041D4">
            <w:pPr>
              <w:wordWrap w:val="0"/>
              <w:spacing w:before="20" w:after="20"/>
              <w:jc w:val="right"/>
              <w:rPr>
                <w:rFonts w:eastAsia="Calibri"/>
                <w:b/>
                <w:noProof/>
                <w:sz w:val="20"/>
              </w:rPr>
            </w:pPr>
            <w:r w:rsidRPr="00DF5C23">
              <w:rPr>
                <w:rFonts w:ascii="Arial Narrow" w:hAnsi="Arial Narrow" w:cs="Calibri"/>
                <w:noProof/>
                <w:color w:val="000000"/>
                <w:sz w:val="20"/>
                <w:szCs w:val="20"/>
              </w:rPr>
              <w:t>25,218</w:t>
            </w:r>
          </w:p>
        </w:tc>
      </w:tr>
    </w:tbl>
    <w:p w14:paraId="2C3A5C49" w14:textId="77777777" w:rsidR="00BF1765" w:rsidRPr="00DF5C23" w:rsidRDefault="00BF1765" w:rsidP="002041D4">
      <w:pPr>
        <w:wordWrap w:val="0"/>
        <w:rPr>
          <w:rFonts w:eastAsia="Calibri"/>
          <w:noProof/>
        </w:rPr>
      </w:pPr>
    </w:p>
    <w:p w14:paraId="2C3A5C4A" w14:textId="77777777" w:rsidR="00BF1765" w:rsidRPr="00DF5C23" w:rsidRDefault="00BF1765" w:rsidP="002041D4">
      <w:pPr>
        <w:wordWrap w:val="0"/>
        <w:rPr>
          <w:rFonts w:eastAsia="Calibri"/>
          <w:noProof/>
        </w:rPr>
      </w:pPr>
    </w:p>
    <w:tbl>
      <w:tblPr>
        <w:tblW w:w="1382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934"/>
        <w:gridCol w:w="850"/>
        <w:gridCol w:w="851"/>
        <w:gridCol w:w="850"/>
        <w:gridCol w:w="851"/>
        <w:gridCol w:w="1701"/>
      </w:tblGrid>
      <w:tr w:rsidR="005C61BF" w:rsidRPr="00DF5C23" w14:paraId="2C3A5C57" w14:textId="77777777" w:rsidTr="006B4EAB">
        <w:trPr>
          <w:trHeight w:val="277"/>
        </w:trPr>
        <w:tc>
          <w:tcPr>
            <w:tcW w:w="3960" w:type="dxa"/>
            <w:vMerge w:val="restart"/>
            <w:vAlign w:val="center"/>
          </w:tcPr>
          <w:p w14:paraId="796034F3" w14:textId="77777777" w:rsidR="0038775E" w:rsidRDefault="00877B9C" w:rsidP="002041D4">
            <w:pPr>
              <w:wordWrap w:val="0"/>
              <w:spacing w:before="20" w:after="20"/>
              <w:rPr>
                <w:rFonts w:eastAsia="Calibri"/>
                <w:noProof/>
              </w:rPr>
            </w:pPr>
            <w:r w:rsidRPr="00DF5C23">
              <w:rPr>
                <w:rFonts w:eastAsia="Calibri"/>
                <w:noProof/>
                <w:sz w:val="22"/>
              </w:rPr>
              <w:br w:type="page"/>
            </w:r>
            <w:r w:rsidRPr="00DF5C23">
              <w:rPr>
                <w:rFonts w:eastAsia="Calibri"/>
                <w:noProof/>
                <w:sz w:val="21"/>
              </w:rPr>
              <w:sym w:font="Wingdings" w:char="F09F"/>
            </w:r>
            <w:r w:rsidRPr="00DF5C23">
              <w:rPr>
                <w:rFonts w:eastAsia="Calibri"/>
                <w:noProof/>
                <w:sz w:val="21"/>
              </w:rPr>
              <w:t xml:space="preserve"> </w:t>
            </w:r>
            <w:r w:rsidRPr="00DF5C23">
              <w:rPr>
                <w:rFonts w:eastAsia="Calibri"/>
                <w:noProof/>
                <w:sz w:val="21"/>
              </w:rPr>
              <w:t>運営費交付金合計</w:t>
            </w:r>
            <w:r w:rsidRPr="00DF5C23">
              <w:rPr>
                <w:rFonts w:eastAsia="Calibri"/>
                <w:noProof/>
                <w:sz w:val="21"/>
              </w:rPr>
              <w:t xml:space="preserve"> </w:t>
            </w:r>
          </w:p>
        </w:tc>
        <w:tc>
          <w:tcPr>
            <w:tcW w:w="1440" w:type="dxa"/>
            <w:vAlign w:val="center"/>
          </w:tcPr>
          <w:p w14:paraId="7ADC4017" w14:textId="77777777" w:rsidR="0038775E" w:rsidRDefault="00877B9C" w:rsidP="002041D4">
            <w:pPr>
              <w:wordWrap w:val="0"/>
              <w:spacing w:beforeLines="20" w:before="48" w:afterLines="20" w:after="48"/>
              <w:rPr>
                <w:rFonts w:eastAsia="Calibri"/>
                <w:noProof/>
                <w:sz w:val="18"/>
              </w:rPr>
            </w:pPr>
            <w:r w:rsidRPr="00DF5C23">
              <w:rPr>
                <w:rFonts w:eastAsia="Calibri"/>
                <w:noProof/>
                <w:sz w:val="18"/>
              </w:rPr>
              <w:t>コミットメント</w:t>
            </w:r>
          </w:p>
        </w:tc>
        <w:tc>
          <w:tcPr>
            <w:tcW w:w="654" w:type="dxa"/>
            <w:vAlign w:val="center"/>
          </w:tcPr>
          <w:p w14:paraId="6E93AF42" w14:textId="77777777" w:rsidR="0038775E" w:rsidRDefault="00877B9C" w:rsidP="002041D4">
            <w:pPr>
              <w:wordWrap w:val="0"/>
              <w:spacing w:beforeLines="20" w:before="48" w:afterLines="20" w:after="48"/>
              <w:jc w:val="center"/>
              <w:rPr>
                <w:rFonts w:eastAsia="Calibri"/>
                <w:noProof/>
                <w:sz w:val="14"/>
              </w:rPr>
            </w:pPr>
            <w:r w:rsidRPr="00DF5C23">
              <w:rPr>
                <w:rFonts w:eastAsia="Calibri"/>
                <w:noProof/>
                <w:sz w:val="14"/>
              </w:rPr>
              <w:t>(4)</w:t>
            </w:r>
          </w:p>
        </w:tc>
        <w:tc>
          <w:tcPr>
            <w:tcW w:w="868" w:type="dxa"/>
          </w:tcPr>
          <w:p w14:paraId="32B76F63" w14:textId="77777777" w:rsidR="0038775E" w:rsidRDefault="00877B9C" w:rsidP="002041D4">
            <w:pPr>
              <w:wordWrap w:val="0"/>
              <w:spacing w:before="20" w:after="20"/>
              <w:jc w:val="right"/>
              <w:rPr>
                <w:rFonts w:ascii="Arial Narrow" w:hAnsi="Arial Narrow" w:cs="Calibri"/>
                <w:noProof/>
                <w:color w:val="000000"/>
                <w:sz w:val="20"/>
                <w:szCs w:val="20"/>
              </w:rPr>
            </w:pPr>
            <w:r w:rsidRPr="00DF5C23">
              <w:rPr>
                <w:rFonts w:ascii="Arial Narrow" w:hAnsi="Arial Narrow" w:cs="Calibri"/>
                <w:noProof/>
                <w:color w:val="000000"/>
                <w:sz w:val="20"/>
                <w:szCs w:val="20"/>
              </w:rPr>
              <w:t>3,898</w:t>
            </w:r>
          </w:p>
        </w:tc>
        <w:tc>
          <w:tcPr>
            <w:tcW w:w="868" w:type="dxa"/>
          </w:tcPr>
          <w:p w14:paraId="4238FEE8" w14:textId="77777777" w:rsidR="0038775E" w:rsidRDefault="00877B9C" w:rsidP="002041D4">
            <w:pPr>
              <w:wordWrap w:val="0"/>
              <w:spacing w:before="20" w:after="20"/>
              <w:jc w:val="right"/>
              <w:rPr>
                <w:rFonts w:ascii="Arial Narrow" w:hAnsi="Arial Narrow" w:cs="Calibri"/>
                <w:noProof/>
                <w:color w:val="000000"/>
                <w:sz w:val="20"/>
                <w:szCs w:val="20"/>
              </w:rPr>
            </w:pPr>
            <w:r w:rsidRPr="00DF5C23">
              <w:rPr>
                <w:rFonts w:ascii="Arial Narrow" w:hAnsi="Arial Narrow" w:cs="Calibri"/>
                <w:noProof/>
                <w:color w:val="000000"/>
                <w:sz w:val="20"/>
                <w:szCs w:val="20"/>
              </w:rPr>
              <w:t>4,544</w:t>
            </w:r>
          </w:p>
        </w:tc>
        <w:tc>
          <w:tcPr>
            <w:tcW w:w="934" w:type="dxa"/>
          </w:tcPr>
          <w:p w14:paraId="1F97F13C" w14:textId="77777777" w:rsidR="0038775E" w:rsidRDefault="00877B9C" w:rsidP="002041D4">
            <w:pPr>
              <w:wordWrap w:val="0"/>
              <w:spacing w:before="20" w:after="20"/>
              <w:jc w:val="right"/>
              <w:rPr>
                <w:rFonts w:ascii="Arial Narrow" w:hAnsi="Arial Narrow" w:cs="Calibri"/>
                <w:noProof/>
                <w:color w:val="000000"/>
                <w:sz w:val="20"/>
                <w:szCs w:val="20"/>
              </w:rPr>
            </w:pPr>
            <w:r w:rsidRPr="00DF5C23">
              <w:rPr>
                <w:rFonts w:ascii="Arial Narrow" w:hAnsi="Arial Narrow" w:cs="Calibri"/>
                <w:noProof/>
                <w:color w:val="000000"/>
                <w:sz w:val="20"/>
                <w:szCs w:val="20"/>
              </w:rPr>
              <w:t>6,830</w:t>
            </w:r>
          </w:p>
        </w:tc>
        <w:tc>
          <w:tcPr>
            <w:tcW w:w="850" w:type="dxa"/>
          </w:tcPr>
          <w:p w14:paraId="230E544E" w14:textId="77777777" w:rsidR="0038775E" w:rsidRDefault="00877B9C" w:rsidP="002041D4">
            <w:pPr>
              <w:wordWrap w:val="0"/>
              <w:spacing w:before="20" w:after="20"/>
              <w:jc w:val="right"/>
              <w:rPr>
                <w:rFonts w:ascii="Arial Narrow" w:hAnsi="Arial Narrow" w:cs="Calibri"/>
                <w:noProof/>
                <w:color w:val="000000"/>
                <w:sz w:val="20"/>
                <w:szCs w:val="20"/>
              </w:rPr>
            </w:pPr>
            <w:r w:rsidRPr="00DF5C23">
              <w:rPr>
                <w:rFonts w:ascii="Arial Narrow" w:hAnsi="Arial Narrow" w:cs="Calibri"/>
                <w:noProof/>
                <w:color w:val="000000"/>
                <w:sz w:val="20"/>
                <w:szCs w:val="20"/>
              </w:rPr>
              <w:t>8,280</w:t>
            </w:r>
          </w:p>
        </w:tc>
        <w:tc>
          <w:tcPr>
            <w:tcW w:w="851" w:type="dxa"/>
          </w:tcPr>
          <w:p w14:paraId="77C4EF14" w14:textId="77777777" w:rsidR="0038775E" w:rsidRDefault="00877B9C" w:rsidP="002041D4">
            <w:pPr>
              <w:wordWrap w:val="0"/>
              <w:spacing w:before="20" w:after="20"/>
              <w:jc w:val="right"/>
              <w:rPr>
                <w:rFonts w:ascii="Arial Narrow" w:hAnsi="Arial Narrow" w:cs="Calibri"/>
                <w:noProof/>
                <w:color w:val="000000"/>
                <w:sz w:val="20"/>
                <w:szCs w:val="20"/>
              </w:rPr>
            </w:pPr>
            <w:r w:rsidRPr="00DF5C23">
              <w:rPr>
                <w:rFonts w:ascii="Arial Narrow" w:hAnsi="Arial Narrow" w:cs="Calibri"/>
                <w:noProof/>
                <w:color w:val="000000"/>
                <w:sz w:val="20"/>
                <w:szCs w:val="20"/>
              </w:rPr>
              <w:t>10,280</w:t>
            </w:r>
          </w:p>
        </w:tc>
        <w:tc>
          <w:tcPr>
            <w:tcW w:w="850" w:type="dxa"/>
          </w:tcPr>
          <w:p w14:paraId="5914BBB0" w14:textId="77777777" w:rsidR="0038775E" w:rsidRDefault="00877B9C" w:rsidP="002041D4">
            <w:pPr>
              <w:wordWrap w:val="0"/>
              <w:spacing w:before="20" w:after="20"/>
              <w:jc w:val="right"/>
              <w:rPr>
                <w:rFonts w:ascii="Arial Narrow" w:hAnsi="Arial Narrow" w:cs="Calibri"/>
                <w:noProof/>
                <w:color w:val="000000"/>
                <w:sz w:val="20"/>
                <w:szCs w:val="20"/>
              </w:rPr>
            </w:pPr>
            <w:r w:rsidRPr="00DF5C23">
              <w:rPr>
                <w:rFonts w:ascii="Arial Narrow" w:hAnsi="Arial Narrow" w:cs="Calibri"/>
                <w:noProof/>
                <w:color w:val="000000"/>
                <w:sz w:val="20"/>
                <w:szCs w:val="20"/>
              </w:rPr>
              <w:t>10,080</w:t>
            </w:r>
          </w:p>
        </w:tc>
        <w:tc>
          <w:tcPr>
            <w:tcW w:w="851" w:type="dxa"/>
          </w:tcPr>
          <w:p w14:paraId="2C3A5C54" w14:textId="77777777" w:rsidR="008267AC" w:rsidRPr="00DF5C23" w:rsidRDefault="008267AC" w:rsidP="002041D4">
            <w:pPr>
              <w:wordWrap w:val="0"/>
              <w:spacing w:before="20" w:after="20"/>
              <w:jc w:val="right"/>
              <w:rPr>
                <w:rFonts w:ascii="Arial Narrow" w:hAnsi="Arial Narrow" w:cs="Calibri"/>
                <w:noProof/>
                <w:color w:val="000000"/>
                <w:sz w:val="20"/>
                <w:szCs w:val="20"/>
              </w:rPr>
            </w:pPr>
          </w:p>
        </w:tc>
        <w:tc>
          <w:tcPr>
            <w:tcW w:w="1701" w:type="dxa"/>
            <w:vAlign w:val="bottom"/>
          </w:tcPr>
          <w:p w14:paraId="0B713EA9" w14:textId="77777777" w:rsidR="0038775E" w:rsidRDefault="00877B9C" w:rsidP="002041D4">
            <w:pPr>
              <w:wordWrap w:val="0"/>
              <w:spacing w:before="0" w:after="0"/>
              <w:jc w:val="right"/>
              <w:rPr>
                <w:rFonts w:ascii="Arial Narrow" w:hAnsi="Arial Narrow" w:cs="Calibri"/>
                <w:noProof/>
                <w:color w:val="000000"/>
                <w:sz w:val="20"/>
                <w:szCs w:val="20"/>
              </w:rPr>
            </w:pPr>
            <w:r w:rsidRPr="00DF5C23">
              <w:rPr>
                <w:rFonts w:ascii="Arial Narrow" w:hAnsi="Arial Narrow" w:cs="Calibri"/>
                <w:noProof/>
                <w:color w:val="000000"/>
                <w:sz w:val="20"/>
                <w:szCs w:val="20"/>
              </w:rPr>
              <w:t>43,912</w:t>
            </w:r>
          </w:p>
          <w:p w14:paraId="2C3A5C56" w14:textId="77777777" w:rsidR="005C61BF" w:rsidRPr="00DF5C23" w:rsidRDefault="005C61BF" w:rsidP="002041D4">
            <w:pPr>
              <w:wordWrap w:val="0"/>
              <w:spacing w:before="20" w:after="20"/>
              <w:jc w:val="right"/>
              <w:rPr>
                <w:rFonts w:ascii="Arial Narrow" w:hAnsi="Arial Narrow" w:cs="Calibri"/>
                <w:noProof/>
                <w:color w:val="000000"/>
                <w:sz w:val="20"/>
                <w:szCs w:val="20"/>
              </w:rPr>
            </w:pPr>
          </w:p>
        </w:tc>
      </w:tr>
      <w:tr w:rsidR="005C61BF" w:rsidRPr="00DF5C23" w14:paraId="2C3A5C63" w14:textId="77777777" w:rsidTr="00EC0E40">
        <w:tc>
          <w:tcPr>
            <w:tcW w:w="3960" w:type="dxa"/>
            <w:vMerge/>
          </w:tcPr>
          <w:p w14:paraId="2C3A5C58" w14:textId="77777777" w:rsidR="005C61BF" w:rsidRPr="00DF5C23" w:rsidRDefault="005C61BF" w:rsidP="002041D4">
            <w:pPr>
              <w:wordWrap w:val="0"/>
              <w:jc w:val="center"/>
              <w:rPr>
                <w:rFonts w:eastAsia="Calibri"/>
                <w:noProof/>
                <w:sz w:val="20"/>
              </w:rPr>
            </w:pPr>
          </w:p>
        </w:tc>
        <w:tc>
          <w:tcPr>
            <w:tcW w:w="1440" w:type="dxa"/>
            <w:vAlign w:val="center"/>
          </w:tcPr>
          <w:p w14:paraId="127D8634" w14:textId="77777777" w:rsidR="0038775E" w:rsidRDefault="00877B9C" w:rsidP="002041D4">
            <w:pPr>
              <w:wordWrap w:val="0"/>
              <w:spacing w:beforeLines="20" w:before="48" w:afterLines="20" w:after="48"/>
              <w:rPr>
                <w:rFonts w:eastAsia="Calibri"/>
                <w:noProof/>
                <w:sz w:val="18"/>
              </w:rPr>
            </w:pPr>
            <w:r w:rsidRPr="00DF5C23">
              <w:rPr>
                <w:rFonts w:eastAsia="Calibri"/>
                <w:noProof/>
                <w:sz w:val="18"/>
              </w:rPr>
              <w:t>ペイメント</w:t>
            </w:r>
          </w:p>
        </w:tc>
        <w:tc>
          <w:tcPr>
            <w:tcW w:w="654" w:type="dxa"/>
            <w:vAlign w:val="center"/>
          </w:tcPr>
          <w:p w14:paraId="74924431" w14:textId="77777777" w:rsidR="0038775E" w:rsidRDefault="00877B9C" w:rsidP="002041D4">
            <w:pPr>
              <w:wordWrap w:val="0"/>
              <w:spacing w:beforeLines="20" w:before="48" w:afterLines="20" w:after="48"/>
              <w:jc w:val="center"/>
              <w:rPr>
                <w:rFonts w:eastAsia="Calibri"/>
                <w:noProof/>
                <w:sz w:val="14"/>
              </w:rPr>
            </w:pPr>
            <w:r w:rsidRPr="00DF5C23">
              <w:rPr>
                <w:rFonts w:eastAsia="Calibri"/>
                <w:noProof/>
                <w:sz w:val="14"/>
              </w:rPr>
              <w:t>(5)</w:t>
            </w:r>
          </w:p>
        </w:tc>
        <w:tc>
          <w:tcPr>
            <w:tcW w:w="868" w:type="dxa"/>
            <w:vAlign w:val="bottom"/>
          </w:tcPr>
          <w:p w14:paraId="2A4EFAB2" w14:textId="77777777" w:rsidR="0038775E" w:rsidRDefault="00877B9C" w:rsidP="002041D4">
            <w:pPr>
              <w:wordWrap w:val="0"/>
              <w:spacing w:before="20" w:after="20"/>
              <w:jc w:val="right"/>
              <w:rPr>
                <w:rFonts w:ascii="Arial Narrow" w:hAnsi="Arial Narrow" w:cs="Calibri"/>
                <w:noProof/>
                <w:color w:val="000000"/>
                <w:sz w:val="20"/>
                <w:szCs w:val="20"/>
              </w:rPr>
            </w:pPr>
            <w:r w:rsidRPr="00DF5C23">
              <w:rPr>
                <w:rFonts w:ascii="Arial Narrow" w:hAnsi="Arial Narrow" w:cs="Calibri"/>
                <w:noProof/>
                <w:color w:val="000000"/>
                <w:sz w:val="20"/>
                <w:szCs w:val="20"/>
              </w:rPr>
              <w:t>1,170</w:t>
            </w:r>
          </w:p>
        </w:tc>
        <w:tc>
          <w:tcPr>
            <w:tcW w:w="868" w:type="dxa"/>
            <w:vAlign w:val="bottom"/>
          </w:tcPr>
          <w:p w14:paraId="32F451E9" w14:textId="77777777" w:rsidR="0038775E" w:rsidRDefault="00877B9C" w:rsidP="002041D4">
            <w:pPr>
              <w:wordWrap w:val="0"/>
              <w:spacing w:before="20" w:after="20"/>
              <w:jc w:val="right"/>
              <w:rPr>
                <w:rFonts w:ascii="Arial Narrow" w:hAnsi="Arial Narrow" w:cs="Calibri"/>
                <w:noProof/>
                <w:color w:val="000000"/>
                <w:sz w:val="20"/>
                <w:szCs w:val="20"/>
              </w:rPr>
            </w:pPr>
            <w:r w:rsidRPr="00DF5C23">
              <w:rPr>
                <w:rFonts w:ascii="Arial Narrow" w:hAnsi="Arial Narrow" w:cs="Calibri"/>
                <w:noProof/>
                <w:color w:val="000000"/>
                <w:sz w:val="20"/>
                <w:szCs w:val="20"/>
              </w:rPr>
              <w:t>2,532</w:t>
            </w:r>
          </w:p>
        </w:tc>
        <w:tc>
          <w:tcPr>
            <w:tcW w:w="934" w:type="dxa"/>
            <w:vAlign w:val="bottom"/>
          </w:tcPr>
          <w:p w14:paraId="61F729EA" w14:textId="77777777" w:rsidR="0038775E" w:rsidRDefault="00877B9C" w:rsidP="002041D4">
            <w:pPr>
              <w:wordWrap w:val="0"/>
              <w:spacing w:before="20" w:after="20"/>
              <w:jc w:val="right"/>
              <w:rPr>
                <w:rFonts w:ascii="Arial Narrow" w:hAnsi="Arial Narrow" w:cs="Calibri"/>
                <w:noProof/>
                <w:color w:val="000000"/>
                <w:sz w:val="20"/>
                <w:szCs w:val="20"/>
              </w:rPr>
            </w:pPr>
            <w:r w:rsidRPr="00DF5C23">
              <w:rPr>
                <w:rFonts w:ascii="Arial Narrow" w:hAnsi="Arial Narrow" w:cs="Calibri"/>
                <w:noProof/>
                <w:color w:val="000000"/>
                <w:sz w:val="20"/>
                <w:szCs w:val="20"/>
              </w:rPr>
              <w:t>5,132</w:t>
            </w:r>
          </w:p>
        </w:tc>
        <w:tc>
          <w:tcPr>
            <w:tcW w:w="850" w:type="dxa"/>
            <w:vAlign w:val="bottom"/>
          </w:tcPr>
          <w:p w14:paraId="620FE0C7" w14:textId="77777777" w:rsidR="0038775E" w:rsidRDefault="00877B9C" w:rsidP="002041D4">
            <w:pPr>
              <w:wordWrap w:val="0"/>
              <w:spacing w:before="20" w:after="20"/>
              <w:jc w:val="right"/>
              <w:rPr>
                <w:rFonts w:ascii="Arial Narrow" w:hAnsi="Arial Narrow" w:cs="Calibri"/>
                <w:noProof/>
                <w:color w:val="000000"/>
                <w:sz w:val="20"/>
                <w:szCs w:val="20"/>
              </w:rPr>
            </w:pPr>
            <w:r w:rsidRPr="00DF5C23">
              <w:rPr>
                <w:rFonts w:ascii="Arial Narrow" w:hAnsi="Arial Narrow" w:cs="Calibri"/>
                <w:noProof/>
                <w:color w:val="000000"/>
                <w:sz w:val="20"/>
                <w:szCs w:val="20"/>
              </w:rPr>
              <w:t>6,490</w:t>
            </w:r>
          </w:p>
        </w:tc>
        <w:tc>
          <w:tcPr>
            <w:tcW w:w="851" w:type="dxa"/>
            <w:vAlign w:val="bottom"/>
          </w:tcPr>
          <w:p w14:paraId="162F2C47" w14:textId="77777777" w:rsidR="0038775E" w:rsidRDefault="00877B9C" w:rsidP="002041D4">
            <w:pPr>
              <w:wordWrap w:val="0"/>
              <w:spacing w:before="20" w:after="20"/>
              <w:jc w:val="right"/>
              <w:rPr>
                <w:rFonts w:ascii="Arial Narrow" w:hAnsi="Arial Narrow" w:cs="Calibri"/>
                <w:noProof/>
                <w:color w:val="000000"/>
                <w:sz w:val="20"/>
                <w:szCs w:val="20"/>
              </w:rPr>
            </w:pPr>
            <w:r w:rsidRPr="00DF5C23">
              <w:rPr>
                <w:rFonts w:ascii="Arial Narrow" w:hAnsi="Arial Narrow" w:cs="Calibri"/>
                <w:noProof/>
                <w:color w:val="000000"/>
                <w:sz w:val="20"/>
                <w:szCs w:val="20"/>
              </w:rPr>
              <w:t>8,280</w:t>
            </w:r>
          </w:p>
        </w:tc>
        <w:tc>
          <w:tcPr>
            <w:tcW w:w="850" w:type="dxa"/>
            <w:vAlign w:val="bottom"/>
          </w:tcPr>
          <w:p w14:paraId="2AC26E8B" w14:textId="77777777" w:rsidR="0038775E" w:rsidRDefault="00877B9C" w:rsidP="002041D4">
            <w:pPr>
              <w:wordWrap w:val="0"/>
              <w:spacing w:before="20" w:after="20"/>
              <w:jc w:val="right"/>
              <w:rPr>
                <w:rFonts w:ascii="Arial Narrow" w:hAnsi="Arial Narrow" w:cs="Calibri"/>
                <w:noProof/>
                <w:color w:val="000000"/>
                <w:sz w:val="20"/>
                <w:szCs w:val="20"/>
              </w:rPr>
            </w:pPr>
            <w:r w:rsidRPr="00DF5C23">
              <w:rPr>
                <w:rFonts w:ascii="Arial Narrow" w:hAnsi="Arial Narrow" w:cs="Calibri"/>
                <w:noProof/>
                <w:color w:val="000000"/>
                <w:sz w:val="20"/>
                <w:szCs w:val="20"/>
              </w:rPr>
              <w:t>9,340</w:t>
            </w:r>
          </w:p>
        </w:tc>
        <w:tc>
          <w:tcPr>
            <w:tcW w:w="851" w:type="dxa"/>
            <w:vAlign w:val="bottom"/>
          </w:tcPr>
          <w:p w14:paraId="0017A0AB" w14:textId="77777777" w:rsidR="0038775E" w:rsidRDefault="00877B9C" w:rsidP="002041D4">
            <w:pPr>
              <w:wordWrap w:val="0"/>
              <w:spacing w:before="20" w:after="20"/>
              <w:jc w:val="right"/>
              <w:rPr>
                <w:rFonts w:ascii="Arial Narrow" w:hAnsi="Arial Narrow" w:cs="Calibri"/>
                <w:noProof/>
                <w:color w:val="000000"/>
                <w:sz w:val="20"/>
                <w:szCs w:val="20"/>
              </w:rPr>
            </w:pPr>
            <w:r w:rsidRPr="00DF5C23">
              <w:rPr>
                <w:rFonts w:ascii="Arial Narrow" w:hAnsi="Arial Narrow" w:cs="Calibri"/>
                <w:noProof/>
                <w:color w:val="000000"/>
                <w:sz w:val="20"/>
                <w:szCs w:val="20"/>
              </w:rPr>
              <w:t>10,</w:t>
            </w:r>
            <w:r w:rsidR="005D3B78" w:rsidRPr="00DF5C23">
              <w:rPr>
                <w:rFonts w:ascii="Arial Narrow" w:hAnsi="Arial Narrow" w:cs="Calibri"/>
                <w:noProof/>
                <w:color w:val="000000"/>
                <w:sz w:val="20"/>
                <w:szCs w:val="20"/>
              </w:rPr>
              <w:t>968</w:t>
            </w:r>
          </w:p>
        </w:tc>
        <w:tc>
          <w:tcPr>
            <w:tcW w:w="1701" w:type="dxa"/>
            <w:vAlign w:val="bottom"/>
          </w:tcPr>
          <w:p w14:paraId="257B6F41" w14:textId="77777777" w:rsidR="0038775E" w:rsidRDefault="00877B9C" w:rsidP="002041D4">
            <w:pPr>
              <w:wordWrap w:val="0"/>
              <w:spacing w:before="20" w:after="20"/>
              <w:jc w:val="right"/>
              <w:rPr>
                <w:rFonts w:ascii="Arial Narrow" w:hAnsi="Arial Narrow" w:cs="Calibri"/>
                <w:noProof/>
                <w:color w:val="000000"/>
                <w:sz w:val="20"/>
                <w:szCs w:val="20"/>
              </w:rPr>
            </w:pPr>
            <w:r w:rsidRPr="00DF5C23">
              <w:rPr>
                <w:rFonts w:ascii="Arial Narrow" w:hAnsi="Arial Narrow" w:cs="Calibri"/>
                <w:noProof/>
                <w:color w:val="000000"/>
                <w:sz w:val="20"/>
                <w:szCs w:val="20"/>
              </w:rPr>
              <w:t>43,912</w:t>
            </w:r>
          </w:p>
        </w:tc>
      </w:tr>
      <w:tr w:rsidR="005C61BF" w:rsidRPr="00DF5C23" w14:paraId="2C3A5C6E" w14:textId="77777777" w:rsidTr="008267AC">
        <w:trPr>
          <w:trHeight w:val="533"/>
        </w:trPr>
        <w:tc>
          <w:tcPr>
            <w:tcW w:w="5400" w:type="dxa"/>
            <w:gridSpan w:val="2"/>
            <w:vAlign w:val="center"/>
          </w:tcPr>
          <w:p w14:paraId="0B67CDC2" w14:textId="77777777" w:rsidR="0038775E" w:rsidRDefault="00877B9C" w:rsidP="002041D4">
            <w:pPr>
              <w:wordWrap w:val="0"/>
              <w:spacing w:beforeLines="20" w:before="48" w:afterLines="20" w:after="48"/>
              <w:rPr>
                <w:rFonts w:eastAsia="Calibri"/>
                <w:noProof/>
                <w:lang w:eastAsia="ja-JP"/>
              </w:rPr>
            </w:pPr>
            <w:r w:rsidRPr="00DF5C23">
              <w:rPr>
                <w:rFonts w:eastAsia="Calibri"/>
                <w:noProof/>
                <w:sz w:val="21"/>
              </w:rPr>
              <w:sym w:font="Wingdings" w:char="F09F"/>
            </w:r>
            <w:r w:rsidRPr="00DF5C23">
              <w:rPr>
                <w:rFonts w:eastAsia="Calibri"/>
                <w:noProof/>
                <w:sz w:val="21"/>
                <w:lang w:eastAsia="ja-JP"/>
              </w:rPr>
              <w:t xml:space="preserve"> </w:t>
            </w:r>
            <w:r w:rsidRPr="00DF5C23">
              <w:rPr>
                <w:rFonts w:eastAsia="Calibri"/>
                <w:noProof/>
                <w:sz w:val="21"/>
                <w:lang w:eastAsia="ja-JP"/>
              </w:rPr>
              <w:t>特定のプログラムのためのエンベロープから資金を調達する行政的性質の充当金合計。</w:t>
            </w:r>
            <w:r w:rsidRPr="00DF5C23">
              <w:rPr>
                <w:rFonts w:eastAsia="Calibri"/>
                <w:noProof/>
                <w:sz w:val="21"/>
                <w:lang w:eastAsia="ja-JP"/>
              </w:rPr>
              <w:t xml:space="preserve"> </w:t>
            </w:r>
          </w:p>
        </w:tc>
        <w:tc>
          <w:tcPr>
            <w:tcW w:w="654" w:type="dxa"/>
            <w:vAlign w:val="center"/>
          </w:tcPr>
          <w:p w14:paraId="284D54FC" w14:textId="77777777" w:rsidR="0038775E" w:rsidRDefault="00877B9C" w:rsidP="002041D4">
            <w:pPr>
              <w:wordWrap w:val="0"/>
              <w:spacing w:beforeLines="20" w:before="48" w:afterLines="20" w:after="48"/>
              <w:jc w:val="center"/>
              <w:rPr>
                <w:rFonts w:eastAsia="Calibri"/>
                <w:noProof/>
                <w:sz w:val="14"/>
              </w:rPr>
            </w:pPr>
            <w:r w:rsidRPr="00DF5C23">
              <w:rPr>
                <w:rFonts w:eastAsia="Calibri"/>
                <w:noProof/>
                <w:sz w:val="14"/>
              </w:rPr>
              <w:t>(6)</w:t>
            </w:r>
          </w:p>
        </w:tc>
        <w:tc>
          <w:tcPr>
            <w:tcW w:w="868" w:type="dxa"/>
            <w:vAlign w:val="center"/>
          </w:tcPr>
          <w:p w14:paraId="2C3A5C66" w14:textId="77777777" w:rsidR="005C61BF" w:rsidRPr="00DF5C23" w:rsidRDefault="005C61BF" w:rsidP="002041D4">
            <w:pPr>
              <w:wordWrap w:val="0"/>
              <w:spacing w:before="20" w:after="20"/>
              <w:jc w:val="right"/>
              <w:rPr>
                <w:rFonts w:eastAsia="Calibri"/>
                <w:b/>
                <w:noProof/>
                <w:sz w:val="20"/>
              </w:rPr>
            </w:pPr>
          </w:p>
        </w:tc>
        <w:tc>
          <w:tcPr>
            <w:tcW w:w="868" w:type="dxa"/>
            <w:vAlign w:val="center"/>
          </w:tcPr>
          <w:p w14:paraId="2C3A5C67" w14:textId="77777777" w:rsidR="005C61BF" w:rsidRPr="00DF5C23" w:rsidRDefault="005C61BF" w:rsidP="002041D4">
            <w:pPr>
              <w:wordWrap w:val="0"/>
              <w:spacing w:before="20" w:after="20"/>
              <w:jc w:val="right"/>
              <w:rPr>
                <w:rFonts w:eastAsia="Calibri"/>
                <w:b/>
                <w:noProof/>
                <w:sz w:val="20"/>
              </w:rPr>
            </w:pPr>
          </w:p>
        </w:tc>
        <w:tc>
          <w:tcPr>
            <w:tcW w:w="934" w:type="dxa"/>
            <w:vAlign w:val="center"/>
          </w:tcPr>
          <w:p w14:paraId="2C3A5C68" w14:textId="77777777" w:rsidR="005C61BF" w:rsidRPr="00DF5C23" w:rsidRDefault="005C61BF" w:rsidP="002041D4">
            <w:pPr>
              <w:wordWrap w:val="0"/>
              <w:spacing w:before="20" w:after="20"/>
              <w:jc w:val="right"/>
              <w:rPr>
                <w:rFonts w:eastAsia="Calibri"/>
                <w:b/>
                <w:noProof/>
                <w:sz w:val="20"/>
              </w:rPr>
            </w:pPr>
          </w:p>
        </w:tc>
        <w:tc>
          <w:tcPr>
            <w:tcW w:w="850" w:type="dxa"/>
            <w:vAlign w:val="center"/>
          </w:tcPr>
          <w:p w14:paraId="2C3A5C69" w14:textId="77777777" w:rsidR="005C61BF" w:rsidRPr="00DF5C23" w:rsidRDefault="005C61BF" w:rsidP="002041D4">
            <w:pPr>
              <w:wordWrap w:val="0"/>
              <w:spacing w:before="20" w:after="20"/>
              <w:jc w:val="right"/>
              <w:rPr>
                <w:rFonts w:eastAsia="Calibri"/>
                <w:b/>
                <w:noProof/>
                <w:sz w:val="20"/>
              </w:rPr>
            </w:pPr>
          </w:p>
        </w:tc>
        <w:tc>
          <w:tcPr>
            <w:tcW w:w="851" w:type="dxa"/>
            <w:vAlign w:val="center"/>
          </w:tcPr>
          <w:p w14:paraId="2C3A5C6A" w14:textId="77777777" w:rsidR="005C61BF" w:rsidRPr="00DF5C23" w:rsidRDefault="005C61BF" w:rsidP="002041D4">
            <w:pPr>
              <w:wordWrap w:val="0"/>
              <w:spacing w:before="20" w:after="20"/>
              <w:jc w:val="right"/>
              <w:rPr>
                <w:rFonts w:eastAsia="Calibri"/>
                <w:b/>
                <w:noProof/>
                <w:sz w:val="20"/>
              </w:rPr>
            </w:pPr>
          </w:p>
        </w:tc>
        <w:tc>
          <w:tcPr>
            <w:tcW w:w="850" w:type="dxa"/>
            <w:vAlign w:val="center"/>
          </w:tcPr>
          <w:p w14:paraId="2C3A5C6B" w14:textId="77777777" w:rsidR="005C61BF" w:rsidRPr="00DF5C23" w:rsidRDefault="005C61BF" w:rsidP="002041D4">
            <w:pPr>
              <w:wordWrap w:val="0"/>
              <w:spacing w:before="20" w:after="20"/>
              <w:jc w:val="right"/>
              <w:rPr>
                <w:rFonts w:eastAsia="Calibri"/>
                <w:b/>
                <w:noProof/>
                <w:sz w:val="20"/>
              </w:rPr>
            </w:pPr>
          </w:p>
        </w:tc>
        <w:tc>
          <w:tcPr>
            <w:tcW w:w="851" w:type="dxa"/>
          </w:tcPr>
          <w:p w14:paraId="2C3A5C6C" w14:textId="77777777" w:rsidR="008267AC" w:rsidRPr="00DF5C23" w:rsidRDefault="008267AC" w:rsidP="002041D4">
            <w:pPr>
              <w:wordWrap w:val="0"/>
              <w:spacing w:before="20" w:after="20"/>
              <w:jc w:val="right"/>
              <w:rPr>
                <w:rFonts w:eastAsia="Calibri"/>
                <w:b/>
                <w:noProof/>
                <w:sz w:val="20"/>
              </w:rPr>
            </w:pPr>
          </w:p>
        </w:tc>
        <w:tc>
          <w:tcPr>
            <w:tcW w:w="1701" w:type="dxa"/>
            <w:vAlign w:val="center"/>
          </w:tcPr>
          <w:p w14:paraId="2C3A5C6D" w14:textId="77777777" w:rsidR="005C61BF" w:rsidRPr="00DF5C23" w:rsidRDefault="005C61BF" w:rsidP="002041D4">
            <w:pPr>
              <w:wordWrap w:val="0"/>
              <w:spacing w:before="20" w:after="20"/>
              <w:jc w:val="right"/>
              <w:rPr>
                <w:rFonts w:eastAsia="Calibri"/>
                <w:b/>
                <w:noProof/>
                <w:sz w:val="20"/>
              </w:rPr>
            </w:pPr>
          </w:p>
        </w:tc>
      </w:tr>
      <w:tr w:rsidR="005C61BF" w:rsidRPr="00DF5C23" w14:paraId="2C3A5C7B" w14:textId="77777777" w:rsidTr="005D3B78">
        <w:tc>
          <w:tcPr>
            <w:tcW w:w="3960" w:type="dxa"/>
            <w:vMerge w:val="restart"/>
            <w:shd w:val="thinDiagStripe" w:color="C0C0C0" w:fill="auto"/>
            <w:vAlign w:val="center"/>
          </w:tcPr>
          <w:p w14:paraId="39C2024B" w14:textId="77777777" w:rsidR="0038775E" w:rsidRDefault="00877B9C" w:rsidP="002041D4">
            <w:pPr>
              <w:wordWrap w:val="0"/>
              <w:jc w:val="center"/>
              <w:rPr>
                <w:rFonts w:eastAsia="Calibri"/>
                <w:b/>
                <w:noProof/>
                <w:lang w:eastAsia="ja-JP"/>
              </w:rPr>
            </w:pPr>
            <w:r w:rsidRPr="00DF5C23">
              <w:rPr>
                <w:rFonts w:eastAsia="Calibri"/>
                <w:b/>
                <w:noProof/>
                <w:sz w:val="22"/>
                <w:lang w:eastAsia="ja-JP"/>
              </w:rPr>
              <w:t>総支給額</w:t>
            </w:r>
            <w:r w:rsidRPr="00DF5C23">
              <w:rPr>
                <w:rFonts w:eastAsia="Calibri"/>
                <w:b/>
                <w:noProof/>
                <w:sz w:val="22"/>
                <w:lang w:eastAsia="ja-JP"/>
              </w:rPr>
              <w:t xml:space="preserve"> </w:t>
            </w:r>
            <w:r w:rsidRPr="00DF5C23">
              <w:rPr>
                <w:rFonts w:eastAsia="Calibri"/>
                <w:noProof/>
                <w:sz w:val="22"/>
                <w:lang w:eastAsia="ja-JP"/>
              </w:rPr>
              <w:br/>
            </w:r>
            <w:r w:rsidRPr="00DF5C23">
              <w:rPr>
                <w:rFonts w:eastAsia="Calibri"/>
                <w:noProof/>
                <w:sz w:val="22"/>
                <w:lang w:eastAsia="ja-JP"/>
              </w:rPr>
              <w:br/>
            </w:r>
            <w:r w:rsidRPr="00DF5C23">
              <w:rPr>
                <w:rFonts w:eastAsia="Calibri"/>
                <w:noProof/>
                <w:sz w:val="22"/>
                <w:lang w:eastAsia="ja-JP"/>
              </w:rPr>
              <w:t>多年間財務枠組みの</w:t>
            </w:r>
            <w:r w:rsidRPr="00DF5C23">
              <w:rPr>
                <w:rFonts w:eastAsia="Calibri"/>
                <w:b/>
                <w:noProof/>
                <w:sz w:val="22"/>
                <w:lang w:eastAsia="ja-JP"/>
              </w:rPr>
              <w:t>見出し</w:t>
            </w:r>
            <w:r w:rsidRPr="00DF5C23">
              <w:rPr>
                <w:rFonts w:eastAsia="Calibri"/>
                <w:b/>
                <w:noProof/>
                <w:sz w:val="22"/>
                <w:lang w:eastAsia="ja-JP"/>
              </w:rPr>
              <w:t>3</w:t>
            </w:r>
            <w:r w:rsidRPr="00DF5C23">
              <w:rPr>
                <w:rFonts w:eastAsia="Calibri"/>
                <w:b/>
                <w:noProof/>
                <w:sz w:val="22"/>
                <w:lang w:eastAsia="ja-JP"/>
              </w:rPr>
              <w:t>において</w:t>
            </w:r>
          </w:p>
        </w:tc>
        <w:tc>
          <w:tcPr>
            <w:tcW w:w="1440" w:type="dxa"/>
            <w:vAlign w:val="center"/>
          </w:tcPr>
          <w:p w14:paraId="62DEBA4E" w14:textId="77777777" w:rsidR="0038775E" w:rsidRDefault="00877B9C" w:rsidP="002041D4">
            <w:pPr>
              <w:wordWrap w:val="0"/>
              <w:rPr>
                <w:rFonts w:eastAsia="Calibri"/>
                <w:noProof/>
                <w:sz w:val="18"/>
              </w:rPr>
            </w:pPr>
            <w:r w:rsidRPr="00DF5C23">
              <w:rPr>
                <w:rFonts w:eastAsia="Calibri"/>
                <w:noProof/>
                <w:sz w:val="18"/>
              </w:rPr>
              <w:t>コミットメント</w:t>
            </w:r>
          </w:p>
        </w:tc>
        <w:tc>
          <w:tcPr>
            <w:tcW w:w="654" w:type="dxa"/>
            <w:vAlign w:val="center"/>
          </w:tcPr>
          <w:p w14:paraId="159E31FB" w14:textId="77777777" w:rsidR="0038775E" w:rsidRDefault="00877B9C" w:rsidP="002041D4">
            <w:pPr>
              <w:wordWrap w:val="0"/>
              <w:jc w:val="center"/>
              <w:rPr>
                <w:rFonts w:eastAsia="Calibri"/>
                <w:noProof/>
                <w:sz w:val="14"/>
              </w:rPr>
            </w:pPr>
            <w:r w:rsidRPr="00DF5C23">
              <w:rPr>
                <w:rFonts w:eastAsia="Calibri"/>
                <w:noProof/>
                <w:sz w:val="14"/>
              </w:rPr>
              <w:t>=4+ 6</w:t>
            </w:r>
          </w:p>
        </w:tc>
        <w:tc>
          <w:tcPr>
            <w:tcW w:w="868" w:type="dxa"/>
          </w:tcPr>
          <w:p w14:paraId="70F03662" w14:textId="77777777" w:rsidR="0038775E" w:rsidRDefault="00877B9C" w:rsidP="002041D4">
            <w:pPr>
              <w:wordWrap w:val="0"/>
              <w:spacing w:before="20" w:after="20"/>
              <w:jc w:val="right"/>
              <w:rPr>
                <w:rFonts w:eastAsia="Calibri"/>
                <w:noProof/>
                <w:sz w:val="20"/>
              </w:rPr>
            </w:pPr>
            <w:r w:rsidRPr="00DF5C23">
              <w:rPr>
                <w:rFonts w:ascii="Arial Narrow" w:hAnsi="Arial Narrow" w:cs="Calibri"/>
                <w:noProof/>
                <w:color w:val="000000"/>
                <w:sz w:val="20"/>
                <w:szCs w:val="20"/>
              </w:rPr>
              <w:t>3,898</w:t>
            </w:r>
          </w:p>
        </w:tc>
        <w:tc>
          <w:tcPr>
            <w:tcW w:w="868" w:type="dxa"/>
          </w:tcPr>
          <w:p w14:paraId="4A634363" w14:textId="77777777" w:rsidR="0038775E" w:rsidRDefault="00877B9C" w:rsidP="002041D4">
            <w:pPr>
              <w:wordWrap w:val="0"/>
              <w:spacing w:before="20" w:after="20"/>
              <w:jc w:val="right"/>
              <w:rPr>
                <w:rFonts w:eastAsia="Calibri"/>
                <w:noProof/>
                <w:sz w:val="20"/>
              </w:rPr>
            </w:pPr>
            <w:r w:rsidRPr="00DF5C23">
              <w:rPr>
                <w:rFonts w:ascii="Arial Narrow" w:hAnsi="Arial Narrow" w:cs="Calibri"/>
                <w:noProof/>
                <w:color w:val="000000"/>
                <w:sz w:val="20"/>
                <w:szCs w:val="20"/>
              </w:rPr>
              <w:t>4,544</w:t>
            </w:r>
          </w:p>
        </w:tc>
        <w:tc>
          <w:tcPr>
            <w:tcW w:w="934" w:type="dxa"/>
          </w:tcPr>
          <w:p w14:paraId="5D1D1B7C" w14:textId="77777777" w:rsidR="0038775E" w:rsidRDefault="00877B9C" w:rsidP="002041D4">
            <w:pPr>
              <w:wordWrap w:val="0"/>
              <w:spacing w:before="20" w:after="20"/>
              <w:jc w:val="right"/>
              <w:rPr>
                <w:rFonts w:eastAsia="Calibri"/>
                <w:noProof/>
                <w:sz w:val="20"/>
              </w:rPr>
            </w:pPr>
            <w:r w:rsidRPr="00DF5C23">
              <w:rPr>
                <w:rFonts w:ascii="Arial Narrow" w:hAnsi="Arial Narrow" w:cs="Calibri"/>
                <w:noProof/>
                <w:color w:val="000000"/>
                <w:sz w:val="20"/>
                <w:szCs w:val="20"/>
              </w:rPr>
              <w:t>6,830</w:t>
            </w:r>
          </w:p>
        </w:tc>
        <w:tc>
          <w:tcPr>
            <w:tcW w:w="850" w:type="dxa"/>
          </w:tcPr>
          <w:p w14:paraId="40B43AD0" w14:textId="77777777" w:rsidR="0038775E" w:rsidRDefault="00877B9C" w:rsidP="002041D4">
            <w:pPr>
              <w:wordWrap w:val="0"/>
              <w:spacing w:before="20" w:after="20"/>
              <w:jc w:val="right"/>
              <w:rPr>
                <w:rFonts w:eastAsia="Calibri"/>
                <w:noProof/>
                <w:sz w:val="20"/>
              </w:rPr>
            </w:pPr>
            <w:r w:rsidRPr="00DF5C23">
              <w:rPr>
                <w:rFonts w:ascii="Arial Narrow" w:hAnsi="Arial Narrow" w:cs="Calibri"/>
                <w:noProof/>
                <w:color w:val="000000"/>
                <w:sz w:val="20"/>
                <w:szCs w:val="20"/>
              </w:rPr>
              <w:t>8,280</w:t>
            </w:r>
          </w:p>
        </w:tc>
        <w:tc>
          <w:tcPr>
            <w:tcW w:w="851" w:type="dxa"/>
          </w:tcPr>
          <w:p w14:paraId="5D412470" w14:textId="77777777" w:rsidR="0038775E" w:rsidRDefault="00877B9C" w:rsidP="002041D4">
            <w:pPr>
              <w:wordWrap w:val="0"/>
              <w:spacing w:before="20" w:after="20"/>
              <w:jc w:val="right"/>
              <w:rPr>
                <w:rFonts w:eastAsia="Calibri"/>
                <w:noProof/>
                <w:sz w:val="20"/>
              </w:rPr>
            </w:pPr>
            <w:r w:rsidRPr="00DF5C23">
              <w:rPr>
                <w:rFonts w:ascii="Arial Narrow" w:hAnsi="Arial Narrow" w:cs="Calibri"/>
                <w:noProof/>
                <w:color w:val="000000"/>
                <w:sz w:val="20"/>
                <w:szCs w:val="20"/>
              </w:rPr>
              <w:t>10,280</w:t>
            </w:r>
          </w:p>
        </w:tc>
        <w:tc>
          <w:tcPr>
            <w:tcW w:w="850" w:type="dxa"/>
          </w:tcPr>
          <w:p w14:paraId="271FC597" w14:textId="77777777" w:rsidR="0038775E" w:rsidRDefault="00877B9C" w:rsidP="002041D4">
            <w:pPr>
              <w:wordWrap w:val="0"/>
              <w:spacing w:before="20" w:after="20"/>
              <w:jc w:val="right"/>
              <w:rPr>
                <w:rFonts w:eastAsia="Calibri"/>
                <w:noProof/>
                <w:sz w:val="20"/>
              </w:rPr>
            </w:pPr>
            <w:r w:rsidRPr="00DF5C23">
              <w:rPr>
                <w:rFonts w:ascii="Arial Narrow" w:hAnsi="Arial Narrow" w:cs="Calibri"/>
                <w:noProof/>
                <w:color w:val="000000"/>
                <w:sz w:val="20"/>
                <w:szCs w:val="20"/>
              </w:rPr>
              <w:t>10,080</w:t>
            </w:r>
          </w:p>
        </w:tc>
        <w:tc>
          <w:tcPr>
            <w:tcW w:w="851" w:type="dxa"/>
          </w:tcPr>
          <w:p w14:paraId="2C3A5C78" w14:textId="77777777" w:rsidR="008267AC" w:rsidRPr="00DF5C23" w:rsidRDefault="008267AC" w:rsidP="002041D4">
            <w:pPr>
              <w:wordWrap w:val="0"/>
              <w:spacing w:before="20" w:after="20"/>
              <w:jc w:val="right"/>
              <w:rPr>
                <w:rFonts w:ascii="Arial Narrow" w:hAnsi="Arial Narrow" w:cs="Calibri"/>
                <w:noProof/>
                <w:color w:val="000000"/>
                <w:sz w:val="20"/>
                <w:szCs w:val="20"/>
              </w:rPr>
            </w:pPr>
          </w:p>
        </w:tc>
        <w:tc>
          <w:tcPr>
            <w:tcW w:w="1701" w:type="dxa"/>
            <w:vAlign w:val="bottom"/>
          </w:tcPr>
          <w:p w14:paraId="08EBF0B9" w14:textId="77777777" w:rsidR="0038775E" w:rsidRDefault="00877B9C" w:rsidP="002041D4">
            <w:pPr>
              <w:wordWrap w:val="0"/>
              <w:spacing w:before="0" w:after="0"/>
              <w:jc w:val="right"/>
              <w:rPr>
                <w:rFonts w:ascii="Arial Narrow" w:hAnsi="Arial Narrow" w:cs="Calibri"/>
                <w:noProof/>
                <w:color w:val="000000"/>
                <w:sz w:val="20"/>
                <w:szCs w:val="20"/>
              </w:rPr>
            </w:pPr>
            <w:r w:rsidRPr="00DF5C23">
              <w:rPr>
                <w:rFonts w:ascii="Arial Narrow" w:hAnsi="Arial Narrow" w:cs="Calibri"/>
                <w:noProof/>
                <w:color w:val="000000"/>
                <w:sz w:val="20"/>
                <w:szCs w:val="20"/>
              </w:rPr>
              <w:t>43,912</w:t>
            </w:r>
          </w:p>
          <w:p w14:paraId="2C3A5C7A" w14:textId="77777777" w:rsidR="005C61BF" w:rsidRPr="00DF5C23" w:rsidRDefault="005C61BF" w:rsidP="002041D4">
            <w:pPr>
              <w:wordWrap w:val="0"/>
              <w:spacing w:before="20" w:after="20"/>
              <w:jc w:val="right"/>
              <w:rPr>
                <w:rFonts w:eastAsia="Calibri"/>
                <w:b/>
                <w:noProof/>
                <w:sz w:val="20"/>
              </w:rPr>
            </w:pPr>
          </w:p>
        </w:tc>
      </w:tr>
      <w:tr w:rsidR="005C61BF" w:rsidRPr="00DF5C23" w14:paraId="2C3A5C87" w14:textId="77777777" w:rsidTr="005D3B78">
        <w:tc>
          <w:tcPr>
            <w:tcW w:w="3960" w:type="dxa"/>
            <w:vMerge/>
            <w:shd w:val="thinDiagStripe" w:color="C0C0C0" w:fill="auto"/>
          </w:tcPr>
          <w:p w14:paraId="2C3A5C7C" w14:textId="77777777" w:rsidR="005C61BF" w:rsidRPr="00DF5C23" w:rsidRDefault="005C61BF" w:rsidP="002041D4">
            <w:pPr>
              <w:wordWrap w:val="0"/>
              <w:rPr>
                <w:rFonts w:eastAsia="Calibri"/>
                <w:noProof/>
                <w:sz w:val="20"/>
              </w:rPr>
            </w:pPr>
          </w:p>
        </w:tc>
        <w:tc>
          <w:tcPr>
            <w:tcW w:w="1440" w:type="dxa"/>
            <w:vAlign w:val="center"/>
          </w:tcPr>
          <w:p w14:paraId="5E7EABE4" w14:textId="77777777" w:rsidR="0038775E" w:rsidRDefault="00877B9C" w:rsidP="002041D4">
            <w:pPr>
              <w:wordWrap w:val="0"/>
              <w:rPr>
                <w:rFonts w:eastAsia="Calibri"/>
                <w:noProof/>
                <w:sz w:val="18"/>
              </w:rPr>
            </w:pPr>
            <w:r w:rsidRPr="00DF5C23">
              <w:rPr>
                <w:rFonts w:eastAsia="Calibri"/>
                <w:noProof/>
                <w:sz w:val="18"/>
              </w:rPr>
              <w:t>ペイメント</w:t>
            </w:r>
          </w:p>
        </w:tc>
        <w:tc>
          <w:tcPr>
            <w:tcW w:w="654" w:type="dxa"/>
            <w:vAlign w:val="center"/>
          </w:tcPr>
          <w:p w14:paraId="3C953CFE" w14:textId="77777777" w:rsidR="0038775E" w:rsidRDefault="00877B9C" w:rsidP="002041D4">
            <w:pPr>
              <w:wordWrap w:val="0"/>
              <w:jc w:val="center"/>
              <w:rPr>
                <w:rFonts w:eastAsia="Calibri"/>
                <w:noProof/>
                <w:sz w:val="14"/>
              </w:rPr>
            </w:pPr>
            <w:r w:rsidRPr="00DF5C23">
              <w:rPr>
                <w:rFonts w:eastAsia="Calibri"/>
                <w:noProof/>
                <w:sz w:val="14"/>
              </w:rPr>
              <w:t>=5+ 6</w:t>
            </w:r>
          </w:p>
        </w:tc>
        <w:tc>
          <w:tcPr>
            <w:tcW w:w="868" w:type="dxa"/>
            <w:vAlign w:val="bottom"/>
          </w:tcPr>
          <w:p w14:paraId="4451BD15" w14:textId="77777777" w:rsidR="0038775E" w:rsidRDefault="00877B9C" w:rsidP="002041D4">
            <w:pPr>
              <w:wordWrap w:val="0"/>
              <w:spacing w:before="20" w:after="20"/>
              <w:jc w:val="right"/>
              <w:rPr>
                <w:rFonts w:ascii="Arial Narrow" w:hAnsi="Arial Narrow" w:cs="Calibri"/>
                <w:noProof/>
                <w:color w:val="000000"/>
                <w:sz w:val="20"/>
                <w:szCs w:val="20"/>
              </w:rPr>
            </w:pPr>
            <w:r w:rsidRPr="00DF5C23">
              <w:rPr>
                <w:rFonts w:ascii="Arial Narrow" w:hAnsi="Arial Narrow" w:cs="Calibri"/>
                <w:noProof/>
                <w:color w:val="000000"/>
                <w:sz w:val="20"/>
                <w:szCs w:val="20"/>
              </w:rPr>
              <w:t>1,170</w:t>
            </w:r>
          </w:p>
        </w:tc>
        <w:tc>
          <w:tcPr>
            <w:tcW w:w="868" w:type="dxa"/>
            <w:vAlign w:val="bottom"/>
          </w:tcPr>
          <w:p w14:paraId="0ECF9C2F" w14:textId="77777777" w:rsidR="0038775E" w:rsidRDefault="00877B9C" w:rsidP="002041D4">
            <w:pPr>
              <w:wordWrap w:val="0"/>
              <w:spacing w:before="20" w:after="20"/>
              <w:jc w:val="right"/>
              <w:rPr>
                <w:rFonts w:ascii="Arial Narrow" w:hAnsi="Arial Narrow" w:cs="Calibri"/>
                <w:noProof/>
                <w:color w:val="000000"/>
                <w:sz w:val="20"/>
                <w:szCs w:val="20"/>
              </w:rPr>
            </w:pPr>
            <w:r w:rsidRPr="00DF5C23">
              <w:rPr>
                <w:rFonts w:ascii="Arial Narrow" w:hAnsi="Arial Narrow" w:cs="Calibri"/>
                <w:noProof/>
                <w:color w:val="000000"/>
                <w:sz w:val="20"/>
                <w:szCs w:val="20"/>
              </w:rPr>
              <w:t>2,532</w:t>
            </w:r>
          </w:p>
        </w:tc>
        <w:tc>
          <w:tcPr>
            <w:tcW w:w="934" w:type="dxa"/>
            <w:vAlign w:val="bottom"/>
          </w:tcPr>
          <w:p w14:paraId="4DA76A79" w14:textId="77777777" w:rsidR="0038775E" w:rsidRDefault="00877B9C" w:rsidP="002041D4">
            <w:pPr>
              <w:wordWrap w:val="0"/>
              <w:spacing w:before="20" w:after="20"/>
              <w:jc w:val="right"/>
              <w:rPr>
                <w:rFonts w:ascii="Arial Narrow" w:hAnsi="Arial Narrow" w:cs="Calibri"/>
                <w:noProof/>
                <w:color w:val="000000"/>
                <w:sz w:val="20"/>
                <w:szCs w:val="20"/>
              </w:rPr>
            </w:pPr>
            <w:r w:rsidRPr="00DF5C23">
              <w:rPr>
                <w:rFonts w:ascii="Arial Narrow" w:hAnsi="Arial Narrow" w:cs="Calibri"/>
                <w:noProof/>
                <w:color w:val="000000"/>
                <w:sz w:val="20"/>
                <w:szCs w:val="20"/>
              </w:rPr>
              <w:t>5,132</w:t>
            </w:r>
          </w:p>
        </w:tc>
        <w:tc>
          <w:tcPr>
            <w:tcW w:w="850" w:type="dxa"/>
            <w:vAlign w:val="bottom"/>
          </w:tcPr>
          <w:p w14:paraId="2AAC9507" w14:textId="77777777" w:rsidR="0038775E" w:rsidRDefault="00877B9C" w:rsidP="002041D4">
            <w:pPr>
              <w:wordWrap w:val="0"/>
              <w:spacing w:before="20" w:after="20"/>
              <w:jc w:val="right"/>
              <w:rPr>
                <w:rFonts w:ascii="Arial Narrow" w:hAnsi="Arial Narrow" w:cs="Calibri"/>
                <w:noProof/>
                <w:color w:val="000000"/>
                <w:sz w:val="20"/>
                <w:szCs w:val="20"/>
              </w:rPr>
            </w:pPr>
            <w:r w:rsidRPr="00DF5C23">
              <w:rPr>
                <w:rFonts w:ascii="Arial Narrow" w:hAnsi="Arial Narrow" w:cs="Calibri"/>
                <w:noProof/>
                <w:color w:val="000000"/>
                <w:sz w:val="20"/>
                <w:szCs w:val="20"/>
              </w:rPr>
              <w:t>6,490</w:t>
            </w:r>
          </w:p>
        </w:tc>
        <w:tc>
          <w:tcPr>
            <w:tcW w:w="851" w:type="dxa"/>
            <w:vAlign w:val="bottom"/>
          </w:tcPr>
          <w:p w14:paraId="39DDE4B1" w14:textId="77777777" w:rsidR="0038775E" w:rsidRDefault="00877B9C" w:rsidP="002041D4">
            <w:pPr>
              <w:wordWrap w:val="0"/>
              <w:spacing w:before="20" w:after="20"/>
              <w:jc w:val="right"/>
              <w:rPr>
                <w:rFonts w:ascii="Arial Narrow" w:hAnsi="Arial Narrow" w:cs="Calibri"/>
                <w:noProof/>
                <w:color w:val="000000"/>
                <w:sz w:val="20"/>
                <w:szCs w:val="20"/>
              </w:rPr>
            </w:pPr>
            <w:r w:rsidRPr="00DF5C23">
              <w:rPr>
                <w:rFonts w:ascii="Arial Narrow" w:hAnsi="Arial Narrow" w:cs="Calibri"/>
                <w:noProof/>
                <w:color w:val="000000"/>
                <w:sz w:val="20"/>
                <w:szCs w:val="20"/>
              </w:rPr>
              <w:t>8,280</w:t>
            </w:r>
          </w:p>
        </w:tc>
        <w:tc>
          <w:tcPr>
            <w:tcW w:w="850" w:type="dxa"/>
            <w:vAlign w:val="bottom"/>
          </w:tcPr>
          <w:p w14:paraId="109B2828" w14:textId="77777777" w:rsidR="0038775E" w:rsidRDefault="00877B9C" w:rsidP="002041D4">
            <w:pPr>
              <w:wordWrap w:val="0"/>
              <w:spacing w:before="20" w:after="20"/>
              <w:jc w:val="right"/>
              <w:rPr>
                <w:rFonts w:ascii="Arial Narrow" w:hAnsi="Arial Narrow" w:cs="Calibri"/>
                <w:noProof/>
                <w:color w:val="000000"/>
                <w:sz w:val="20"/>
                <w:szCs w:val="20"/>
              </w:rPr>
            </w:pPr>
            <w:r w:rsidRPr="00DF5C23">
              <w:rPr>
                <w:rFonts w:ascii="Arial Narrow" w:hAnsi="Arial Narrow" w:cs="Calibri"/>
                <w:noProof/>
                <w:color w:val="000000"/>
                <w:sz w:val="20"/>
                <w:szCs w:val="20"/>
              </w:rPr>
              <w:t>9,340</w:t>
            </w:r>
          </w:p>
        </w:tc>
        <w:tc>
          <w:tcPr>
            <w:tcW w:w="851" w:type="dxa"/>
            <w:vAlign w:val="bottom"/>
          </w:tcPr>
          <w:p w14:paraId="2B602F72" w14:textId="77777777" w:rsidR="0038775E" w:rsidRDefault="00877B9C" w:rsidP="002041D4">
            <w:pPr>
              <w:wordWrap w:val="0"/>
              <w:spacing w:before="20" w:after="20"/>
              <w:jc w:val="right"/>
              <w:rPr>
                <w:rFonts w:ascii="Arial Narrow" w:hAnsi="Arial Narrow" w:cs="Calibri"/>
                <w:noProof/>
                <w:color w:val="000000"/>
                <w:sz w:val="20"/>
                <w:szCs w:val="20"/>
              </w:rPr>
            </w:pPr>
            <w:r w:rsidRPr="00DF5C23">
              <w:rPr>
                <w:rFonts w:ascii="Arial Narrow" w:hAnsi="Arial Narrow" w:cs="Calibri"/>
                <w:noProof/>
                <w:color w:val="000000"/>
                <w:sz w:val="20"/>
                <w:szCs w:val="20"/>
              </w:rPr>
              <w:t>10,</w:t>
            </w:r>
            <w:r w:rsidR="005D3B78" w:rsidRPr="00DF5C23">
              <w:rPr>
                <w:rFonts w:ascii="Arial Narrow" w:hAnsi="Arial Narrow" w:cs="Calibri"/>
                <w:noProof/>
                <w:color w:val="000000"/>
                <w:sz w:val="20"/>
                <w:szCs w:val="20"/>
              </w:rPr>
              <w:t>968</w:t>
            </w:r>
          </w:p>
        </w:tc>
        <w:tc>
          <w:tcPr>
            <w:tcW w:w="1701" w:type="dxa"/>
            <w:vAlign w:val="bottom"/>
          </w:tcPr>
          <w:p w14:paraId="2408E2A3" w14:textId="77777777" w:rsidR="0038775E" w:rsidRDefault="00877B9C" w:rsidP="002041D4">
            <w:pPr>
              <w:wordWrap w:val="0"/>
              <w:spacing w:before="20" w:after="20"/>
              <w:jc w:val="right"/>
              <w:rPr>
                <w:rFonts w:ascii="Arial Narrow" w:hAnsi="Arial Narrow" w:cs="Calibri"/>
                <w:noProof/>
                <w:color w:val="000000"/>
                <w:sz w:val="20"/>
                <w:szCs w:val="20"/>
              </w:rPr>
            </w:pPr>
            <w:r w:rsidRPr="00DF5C23">
              <w:rPr>
                <w:rFonts w:ascii="Arial Narrow" w:hAnsi="Arial Narrow" w:cs="Calibri"/>
                <w:noProof/>
                <w:color w:val="000000"/>
                <w:sz w:val="20"/>
                <w:szCs w:val="20"/>
              </w:rPr>
              <w:t>43,912</w:t>
            </w:r>
          </w:p>
        </w:tc>
      </w:tr>
    </w:tbl>
    <w:p w14:paraId="2C3A5C88" w14:textId="77777777" w:rsidR="00BF1765" w:rsidRPr="00DF5C23" w:rsidRDefault="00BF1765" w:rsidP="002041D4">
      <w:pPr>
        <w:wordWrap w:val="0"/>
        <w:spacing w:after="40"/>
        <w:rPr>
          <w:rFonts w:eastAsia="Calibri"/>
          <w:b/>
          <w:noProof/>
          <w:sz w:val="22"/>
          <w:u w:val="single"/>
        </w:rPr>
      </w:pPr>
    </w:p>
    <w:p w14:paraId="03EB3FDD" w14:textId="03EF8CA8" w:rsidR="0038775E" w:rsidRDefault="00877B9C" w:rsidP="002041D4">
      <w:pPr>
        <w:wordWrap w:val="0"/>
        <w:spacing w:after="40"/>
        <w:rPr>
          <w:rFonts w:eastAsia="Calibri"/>
          <w:b/>
          <w:noProof/>
          <w:sz w:val="22"/>
          <w:u w:val="single"/>
          <w:lang w:eastAsia="ja-JP"/>
        </w:rPr>
      </w:pPr>
      <w:r w:rsidRPr="00DF5C23">
        <w:rPr>
          <w:rFonts w:eastAsia="Calibri"/>
          <w:b/>
          <w:noProof/>
          <w:sz w:val="22"/>
          <w:u w:val="single"/>
          <w:lang w:eastAsia="ja-JP"/>
        </w:rPr>
        <w:t>複数の業務部門が提案</w:t>
      </w:r>
      <w:r w:rsidRPr="00DF5C23">
        <w:rPr>
          <w:rFonts w:eastAsia="Calibri"/>
          <w:b/>
          <w:noProof/>
          <w:sz w:val="22"/>
          <w:u w:val="single"/>
          <w:lang w:eastAsia="ja-JP"/>
        </w:rPr>
        <w:t>/</w:t>
      </w:r>
      <w:r w:rsidRPr="00DF5C23">
        <w:rPr>
          <w:rFonts w:eastAsia="Calibri"/>
          <w:b/>
          <w:noProof/>
          <w:sz w:val="22"/>
          <w:u w:val="single"/>
          <w:lang w:eastAsia="ja-JP"/>
        </w:rPr>
        <w:t>イニシアチブの影響を受ける場合は、上記のセクションを繰り返して</w:t>
      </w:r>
      <w:r w:rsidR="002041D4">
        <w:rPr>
          <w:rFonts w:ascii="ＭＳ 明朝" w:eastAsia="ＭＳ 明朝" w:hAnsi="ＭＳ 明朝" w:cs="ＭＳ 明朝" w:hint="eastAsia"/>
          <w:b/>
          <w:noProof/>
          <w:sz w:val="22"/>
          <w:u w:val="single"/>
          <w:lang w:eastAsia="ja-JP"/>
        </w:rPr>
        <w:t>ほしい</w:t>
      </w:r>
      <w:r w:rsidRPr="00DF5C23">
        <w:rPr>
          <w:rFonts w:eastAsia="Calibri"/>
          <w:b/>
          <w:noProof/>
          <w:sz w:val="22"/>
          <w:u w:val="single"/>
          <w:lang w:eastAsia="ja-JP"/>
        </w:rPr>
        <w:t>：</w:t>
      </w:r>
    </w:p>
    <w:tbl>
      <w:tblPr>
        <w:tblW w:w="13827" w:type="dxa"/>
        <w:tblInd w:w="-252" w:type="dxa"/>
        <w:tblBorders>
          <w:top w:val="single" w:sz="4" w:space="0" w:color="FF0000"/>
          <w:left w:val="single" w:sz="4" w:space="0" w:color="FF0000"/>
          <w:bottom w:val="single" w:sz="4" w:space="0" w:color="FF0000"/>
          <w:right w:val="single" w:sz="4" w:space="0" w:color="FF0000"/>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951"/>
        <w:gridCol w:w="851"/>
        <w:gridCol w:w="850"/>
        <w:gridCol w:w="851"/>
        <w:gridCol w:w="850"/>
        <w:gridCol w:w="851"/>
        <w:gridCol w:w="1701"/>
      </w:tblGrid>
      <w:tr w:rsidR="005C61BF" w:rsidRPr="00DF5C23" w14:paraId="2C3A5C96" w14:textId="77777777" w:rsidTr="008267AC">
        <w:trPr>
          <w:trHeight w:val="277"/>
        </w:trPr>
        <w:tc>
          <w:tcPr>
            <w:tcW w:w="3960" w:type="dxa"/>
            <w:vMerge w:val="restart"/>
            <w:tcBorders>
              <w:top w:val="single" w:sz="4" w:space="0" w:color="auto"/>
              <w:left w:val="single" w:sz="4" w:space="0" w:color="auto"/>
              <w:bottom w:val="single" w:sz="4" w:space="0" w:color="FF0000"/>
            </w:tcBorders>
            <w:vAlign w:val="center"/>
          </w:tcPr>
          <w:p w14:paraId="72FDC10C" w14:textId="77777777" w:rsidR="0038775E" w:rsidRDefault="00877B9C" w:rsidP="002041D4">
            <w:pPr>
              <w:wordWrap w:val="0"/>
              <w:spacing w:before="20" w:after="20"/>
              <w:rPr>
                <w:rFonts w:eastAsia="Calibri"/>
                <w:noProof/>
                <w:lang w:eastAsia="ja-JP"/>
              </w:rPr>
            </w:pPr>
            <w:r w:rsidRPr="00DF5C23">
              <w:rPr>
                <w:rFonts w:eastAsia="Calibri"/>
                <w:noProof/>
                <w:sz w:val="21"/>
              </w:rPr>
              <w:sym w:font="Wingdings" w:char="F09F"/>
            </w:r>
            <w:r w:rsidRPr="00DF5C23">
              <w:rPr>
                <w:rFonts w:eastAsia="Calibri"/>
                <w:noProof/>
                <w:sz w:val="21"/>
                <w:lang w:eastAsia="ja-JP"/>
              </w:rPr>
              <w:t xml:space="preserve"> </w:t>
            </w:r>
            <w:r w:rsidRPr="00DF5C23">
              <w:rPr>
                <w:rFonts w:eastAsia="Calibri"/>
                <w:noProof/>
                <w:sz w:val="21"/>
                <w:lang w:eastAsia="ja-JP"/>
              </w:rPr>
              <w:t>業務用充当金（全業務見出し）合計</w:t>
            </w:r>
          </w:p>
        </w:tc>
        <w:tc>
          <w:tcPr>
            <w:tcW w:w="1440" w:type="dxa"/>
            <w:tcBorders>
              <w:top w:val="single" w:sz="4" w:space="0" w:color="auto"/>
            </w:tcBorders>
            <w:vAlign w:val="center"/>
          </w:tcPr>
          <w:p w14:paraId="0BE3D94E" w14:textId="77777777" w:rsidR="0038775E" w:rsidRDefault="00877B9C" w:rsidP="002041D4">
            <w:pPr>
              <w:wordWrap w:val="0"/>
              <w:spacing w:beforeLines="20" w:before="48" w:afterLines="20" w:after="48"/>
              <w:rPr>
                <w:rFonts w:eastAsia="Calibri"/>
                <w:noProof/>
                <w:sz w:val="18"/>
              </w:rPr>
            </w:pPr>
            <w:r w:rsidRPr="00DF5C23">
              <w:rPr>
                <w:rFonts w:eastAsia="Calibri"/>
                <w:noProof/>
                <w:sz w:val="18"/>
              </w:rPr>
              <w:t>コミットメント</w:t>
            </w:r>
          </w:p>
        </w:tc>
        <w:tc>
          <w:tcPr>
            <w:tcW w:w="654" w:type="dxa"/>
            <w:tcBorders>
              <w:top w:val="single" w:sz="4" w:space="0" w:color="auto"/>
            </w:tcBorders>
            <w:vAlign w:val="center"/>
          </w:tcPr>
          <w:p w14:paraId="3F144733" w14:textId="77777777" w:rsidR="0038775E" w:rsidRDefault="00877B9C" w:rsidP="002041D4">
            <w:pPr>
              <w:wordWrap w:val="0"/>
              <w:spacing w:beforeLines="20" w:before="48" w:afterLines="20" w:after="48"/>
              <w:jc w:val="center"/>
              <w:rPr>
                <w:rFonts w:eastAsia="Calibri"/>
                <w:noProof/>
                <w:sz w:val="14"/>
              </w:rPr>
            </w:pPr>
            <w:r w:rsidRPr="00DF5C23">
              <w:rPr>
                <w:rFonts w:eastAsia="Calibri"/>
                <w:noProof/>
                <w:sz w:val="14"/>
              </w:rPr>
              <w:t>(4)</w:t>
            </w:r>
          </w:p>
        </w:tc>
        <w:tc>
          <w:tcPr>
            <w:tcW w:w="868" w:type="dxa"/>
            <w:tcBorders>
              <w:top w:val="single" w:sz="4" w:space="0" w:color="auto"/>
            </w:tcBorders>
            <w:vAlign w:val="bottom"/>
          </w:tcPr>
          <w:p w14:paraId="07FC3C68" w14:textId="77777777" w:rsidR="0038775E" w:rsidRDefault="00877B9C" w:rsidP="002041D4">
            <w:pPr>
              <w:wordWrap w:val="0"/>
              <w:spacing w:before="20" w:after="20"/>
              <w:jc w:val="right"/>
              <w:rPr>
                <w:rFonts w:ascii="Arial Narrow" w:hAnsi="Arial Narrow" w:cs="Calibri"/>
                <w:noProof/>
                <w:color w:val="000000"/>
                <w:sz w:val="20"/>
                <w:szCs w:val="20"/>
              </w:rPr>
            </w:pPr>
            <w:r w:rsidRPr="00DF5C23">
              <w:rPr>
                <w:rFonts w:ascii="Arial Narrow" w:hAnsi="Arial Narrow" w:cs="Calibri"/>
                <w:noProof/>
                <w:color w:val="000000"/>
                <w:sz w:val="20"/>
                <w:szCs w:val="20"/>
              </w:rPr>
              <w:t>7,300</w:t>
            </w:r>
          </w:p>
        </w:tc>
        <w:tc>
          <w:tcPr>
            <w:tcW w:w="951" w:type="dxa"/>
            <w:tcBorders>
              <w:top w:val="single" w:sz="4" w:space="0" w:color="auto"/>
            </w:tcBorders>
            <w:vAlign w:val="bottom"/>
          </w:tcPr>
          <w:p w14:paraId="72A62331" w14:textId="77777777" w:rsidR="0038775E" w:rsidRDefault="00877B9C" w:rsidP="002041D4">
            <w:pPr>
              <w:wordWrap w:val="0"/>
              <w:spacing w:before="20" w:after="20"/>
              <w:jc w:val="right"/>
              <w:rPr>
                <w:rFonts w:ascii="Arial Narrow" w:hAnsi="Arial Narrow" w:cs="Calibri"/>
                <w:noProof/>
                <w:color w:val="000000"/>
                <w:sz w:val="20"/>
                <w:szCs w:val="20"/>
              </w:rPr>
            </w:pPr>
            <w:r w:rsidRPr="00DF5C23">
              <w:rPr>
                <w:rFonts w:ascii="Arial Narrow" w:hAnsi="Arial Narrow" w:cs="Calibri"/>
                <w:noProof/>
                <w:color w:val="000000"/>
                <w:sz w:val="20"/>
                <w:szCs w:val="20"/>
              </w:rPr>
              <w:t>8,600</w:t>
            </w:r>
          </w:p>
        </w:tc>
        <w:tc>
          <w:tcPr>
            <w:tcW w:w="851" w:type="dxa"/>
            <w:tcBorders>
              <w:top w:val="single" w:sz="4" w:space="0" w:color="auto"/>
            </w:tcBorders>
            <w:vAlign w:val="bottom"/>
          </w:tcPr>
          <w:p w14:paraId="6AA0FE97" w14:textId="77777777" w:rsidR="0038775E" w:rsidRDefault="00877B9C" w:rsidP="002041D4">
            <w:pPr>
              <w:wordWrap w:val="0"/>
              <w:spacing w:before="20" w:after="20"/>
              <w:jc w:val="right"/>
              <w:rPr>
                <w:rFonts w:ascii="Arial Narrow" w:hAnsi="Arial Narrow" w:cs="Calibri"/>
                <w:noProof/>
                <w:color w:val="000000"/>
                <w:sz w:val="20"/>
                <w:szCs w:val="20"/>
              </w:rPr>
            </w:pPr>
            <w:r w:rsidRPr="00DF5C23">
              <w:rPr>
                <w:rFonts w:ascii="Arial Narrow" w:hAnsi="Arial Narrow" w:cs="Calibri"/>
                <w:noProof/>
                <w:color w:val="000000"/>
                <w:sz w:val="20"/>
                <w:szCs w:val="20"/>
              </w:rPr>
              <w:t>10,600</w:t>
            </w:r>
          </w:p>
        </w:tc>
        <w:tc>
          <w:tcPr>
            <w:tcW w:w="850" w:type="dxa"/>
            <w:tcBorders>
              <w:top w:val="single" w:sz="4" w:space="0" w:color="auto"/>
            </w:tcBorders>
            <w:vAlign w:val="bottom"/>
          </w:tcPr>
          <w:p w14:paraId="3D53E75C" w14:textId="77777777" w:rsidR="0038775E" w:rsidRDefault="00877B9C" w:rsidP="002041D4">
            <w:pPr>
              <w:wordWrap w:val="0"/>
              <w:spacing w:before="20" w:after="20"/>
              <w:jc w:val="right"/>
              <w:rPr>
                <w:rFonts w:ascii="Arial Narrow" w:hAnsi="Arial Narrow" w:cs="Calibri"/>
                <w:noProof/>
                <w:color w:val="000000"/>
                <w:sz w:val="20"/>
                <w:szCs w:val="20"/>
              </w:rPr>
            </w:pPr>
            <w:r w:rsidRPr="00DF5C23">
              <w:rPr>
                <w:rFonts w:ascii="Arial Narrow" w:hAnsi="Arial Narrow" w:cs="Calibri"/>
                <w:noProof/>
                <w:color w:val="000000"/>
                <w:sz w:val="20"/>
                <w:szCs w:val="20"/>
              </w:rPr>
              <w:t>11,650</w:t>
            </w:r>
          </w:p>
        </w:tc>
        <w:tc>
          <w:tcPr>
            <w:tcW w:w="851" w:type="dxa"/>
            <w:tcBorders>
              <w:top w:val="single" w:sz="4" w:space="0" w:color="auto"/>
            </w:tcBorders>
            <w:vAlign w:val="bottom"/>
          </w:tcPr>
          <w:p w14:paraId="56DF7B9A" w14:textId="77777777" w:rsidR="0038775E" w:rsidRDefault="00877B9C" w:rsidP="002041D4">
            <w:pPr>
              <w:wordWrap w:val="0"/>
              <w:spacing w:before="20" w:after="20"/>
              <w:jc w:val="right"/>
              <w:rPr>
                <w:rFonts w:ascii="Arial Narrow" w:hAnsi="Arial Narrow" w:cs="Calibri"/>
                <w:noProof/>
                <w:color w:val="000000"/>
                <w:sz w:val="20"/>
                <w:szCs w:val="20"/>
              </w:rPr>
            </w:pPr>
            <w:r w:rsidRPr="00DF5C23">
              <w:rPr>
                <w:rFonts w:ascii="Arial Narrow" w:hAnsi="Arial Narrow" w:cs="Calibri"/>
                <w:noProof/>
                <w:color w:val="000000"/>
                <w:sz w:val="20"/>
                <w:szCs w:val="20"/>
              </w:rPr>
              <w:t>14,650</w:t>
            </w:r>
          </w:p>
        </w:tc>
        <w:tc>
          <w:tcPr>
            <w:tcW w:w="850" w:type="dxa"/>
            <w:tcBorders>
              <w:top w:val="single" w:sz="4" w:space="0" w:color="auto"/>
            </w:tcBorders>
            <w:vAlign w:val="bottom"/>
          </w:tcPr>
          <w:p w14:paraId="5695B236" w14:textId="77777777" w:rsidR="0038775E" w:rsidRDefault="00877B9C" w:rsidP="002041D4">
            <w:pPr>
              <w:wordWrap w:val="0"/>
              <w:spacing w:before="20" w:after="20"/>
              <w:jc w:val="right"/>
              <w:rPr>
                <w:rFonts w:ascii="Arial Narrow" w:hAnsi="Arial Narrow" w:cs="Calibri"/>
                <w:noProof/>
                <w:color w:val="000000"/>
                <w:sz w:val="20"/>
                <w:szCs w:val="20"/>
              </w:rPr>
            </w:pPr>
            <w:r w:rsidRPr="00DF5C23">
              <w:rPr>
                <w:rFonts w:ascii="Arial Narrow" w:hAnsi="Arial Narrow" w:cs="Calibri"/>
                <w:noProof/>
                <w:color w:val="000000"/>
                <w:sz w:val="20"/>
                <w:szCs w:val="20"/>
              </w:rPr>
              <w:t>14,450</w:t>
            </w:r>
          </w:p>
        </w:tc>
        <w:tc>
          <w:tcPr>
            <w:tcW w:w="851" w:type="dxa"/>
            <w:tcBorders>
              <w:top w:val="single" w:sz="4" w:space="0" w:color="auto"/>
            </w:tcBorders>
          </w:tcPr>
          <w:p w14:paraId="2C3A5C93" w14:textId="77777777" w:rsidR="008267AC" w:rsidRPr="00DF5C23" w:rsidRDefault="008267AC" w:rsidP="002041D4">
            <w:pPr>
              <w:wordWrap w:val="0"/>
              <w:spacing w:before="20" w:after="20"/>
              <w:jc w:val="right"/>
              <w:rPr>
                <w:rFonts w:ascii="Arial Narrow" w:hAnsi="Arial Narrow" w:cs="Calibri"/>
                <w:noProof/>
                <w:color w:val="000000"/>
                <w:sz w:val="20"/>
                <w:szCs w:val="20"/>
              </w:rPr>
            </w:pPr>
          </w:p>
        </w:tc>
        <w:tc>
          <w:tcPr>
            <w:tcW w:w="1701" w:type="dxa"/>
            <w:tcBorders>
              <w:top w:val="single" w:sz="4" w:space="0" w:color="auto"/>
              <w:right w:val="single" w:sz="4" w:space="0" w:color="auto"/>
            </w:tcBorders>
            <w:vAlign w:val="bottom"/>
          </w:tcPr>
          <w:p w14:paraId="47E2B7B4" w14:textId="77777777" w:rsidR="0038775E" w:rsidRDefault="00877B9C" w:rsidP="002041D4">
            <w:pPr>
              <w:wordWrap w:val="0"/>
              <w:spacing w:before="0" w:after="0"/>
              <w:jc w:val="right"/>
              <w:rPr>
                <w:rFonts w:ascii="Arial Narrow" w:hAnsi="Arial Narrow" w:cs="Calibri"/>
                <w:noProof/>
                <w:color w:val="000000"/>
                <w:sz w:val="20"/>
                <w:szCs w:val="20"/>
              </w:rPr>
            </w:pPr>
            <w:r w:rsidRPr="00DF5C23">
              <w:rPr>
                <w:rFonts w:ascii="Arial Narrow" w:hAnsi="Arial Narrow" w:cs="Calibri"/>
                <w:noProof/>
                <w:color w:val="000000"/>
                <w:sz w:val="20"/>
                <w:szCs w:val="20"/>
              </w:rPr>
              <w:t>67,250</w:t>
            </w:r>
          </w:p>
          <w:p w14:paraId="2C3A5C95" w14:textId="77777777" w:rsidR="005C61BF" w:rsidRPr="00DF5C23" w:rsidRDefault="005C61BF" w:rsidP="002041D4">
            <w:pPr>
              <w:wordWrap w:val="0"/>
              <w:spacing w:before="20" w:after="20"/>
              <w:jc w:val="right"/>
              <w:rPr>
                <w:rFonts w:ascii="Arial Narrow" w:hAnsi="Arial Narrow" w:cs="Calibri"/>
                <w:noProof/>
                <w:color w:val="000000"/>
                <w:sz w:val="20"/>
                <w:szCs w:val="20"/>
              </w:rPr>
            </w:pPr>
          </w:p>
        </w:tc>
      </w:tr>
      <w:tr w:rsidR="005C61BF" w:rsidRPr="00DF5C23" w14:paraId="2C3A5CA3" w14:textId="77777777" w:rsidTr="00EC0E40">
        <w:tc>
          <w:tcPr>
            <w:tcW w:w="3960" w:type="dxa"/>
            <w:vMerge/>
            <w:tcBorders>
              <w:top w:val="single" w:sz="4" w:space="0" w:color="FF0000"/>
              <w:left w:val="single" w:sz="4" w:space="0" w:color="auto"/>
              <w:bottom w:val="single" w:sz="4" w:space="0" w:color="FF0000"/>
            </w:tcBorders>
          </w:tcPr>
          <w:p w14:paraId="2C3A5C97" w14:textId="77777777" w:rsidR="005C61BF" w:rsidRPr="00DF5C23" w:rsidRDefault="005C61BF" w:rsidP="002041D4">
            <w:pPr>
              <w:wordWrap w:val="0"/>
              <w:jc w:val="center"/>
              <w:rPr>
                <w:rFonts w:eastAsia="Calibri"/>
                <w:noProof/>
                <w:sz w:val="20"/>
              </w:rPr>
            </w:pPr>
          </w:p>
        </w:tc>
        <w:tc>
          <w:tcPr>
            <w:tcW w:w="1440" w:type="dxa"/>
            <w:vAlign w:val="center"/>
          </w:tcPr>
          <w:p w14:paraId="5FAE586B" w14:textId="77777777" w:rsidR="0038775E" w:rsidRDefault="00877B9C" w:rsidP="002041D4">
            <w:pPr>
              <w:wordWrap w:val="0"/>
              <w:spacing w:beforeLines="20" w:before="48" w:afterLines="20" w:after="48"/>
              <w:rPr>
                <w:rFonts w:eastAsia="Calibri"/>
                <w:noProof/>
                <w:sz w:val="18"/>
              </w:rPr>
            </w:pPr>
            <w:r w:rsidRPr="00DF5C23">
              <w:rPr>
                <w:rFonts w:eastAsia="Calibri"/>
                <w:noProof/>
                <w:sz w:val="18"/>
              </w:rPr>
              <w:t>ペイメント</w:t>
            </w:r>
          </w:p>
        </w:tc>
        <w:tc>
          <w:tcPr>
            <w:tcW w:w="654" w:type="dxa"/>
            <w:vAlign w:val="center"/>
          </w:tcPr>
          <w:p w14:paraId="3E82ED84" w14:textId="77777777" w:rsidR="0038775E" w:rsidRDefault="00877B9C" w:rsidP="002041D4">
            <w:pPr>
              <w:wordWrap w:val="0"/>
              <w:spacing w:beforeLines="20" w:before="48" w:afterLines="20" w:after="48"/>
              <w:jc w:val="center"/>
              <w:rPr>
                <w:rFonts w:eastAsia="Calibri"/>
                <w:noProof/>
                <w:sz w:val="14"/>
              </w:rPr>
            </w:pPr>
            <w:r w:rsidRPr="00DF5C23">
              <w:rPr>
                <w:rFonts w:eastAsia="Calibri"/>
                <w:noProof/>
                <w:sz w:val="14"/>
              </w:rPr>
              <w:t>(5)</w:t>
            </w:r>
          </w:p>
        </w:tc>
        <w:tc>
          <w:tcPr>
            <w:tcW w:w="868" w:type="dxa"/>
            <w:vAlign w:val="bottom"/>
          </w:tcPr>
          <w:p w14:paraId="3FDEC954" w14:textId="77777777" w:rsidR="0038775E" w:rsidRDefault="00877B9C" w:rsidP="002041D4">
            <w:pPr>
              <w:wordWrap w:val="0"/>
              <w:spacing w:before="20" w:after="20"/>
              <w:jc w:val="right"/>
              <w:rPr>
                <w:rFonts w:ascii="Arial Narrow" w:hAnsi="Arial Narrow" w:cs="Calibri"/>
                <w:noProof/>
                <w:color w:val="000000"/>
                <w:sz w:val="20"/>
                <w:szCs w:val="20"/>
              </w:rPr>
            </w:pPr>
            <w:r w:rsidRPr="00DF5C23">
              <w:rPr>
                <w:rFonts w:ascii="Arial Narrow" w:hAnsi="Arial Narrow" w:cs="Calibri"/>
                <w:noProof/>
                <w:color w:val="000000"/>
                <w:sz w:val="20"/>
                <w:szCs w:val="20"/>
              </w:rPr>
              <w:t>2,191</w:t>
            </w:r>
          </w:p>
        </w:tc>
        <w:tc>
          <w:tcPr>
            <w:tcW w:w="951" w:type="dxa"/>
            <w:vAlign w:val="bottom"/>
          </w:tcPr>
          <w:p w14:paraId="60DE7654" w14:textId="77777777" w:rsidR="0038775E" w:rsidRDefault="00877B9C" w:rsidP="002041D4">
            <w:pPr>
              <w:wordWrap w:val="0"/>
              <w:spacing w:before="20" w:after="20"/>
              <w:jc w:val="right"/>
              <w:rPr>
                <w:rFonts w:ascii="Arial Narrow" w:hAnsi="Arial Narrow" w:cs="Calibri"/>
                <w:noProof/>
                <w:color w:val="000000"/>
                <w:sz w:val="20"/>
                <w:szCs w:val="20"/>
              </w:rPr>
            </w:pPr>
            <w:r w:rsidRPr="00DF5C23">
              <w:rPr>
                <w:rFonts w:ascii="Arial Narrow" w:hAnsi="Arial Narrow" w:cs="Calibri"/>
                <w:noProof/>
                <w:color w:val="000000"/>
                <w:sz w:val="20"/>
                <w:szCs w:val="20"/>
              </w:rPr>
              <w:t>4,769</w:t>
            </w:r>
          </w:p>
        </w:tc>
        <w:tc>
          <w:tcPr>
            <w:tcW w:w="851" w:type="dxa"/>
            <w:vAlign w:val="bottom"/>
          </w:tcPr>
          <w:p w14:paraId="516E540C" w14:textId="77777777" w:rsidR="0038775E" w:rsidRDefault="00877B9C" w:rsidP="002041D4">
            <w:pPr>
              <w:wordWrap w:val="0"/>
              <w:spacing w:before="20" w:after="20"/>
              <w:jc w:val="right"/>
              <w:rPr>
                <w:rFonts w:ascii="Arial Narrow" w:hAnsi="Arial Narrow" w:cs="Calibri"/>
                <w:noProof/>
                <w:color w:val="000000"/>
                <w:sz w:val="20"/>
                <w:szCs w:val="20"/>
              </w:rPr>
            </w:pPr>
            <w:r w:rsidRPr="00DF5C23">
              <w:rPr>
                <w:rFonts w:ascii="Arial Narrow" w:hAnsi="Arial Narrow" w:cs="Calibri"/>
                <w:noProof/>
                <w:color w:val="000000"/>
                <w:sz w:val="20"/>
                <w:szCs w:val="20"/>
              </w:rPr>
              <w:t>8,841</w:t>
            </w:r>
          </w:p>
        </w:tc>
        <w:tc>
          <w:tcPr>
            <w:tcW w:w="850" w:type="dxa"/>
            <w:vAlign w:val="bottom"/>
          </w:tcPr>
          <w:p w14:paraId="109B40E8" w14:textId="77777777" w:rsidR="0038775E" w:rsidRDefault="00877B9C" w:rsidP="002041D4">
            <w:pPr>
              <w:wordWrap w:val="0"/>
              <w:spacing w:before="20" w:after="20"/>
              <w:jc w:val="right"/>
              <w:rPr>
                <w:rFonts w:ascii="Arial Narrow" w:hAnsi="Arial Narrow" w:cs="Calibri"/>
                <w:noProof/>
                <w:color w:val="000000"/>
                <w:sz w:val="20"/>
                <w:szCs w:val="20"/>
              </w:rPr>
            </w:pPr>
            <w:r w:rsidRPr="00DF5C23">
              <w:rPr>
                <w:rFonts w:ascii="Arial Narrow" w:hAnsi="Arial Narrow" w:cs="Calibri"/>
                <w:noProof/>
                <w:color w:val="000000"/>
                <w:sz w:val="20"/>
                <w:szCs w:val="20"/>
              </w:rPr>
              <w:t>10,254</w:t>
            </w:r>
          </w:p>
        </w:tc>
        <w:tc>
          <w:tcPr>
            <w:tcW w:w="851" w:type="dxa"/>
            <w:vAlign w:val="bottom"/>
          </w:tcPr>
          <w:p w14:paraId="2F15B104" w14:textId="77777777" w:rsidR="0038775E" w:rsidRDefault="00877B9C" w:rsidP="002041D4">
            <w:pPr>
              <w:wordWrap w:val="0"/>
              <w:spacing w:before="20" w:after="20"/>
              <w:jc w:val="right"/>
              <w:rPr>
                <w:rFonts w:ascii="Arial Narrow" w:hAnsi="Arial Narrow" w:cs="Calibri"/>
                <w:noProof/>
                <w:color w:val="000000"/>
                <w:sz w:val="20"/>
                <w:szCs w:val="20"/>
              </w:rPr>
            </w:pPr>
            <w:r w:rsidRPr="00DF5C23">
              <w:rPr>
                <w:rFonts w:ascii="Arial Narrow" w:hAnsi="Arial Narrow" w:cs="Calibri"/>
                <w:noProof/>
                <w:color w:val="000000"/>
                <w:sz w:val="20"/>
                <w:szCs w:val="20"/>
              </w:rPr>
              <w:t>12,110</w:t>
            </w:r>
          </w:p>
        </w:tc>
        <w:tc>
          <w:tcPr>
            <w:tcW w:w="850" w:type="dxa"/>
            <w:vAlign w:val="bottom"/>
          </w:tcPr>
          <w:p w14:paraId="6E34AAC9" w14:textId="77777777" w:rsidR="0038775E" w:rsidRDefault="00877B9C" w:rsidP="002041D4">
            <w:pPr>
              <w:wordWrap w:val="0"/>
              <w:spacing w:before="20" w:after="20"/>
              <w:jc w:val="right"/>
              <w:rPr>
                <w:rFonts w:ascii="Arial Narrow" w:hAnsi="Arial Narrow" w:cs="Calibri"/>
                <w:noProof/>
                <w:color w:val="000000"/>
                <w:sz w:val="20"/>
                <w:szCs w:val="20"/>
              </w:rPr>
            </w:pPr>
            <w:r w:rsidRPr="00DF5C23">
              <w:rPr>
                <w:rFonts w:ascii="Arial Narrow" w:hAnsi="Arial Narrow" w:cs="Calibri"/>
                <w:noProof/>
                <w:color w:val="000000"/>
                <w:sz w:val="20"/>
                <w:szCs w:val="20"/>
              </w:rPr>
              <w:t>13,310</w:t>
            </w:r>
          </w:p>
        </w:tc>
        <w:tc>
          <w:tcPr>
            <w:tcW w:w="851" w:type="dxa"/>
            <w:vAlign w:val="bottom"/>
          </w:tcPr>
          <w:p w14:paraId="7588D408" w14:textId="77777777" w:rsidR="0038775E" w:rsidRDefault="00877B9C" w:rsidP="002041D4">
            <w:pPr>
              <w:wordWrap w:val="0"/>
              <w:spacing w:before="20" w:after="20"/>
              <w:jc w:val="right"/>
              <w:rPr>
                <w:rFonts w:ascii="Arial Narrow" w:hAnsi="Arial Narrow" w:cs="Calibri"/>
                <w:noProof/>
                <w:color w:val="000000"/>
                <w:sz w:val="20"/>
                <w:szCs w:val="20"/>
              </w:rPr>
            </w:pPr>
            <w:r w:rsidRPr="00DF5C23">
              <w:rPr>
                <w:rFonts w:ascii="Arial Narrow" w:hAnsi="Arial Narrow" w:cs="Calibri"/>
                <w:noProof/>
                <w:color w:val="000000"/>
                <w:sz w:val="20"/>
                <w:szCs w:val="20"/>
              </w:rPr>
              <w:t>15,</w:t>
            </w:r>
            <w:r w:rsidR="005D3B78" w:rsidRPr="00DF5C23">
              <w:rPr>
                <w:rFonts w:ascii="Arial Narrow" w:hAnsi="Arial Narrow" w:cs="Calibri"/>
                <w:noProof/>
                <w:color w:val="000000"/>
                <w:sz w:val="20"/>
                <w:szCs w:val="20"/>
              </w:rPr>
              <w:t>775</w:t>
            </w:r>
          </w:p>
        </w:tc>
        <w:tc>
          <w:tcPr>
            <w:tcW w:w="1701" w:type="dxa"/>
            <w:tcBorders>
              <w:right w:val="single" w:sz="4" w:space="0" w:color="auto"/>
            </w:tcBorders>
            <w:vAlign w:val="bottom"/>
          </w:tcPr>
          <w:p w14:paraId="1D3B3038" w14:textId="77777777" w:rsidR="0038775E" w:rsidRDefault="00877B9C" w:rsidP="002041D4">
            <w:pPr>
              <w:wordWrap w:val="0"/>
              <w:spacing w:before="0" w:after="0"/>
              <w:jc w:val="right"/>
              <w:rPr>
                <w:rFonts w:ascii="Arial Narrow" w:hAnsi="Arial Narrow" w:cs="Calibri"/>
                <w:noProof/>
                <w:color w:val="000000"/>
                <w:sz w:val="20"/>
                <w:szCs w:val="20"/>
              </w:rPr>
            </w:pPr>
            <w:r w:rsidRPr="00DF5C23">
              <w:rPr>
                <w:rFonts w:ascii="Arial Narrow" w:hAnsi="Arial Narrow" w:cs="Calibri"/>
                <w:noProof/>
                <w:color w:val="000000"/>
                <w:sz w:val="20"/>
                <w:szCs w:val="20"/>
              </w:rPr>
              <w:t>67,250</w:t>
            </w:r>
          </w:p>
          <w:p w14:paraId="2C3A5CA2" w14:textId="77777777" w:rsidR="005C61BF" w:rsidRPr="00DF5C23" w:rsidRDefault="005C61BF" w:rsidP="002041D4">
            <w:pPr>
              <w:wordWrap w:val="0"/>
              <w:spacing w:before="20" w:after="20"/>
              <w:jc w:val="right"/>
              <w:rPr>
                <w:rFonts w:ascii="Arial Narrow" w:hAnsi="Arial Narrow" w:cs="Calibri"/>
                <w:noProof/>
                <w:color w:val="000000"/>
                <w:sz w:val="20"/>
                <w:szCs w:val="20"/>
              </w:rPr>
            </w:pPr>
          </w:p>
        </w:tc>
      </w:tr>
      <w:tr w:rsidR="005C61BF" w:rsidRPr="00DF5C23" w14:paraId="2C3A5CAF" w14:textId="77777777" w:rsidTr="008267AC">
        <w:tblPrEx>
          <w:tblBorders>
            <w:top w:val="single" w:sz="4" w:space="0" w:color="auto"/>
            <w:left w:val="single" w:sz="4" w:space="0" w:color="auto"/>
            <w:bottom w:val="single" w:sz="4" w:space="0" w:color="auto"/>
            <w:right w:val="single" w:sz="4" w:space="0" w:color="auto"/>
          </w:tblBorders>
        </w:tblPrEx>
        <w:trPr>
          <w:trHeight w:val="533"/>
        </w:trPr>
        <w:tc>
          <w:tcPr>
            <w:tcW w:w="5400" w:type="dxa"/>
            <w:gridSpan w:val="2"/>
            <w:vAlign w:val="center"/>
          </w:tcPr>
          <w:p w14:paraId="02B58AD2" w14:textId="77777777" w:rsidR="0038775E" w:rsidRDefault="00877B9C" w:rsidP="002041D4">
            <w:pPr>
              <w:wordWrap w:val="0"/>
              <w:spacing w:beforeLines="20" w:before="48" w:afterLines="20" w:after="48"/>
              <w:rPr>
                <w:rFonts w:eastAsia="Calibri"/>
                <w:noProof/>
                <w:lang w:eastAsia="ja-JP"/>
              </w:rPr>
            </w:pPr>
            <w:r w:rsidRPr="00DF5C23">
              <w:rPr>
                <w:rFonts w:eastAsia="Calibri"/>
                <w:noProof/>
                <w:sz w:val="21"/>
                <w:lang w:eastAsia="ja-JP"/>
              </w:rPr>
              <w:lastRenderedPageBreak/>
              <w:t xml:space="preserve"> </w:t>
            </w:r>
            <w:r w:rsidRPr="00DF5C23">
              <w:rPr>
                <w:rFonts w:eastAsia="Calibri"/>
                <w:noProof/>
                <w:sz w:val="21"/>
                <w:lang w:eastAsia="ja-JP"/>
              </w:rPr>
              <w:t>特定プログラムのためのエンベロープから資金を調達する管理的性質の充当金合計（すべての業務見出し）。</w:t>
            </w:r>
          </w:p>
        </w:tc>
        <w:tc>
          <w:tcPr>
            <w:tcW w:w="654" w:type="dxa"/>
            <w:vAlign w:val="center"/>
          </w:tcPr>
          <w:p w14:paraId="2C3A5CA5" w14:textId="77777777" w:rsidR="005C61BF" w:rsidRPr="00DF5C23" w:rsidRDefault="005C61BF" w:rsidP="002041D4">
            <w:pPr>
              <w:wordWrap w:val="0"/>
              <w:rPr>
                <w:rFonts w:eastAsia="Calibri"/>
                <w:noProof/>
                <w:lang w:eastAsia="ja-JP"/>
              </w:rPr>
            </w:pPr>
          </w:p>
          <w:p w14:paraId="099B4FCB" w14:textId="77777777" w:rsidR="0038775E" w:rsidRDefault="00877B9C" w:rsidP="002041D4">
            <w:pPr>
              <w:wordWrap w:val="0"/>
              <w:spacing w:beforeLines="20" w:before="48" w:afterLines="20" w:after="48"/>
              <w:jc w:val="center"/>
              <w:rPr>
                <w:rFonts w:eastAsia="Calibri"/>
                <w:noProof/>
                <w:sz w:val="14"/>
              </w:rPr>
            </w:pPr>
            <w:r w:rsidRPr="00DF5C23">
              <w:rPr>
                <w:rFonts w:eastAsia="Calibri"/>
                <w:noProof/>
                <w:sz w:val="14"/>
              </w:rPr>
              <w:t>(6)</w:t>
            </w:r>
          </w:p>
        </w:tc>
        <w:tc>
          <w:tcPr>
            <w:tcW w:w="868" w:type="dxa"/>
            <w:vAlign w:val="center"/>
          </w:tcPr>
          <w:p w14:paraId="2C3A5CA7" w14:textId="77777777" w:rsidR="005C61BF" w:rsidRPr="00DF5C23" w:rsidRDefault="005C61BF" w:rsidP="002041D4">
            <w:pPr>
              <w:wordWrap w:val="0"/>
              <w:spacing w:before="20" w:after="20"/>
              <w:jc w:val="right"/>
              <w:rPr>
                <w:rFonts w:eastAsia="Calibri"/>
                <w:noProof/>
              </w:rPr>
            </w:pPr>
          </w:p>
        </w:tc>
        <w:tc>
          <w:tcPr>
            <w:tcW w:w="951" w:type="dxa"/>
            <w:vAlign w:val="center"/>
          </w:tcPr>
          <w:p w14:paraId="2C3A5CA8" w14:textId="77777777" w:rsidR="005C61BF" w:rsidRPr="00DF5C23" w:rsidRDefault="005C61BF" w:rsidP="002041D4">
            <w:pPr>
              <w:wordWrap w:val="0"/>
              <w:spacing w:before="20" w:after="20"/>
              <w:jc w:val="right"/>
              <w:rPr>
                <w:rFonts w:eastAsia="Calibri"/>
                <w:noProof/>
              </w:rPr>
            </w:pPr>
          </w:p>
        </w:tc>
        <w:tc>
          <w:tcPr>
            <w:tcW w:w="851" w:type="dxa"/>
            <w:vAlign w:val="center"/>
          </w:tcPr>
          <w:p w14:paraId="2C3A5CA9" w14:textId="77777777" w:rsidR="005C61BF" w:rsidRPr="00DF5C23" w:rsidRDefault="005C61BF" w:rsidP="002041D4">
            <w:pPr>
              <w:wordWrap w:val="0"/>
              <w:spacing w:before="20" w:after="20"/>
              <w:jc w:val="right"/>
              <w:rPr>
                <w:rFonts w:eastAsia="Calibri"/>
                <w:noProof/>
              </w:rPr>
            </w:pPr>
          </w:p>
        </w:tc>
        <w:tc>
          <w:tcPr>
            <w:tcW w:w="850" w:type="dxa"/>
            <w:vAlign w:val="center"/>
          </w:tcPr>
          <w:p w14:paraId="2C3A5CAA" w14:textId="77777777" w:rsidR="005C61BF" w:rsidRPr="00DF5C23" w:rsidRDefault="005C61BF" w:rsidP="002041D4">
            <w:pPr>
              <w:wordWrap w:val="0"/>
              <w:spacing w:before="20" w:after="20"/>
              <w:jc w:val="right"/>
              <w:rPr>
                <w:rFonts w:eastAsia="Calibri"/>
                <w:noProof/>
              </w:rPr>
            </w:pPr>
          </w:p>
        </w:tc>
        <w:tc>
          <w:tcPr>
            <w:tcW w:w="851" w:type="dxa"/>
            <w:vAlign w:val="center"/>
          </w:tcPr>
          <w:p w14:paraId="2C3A5CAB" w14:textId="77777777" w:rsidR="005C61BF" w:rsidRPr="00DF5C23" w:rsidRDefault="005C61BF" w:rsidP="002041D4">
            <w:pPr>
              <w:wordWrap w:val="0"/>
              <w:spacing w:before="20" w:after="20"/>
              <w:jc w:val="right"/>
              <w:rPr>
                <w:rFonts w:eastAsia="Calibri"/>
                <w:noProof/>
              </w:rPr>
            </w:pPr>
          </w:p>
        </w:tc>
        <w:tc>
          <w:tcPr>
            <w:tcW w:w="850" w:type="dxa"/>
            <w:vAlign w:val="center"/>
          </w:tcPr>
          <w:p w14:paraId="2C3A5CAC" w14:textId="77777777" w:rsidR="005C61BF" w:rsidRPr="00DF5C23" w:rsidRDefault="005C61BF" w:rsidP="002041D4">
            <w:pPr>
              <w:wordWrap w:val="0"/>
              <w:spacing w:before="20" w:after="20"/>
              <w:jc w:val="right"/>
              <w:rPr>
                <w:rFonts w:eastAsia="Calibri"/>
                <w:noProof/>
              </w:rPr>
            </w:pPr>
          </w:p>
        </w:tc>
        <w:tc>
          <w:tcPr>
            <w:tcW w:w="851" w:type="dxa"/>
          </w:tcPr>
          <w:p w14:paraId="2C3A5CAD" w14:textId="77777777" w:rsidR="008267AC" w:rsidRPr="00DF5C23" w:rsidRDefault="008267AC" w:rsidP="002041D4">
            <w:pPr>
              <w:wordWrap w:val="0"/>
              <w:spacing w:before="20" w:after="20"/>
              <w:jc w:val="right"/>
              <w:rPr>
                <w:rFonts w:eastAsia="Calibri"/>
                <w:noProof/>
              </w:rPr>
            </w:pPr>
          </w:p>
        </w:tc>
        <w:tc>
          <w:tcPr>
            <w:tcW w:w="1701" w:type="dxa"/>
            <w:vAlign w:val="center"/>
          </w:tcPr>
          <w:p w14:paraId="2C3A5CAE" w14:textId="77777777" w:rsidR="005C61BF" w:rsidRPr="00DF5C23" w:rsidRDefault="005C61BF" w:rsidP="002041D4">
            <w:pPr>
              <w:wordWrap w:val="0"/>
              <w:spacing w:before="20" w:after="20"/>
              <w:jc w:val="right"/>
              <w:rPr>
                <w:rFonts w:eastAsia="Calibri"/>
                <w:noProof/>
              </w:rPr>
            </w:pPr>
          </w:p>
        </w:tc>
      </w:tr>
      <w:tr w:rsidR="005C61BF" w:rsidRPr="00DF5C23" w14:paraId="2C3A5CBC" w14:textId="77777777" w:rsidTr="008267AC">
        <w:tc>
          <w:tcPr>
            <w:tcW w:w="3960" w:type="dxa"/>
            <w:vMerge w:val="restart"/>
            <w:tcBorders>
              <w:top w:val="single" w:sz="4" w:space="0" w:color="FF0000"/>
              <w:left w:val="single" w:sz="4" w:space="0" w:color="auto"/>
              <w:bottom w:val="single" w:sz="4" w:space="0" w:color="FF0000"/>
            </w:tcBorders>
            <w:shd w:val="thinDiagStripe" w:color="C0C0C0" w:fill="auto"/>
            <w:vAlign w:val="center"/>
          </w:tcPr>
          <w:p w14:paraId="2650C663" w14:textId="77777777" w:rsidR="0038775E" w:rsidRDefault="00877B9C" w:rsidP="002041D4">
            <w:pPr>
              <w:wordWrap w:val="0"/>
              <w:jc w:val="center"/>
              <w:rPr>
                <w:rFonts w:eastAsia="Calibri"/>
                <w:b/>
                <w:noProof/>
              </w:rPr>
            </w:pPr>
            <w:r w:rsidRPr="00DF5C23">
              <w:rPr>
                <w:rFonts w:eastAsia="Calibri"/>
                <w:b/>
                <w:noProof/>
                <w:sz w:val="22"/>
                <w:lang w:eastAsia="ja-JP"/>
              </w:rPr>
              <w:t>総支給額</w:t>
            </w:r>
            <w:r w:rsidRPr="00DF5C23">
              <w:rPr>
                <w:rFonts w:eastAsia="Calibri"/>
                <w:b/>
                <w:noProof/>
                <w:sz w:val="22"/>
                <w:lang w:eastAsia="ja-JP"/>
              </w:rPr>
              <w:t xml:space="preserve"> </w:t>
            </w:r>
            <w:r w:rsidRPr="00DF5C23">
              <w:rPr>
                <w:rFonts w:eastAsia="Calibri"/>
                <w:noProof/>
                <w:sz w:val="22"/>
                <w:lang w:eastAsia="ja-JP"/>
              </w:rPr>
              <w:br/>
            </w:r>
            <w:r w:rsidRPr="00DF5C23">
              <w:rPr>
                <w:rFonts w:eastAsia="Calibri"/>
                <w:noProof/>
                <w:sz w:val="22"/>
                <w:lang w:eastAsia="ja-JP"/>
              </w:rPr>
              <w:br/>
            </w:r>
            <w:r w:rsidRPr="00DF5C23">
              <w:rPr>
                <w:rFonts w:eastAsia="Calibri"/>
                <w:noProof/>
                <w:sz w:val="22"/>
                <w:lang w:eastAsia="ja-JP"/>
              </w:rPr>
              <w:t>多年間財務枠組みの</w:t>
            </w:r>
            <w:r w:rsidRPr="00DF5C23">
              <w:rPr>
                <w:rFonts w:eastAsia="Calibri"/>
                <w:b/>
                <w:noProof/>
                <w:sz w:val="22"/>
                <w:lang w:eastAsia="ja-JP"/>
              </w:rPr>
              <w:t>見出し</w:t>
            </w:r>
            <w:r w:rsidRPr="00DF5C23">
              <w:rPr>
                <w:rFonts w:eastAsia="Calibri"/>
                <w:b/>
                <w:noProof/>
                <w:sz w:val="22"/>
                <w:lang w:eastAsia="ja-JP"/>
              </w:rPr>
              <w:t>1</w:t>
            </w:r>
            <w:r w:rsidRPr="00DF5C23">
              <w:rPr>
                <w:rFonts w:eastAsia="Calibri"/>
                <w:b/>
                <w:noProof/>
                <w:sz w:val="22"/>
                <w:lang w:eastAsia="ja-JP"/>
              </w:rPr>
              <w:t>から</w:t>
            </w:r>
            <w:r w:rsidRPr="00DF5C23">
              <w:rPr>
                <w:rFonts w:eastAsia="Calibri"/>
                <w:b/>
                <w:noProof/>
                <w:sz w:val="22"/>
                <w:lang w:eastAsia="ja-JP"/>
              </w:rPr>
              <w:t>6</w:t>
            </w:r>
            <w:r w:rsidRPr="00DF5C23">
              <w:rPr>
                <w:rFonts w:eastAsia="Calibri"/>
                <w:b/>
                <w:noProof/>
                <w:sz w:val="22"/>
                <w:lang w:eastAsia="ja-JP"/>
              </w:rPr>
              <w:t>の下にある。</w:t>
            </w:r>
            <w:r w:rsidRPr="00DF5C23">
              <w:rPr>
                <w:rFonts w:eastAsia="Calibri"/>
                <w:noProof/>
                <w:sz w:val="22"/>
                <w:lang w:eastAsia="ja-JP"/>
              </w:rPr>
              <w:br/>
            </w:r>
            <w:r w:rsidRPr="00DF5C23">
              <w:rPr>
                <w:rFonts w:eastAsia="Calibri"/>
                <w:noProof/>
                <w:sz w:val="20"/>
              </w:rPr>
              <w:t>(</w:t>
            </w:r>
            <w:r w:rsidRPr="00DF5C23">
              <w:rPr>
                <w:rFonts w:eastAsia="Calibri"/>
                <w:noProof/>
                <w:sz w:val="20"/>
              </w:rPr>
              <w:t>参考金額</w:t>
            </w:r>
            <w:r w:rsidRPr="00DF5C23">
              <w:rPr>
                <w:rFonts w:eastAsia="Calibri"/>
                <w:noProof/>
                <w:sz w:val="20"/>
              </w:rPr>
              <w:t>)</w:t>
            </w:r>
          </w:p>
        </w:tc>
        <w:tc>
          <w:tcPr>
            <w:tcW w:w="1440" w:type="dxa"/>
            <w:vAlign w:val="center"/>
          </w:tcPr>
          <w:p w14:paraId="03D791CF" w14:textId="77777777" w:rsidR="0038775E" w:rsidRDefault="00877B9C" w:rsidP="002041D4">
            <w:pPr>
              <w:wordWrap w:val="0"/>
              <w:rPr>
                <w:rFonts w:eastAsia="Calibri"/>
                <w:noProof/>
                <w:sz w:val="18"/>
              </w:rPr>
            </w:pPr>
            <w:r w:rsidRPr="00DF5C23">
              <w:rPr>
                <w:rFonts w:eastAsia="Calibri"/>
                <w:noProof/>
                <w:sz w:val="18"/>
              </w:rPr>
              <w:t>コミットメント</w:t>
            </w:r>
          </w:p>
        </w:tc>
        <w:tc>
          <w:tcPr>
            <w:tcW w:w="654" w:type="dxa"/>
            <w:vAlign w:val="center"/>
          </w:tcPr>
          <w:p w14:paraId="0001723B" w14:textId="77777777" w:rsidR="0038775E" w:rsidRDefault="00877B9C" w:rsidP="002041D4">
            <w:pPr>
              <w:wordWrap w:val="0"/>
              <w:jc w:val="center"/>
              <w:rPr>
                <w:rFonts w:eastAsia="Calibri"/>
                <w:noProof/>
                <w:sz w:val="14"/>
              </w:rPr>
            </w:pPr>
            <w:r w:rsidRPr="00DF5C23">
              <w:rPr>
                <w:rFonts w:eastAsia="Calibri"/>
                <w:noProof/>
                <w:sz w:val="14"/>
              </w:rPr>
              <w:t>=4+ 6</w:t>
            </w:r>
          </w:p>
        </w:tc>
        <w:tc>
          <w:tcPr>
            <w:tcW w:w="868" w:type="dxa"/>
            <w:vAlign w:val="bottom"/>
          </w:tcPr>
          <w:p w14:paraId="5287E9DB" w14:textId="77777777" w:rsidR="0038775E" w:rsidRDefault="00877B9C" w:rsidP="002041D4">
            <w:pPr>
              <w:wordWrap w:val="0"/>
              <w:spacing w:before="20" w:after="20"/>
              <w:jc w:val="right"/>
              <w:rPr>
                <w:rFonts w:eastAsia="Calibri"/>
                <w:noProof/>
              </w:rPr>
            </w:pPr>
            <w:r w:rsidRPr="00DF5C23">
              <w:rPr>
                <w:rFonts w:ascii="Arial Narrow" w:hAnsi="Arial Narrow" w:cs="Calibri"/>
                <w:noProof/>
                <w:color w:val="000000"/>
                <w:sz w:val="20"/>
                <w:szCs w:val="20"/>
              </w:rPr>
              <w:t>7,300</w:t>
            </w:r>
          </w:p>
        </w:tc>
        <w:tc>
          <w:tcPr>
            <w:tcW w:w="951" w:type="dxa"/>
            <w:vAlign w:val="bottom"/>
          </w:tcPr>
          <w:p w14:paraId="43236365" w14:textId="77777777" w:rsidR="0038775E" w:rsidRDefault="00877B9C" w:rsidP="002041D4">
            <w:pPr>
              <w:wordWrap w:val="0"/>
              <w:spacing w:before="20" w:after="20"/>
              <w:jc w:val="right"/>
              <w:rPr>
                <w:rFonts w:eastAsia="Calibri"/>
                <w:noProof/>
              </w:rPr>
            </w:pPr>
            <w:r w:rsidRPr="00DF5C23">
              <w:rPr>
                <w:rFonts w:ascii="Arial Narrow" w:hAnsi="Arial Narrow" w:cs="Calibri"/>
                <w:noProof/>
                <w:color w:val="000000"/>
                <w:sz w:val="20"/>
                <w:szCs w:val="20"/>
              </w:rPr>
              <w:t>8,600</w:t>
            </w:r>
          </w:p>
        </w:tc>
        <w:tc>
          <w:tcPr>
            <w:tcW w:w="851" w:type="dxa"/>
            <w:vAlign w:val="bottom"/>
          </w:tcPr>
          <w:p w14:paraId="3FA8E7C4" w14:textId="77777777" w:rsidR="0038775E" w:rsidRDefault="00877B9C" w:rsidP="002041D4">
            <w:pPr>
              <w:wordWrap w:val="0"/>
              <w:spacing w:before="20" w:after="20"/>
              <w:jc w:val="right"/>
              <w:rPr>
                <w:rFonts w:eastAsia="Calibri"/>
                <w:noProof/>
              </w:rPr>
            </w:pPr>
            <w:r w:rsidRPr="00DF5C23">
              <w:rPr>
                <w:rFonts w:ascii="Arial Narrow" w:hAnsi="Arial Narrow" w:cs="Calibri"/>
                <w:noProof/>
                <w:color w:val="000000"/>
                <w:sz w:val="20"/>
                <w:szCs w:val="20"/>
              </w:rPr>
              <w:t>10,600</w:t>
            </w:r>
          </w:p>
        </w:tc>
        <w:tc>
          <w:tcPr>
            <w:tcW w:w="850" w:type="dxa"/>
            <w:vAlign w:val="bottom"/>
          </w:tcPr>
          <w:p w14:paraId="4DD02E62" w14:textId="77777777" w:rsidR="0038775E" w:rsidRDefault="00877B9C" w:rsidP="002041D4">
            <w:pPr>
              <w:wordWrap w:val="0"/>
              <w:spacing w:before="20" w:after="20"/>
              <w:jc w:val="right"/>
              <w:rPr>
                <w:rFonts w:eastAsia="Calibri"/>
                <w:noProof/>
              </w:rPr>
            </w:pPr>
            <w:r w:rsidRPr="00DF5C23">
              <w:rPr>
                <w:rFonts w:ascii="Arial Narrow" w:hAnsi="Arial Narrow" w:cs="Calibri"/>
                <w:noProof/>
                <w:color w:val="000000"/>
                <w:sz w:val="20"/>
                <w:szCs w:val="20"/>
              </w:rPr>
              <w:t>11,650</w:t>
            </w:r>
          </w:p>
        </w:tc>
        <w:tc>
          <w:tcPr>
            <w:tcW w:w="851" w:type="dxa"/>
            <w:vAlign w:val="bottom"/>
          </w:tcPr>
          <w:p w14:paraId="469039D2" w14:textId="77777777" w:rsidR="0038775E" w:rsidRDefault="00877B9C" w:rsidP="002041D4">
            <w:pPr>
              <w:wordWrap w:val="0"/>
              <w:spacing w:before="20" w:after="20"/>
              <w:jc w:val="right"/>
              <w:rPr>
                <w:rFonts w:eastAsia="Calibri"/>
                <w:noProof/>
              </w:rPr>
            </w:pPr>
            <w:r w:rsidRPr="00DF5C23">
              <w:rPr>
                <w:rFonts w:ascii="Arial Narrow" w:hAnsi="Arial Narrow" w:cs="Calibri"/>
                <w:noProof/>
                <w:color w:val="000000"/>
                <w:sz w:val="20"/>
                <w:szCs w:val="20"/>
              </w:rPr>
              <w:t>14,650</w:t>
            </w:r>
          </w:p>
        </w:tc>
        <w:tc>
          <w:tcPr>
            <w:tcW w:w="850" w:type="dxa"/>
            <w:vAlign w:val="bottom"/>
          </w:tcPr>
          <w:p w14:paraId="26070D6D" w14:textId="77777777" w:rsidR="0038775E" w:rsidRDefault="00877B9C" w:rsidP="002041D4">
            <w:pPr>
              <w:wordWrap w:val="0"/>
              <w:spacing w:before="20" w:after="20"/>
              <w:jc w:val="right"/>
              <w:rPr>
                <w:rFonts w:eastAsia="Calibri"/>
                <w:noProof/>
              </w:rPr>
            </w:pPr>
            <w:r w:rsidRPr="00DF5C23">
              <w:rPr>
                <w:rFonts w:ascii="Arial Narrow" w:hAnsi="Arial Narrow" w:cs="Calibri"/>
                <w:noProof/>
                <w:color w:val="000000"/>
                <w:sz w:val="20"/>
                <w:szCs w:val="20"/>
              </w:rPr>
              <w:t>14,450</w:t>
            </w:r>
          </w:p>
        </w:tc>
        <w:tc>
          <w:tcPr>
            <w:tcW w:w="851" w:type="dxa"/>
          </w:tcPr>
          <w:p w14:paraId="2C3A5CB9" w14:textId="77777777" w:rsidR="008267AC" w:rsidRPr="00DF5C23" w:rsidRDefault="008267AC" w:rsidP="002041D4">
            <w:pPr>
              <w:wordWrap w:val="0"/>
              <w:spacing w:before="20" w:after="20"/>
              <w:jc w:val="right"/>
              <w:rPr>
                <w:rFonts w:ascii="Arial Narrow" w:hAnsi="Arial Narrow" w:cs="Calibri"/>
                <w:noProof/>
                <w:color w:val="000000"/>
                <w:sz w:val="20"/>
                <w:szCs w:val="20"/>
              </w:rPr>
            </w:pPr>
          </w:p>
        </w:tc>
        <w:tc>
          <w:tcPr>
            <w:tcW w:w="1701" w:type="dxa"/>
            <w:tcBorders>
              <w:right w:val="single" w:sz="4" w:space="0" w:color="auto"/>
            </w:tcBorders>
            <w:vAlign w:val="bottom"/>
          </w:tcPr>
          <w:p w14:paraId="779AC3CB" w14:textId="77777777" w:rsidR="0038775E" w:rsidRDefault="00877B9C" w:rsidP="002041D4">
            <w:pPr>
              <w:wordWrap w:val="0"/>
              <w:spacing w:before="0" w:after="0"/>
              <w:jc w:val="right"/>
              <w:rPr>
                <w:rFonts w:ascii="Arial Narrow" w:hAnsi="Arial Narrow" w:cs="Calibri"/>
                <w:noProof/>
                <w:color w:val="000000"/>
                <w:sz w:val="20"/>
                <w:szCs w:val="20"/>
              </w:rPr>
            </w:pPr>
            <w:r w:rsidRPr="00DF5C23">
              <w:rPr>
                <w:rFonts w:ascii="Arial Narrow" w:hAnsi="Arial Narrow" w:cs="Calibri"/>
                <w:noProof/>
                <w:color w:val="000000"/>
                <w:sz w:val="20"/>
                <w:szCs w:val="20"/>
              </w:rPr>
              <w:t>67,250</w:t>
            </w:r>
          </w:p>
          <w:p w14:paraId="2C3A5CBB" w14:textId="77777777" w:rsidR="005C61BF" w:rsidRPr="00DF5C23" w:rsidRDefault="005C61BF" w:rsidP="002041D4">
            <w:pPr>
              <w:wordWrap w:val="0"/>
              <w:spacing w:before="20" w:after="20"/>
              <w:jc w:val="right"/>
              <w:rPr>
                <w:rFonts w:eastAsia="Calibri"/>
                <w:noProof/>
              </w:rPr>
            </w:pPr>
          </w:p>
        </w:tc>
      </w:tr>
      <w:tr w:rsidR="005C61BF" w:rsidRPr="00DF5C23" w14:paraId="2C3A5CC9" w14:textId="77777777" w:rsidTr="00EC0E40">
        <w:tc>
          <w:tcPr>
            <w:tcW w:w="3960" w:type="dxa"/>
            <w:vMerge/>
            <w:tcBorders>
              <w:top w:val="single" w:sz="4" w:space="0" w:color="FF0000"/>
              <w:left w:val="single" w:sz="4" w:space="0" w:color="auto"/>
              <w:bottom w:val="single" w:sz="4" w:space="0" w:color="auto"/>
            </w:tcBorders>
            <w:shd w:val="thinDiagStripe" w:color="C0C0C0" w:fill="auto"/>
          </w:tcPr>
          <w:p w14:paraId="2C3A5CBD" w14:textId="77777777" w:rsidR="005C61BF" w:rsidRPr="00DF5C23" w:rsidRDefault="005C61BF" w:rsidP="002041D4">
            <w:pPr>
              <w:wordWrap w:val="0"/>
              <w:rPr>
                <w:rFonts w:eastAsia="Calibri"/>
                <w:noProof/>
                <w:sz w:val="20"/>
              </w:rPr>
            </w:pPr>
          </w:p>
        </w:tc>
        <w:tc>
          <w:tcPr>
            <w:tcW w:w="1440" w:type="dxa"/>
            <w:tcBorders>
              <w:bottom w:val="single" w:sz="4" w:space="0" w:color="auto"/>
            </w:tcBorders>
            <w:vAlign w:val="center"/>
          </w:tcPr>
          <w:p w14:paraId="0756419A" w14:textId="77777777" w:rsidR="0038775E" w:rsidRDefault="00877B9C" w:rsidP="002041D4">
            <w:pPr>
              <w:wordWrap w:val="0"/>
              <w:rPr>
                <w:rFonts w:eastAsia="Calibri"/>
                <w:noProof/>
                <w:sz w:val="18"/>
              </w:rPr>
            </w:pPr>
            <w:r w:rsidRPr="00DF5C23">
              <w:rPr>
                <w:rFonts w:eastAsia="Calibri"/>
                <w:noProof/>
                <w:sz w:val="18"/>
              </w:rPr>
              <w:t>ペイメント</w:t>
            </w:r>
          </w:p>
        </w:tc>
        <w:tc>
          <w:tcPr>
            <w:tcW w:w="654" w:type="dxa"/>
            <w:tcBorders>
              <w:bottom w:val="single" w:sz="4" w:space="0" w:color="auto"/>
            </w:tcBorders>
            <w:vAlign w:val="center"/>
          </w:tcPr>
          <w:p w14:paraId="131F785B" w14:textId="77777777" w:rsidR="0038775E" w:rsidRDefault="00877B9C" w:rsidP="002041D4">
            <w:pPr>
              <w:wordWrap w:val="0"/>
              <w:jc w:val="center"/>
              <w:rPr>
                <w:rFonts w:eastAsia="Calibri"/>
                <w:noProof/>
                <w:sz w:val="14"/>
              </w:rPr>
            </w:pPr>
            <w:r w:rsidRPr="00DF5C23">
              <w:rPr>
                <w:rFonts w:eastAsia="Calibri"/>
                <w:noProof/>
                <w:sz w:val="14"/>
              </w:rPr>
              <w:t>=5+ 6</w:t>
            </w:r>
          </w:p>
        </w:tc>
        <w:tc>
          <w:tcPr>
            <w:tcW w:w="868" w:type="dxa"/>
            <w:tcBorders>
              <w:bottom w:val="single" w:sz="4" w:space="0" w:color="auto"/>
            </w:tcBorders>
            <w:vAlign w:val="bottom"/>
          </w:tcPr>
          <w:p w14:paraId="3958F282" w14:textId="77777777" w:rsidR="0038775E" w:rsidRDefault="00877B9C" w:rsidP="002041D4">
            <w:pPr>
              <w:wordWrap w:val="0"/>
              <w:spacing w:before="20" w:after="20"/>
              <w:jc w:val="right"/>
              <w:rPr>
                <w:rFonts w:eastAsia="Calibri"/>
                <w:noProof/>
              </w:rPr>
            </w:pPr>
            <w:r w:rsidRPr="00DF5C23">
              <w:rPr>
                <w:rFonts w:ascii="Arial Narrow" w:hAnsi="Arial Narrow" w:cs="Calibri"/>
                <w:noProof/>
                <w:color w:val="000000"/>
                <w:sz w:val="20"/>
                <w:szCs w:val="20"/>
              </w:rPr>
              <w:t>2,191</w:t>
            </w:r>
          </w:p>
        </w:tc>
        <w:tc>
          <w:tcPr>
            <w:tcW w:w="951" w:type="dxa"/>
            <w:tcBorders>
              <w:bottom w:val="single" w:sz="4" w:space="0" w:color="auto"/>
            </w:tcBorders>
            <w:vAlign w:val="bottom"/>
          </w:tcPr>
          <w:p w14:paraId="245C2897" w14:textId="77777777" w:rsidR="0038775E" w:rsidRDefault="00877B9C" w:rsidP="002041D4">
            <w:pPr>
              <w:wordWrap w:val="0"/>
              <w:spacing w:before="20" w:after="20"/>
              <w:jc w:val="right"/>
              <w:rPr>
                <w:rFonts w:eastAsia="Calibri"/>
                <w:noProof/>
              </w:rPr>
            </w:pPr>
            <w:r w:rsidRPr="00DF5C23">
              <w:rPr>
                <w:rFonts w:ascii="Arial Narrow" w:hAnsi="Arial Narrow" w:cs="Calibri"/>
                <w:noProof/>
                <w:color w:val="000000"/>
                <w:sz w:val="20"/>
                <w:szCs w:val="20"/>
              </w:rPr>
              <w:t>4,769</w:t>
            </w:r>
          </w:p>
        </w:tc>
        <w:tc>
          <w:tcPr>
            <w:tcW w:w="851" w:type="dxa"/>
            <w:tcBorders>
              <w:bottom w:val="single" w:sz="4" w:space="0" w:color="auto"/>
            </w:tcBorders>
            <w:vAlign w:val="bottom"/>
          </w:tcPr>
          <w:p w14:paraId="7E8DE7A4" w14:textId="77777777" w:rsidR="0038775E" w:rsidRDefault="00877B9C" w:rsidP="002041D4">
            <w:pPr>
              <w:wordWrap w:val="0"/>
              <w:spacing w:before="20" w:after="20"/>
              <w:jc w:val="right"/>
              <w:rPr>
                <w:rFonts w:eastAsia="Calibri"/>
                <w:noProof/>
              </w:rPr>
            </w:pPr>
            <w:r w:rsidRPr="00DF5C23">
              <w:rPr>
                <w:rFonts w:ascii="Arial Narrow" w:hAnsi="Arial Narrow" w:cs="Calibri"/>
                <w:noProof/>
                <w:color w:val="000000"/>
                <w:sz w:val="20"/>
                <w:szCs w:val="20"/>
              </w:rPr>
              <w:t>8,841</w:t>
            </w:r>
          </w:p>
        </w:tc>
        <w:tc>
          <w:tcPr>
            <w:tcW w:w="850" w:type="dxa"/>
            <w:tcBorders>
              <w:bottom w:val="single" w:sz="4" w:space="0" w:color="auto"/>
            </w:tcBorders>
            <w:vAlign w:val="bottom"/>
          </w:tcPr>
          <w:p w14:paraId="24FC8706" w14:textId="77777777" w:rsidR="0038775E" w:rsidRDefault="00877B9C" w:rsidP="002041D4">
            <w:pPr>
              <w:wordWrap w:val="0"/>
              <w:spacing w:before="20" w:after="20"/>
              <w:jc w:val="right"/>
              <w:rPr>
                <w:rFonts w:eastAsia="Calibri"/>
                <w:noProof/>
              </w:rPr>
            </w:pPr>
            <w:r w:rsidRPr="00DF5C23">
              <w:rPr>
                <w:rFonts w:ascii="Arial Narrow" w:hAnsi="Arial Narrow" w:cs="Calibri"/>
                <w:noProof/>
                <w:color w:val="000000"/>
                <w:sz w:val="20"/>
                <w:szCs w:val="20"/>
              </w:rPr>
              <w:t>10,254</w:t>
            </w:r>
          </w:p>
        </w:tc>
        <w:tc>
          <w:tcPr>
            <w:tcW w:w="851" w:type="dxa"/>
            <w:tcBorders>
              <w:bottom w:val="single" w:sz="4" w:space="0" w:color="auto"/>
            </w:tcBorders>
            <w:vAlign w:val="bottom"/>
          </w:tcPr>
          <w:p w14:paraId="06D4C22E" w14:textId="77777777" w:rsidR="0038775E" w:rsidRDefault="00877B9C" w:rsidP="002041D4">
            <w:pPr>
              <w:wordWrap w:val="0"/>
              <w:spacing w:before="20" w:after="20"/>
              <w:jc w:val="right"/>
              <w:rPr>
                <w:rFonts w:eastAsia="Calibri"/>
                <w:noProof/>
              </w:rPr>
            </w:pPr>
            <w:r w:rsidRPr="00DF5C23">
              <w:rPr>
                <w:rFonts w:ascii="Arial Narrow" w:hAnsi="Arial Narrow" w:cs="Calibri"/>
                <w:noProof/>
                <w:color w:val="000000"/>
                <w:sz w:val="20"/>
                <w:szCs w:val="20"/>
              </w:rPr>
              <w:t>12,110</w:t>
            </w:r>
          </w:p>
        </w:tc>
        <w:tc>
          <w:tcPr>
            <w:tcW w:w="850" w:type="dxa"/>
            <w:tcBorders>
              <w:bottom w:val="single" w:sz="4" w:space="0" w:color="auto"/>
            </w:tcBorders>
            <w:vAlign w:val="bottom"/>
          </w:tcPr>
          <w:p w14:paraId="2B2A1FC0" w14:textId="77777777" w:rsidR="0038775E" w:rsidRDefault="00877B9C" w:rsidP="002041D4">
            <w:pPr>
              <w:wordWrap w:val="0"/>
              <w:spacing w:before="20" w:after="20"/>
              <w:jc w:val="right"/>
              <w:rPr>
                <w:rFonts w:eastAsia="Calibri"/>
                <w:noProof/>
              </w:rPr>
            </w:pPr>
            <w:r w:rsidRPr="00DF5C23">
              <w:rPr>
                <w:rFonts w:ascii="Arial Narrow" w:hAnsi="Arial Narrow" w:cs="Calibri"/>
                <w:noProof/>
                <w:color w:val="000000"/>
                <w:sz w:val="20"/>
                <w:szCs w:val="20"/>
              </w:rPr>
              <w:t>13,310</w:t>
            </w:r>
          </w:p>
        </w:tc>
        <w:tc>
          <w:tcPr>
            <w:tcW w:w="851" w:type="dxa"/>
            <w:tcBorders>
              <w:bottom w:val="single" w:sz="4" w:space="0" w:color="auto"/>
            </w:tcBorders>
            <w:vAlign w:val="bottom"/>
          </w:tcPr>
          <w:p w14:paraId="0A10D5B4" w14:textId="77777777" w:rsidR="0038775E" w:rsidRDefault="00877B9C" w:rsidP="002041D4">
            <w:pPr>
              <w:wordWrap w:val="0"/>
              <w:spacing w:before="20" w:after="20"/>
              <w:jc w:val="right"/>
              <w:rPr>
                <w:rFonts w:ascii="Arial Narrow" w:hAnsi="Arial Narrow" w:cs="Calibri"/>
                <w:noProof/>
                <w:color w:val="000000"/>
                <w:sz w:val="20"/>
                <w:szCs w:val="20"/>
              </w:rPr>
            </w:pPr>
            <w:r w:rsidRPr="00DF5C23">
              <w:rPr>
                <w:rFonts w:ascii="Arial Narrow" w:hAnsi="Arial Narrow" w:cs="Calibri"/>
                <w:noProof/>
                <w:color w:val="000000"/>
                <w:sz w:val="20"/>
                <w:szCs w:val="20"/>
              </w:rPr>
              <w:t>15,</w:t>
            </w:r>
            <w:r w:rsidR="005D3B78" w:rsidRPr="00DF5C23">
              <w:rPr>
                <w:rFonts w:ascii="Arial Narrow" w:hAnsi="Arial Narrow" w:cs="Calibri"/>
                <w:noProof/>
                <w:color w:val="000000"/>
                <w:sz w:val="20"/>
                <w:szCs w:val="20"/>
              </w:rPr>
              <w:t>775</w:t>
            </w:r>
          </w:p>
        </w:tc>
        <w:tc>
          <w:tcPr>
            <w:tcW w:w="1701" w:type="dxa"/>
            <w:tcBorders>
              <w:bottom w:val="single" w:sz="4" w:space="0" w:color="auto"/>
              <w:right w:val="single" w:sz="4" w:space="0" w:color="auto"/>
            </w:tcBorders>
            <w:vAlign w:val="bottom"/>
          </w:tcPr>
          <w:p w14:paraId="42E322C6" w14:textId="77777777" w:rsidR="0038775E" w:rsidRDefault="00877B9C" w:rsidP="002041D4">
            <w:pPr>
              <w:wordWrap w:val="0"/>
              <w:spacing w:before="0" w:after="0"/>
              <w:jc w:val="right"/>
              <w:rPr>
                <w:rFonts w:ascii="Arial Narrow" w:hAnsi="Arial Narrow" w:cs="Calibri"/>
                <w:noProof/>
                <w:color w:val="000000"/>
                <w:sz w:val="20"/>
                <w:szCs w:val="20"/>
              </w:rPr>
            </w:pPr>
            <w:r w:rsidRPr="00DF5C23">
              <w:rPr>
                <w:rFonts w:ascii="Arial Narrow" w:hAnsi="Arial Narrow" w:cs="Calibri"/>
                <w:noProof/>
                <w:color w:val="000000"/>
                <w:sz w:val="20"/>
                <w:szCs w:val="20"/>
              </w:rPr>
              <w:t>67,250</w:t>
            </w:r>
          </w:p>
          <w:p w14:paraId="2C3A5CC8" w14:textId="77777777" w:rsidR="005C61BF" w:rsidRPr="00DF5C23" w:rsidRDefault="005C61BF" w:rsidP="002041D4">
            <w:pPr>
              <w:wordWrap w:val="0"/>
              <w:spacing w:before="20" w:after="20"/>
              <w:jc w:val="right"/>
              <w:rPr>
                <w:rFonts w:eastAsia="Calibri"/>
                <w:noProof/>
              </w:rPr>
            </w:pPr>
          </w:p>
        </w:tc>
      </w:tr>
    </w:tbl>
    <w:p w14:paraId="2C3A5CCA" w14:textId="77777777" w:rsidR="00BF1765" w:rsidRPr="00DF5C23" w:rsidRDefault="00BF1765" w:rsidP="002041D4">
      <w:pPr>
        <w:wordWrap w:val="0"/>
        <w:rPr>
          <w:rFonts w:eastAsia="Calibri"/>
          <w:noProof/>
        </w:rPr>
      </w:pPr>
    </w:p>
    <w:p w14:paraId="2C3A5CCB" w14:textId="77777777" w:rsidR="00BF1765" w:rsidRPr="00DF5C23" w:rsidRDefault="00BF1765" w:rsidP="002041D4">
      <w:pPr>
        <w:wordWrap w:val="0"/>
        <w:spacing w:before="0" w:after="0"/>
        <w:jc w:val="left"/>
        <w:rPr>
          <w:rFonts w:eastAsia="Calibri"/>
          <w:noProof/>
        </w:rPr>
      </w:pPr>
      <w:r w:rsidRPr="00DF5C23">
        <w:rPr>
          <w:rFonts w:eastAsia="Calibri"/>
          <w:noProof/>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BF1765" w:rsidRPr="00DF5C23" w14:paraId="2C3A5CCF" w14:textId="77777777" w:rsidTr="00743354">
        <w:trPr>
          <w:jc w:val="center"/>
        </w:trPr>
        <w:tc>
          <w:tcPr>
            <w:tcW w:w="4744" w:type="dxa"/>
            <w:shd w:val="thinDiagStripe" w:color="C0C0C0" w:fill="auto"/>
            <w:vAlign w:val="center"/>
          </w:tcPr>
          <w:p w14:paraId="1EB9CB3E" w14:textId="77777777" w:rsidR="0038775E" w:rsidRDefault="00877B9C" w:rsidP="002041D4">
            <w:pPr>
              <w:wordWrap w:val="0"/>
              <w:spacing w:before="60" w:after="60"/>
              <w:jc w:val="center"/>
              <w:rPr>
                <w:rFonts w:eastAsia="Calibri"/>
                <w:b/>
                <w:noProof/>
                <w:lang w:eastAsia="ja-JP"/>
              </w:rPr>
            </w:pPr>
            <w:r w:rsidRPr="00DF5C23">
              <w:rPr>
                <w:rFonts w:eastAsia="Calibri"/>
                <w:noProof/>
                <w:sz w:val="22"/>
                <w:lang w:eastAsia="ja-JP"/>
              </w:rPr>
              <w:lastRenderedPageBreak/>
              <w:br w:type="page"/>
            </w:r>
            <w:r w:rsidRPr="00DF5C23">
              <w:rPr>
                <w:rFonts w:eastAsia="Calibri"/>
                <w:b/>
                <w:noProof/>
                <w:sz w:val="22"/>
                <w:lang w:eastAsia="ja-JP"/>
              </w:rPr>
              <w:t>多年間財務の見出し</w:t>
            </w:r>
            <w:r w:rsidRPr="00DF5C23">
              <w:rPr>
                <w:rFonts w:eastAsia="Calibri"/>
                <w:b/>
                <w:noProof/>
                <w:sz w:val="22"/>
                <w:lang w:eastAsia="ja-JP"/>
              </w:rPr>
              <w:t xml:space="preserve"> </w:t>
            </w:r>
            <w:r w:rsidRPr="00DF5C23">
              <w:rPr>
                <w:rFonts w:eastAsia="Calibri"/>
                <w:noProof/>
                <w:sz w:val="22"/>
                <w:lang w:eastAsia="ja-JP"/>
              </w:rPr>
              <w:br/>
            </w:r>
            <w:r w:rsidRPr="00DF5C23">
              <w:rPr>
                <w:rFonts w:eastAsia="Calibri"/>
                <w:b/>
                <w:noProof/>
                <w:sz w:val="22"/>
                <w:lang w:eastAsia="ja-JP"/>
              </w:rPr>
              <w:t>フレームワーク</w:t>
            </w:r>
            <w:r w:rsidRPr="00DF5C23">
              <w:rPr>
                <w:rFonts w:eastAsia="Calibri"/>
                <w:b/>
                <w:noProof/>
                <w:sz w:val="22"/>
                <w:lang w:eastAsia="ja-JP"/>
              </w:rPr>
              <w:t xml:space="preserve"> </w:t>
            </w:r>
          </w:p>
        </w:tc>
        <w:tc>
          <w:tcPr>
            <w:tcW w:w="1080" w:type="dxa"/>
            <w:shd w:val="thinDiagStripe" w:color="C0C0C0" w:fill="auto"/>
            <w:vAlign w:val="center"/>
          </w:tcPr>
          <w:p w14:paraId="58B6BDAC" w14:textId="77777777" w:rsidR="0038775E" w:rsidRDefault="00877B9C" w:rsidP="002041D4">
            <w:pPr>
              <w:wordWrap w:val="0"/>
              <w:spacing w:before="60" w:after="60"/>
              <w:jc w:val="center"/>
              <w:rPr>
                <w:rFonts w:eastAsia="Calibri"/>
                <w:noProof/>
              </w:rPr>
            </w:pPr>
            <w:r w:rsidRPr="00DF5C23">
              <w:rPr>
                <w:rFonts w:eastAsia="Calibri"/>
                <w:b/>
                <w:noProof/>
                <w:sz w:val="22"/>
              </w:rPr>
              <w:t>7</w:t>
            </w:r>
          </w:p>
        </w:tc>
        <w:tc>
          <w:tcPr>
            <w:tcW w:w="7817" w:type="dxa"/>
            <w:vAlign w:val="center"/>
          </w:tcPr>
          <w:p w14:paraId="75975981" w14:textId="77777777" w:rsidR="0038775E" w:rsidRDefault="00877B9C" w:rsidP="002041D4">
            <w:pPr>
              <w:wordWrap w:val="0"/>
              <w:spacing w:before="60" w:after="60"/>
              <w:rPr>
                <w:rFonts w:eastAsia="Calibri"/>
                <w:noProof/>
              </w:rPr>
            </w:pPr>
            <w:r w:rsidRPr="00DF5C23">
              <w:rPr>
                <w:rFonts w:eastAsia="Calibri"/>
                <w:noProof/>
                <w:sz w:val="22"/>
              </w:rPr>
              <w:t>'</w:t>
            </w:r>
            <w:r w:rsidRPr="00DF5C23">
              <w:rPr>
                <w:rFonts w:eastAsia="Calibri"/>
                <w:noProof/>
                <w:sz w:val="22"/>
              </w:rPr>
              <w:t>行政支出</w:t>
            </w:r>
            <w:r w:rsidRPr="00DF5C23">
              <w:rPr>
                <w:rFonts w:eastAsia="Calibri"/>
                <w:noProof/>
                <w:sz w:val="22"/>
              </w:rPr>
              <w:t>'</w:t>
            </w:r>
          </w:p>
        </w:tc>
      </w:tr>
    </w:tbl>
    <w:p w14:paraId="4A51AAE4" w14:textId="77777777" w:rsidR="0038775E" w:rsidRDefault="00877B9C" w:rsidP="002041D4">
      <w:pPr>
        <w:wordWrap w:val="0"/>
        <w:jc w:val="left"/>
        <w:rPr>
          <w:rFonts w:eastAsia="Calibri"/>
          <w:noProof/>
          <w:sz w:val="20"/>
          <w:szCs w:val="20"/>
          <w:lang w:eastAsia="ja-JP"/>
        </w:rPr>
      </w:pPr>
      <w:r w:rsidRPr="00DF5C23">
        <w:rPr>
          <w:rFonts w:eastAsia="Calibri"/>
          <w:noProof/>
          <w:lang w:eastAsia="ja-JP"/>
        </w:rPr>
        <w:t>この部分は、サービス間の協議のために</w:t>
      </w:r>
      <w:r w:rsidRPr="00DF5C23">
        <w:rPr>
          <w:rFonts w:eastAsia="Calibri"/>
          <w:noProof/>
          <w:lang w:eastAsia="ja-JP"/>
        </w:rPr>
        <w:t>DECIDE</w:t>
      </w:r>
      <w:r w:rsidRPr="00DF5C23">
        <w:rPr>
          <w:rFonts w:eastAsia="Calibri"/>
          <w:noProof/>
          <w:lang w:eastAsia="ja-JP"/>
        </w:rPr>
        <w:t>にアップロードされる「</w:t>
      </w:r>
      <w:hyperlink r:id="rId15" w:history="1">
        <w:r w:rsidRPr="00DF5C23">
          <w:rPr>
            <w:rFonts w:eastAsia="Calibri"/>
            <w:noProof/>
            <w:color w:val="0000FF"/>
            <w:u w:val="single"/>
            <w:lang w:eastAsia="ja-JP"/>
          </w:rPr>
          <w:t>立法府の財務諸表付属</w:t>
        </w:r>
      </w:hyperlink>
      <w:r w:rsidRPr="00DF5C23">
        <w:rPr>
          <w:rFonts w:eastAsia="Calibri"/>
          <w:noProof/>
          <w:lang w:eastAsia="ja-JP"/>
        </w:rPr>
        <w:t>書（内規付属書</w:t>
      </w:r>
      <w:r w:rsidRPr="00DF5C23">
        <w:rPr>
          <w:rFonts w:eastAsia="Calibri"/>
          <w:noProof/>
          <w:lang w:eastAsia="ja-JP"/>
        </w:rPr>
        <w:t>V</w:t>
      </w:r>
      <w:r w:rsidRPr="00DF5C23">
        <w:rPr>
          <w:rFonts w:eastAsia="Calibri"/>
          <w:noProof/>
          <w:lang w:eastAsia="ja-JP"/>
        </w:rPr>
        <w:t>）」で最初に紹介される「行政的性質の予算データ」を使って記入する。</w:t>
      </w:r>
    </w:p>
    <w:p w14:paraId="3A15BE93" w14:textId="77777777" w:rsidR="0038775E" w:rsidRDefault="00877B9C" w:rsidP="002041D4">
      <w:pPr>
        <w:wordWrap w:val="0"/>
        <w:jc w:val="right"/>
        <w:rPr>
          <w:rFonts w:eastAsia="Calibri"/>
          <w:noProof/>
          <w:sz w:val="20"/>
          <w:lang w:eastAsia="ja-JP"/>
        </w:rPr>
      </w:pPr>
      <w:r w:rsidRPr="00DF5C23">
        <w:rPr>
          <w:rFonts w:eastAsia="Calibri"/>
          <w:noProof/>
          <w:sz w:val="20"/>
          <w:lang w:eastAsia="ja-JP"/>
        </w:rPr>
        <w:t>百万ユーロ（小数点以下</w:t>
      </w:r>
      <w:r w:rsidRPr="00DF5C23">
        <w:rPr>
          <w:rFonts w:eastAsia="Calibri"/>
          <w:noProof/>
          <w:sz w:val="20"/>
          <w:lang w:eastAsia="ja-JP"/>
        </w:rPr>
        <w:t>3</w:t>
      </w:r>
      <w:r w:rsidRPr="00DF5C23">
        <w:rPr>
          <w:rFonts w:eastAsia="Calibri"/>
          <w:noProof/>
          <w:sz w:val="20"/>
          <w:lang w:eastAsia="ja-JP"/>
        </w:rPr>
        <w:t>桁まで）</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1448"/>
        <w:gridCol w:w="1418"/>
      </w:tblGrid>
      <w:tr w:rsidR="005C61BF" w:rsidRPr="00DF5C23" w14:paraId="2C3A5CDC" w14:textId="77777777" w:rsidTr="009C47CC">
        <w:tc>
          <w:tcPr>
            <w:tcW w:w="3960" w:type="dxa"/>
            <w:tcBorders>
              <w:top w:val="nil"/>
              <w:left w:val="nil"/>
              <w:right w:val="nil"/>
            </w:tcBorders>
            <w:vAlign w:val="center"/>
          </w:tcPr>
          <w:p w14:paraId="2C3A5CD2" w14:textId="77777777" w:rsidR="005C61BF" w:rsidRPr="00DF5C23" w:rsidRDefault="005C61BF" w:rsidP="002041D4">
            <w:pPr>
              <w:wordWrap w:val="0"/>
              <w:jc w:val="center"/>
              <w:rPr>
                <w:noProof/>
                <w:lang w:eastAsia="ja-JP"/>
              </w:rPr>
            </w:pPr>
          </w:p>
        </w:tc>
        <w:tc>
          <w:tcPr>
            <w:tcW w:w="1560" w:type="dxa"/>
            <w:tcBorders>
              <w:top w:val="nil"/>
              <w:left w:val="nil"/>
              <w:right w:val="nil"/>
            </w:tcBorders>
          </w:tcPr>
          <w:p w14:paraId="2C3A5CD3" w14:textId="77777777" w:rsidR="005C61BF" w:rsidRPr="00DF5C23" w:rsidRDefault="005C61BF" w:rsidP="002041D4">
            <w:pPr>
              <w:wordWrap w:val="0"/>
              <w:rPr>
                <w:noProof/>
                <w:sz w:val="20"/>
                <w:lang w:eastAsia="ja-JP"/>
              </w:rPr>
            </w:pPr>
          </w:p>
        </w:tc>
        <w:tc>
          <w:tcPr>
            <w:tcW w:w="534" w:type="dxa"/>
            <w:tcBorders>
              <w:top w:val="nil"/>
              <w:left w:val="nil"/>
            </w:tcBorders>
          </w:tcPr>
          <w:p w14:paraId="2C3A5CD4" w14:textId="77777777" w:rsidR="005C61BF" w:rsidRPr="00DF5C23" w:rsidRDefault="005C61BF" w:rsidP="002041D4">
            <w:pPr>
              <w:wordWrap w:val="0"/>
              <w:jc w:val="center"/>
              <w:rPr>
                <w:noProof/>
                <w:sz w:val="20"/>
                <w:lang w:eastAsia="ja-JP"/>
              </w:rPr>
            </w:pPr>
          </w:p>
        </w:tc>
        <w:tc>
          <w:tcPr>
            <w:tcW w:w="868" w:type="dxa"/>
            <w:vAlign w:val="center"/>
          </w:tcPr>
          <w:p w14:paraId="6F3CEDC2" w14:textId="77777777" w:rsidR="0038775E" w:rsidRDefault="00877B9C" w:rsidP="002041D4">
            <w:pPr>
              <w:wordWrap w:val="0"/>
              <w:jc w:val="center"/>
              <w:rPr>
                <w:noProof/>
                <w:sz w:val="20"/>
              </w:rPr>
            </w:pPr>
            <w:r w:rsidRPr="00DF5C23">
              <w:rPr>
                <w:noProof/>
                <w:sz w:val="20"/>
                <w:szCs w:val="20"/>
              </w:rPr>
              <w:t>年</w:t>
            </w:r>
            <w:r w:rsidRPr="00DF5C23">
              <w:rPr>
                <w:noProof/>
                <w:sz w:val="22"/>
              </w:rPr>
              <w:br/>
            </w:r>
            <w:r w:rsidRPr="00DF5C23">
              <w:rPr>
                <w:b/>
                <w:bCs/>
                <w:noProof/>
                <w:sz w:val="20"/>
                <w:szCs w:val="20"/>
              </w:rPr>
              <w:t>2022</w:t>
            </w:r>
          </w:p>
        </w:tc>
        <w:tc>
          <w:tcPr>
            <w:tcW w:w="868" w:type="dxa"/>
            <w:vAlign w:val="center"/>
          </w:tcPr>
          <w:p w14:paraId="0F7A1BF2" w14:textId="77777777" w:rsidR="0038775E" w:rsidRDefault="00877B9C" w:rsidP="002041D4">
            <w:pPr>
              <w:wordWrap w:val="0"/>
              <w:jc w:val="center"/>
              <w:rPr>
                <w:noProof/>
                <w:sz w:val="20"/>
              </w:rPr>
            </w:pPr>
            <w:r w:rsidRPr="00DF5C23">
              <w:rPr>
                <w:noProof/>
                <w:sz w:val="20"/>
              </w:rPr>
              <w:t>年</w:t>
            </w:r>
            <w:r w:rsidRPr="00DF5C23">
              <w:rPr>
                <w:noProof/>
                <w:sz w:val="22"/>
              </w:rPr>
              <w:br/>
            </w:r>
            <w:r w:rsidRPr="00DF5C23">
              <w:rPr>
                <w:b/>
                <w:noProof/>
                <w:sz w:val="20"/>
              </w:rPr>
              <w:t>2023</w:t>
            </w:r>
          </w:p>
        </w:tc>
        <w:tc>
          <w:tcPr>
            <w:tcW w:w="868" w:type="dxa"/>
            <w:vAlign w:val="center"/>
          </w:tcPr>
          <w:p w14:paraId="5A8EDF1D" w14:textId="77777777" w:rsidR="0038775E" w:rsidRDefault="00877B9C" w:rsidP="002041D4">
            <w:pPr>
              <w:wordWrap w:val="0"/>
              <w:jc w:val="center"/>
              <w:rPr>
                <w:noProof/>
                <w:sz w:val="20"/>
              </w:rPr>
            </w:pPr>
            <w:r w:rsidRPr="00DF5C23">
              <w:rPr>
                <w:noProof/>
                <w:sz w:val="20"/>
              </w:rPr>
              <w:t>年</w:t>
            </w:r>
            <w:r w:rsidRPr="00DF5C23">
              <w:rPr>
                <w:noProof/>
                <w:sz w:val="22"/>
              </w:rPr>
              <w:br/>
            </w:r>
            <w:r w:rsidRPr="00DF5C23">
              <w:rPr>
                <w:b/>
                <w:noProof/>
                <w:sz w:val="20"/>
              </w:rPr>
              <w:t>2024</w:t>
            </w:r>
          </w:p>
        </w:tc>
        <w:tc>
          <w:tcPr>
            <w:tcW w:w="868" w:type="dxa"/>
            <w:vAlign w:val="center"/>
          </w:tcPr>
          <w:p w14:paraId="36125153" w14:textId="77777777" w:rsidR="0038775E" w:rsidRDefault="00877B9C" w:rsidP="002041D4">
            <w:pPr>
              <w:wordWrap w:val="0"/>
              <w:jc w:val="center"/>
              <w:rPr>
                <w:noProof/>
                <w:sz w:val="20"/>
              </w:rPr>
            </w:pPr>
            <w:r w:rsidRPr="00DF5C23">
              <w:rPr>
                <w:noProof/>
                <w:sz w:val="20"/>
              </w:rPr>
              <w:t>年</w:t>
            </w:r>
            <w:r w:rsidRPr="00DF5C23">
              <w:rPr>
                <w:noProof/>
                <w:sz w:val="22"/>
              </w:rPr>
              <w:br/>
            </w:r>
            <w:r w:rsidRPr="00DF5C23">
              <w:rPr>
                <w:b/>
                <w:noProof/>
                <w:sz w:val="20"/>
              </w:rPr>
              <w:t>2025</w:t>
            </w:r>
          </w:p>
        </w:tc>
        <w:tc>
          <w:tcPr>
            <w:tcW w:w="868" w:type="dxa"/>
            <w:vAlign w:val="center"/>
          </w:tcPr>
          <w:p w14:paraId="77C6A54E" w14:textId="77777777" w:rsidR="0038775E" w:rsidRDefault="00877B9C" w:rsidP="002041D4">
            <w:pPr>
              <w:wordWrap w:val="0"/>
              <w:jc w:val="center"/>
              <w:rPr>
                <w:b/>
                <w:noProof/>
                <w:sz w:val="18"/>
              </w:rPr>
            </w:pPr>
            <w:r w:rsidRPr="00DF5C23">
              <w:rPr>
                <w:noProof/>
                <w:sz w:val="20"/>
              </w:rPr>
              <w:t>年</w:t>
            </w:r>
            <w:r w:rsidRPr="00DF5C23">
              <w:rPr>
                <w:noProof/>
                <w:sz w:val="22"/>
              </w:rPr>
              <w:br/>
            </w:r>
            <w:r w:rsidRPr="00DF5C23">
              <w:rPr>
                <w:b/>
                <w:noProof/>
                <w:sz w:val="20"/>
              </w:rPr>
              <w:t>2026</w:t>
            </w:r>
          </w:p>
        </w:tc>
        <w:tc>
          <w:tcPr>
            <w:tcW w:w="1448" w:type="dxa"/>
            <w:vAlign w:val="center"/>
          </w:tcPr>
          <w:p w14:paraId="1AC09E78" w14:textId="77777777" w:rsidR="0038775E" w:rsidRDefault="00877B9C" w:rsidP="002041D4">
            <w:pPr>
              <w:wordWrap w:val="0"/>
              <w:jc w:val="center"/>
              <w:rPr>
                <w:b/>
                <w:noProof/>
                <w:sz w:val="18"/>
              </w:rPr>
            </w:pPr>
            <w:r w:rsidRPr="00DF5C23">
              <w:rPr>
                <w:noProof/>
                <w:sz w:val="20"/>
              </w:rPr>
              <w:t>年</w:t>
            </w:r>
            <w:r w:rsidRPr="00DF5C23">
              <w:rPr>
                <w:noProof/>
                <w:sz w:val="22"/>
              </w:rPr>
              <w:br/>
            </w:r>
            <w:r w:rsidRPr="00DF5C23">
              <w:rPr>
                <w:b/>
                <w:noProof/>
                <w:sz w:val="20"/>
              </w:rPr>
              <w:t xml:space="preserve">2027 </w:t>
            </w:r>
          </w:p>
        </w:tc>
        <w:tc>
          <w:tcPr>
            <w:tcW w:w="1418" w:type="dxa"/>
            <w:vAlign w:val="center"/>
          </w:tcPr>
          <w:p w14:paraId="6A8C2241" w14:textId="77777777" w:rsidR="0038775E" w:rsidRDefault="00877B9C" w:rsidP="002041D4">
            <w:pPr>
              <w:wordWrap w:val="0"/>
              <w:jc w:val="center"/>
              <w:rPr>
                <w:b/>
                <w:noProof/>
                <w:sz w:val="20"/>
              </w:rPr>
            </w:pPr>
            <w:r w:rsidRPr="00DF5C23">
              <w:rPr>
                <w:b/>
                <w:noProof/>
                <w:sz w:val="20"/>
              </w:rPr>
              <w:t>TOTAL</w:t>
            </w:r>
          </w:p>
        </w:tc>
      </w:tr>
      <w:tr w:rsidR="005C61BF" w:rsidRPr="00DF5C23" w14:paraId="2C3A5CDE" w14:textId="77777777" w:rsidTr="009C47CC">
        <w:trPr>
          <w:gridAfter w:val="9"/>
          <w:wAfter w:w="9300" w:type="dxa"/>
        </w:trPr>
        <w:tc>
          <w:tcPr>
            <w:tcW w:w="3960" w:type="dxa"/>
            <w:vAlign w:val="center"/>
          </w:tcPr>
          <w:p w14:paraId="1D0B0E74" w14:textId="77777777" w:rsidR="0038775E" w:rsidRDefault="00877B9C" w:rsidP="002041D4">
            <w:pPr>
              <w:wordWrap w:val="0"/>
              <w:spacing w:before="60" w:after="60"/>
              <w:jc w:val="center"/>
              <w:rPr>
                <w:noProof/>
              </w:rPr>
            </w:pPr>
            <w:r w:rsidRPr="00DF5C23">
              <w:rPr>
                <w:noProof/>
                <w:sz w:val="22"/>
              </w:rPr>
              <w:t>DG</w:t>
            </w:r>
            <w:r w:rsidRPr="00DF5C23">
              <w:rPr>
                <w:noProof/>
                <w:sz w:val="22"/>
              </w:rPr>
              <w:t>：</w:t>
            </w:r>
            <w:r w:rsidRPr="00DF5C23">
              <w:rPr>
                <w:noProof/>
                <w:sz w:val="22"/>
              </w:rPr>
              <w:t>GROW</w:t>
            </w:r>
          </w:p>
        </w:tc>
      </w:tr>
      <w:tr w:rsidR="005C61BF" w:rsidRPr="00DF5C23" w14:paraId="2C3A5CE7" w14:textId="77777777" w:rsidTr="009C47CC">
        <w:trPr>
          <w:trHeight w:val="313"/>
        </w:trPr>
        <w:tc>
          <w:tcPr>
            <w:tcW w:w="6054" w:type="dxa"/>
            <w:gridSpan w:val="3"/>
            <w:vAlign w:val="center"/>
          </w:tcPr>
          <w:p w14:paraId="4C362EC3" w14:textId="77777777" w:rsidR="0038775E" w:rsidRDefault="00877B9C" w:rsidP="002041D4">
            <w:pPr>
              <w:wordWrap w:val="0"/>
              <w:spacing w:before="20" w:after="20"/>
              <w:rPr>
                <w:noProof/>
              </w:rPr>
            </w:pPr>
            <w:r w:rsidRPr="00DF5C23">
              <w:rPr>
                <w:noProof/>
                <w:sz w:val="22"/>
              </w:rPr>
              <w:sym w:font="Wingdings" w:char="F09F"/>
            </w:r>
            <w:r w:rsidRPr="00DF5C23">
              <w:rPr>
                <w:noProof/>
                <w:sz w:val="22"/>
              </w:rPr>
              <w:t xml:space="preserve"> </w:t>
            </w:r>
            <w:r w:rsidRPr="00DF5C23">
              <w:rPr>
                <w:noProof/>
                <w:sz w:val="22"/>
              </w:rPr>
              <w:t>人的資源</w:t>
            </w:r>
            <w:r w:rsidRPr="00DF5C23">
              <w:rPr>
                <w:noProof/>
                <w:sz w:val="22"/>
              </w:rPr>
              <w:t xml:space="preserve"> </w:t>
            </w:r>
          </w:p>
        </w:tc>
        <w:tc>
          <w:tcPr>
            <w:tcW w:w="868" w:type="dxa"/>
            <w:vAlign w:val="bottom"/>
          </w:tcPr>
          <w:p w14:paraId="55ACD8A3" w14:textId="77777777" w:rsidR="0038775E" w:rsidRDefault="00877B9C" w:rsidP="002041D4">
            <w:pPr>
              <w:wordWrap w:val="0"/>
              <w:spacing w:before="20" w:after="20"/>
              <w:jc w:val="right"/>
              <w:rPr>
                <w:noProof/>
                <w:sz w:val="20"/>
              </w:rPr>
            </w:pPr>
            <w:r w:rsidRPr="00DF5C23">
              <w:rPr>
                <w:rFonts w:ascii="Calibri" w:hAnsi="Calibri" w:cs="Calibri"/>
                <w:noProof/>
                <w:color w:val="000000"/>
                <w:sz w:val="22"/>
              </w:rPr>
              <w:t>0,383</w:t>
            </w:r>
          </w:p>
        </w:tc>
        <w:tc>
          <w:tcPr>
            <w:tcW w:w="868" w:type="dxa"/>
            <w:vAlign w:val="bottom"/>
          </w:tcPr>
          <w:p w14:paraId="62FFD156" w14:textId="77777777" w:rsidR="0038775E" w:rsidRDefault="00877B9C" w:rsidP="002041D4">
            <w:pPr>
              <w:wordWrap w:val="0"/>
              <w:spacing w:before="20" w:after="20"/>
              <w:jc w:val="right"/>
              <w:rPr>
                <w:noProof/>
                <w:sz w:val="20"/>
              </w:rPr>
            </w:pPr>
            <w:r w:rsidRPr="00DF5C23">
              <w:rPr>
                <w:rFonts w:ascii="Calibri" w:hAnsi="Calibri" w:cs="Calibri"/>
                <w:noProof/>
                <w:color w:val="000000"/>
                <w:sz w:val="22"/>
              </w:rPr>
              <w:t>1,740</w:t>
            </w:r>
          </w:p>
        </w:tc>
        <w:tc>
          <w:tcPr>
            <w:tcW w:w="868" w:type="dxa"/>
            <w:vAlign w:val="bottom"/>
          </w:tcPr>
          <w:p w14:paraId="0B0EAE35" w14:textId="77777777" w:rsidR="0038775E" w:rsidRDefault="00877B9C" w:rsidP="002041D4">
            <w:pPr>
              <w:wordWrap w:val="0"/>
              <w:spacing w:before="20" w:after="20"/>
              <w:jc w:val="right"/>
              <w:rPr>
                <w:noProof/>
                <w:sz w:val="20"/>
              </w:rPr>
            </w:pPr>
            <w:r w:rsidRPr="00DF5C23">
              <w:rPr>
                <w:rFonts w:ascii="Calibri" w:hAnsi="Calibri" w:cs="Calibri"/>
                <w:noProof/>
                <w:color w:val="000000"/>
                <w:sz w:val="22"/>
              </w:rPr>
              <w:t>2,325</w:t>
            </w:r>
          </w:p>
        </w:tc>
        <w:tc>
          <w:tcPr>
            <w:tcW w:w="868" w:type="dxa"/>
            <w:vAlign w:val="bottom"/>
          </w:tcPr>
          <w:p w14:paraId="4D3DD230" w14:textId="77777777" w:rsidR="0038775E" w:rsidRDefault="00877B9C" w:rsidP="002041D4">
            <w:pPr>
              <w:wordWrap w:val="0"/>
              <w:spacing w:before="20" w:after="20"/>
              <w:jc w:val="right"/>
              <w:rPr>
                <w:noProof/>
                <w:sz w:val="20"/>
              </w:rPr>
            </w:pPr>
            <w:r w:rsidRPr="00DF5C23">
              <w:rPr>
                <w:rFonts w:ascii="Calibri" w:hAnsi="Calibri" w:cs="Calibri"/>
                <w:noProof/>
                <w:color w:val="000000"/>
                <w:sz w:val="22"/>
              </w:rPr>
              <w:t>2,469</w:t>
            </w:r>
          </w:p>
        </w:tc>
        <w:tc>
          <w:tcPr>
            <w:tcW w:w="868" w:type="dxa"/>
            <w:vAlign w:val="bottom"/>
          </w:tcPr>
          <w:p w14:paraId="57B55859" w14:textId="77777777" w:rsidR="0038775E" w:rsidRDefault="00877B9C" w:rsidP="002041D4">
            <w:pPr>
              <w:wordWrap w:val="0"/>
              <w:spacing w:before="20" w:after="20"/>
              <w:jc w:val="right"/>
              <w:rPr>
                <w:noProof/>
                <w:sz w:val="20"/>
              </w:rPr>
            </w:pPr>
            <w:r w:rsidRPr="00DF5C23">
              <w:rPr>
                <w:rFonts w:ascii="Calibri" w:hAnsi="Calibri" w:cs="Calibri"/>
                <w:noProof/>
                <w:color w:val="000000"/>
                <w:sz w:val="22"/>
              </w:rPr>
              <w:t>2,541</w:t>
            </w:r>
          </w:p>
        </w:tc>
        <w:tc>
          <w:tcPr>
            <w:tcW w:w="1448" w:type="dxa"/>
            <w:vAlign w:val="bottom"/>
          </w:tcPr>
          <w:p w14:paraId="630B3129" w14:textId="77777777" w:rsidR="0038775E" w:rsidRDefault="00877B9C" w:rsidP="002041D4">
            <w:pPr>
              <w:wordWrap w:val="0"/>
              <w:spacing w:before="20" w:after="20"/>
              <w:jc w:val="right"/>
              <w:rPr>
                <w:noProof/>
                <w:sz w:val="20"/>
              </w:rPr>
            </w:pPr>
            <w:r w:rsidRPr="00DF5C23">
              <w:rPr>
                <w:rFonts w:ascii="Calibri" w:hAnsi="Calibri" w:cs="Calibri"/>
                <w:noProof/>
                <w:color w:val="000000"/>
                <w:sz w:val="22"/>
              </w:rPr>
              <w:t>2,656</w:t>
            </w:r>
          </w:p>
        </w:tc>
        <w:tc>
          <w:tcPr>
            <w:tcW w:w="1418" w:type="dxa"/>
            <w:vAlign w:val="bottom"/>
          </w:tcPr>
          <w:p w14:paraId="3F69E223" w14:textId="77777777" w:rsidR="0038775E" w:rsidRDefault="00877B9C" w:rsidP="002041D4">
            <w:pPr>
              <w:wordWrap w:val="0"/>
              <w:spacing w:before="20" w:after="20"/>
              <w:jc w:val="right"/>
              <w:rPr>
                <w:b/>
                <w:noProof/>
                <w:sz w:val="20"/>
              </w:rPr>
            </w:pPr>
            <w:r w:rsidRPr="00DF5C23">
              <w:rPr>
                <w:rFonts w:ascii="Calibri" w:hAnsi="Calibri" w:cs="Calibri"/>
                <w:noProof/>
                <w:color w:val="FF0000"/>
                <w:sz w:val="22"/>
              </w:rPr>
              <w:t>12,113</w:t>
            </w:r>
          </w:p>
        </w:tc>
      </w:tr>
      <w:tr w:rsidR="005C61BF" w:rsidRPr="00DF5C23" w14:paraId="2C3A5CF0" w14:textId="77777777" w:rsidTr="009C47CC">
        <w:trPr>
          <w:trHeight w:val="351"/>
        </w:trPr>
        <w:tc>
          <w:tcPr>
            <w:tcW w:w="6054" w:type="dxa"/>
            <w:gridSpan w:val="3"/>
            <w:vAlign w:val="center"/>
          </w:tcPr>
          <w:p w14:paraId="5C15364D" w14:textId="77777777" w:rsidR="0038775E" w:rsidRDefault="00877B9C" w:rsidP="002041D4">
            <w:pPr>
              <w:wordWrap w:val="0"/>
              <w:spacing w:before="20" w:after="20"/>
              <w:rPr>
                <w:noProof/>
              </w:rPr>
            </w:pPr>
            <w:r w:rsidRPr="00DF5C23">
              <w:rPr>
                <w:noProof/>
                <w:sz w:val="22"/>
              </w:rPr>
              <w:sym w:font="Wingdings" w:char="F09F"/>
            </w:r>
            <w:r w:rsidRPr="00DF5C23">
              <w:rPr>
                <w:noProof/>
                <w:sz w:val="22"/>
              </w:rPr>
              <w:t xml:space="preserve"> </w:t>
            </w:r>
            <w:r w:rsidRPr="00DF5C23">
              <w:rPr>
                <w:noProof/>
                <w:sz w:val="22"/>
              </w:rPr>
              <w:t>その他管理部門費</w:t>
            </w:r>
            <w:r w:rsidRPr="00DF5C23">
              <w:rPr>
                <w:noProof/>
                <w:sz w:val="22"/>
              </w:rPr>
              <w:t xml:space="preserve"> </w:t>
            </w:r>
          </w:p>
        </w:tc>
        <w:tc>
          <w:tcPr>
            <w:tcW w:w="868" w:type="dxa"/>
            <w:vAlign w:val="bottom"/>
          </w:tcPr>
          <w:p w14:paraId="34D0FCCB" w14:textId="77777777" w:rsidR="0038775E" w:rsidRDefault="00877B9C" w:rsidP="002041D4">
            <w:pPr>
              <w:wordWrap w:val="0"/>
              <w:spacing w:before="20" w:after="20"/>
              <w:jc w:val="right"/>
              <w:rPr>
                <w:b/>
                <w:noProof/>
                <w:sz w:val="20"/>
              </w:rPr>
            </w:pPr>
            <w:r w:rsidRPr="00DF5C23">
              <w:rPr>
                <w:rFonts w:ascii="Calibri" w:hAnsi="Calibri" w:cs="Calibri"/>
                <w:noProof/>
                <w:color w:val="000000"/>
                <w:sz w:val="22"/>
              </w:rPr>
              <w:t>0,005</w:t>
            </w:r>
          </w:p>
        </w:tc>
        <w:tc>
          <w:tcPr>
            <w:tcW w:w="868" w:type="dxa"/>
            <w:vAlign w:val="bottom"/>
          </w:tcPr>
          <w:p w14:paraId="507EC2E6" w14:textId="77777777" w:rsidR="0038775E" w:rsidRDefault="00877B9C" w:rsidP="002041D4">
            <w:pPr>
              <w:wordWrap w:val="0"/>
              <w:spacing w:before="20" w:after="20"/>
              <w:jc w:val="right"/>
              <w:rPr>
                <w:b/>
                <w:noProof/>
                <w:sz w:val="20"/>
              </w:rPr>
            </w:pPr>
            <w:r w:rsidRPr="00DF5C23">
              <w:rPr>
                <w:rFonts w:ascii="Calibri" w:hAnsi="Calibri" w:cs="Calibri"/>
                <w:noProof/>
                <w:color w:val="000000"/>
                <w:sz w:val="22"/>
              </w:rPr>
              <w:t>0,005</w:t>
            </w:r>
          </w:p>
        </w:tc>
        <w:tc>
          <w:tcPr>
            <w:tcW w:w="868" w:type="dxa"/>
            <w:vAlign w:val="bottom"/>
          </w:tcPr>
          <w:p w14:paraId="2A07D283" w14:textId="77777777" w:rsidR="0038775E" w:rsidRDefault="00877B9C" w:rsidP="002041D4">
            <w:pPr>
              <w:wordWrap w:val="0"/>
              <w:spacing w:before="20" w:after="20"/>
              <w:jc w:val="right"/>
              <w:rPr>
                <w:b/>
                <w:noProof/>
                <w:sz w:val="20"/>
              </w:rPr>
            </w:pPr>
            <w:r w:rsidRPr="00DF5C23">
              <w:rPr>
                <w:rFonts w:ascii="Calibri" w:hAnsi="Calibri" w:cs="Calibri"/>
                <w:noProof/>
                <w:color w:val="000000"/>
                <w:sz w:val="22"/>
              </w:rPr>
              <w:t>0,096</w:t>
            </w:r>
          </w:p>
        </w:tc>
        <w:tc>
          <w:tcPr>
            <w:tcW w:w="868" w:type="dxa"/>
            <w:vAlign w:val="bottom"/>
          </w:tcPr>
          <w:p w14:paraId="0923C715" w14:textId="77777777" w:rsidR="0038775E" w:rsidRDefault="00877B9C" w:rsidP="002041D4">
            <w:pPr>
              <w:wordWrap w:val="0"/>
              <w:spacing w:before="20" w:after="20"/>
              <w:jc w:val="right"/>
              <w:rPr>
                <w:b/>
                <w:noProof/>
                <w:sz w:val="20"/>
              </w:rPr>
            </w:pPr>
            <w:r w:rsidRPr="00DF5C23">
              <w:rPr>
                <w:rFonts w:ascii="Calibri" w:hAnsi="Calibri" w:cs="Calibri"/>
                <w:noProof/>
                <w:color w:val="000000"/>
                <w:sz w:val="22"/>
              </w:rPr>
              <w:t>0,097</w:t>
            </w:r>
          </w:p>
        </w:tc>
        <w:tc>
          <w:tcPr>
            <w:tcW w:w="868" w:type="dxa"/>
            <w:vAlign w:val="bottom"/>
          </w:tcPr>
          <w:p w14:paraId="3C991BCA" w14:textId="77777777" w:rsidR="0038775E" w:rsidRDefault="00877B9C" w:rsidP="002041D4">
            <w:pPr>
              <w:wordWrap w:val="0"/>
              <w:spacing w:before="20" w:after="20"/>
              <w:jc w:val="right"/>
              <w:rPr>
                <w:b/>
                <w:noProof/>
                <w:sz w:val="20"/>
              </w:rPr>
            </w:pPr>
            <w:r w:rsidRPr="00DF5C23">
              <w:rPr>
                <w:rFonts w:ascii="Calibri" w:hAnsi="Calibri" w:cs="Calibri"/>
                <w:noProof/>
                <w:color w:val="000000"/>
                <w:sz w:val="22"/>
              </w:rPr>
              <w:t>0,097</w:t>
            </w:r>
          </w:p>
        </w:tc>
        <w:tc>
          <w:tcPr>
            <w:tcW w:w="1448" w:type="dxa"/>
            <w:vAlign w:val="bottom"/>
          </w:tcPr>
          <w:p w14:paraId="58CBDFD6" w14:textId="77777777" w:rsidR="0038775E" w:rsidRDefault="00877B9C" w:rsidP="002041D4">
            <w:pPr>
              <w:wordWrap w:val="0"/>
              <w:spacing w:before="20" w:after="20"/>
              <w:jc w:val="right"/>
              <w:rPr>
                <w:b/>
                <w:noProof/>
                <w:sz w:val="20"/>
              </w:rPr>
            </w:pPr>
            <w:r w:rsidRPr="00DF5C23">
              <w:rPr>
                <w:rFonts w:ascii="Calibri" w:hAnsi="Calibri" w:cs="Calibri"/>
                <w:noProof/>
                <w:color w:val="000000"/>
                <w:sz w:val="22"/>
              </w:rPr>
              <w:t>0,090</w:t>
            </w:r>
          </w:p>
        </w:tc>
        <w:tc>
          <w:tcPr>
            <w:tcW w:w="1418" w:type="dxa"/>
            <w:vAlign w:val="bottom"/>
          </w:tcPr>
          <w:p w14:paraId="2056EB36" w14:textId="77777777" w:rsidR="0038775E" w:rsidRDefault="00877B9C" w:rsidP="002041D4">
            <w:pPr>
              <w:wordWrap w:val="0"/>
              <w:spacing w:before="20" w:after="20"/>
              <w:jc w:val="right"/>
              <w:rPr>
                <w:b/>
                <w:noProof/>
                <w:sz w:val="20"/>
              </w:rPr>
            </w:pPr>
            <w:r w:rsidRPr="00DF5C23">
              <w:rPr>
                <w:rFonts w:ascii="Calibri" w:hAnsi="Calibri" w:cs="Calibri"/>
                <w:noProof/>
                <w:color w:val="000000"/>
                <w:sz w:val="22"/>
              </w:rPr>
              <w:t>0,390</w:t>
            </w:r>
          </w:p>
        </w:tc>
      </w:tr>
      <w:tr w:rsidR="005C61BF" w:rsidRPr="00DF5C23" w14:paraId="2C3A5CFA" w14:textId="77777777" w:rsidTr="009C47CC">
        <w:tc>
          <w:tcPr>
            <w:tcW w:w="3960" w:type="dxa"/>
            <w:tcBorders>
              <w:bottom w:val="single" w:sz="4" w:space="0" w:color="auto"/>
            </w:tcBorders>
            <w:vAlign w:val="center"/>
          </w:tcPr>
          <w:p w14:paraId="418A419F" w14:textId="77777777" w:rsidR="0038775E" w:rsidRDefault="00877B9C" w:rsidP="002041D4">
            <w:pPr>
              <w:wordWrap w:val="0"/>
              <w:jc w:val="center"/>
              <w:rPr>
                <w:b/>
                <w:noProof/>
              </w:rPr>
            </w:pPr>
            <w:r w:rsidRPr="00DF5C23">
              <w:rPr>
                <w:b/>
                <w:noProof/>
                <w:sz w:val="22"/>
              </w:rPr>
              <w:t xml:space="preserve">TOTAL DG </w:t>
            </w:r>
            <w:r w:rsidRPr="00DF5C23">
              <w:rPr>
                <w:noProof/>
                <w:sz w:val="22"/>
              </w:rPr>
              <w:t>GROW</w:t>
            </w:r>
          </w:p>
        </w:tc>
        <w:tc>
          <w:tcPr>
            <w:tcW w:w="2094" w:type="dxa"/>
            <w:gridSpan w:val="2"/>
            <w:tcBorders>
              <w:bottom w:val="single" w:sz="4" w:space="0" w:color="auto"/>
            </w:tcBorders>
            <w:vAlign w:val="center"/>
          </w:tcPr>
          <w:p w14:paraId="700443C8" w14:textId="77777777" w:rsidR="0038775E" w:rsidRDefault="00877B9C" w:rsidP="002041D4">
            <w:pPr>
              <w:wordWrap w:val="0"/>
              <w:rPr>
                <w:noProof/>
                <w:sz w:val="14"/>
                <w:lang w:eastAsia="ja-JP"/>
              </w:rPr>
            </w:pPr>
            <w:r w:rsidRPr="00DF5C23">
              <w:rPr>
                <w:noProof/>
                <w:sz w:val="18"/>
                <w:lang w:eastAsia="ja-JP"/>
              </w:rPr>
              <w:t>アプロプリエーション</w:t>
            </w:r>
            <w:r w:rsidRPr="00DF5C23">
              <w:rPr>
                <w:noProof/>
                <w:sz w:val="18"/>
                <w:lang w:eastAsia="ja-JP"/>
              </w:rPr>
              <w:t xml:space="preserve"> </w:t>
            </w:r>
          </w:p>
        </w:tc>
        <w:tc>
          <w:tcPr>
            <w:tcW w:w="868" w:type="dxa"/>
            <w:tcBorders>
              <w:bottom w:val="single" w:sz="4" w:space="0" w:color="auto"/>
            </w:tcBorders>
            <w:vAlign w:val="bottom"/>
          </w:tcPr>
          <w:p w14:paraId="6EA93362" w14:textId="77777777" w:rsidR="0038775E" w:rsidRDefault="00877B9C" w:rsidP="002041D4">
            <w:pPr>
              <w:wordWrap w:val="0"/>
              <w:spacing w:before="20" w:after="20"/>
              <w:jc w:val="right"/>
              <w:rPr>
                <w:noProof/>
              </w:rPr>
            </w:pPr>
            <w:r w:rsidRPr="00DF5C23">
              <w:rPr>
                <w:rFonts w:ascii="Calibri" w:hAnsi="Calibri" w:cs="Calibri"/>
                <w:noProof/>
                <w:color w:val="000000"/>
                <w:sz w:val="22"/>
              </w:rPr>
              <w:t>0,388</w:t>
            </w:r>
          </w:p>
        </w:tc>
        <w:tc>
          <w:tcPr>
            <w:tcW w:w="868" w:type="dxa"/>
            <w:tcBorders>
              <w:bottom w:val="single" w:sz="4" w:space="0" w:color="auto"/>
            </w:tcBorders>
            <w:vAlign w:val="bottom"/>
          </w:tcPr>
          <w:p w14:paraId="6C252DCF" w14:textId="77777777" w:rsidR="0038775E" w:rsidRDefault="00877B9C" w:rsidP="002041D4">
            <w:pPr>
              <w:wordWrap w:val="0"/>
              <w:spacing w:before="20" w:after="20"/>
              <w:jc w:val="right"/>
              <w:rPr>
                <w:noProof/>
              </w:rPr>
            </w:pPr>
            <w:r w:rsidRPr="00DF5C23">
              <w:rPr>
                <w:rFonts w:ascii="Calibri" w:hAnsi="Calibri" w:cs="Calibri"/>
                <w:noProof/>
                <w:color w:val="000000"/>
                <w:sz w:val="22"/>
              </w:rPr>
              <w:t>1,745</w:t>
            </w:r>
          </w:p>
        </w:tc>
        <w:tc>
          <w:tcPr>
            <w:tcW w:w="868" w:type="dxa"/>
            <w:tcBorders>
              <w:bottom w:val="single" w:sz="4" w:space="0" w:color="auto"/>
            </w:tcBorders>
            <w:vAlign w:val="bottom"/>
          </w:tcPr>
          <w:p w14:paraId="695B5E1A" w14:textId="77777777" w:rsidR="0038775E" w:rsidRDefault="00877B9C" w:rsidP="002041D4">
            <w:pPr>
              <w:wordWrap w:val="0"/>
              <w:spacing w:before="20" w:after="20"/>
              <w:jc w:val="right"/>
              <w:rPr>
                <w:noProof/>
              </w:rPr>
            </w:pPr>
            <w:r w:rsidRPr="00DF5C23">
              <w:rPr>
                <w:rFonts w:ascii="Calibri" w:hAnsi="Calibri" w:cs="Calibri"/>
                <w:noProof/>
                <w:color w:val="000000"/>
                <w:sz w:val="22"/>
              </w:rPr>
              <w:t>2,421</w:t>
            </w:r>
          </w:p>
        </w:tc>
        <w:tc>
          <w:tcPr>
            <w:tcW w:w="868" w:type="dxa"/>
            <w:tcBorders>
              <w:bottom w:val="single" w:sz="4" w:space="0" w:color="auto"/>
            </w:tcBorders>
            <w:vAlign w:val="bottom"/>
          </w:tcPr>
          <w:p w14:paraId="7135E7AE" w14:textId="77777777" w:rsidR="0038775E" w:rsidRDefault="00877B9C" w:rsidP="002041D4">
            <w:pPr>
              <w:wordWrap w:val="0"/>
              <w:spacing w:before="20" w:after="20"/>
              <w:jc w:val="right"/>
              <w:rPr>
                <w:noProof/>
              </w:rPr>
            </w:pPr>
            <w:r w:rsidRPr="00DF5C23">
              <w:rPr>
                <w:rFonts w:ascii="Calibri" w:hAnsi="Calibri" w:cs="Calibri"/>
                <w:noProof/>
                <w:color w:val="000000"/>
                <w:sz w:val="22"/>
              </w:rPr>
              <w:t>2,566</w:t>
            </w:r>
          </w:p>
        </w:tc>
        <w:tc>
          <w:tcPr>
            <w:tcW w:w="868" w:type="dxa"/>
            <w:tcBorders>
              <w:bottom w:val="single" w:sz="4" w:space="0" w:color="auto"/>
            </w:tcBorders>
            <w:vAlign w:val="bottom"/>
          </w:tcPr>
          <w:p w14:paraId="3C05EF0E" w14:textId="77777777" w:rsidR="0038775E" w:rsidRDefault="00877B9C" w:rsidP="002041D4">
            <w:pPr>
              <w:wordWrap w:val="0"/>
              <w:spacing w:before="20" w:after="20"/>
              <w:jc w:val="right"/>
              <w:rPr>
                <w:noProof/>
              </w:rPr>
            </w:pPr>
            <w:r w:rsidRPr="00DF5C23">
              <w:rPr>
                <w:rFonts w:ascii="Calibri" w:hAnsi="Calibri" w:cs="Calibri"/>
                <w:noProof/>
                <w:color w:val="000000"/>
                <w:sz w:val="22"/>
              </w:rPr>
              <w:t>2,638</w:t>
            </w:r>
          </w:p>
        </w:tc>
        <w:tc>
          <w:tcPr>
            <w:tcW w:w="1448" w:type="dxa"/>
            <w:tcBorders>
              <w:bottom w:val="single" w:sz="4" w:space="0" w:color="auto"/>
            </w:tcBorders>
            <w:vAlign w:val="bottom"/>
          </w:tcPr>
          <w:p w14:paraId="4AB0B4D7" w14:textId="77777777" w:rsidR="0038775E" w:rsidRDefault="00877B9C" w:rsidP="002041D4">
            <w:pPr>
              <w:wordWrap w:val="0"/>
              <w:spacing w:before="20" w:after="20"/>
              <w:jc w:val="right"/>
              <w:rPr>
                <w:noProof/>
              </w:rPr>
            </w:pPr>
            <w:r w:rsidRPr="00DF5C23">
              <w:rPr>
                <w:rFonts w:ascii="Calibri" w:hAnsi="Calibri" w:cs="Calibri"/>
                <w:noProof/>
                <w:color w:val="000000"/>
                <w:sz w:val="22"/>
              </w:rPr>
              <w:t>2,746</w:t>
            </w:r>
          </w:p>
        </w:tc>
        <w:tc>
          <w:tcPr>
            <w:tcW w:w="1418" w:type="dxa"/>
            <w:tcBorders>
              <w:bottom w:val="single" w:sz="4" w:space="0" w:color="auto"/>
            </w:tcBorders>
            <w:vAlign w:val="bottom"/>
          </w:tcPr>
          <w:p w14:paraId="78168441" w14:textId="77777777" w:rsidR="0038775E" w:rsidRDefault="00877B9C" w:rsidP="002041D4">
            <w:pPr>
              <w:wordWrap w:val="0"/>
              <w:spacing w:before="20" w:after="20"/>
              <w:jc w:val="right"/>
              <w:rPr>
                <w:b/>
                <w:noProof/>
                <w:sz w:val="20"/>
              </w:rPr>
            </w:pPr>
            <w:r w:rsidRPr="00DF5C23">
              <w:rPr>
                <w:rFonts w:ascii="Calibri" w:hAnsi="Calibri" w:cs="Calibri"/>
                <w:noProof/>
                <w:color w:val="000000"/>
                <w:sz w:val="22"/>
              </w:rPr>
              <w:t>12,503</w:t>
            </w:r>
          </w:p>
        </w:tc>
      </w:tr>
      <w:tr w:rsidR="005C61BF" w:rsidRPr="00DF5C23" w14:paraId="2C3A5D04" w14:textId="77777777" w:rsidTr="009C47CC">
        <w:tc>
          <w:tcPr>
            <w:tcW w:w="3960" w:type="dxa"/>
            <w:tcBorders>
              <w:left w:val="nil"/>
              <w:bottom w:val="nil"/>
              <w:right w:val="nil"/>
            </w:tcBorders>
            <w:vAlign w:val="center"/>
          </w:tcPr>
          <w:p w14:paraId="2C3A5CFB" w14:textId="77777777" w:rsidR="005C61BF" w:rsidRPr="00DF5C23" w:rsidRDefault="005C61BF" w:rsidP="002041D4">
            <w:pPr>
              <w:wordWrap w:val="0"/>
              <w:jc w:val="center"/>
              <w:rPr>
                <w:b/>
                <w:noProof/>
                <w:sz w:val="22"/>
              </w:rPr>
            </w:pPr>
          </w:p>
        </w:tc>
        <w:tc>
          <w:tcPr>
            <w:tcW w:w="2094" w:type="dxa"/>
            <w:gridSpan w:val="2"/>
            <w:tcBorders>
              <w:left w:val="nil"/>
              <w:bottom w:val="nil"/>
              <w:right w:val="nil"/>
            </w:tcBorders>
            <w:vAlign w:val="center"/>
          </w:tcPr>
          <w:p w14:paraId="2C3A5CFC" w14:textId="77777777" w:rsidR="005C61BF" w:rsidRPr="00DF5C23" w:rsidRDefault="005C61BF" w:rsidP="002041D4">
            <w:pPr>
              <w:wordWrap w:val="0"/>
              <w:rPr>
                <w:noProof/>
                <w:sz w:val="18"/>
              </w:rPr>
            </w:pPr>
          </w:p>
        </w:tc>
        <w:tc>
          <w:tcPr>
            <w:tcW w:w="868" w:type="dxa"/>
            <w:tcBorders>
              <w:left w:val="nil"/>
              <w:bottom w:val="single" w:sz="4" w:space="0" w:color="auto"/>
              <w:right w:val="nil"/>
            </w:tcBorders>
            <w:vAlign w:val="center"/>
          </w:tcPr>
          <w:p w14:paraId="2C3A5CFD" w14:textId="77777777" w:rsidR="005C61BF" w:rsidRPr="00DF5C23" w:rsidRDefault="005C61BF" w:rsidP="002041D4">
            <w:pPr>
              <w:wordWrap w:val="0"/>
              <w:spacing w:before="60" w:after="60"/>
              <w:jc w:val="right"/>
              <w:rPr>
                <w:noProof/>
                <w:sz w:val="20"/>
              </w:rPr>
            </w:pPr>
          </w:p>
        </w:tc>
        <w:tc>
          <w:tcPr>
            <w:tcW w:w="868" w:type="dxa"/>
            <w:tcBorders>
              <w:left w:val="nil"/>
              <w:bottom w:val="single" w:sz="4" w:space="0" w:color="auto"/>
              <w:right w:val="nil"/>
            </w:tcBorders>
            <w:vAlign w:val="center"/>
          </w:tcPr>
          <w:p w14:paraId="2C3A5CFE" w14:textId="77777777" w:rsidR="005C61BF" w:rsidRPr="00DF5C23" w:rsidRDefault="005C61BF" w:rsidP="002041D4">
            <w:pPr>
              <w:wordWrap w:val="0"/>
              <w:spacing w:before="20" w:after="20"/>
              <w:jc w:val="right"/>
              <w:rPr>
                <w:noProof/>
                <w:sz w:val="20"/>
              </w:rPr>
            </w:pPr>
          </w:p>
        </w:tc>
        <w:tc>
          <w:tcPr>
            <w:tcW w:w="868" w:type="dxa"/>
            <w:tcBorders>
              <w:left w:val="nil"/>
              <w:bottom w:val="single" w:sz="4" w:space="0" w:color="auto"/>
              <w:right w:val="nil"/>
            </w:tcBorders>
            <w:vAlign w:val="center"/>
          </w:tcPr>
          <w:p w14:paraId="2C3A5CFF" w14:textId="77777777" w:rsidR="005C61BF" w:rsidRPr="00DF5C23" w:rsidRDefault="005C61BF" w:rsidP="002041D4">
            <w:pPr>
              <w:wordWrap w:val="0"/>
              <w:spacing w:before="20" w:after="20"/>
              <w:jc w:val="right"/>
              <w:rPr>
                <w:noProof/>
                <w:sz w:val="20"/>
              </w:rPr>
            </w:pPr>
          </w:p>
        </w:tc>
        <w:tc>
          <w:tcPr>
            <w:tcW w:w="868" w:type="dxa"/>
            <w:tcBorders>
              <w:left w:val="nil"/>
              <w:bottom w:val="single" w:sz="4" w:space="0" w:color="auto"/>
              <w:right w:val="nil"/>
            </w:tcBorders>
            <w:vAlign w:val="center"/>
          </w:tcPr>
          <w:p w14:paraId="2C3A5D00" w14:textId="77777777" w:rsidR="005C61BF" w:rsidRPr="00DF5C23" w:rsidRDefault="005C61BF" w:rsidP="002041D4">
            <w:pPr>
              <w:wordWrap w:val="0"/>
              <w:spacing w:before="20" w:after="20"/>
              <w:jc w:val="right"/>
              <w:rPr>
                <w:noProof/>
                <w:sz w:val="20"/>
              </w:rPr>
            </w:pPr>
          </w:p>
        </w:tc>
        <w:tc>
          <w:tcPr>
            <w:tcW w:w="868" w:type="dxa"/>
            <w:tcBorders>
              <w:left w:val="nil"/>
              <w:bottom w:val="single" w:sz="4" w:space="0" w:color="auto"/>
              <w:right w:val="nil"/>
            </w:tcBorders>
            <w:vAlign w:val="center"/>
          </w:tcPr>
          <w:p w14:paraId="2C3A5D01" w14:textId="77777777" w:rsidR="005C61BF" w:rsidRPr="00DF5C23" w:rsidRDefault="005C61BF" w:rsidP="002041D4">
            <w:pPr>
              <w:wordWrap w:val="0"/>
              <w:spacing w:before="20" w:after="20"/>
              <w:jc w:val="right"/>
              <w:rPr>
                <w:noProof/>
                <w:sz w:val="20"/>
              </w:rPr>
            </w:pPr>
          </w:p>
        </w:tc>
        <w:tc>
          <w:tcPr>
            <w:tcW w:w="1448" w:type="dxa"/>
            <w:tcBorders>
              <w:left w:val="nil"/>
              <w:bottom w:val="single" w:sz="4" w:space="0" w:color="auto"/>
              <w:right w:val="nil"/>
            </w:tcBorders>
            <w:vAlign w:val="center"/>
          </w:tcPr>
          <w:p w14:paraId="2C3A5D02" w14:textId="77777777" w:rsidR="005C61BF" w:rsidRPr="00DF5C23" w:rsidRDefault="005C61BF" w:rsidP="002041D4">
            <w:pPr>
              <w:wordWrap w:val="0"/>
              <w:spacing w:before="20" w:after="20"/>
              <w:jc w:val="right"/>
              <w:rPr>
                <w:noProof/>
                <w:sz w:val="20"/>
              </w:rPr>
            </w:pPr>
          </w:p>
        </w:tc>
        <w:tc>
          <w:tcPr>
            <w:tcW w:w="1418" w:type="dxa"/>
            <w:tcBorders>
              <w:left w:val="nil"/>
              <w:bottom w:val="single" w:sz="4" w:space="0" w:color="auto"/>
            </w:tcBorders>
            <w:vAlign w:val="center"/>
          </w:tcPr>
          <w:p w14:paraId="2C3A5D03" w14:textId="77777777" w:rsidR="005C61BF" w:rsidRPr="00DF5C23" w:rsidRDefault="005C61BF" w:rsidP="002041D4">
            <w:pPr>
              <w:wordWrap w:val="0"/>
              <w:spacing w:before="20" w:after="20"/>
              <w:jc w:val="right"/>
              <w:rPr>
                <w:b/>
                <w:noProof/>
                <w:sz w:val="20"/>
              </w:rPr>
            </w:pPr>
          </w:p>
        </w:tc>
      </w:tr>
      <w:tr w:rsidR="005C61BF" w:rsidRPr="00DF5C23" w14:paraId="2C3A5D0F" w14:textId="77777777" w:rsidTr="009C47CC">
        <w:tc>
          <w:tcPr>
            <w:tcW w:w="3960" w:type="dxa"/>
            <w:tcBorders>
              <w:top w:val="nil"/>
              <w:left w:val="nil"/>
              <w:right w:val="nil"/>
            </w:tcBorders>
            <w:vAlign w:val="center"/>
          </w:tcPr>
          <w:p w14:paraId="2C3A5D05" w14:textId="77777777" w:rsidR="005C61BF" w:rsidRPr="00DF5C23" w:rsidRDefault="005C61BF" w:rsidP="002041D4">
            <w:pPr>
              <w:wordWrap w:val="0"/>
              <w:jc w:val="center"/>
              <w:rPr>
                <w:noProof/>
              </w:rPr>
            </w:pPr>
          </w:p>
        </w:tc>
        <w:tc>
          <w:tcPr>
            <w:tcW w:w="1560" w:type="dxa"/>
            <w:tcBorders>
              <w:top w:val="nil"/>
              <w:left w:val="nil"/>
              <w:right w:val="nil"/>
            </w:tcBorders>
          </w:tcPr>
          <w:p w14:paraId="2C3A5D06" w14:textId="77777777" w:rsidR="005C61BF" w:rsidRPr="00DF5C23" w:rsidRDefault="005C61BF" w:rsidP="002041D4">
            <w:pPr>
              <w:wordWrap w:val="0"/>
              <w:rPr>
                <w:noProof/>
                <w:sz w:val="20"/>
              </w:rPr>
            </w:pPr>
          </w:p>
        </w:tc>
        <w:tc>
          <w:tcPr>
            <w:tcW w:w="534" w:type="dxa"/>
            <w:tcBorders>
              <w:top w:val="nil"/>
              <w:left w:val="nil"/>
            </w:tcBorders>
          </w:tcPr>
          <w:p w14:paraId="2C3A5D07" w14:textId="77777777" w:rsidR="005C61BF" w:rsidRPr="00DF5C23" w:rsidRDefault="005C61BF" w:rsidP="002041D4">
            <w:pPr>
              <w:wordWrap w:val="0"/>
              <w:jc w:val="center"/>
              <w:rPr>
                <w:noProof/>
                <w:sz w:val="20"/>
              </w:rPr>
            </w:pPr>
          </w:p>
        </w:tc>
        <w:tc>
          <w:tcPr>
            <w:tcW w:w="868" w:type="dxa"/>
            <w:tcBorders>
              <w:top w:val="single" w:sz="4" w:space="0" w:color="auto"/>
            </w:tcBorders>
            <w:vAlign w:val="center"/>
          </w:tcPr>
          <w:p w14:paraId="12DC9DE3" w14:textId="77777777" w:rsidR="0038775E" w:rsidRDefault="00877B9C" w:rsidP="002041D4">
            <w:pPr>
              <w:wordWrap w:val="0"/>
              <w:jc w:val="center"/>
              <w:rPr>
                <w:noProof/>
                <w:sz w:val="20"/>
              </w:rPr>
            </w:pPr>
            <w:r w:rsidRPr="00DF5C23">
              <w:rPr>
                <w:noProof/>
                <w:sz w:val="20"/>
                <w:szCs w:val="20"/>
              </w:rPr>
              <w:t>年</w:t>
            </w:r>
            <w:r w:rsidRPr="00DF5C23">
              <w:rPr>
                <w:noProof/>
                <w:sz w:val="22"/>
              </w:rPr>
              <w:br/>
            </w:r>
            <w:r w:rsidRPr="00DF5C23">
              <w:rPr>
                <w:b/>
                <w:bCs/>
                <w:noProof/>
                <w:sz w:val="20"/>
                <w:szCs w:val="20"/>
              </w:rPr>
              <w:t>2022</w:t>
            </w:r>
          </w:p>
        </w:tc>
        <w:tc>
          <w:tcPr>
            <w:tcW w:w="868" w:type="dxa"/>
            <w:tcBorders>
              <w:top w:val="single" w:sz="4" w:space="0" w:color="auto"/>
            </w:tcBorders>
            <w:vAlign w:val="center"/>
          </w:tcPr>
          <w:p w14:paraId="34A1D313" w14:textId="77777777" w:rsidR="0038775E" w:rsidRDefault="00877B9C" w:rsidP="002041D4">
            <w:pPr>
              <w:wordWrap w:val="0"/>
              <w:jc w:val="center"/>
              <w:rPr>
                <w:noProof/>
                <w:sz w:val="20"/>
              </w:rPr>
            </w:pPr>
            <w:r w:rsidRPr="00DF5C23">
              <w:rPr>
                <w:noProof/>
                <w:sz w:val="20"/>
              </w:rPr>
              <w:t>年</w:t>
            </w:r>
            <w:r w:rsidRPr="00DF5C23">
              <w:rPr>
                <w:noProof/>
                <w:sz w:val="22"/>
              </w:rPr>
              <w:br/>
            </w:r>
            <w:r w:rsidRPr="00DF5C23">
              <w:rPr>
                <w:b/>
                <w:noProof/>
                <w:sz w:val="20"/>
              </w:rPr>
              <w:t>2023</w:t>
            </w:r>
          </w:p>
        </w:tc>
        <w:tc>
          <w:tcPr>
            <w:tcW w:w="868" w:type="dxa"/>
            <w:tcBorders>
              <w:top w:val="single" w:sz="4" w:space="0" w:color="auto"/>
            </w:tcBorders>
            <w:vAlign w:val="center"/>
          </w:tcPr>
          <w:p w14:paraId="3F2B4FED" w14:textId="77777777" w:rsidR="0038775E" w:rsidRDefault="00877B9C" w:rsidP="002041D4">
            <w:pPr>
              <w:wordWrap w:val="0"/>
              <w:jc w:val="center"/>
              <w:rPr>
                <w:noProof/>
                <w:sz w:val="20"/>
              </w:rPr>
            </w:pPr>
            <w:r w:rsidRPr="00DF5C23">
              <w:rPr>
                <w:noProof/>
                <w:sz w:val="20"/>
              </w:rPr>
              <w:t>年</w:t>
            </w:r>
            <w:r w:rsidRPr="00DF5C23">
              <w:rPr>
                <w:noProof/>
                <w:sz w:val="22"/>
              </w:rPr>
              <w:br/>
            </w:r>
            <w:r w:rsidRPr="00DF5C23">
              <w:rPr>
                <w:b/>
                <w:noProof/>
                <w:sz w:val="20"/>
              </w:rPr>
              <w:t>2024</w:t>
            </w:r>
          </w:p>
        </w:tc>
        <w:tc>
          <w:tcPr>
            <w:tcW w:w="868" w:type="dxa"/>
            <w:tcBorders>
              <w:top w:val="single" w:sz="4" w:space="0" w:color="auto"/>
            </w:tcBorders>
            <w:vAlign w:val="center"/>
          </w:tcPr>
          <w:p w14:paraId="7BA610A2" w14:textId="77777777" w:rsidR="0038775E" w:rsidRDefault="00877B9C" w:rsidP="002041D4">
            <w:pPr>
              <w:wordWrap w:val="0"/>
              <w:jc w:val="center"/>
              <w:rPr>
                <w:noProof/>
                <w:sz w:val="20"/>
              </w:rPr>
            </w:pPr>
            <w:r w:rsidRPr="00DF5C23">
              <w:rPr>
                <w:noProof/>
                <w:sz w:val="20"/>
              </w:rPr>
              <w:t>年</w:t>
            </w:r>
            <w:r w:rsidRPr="00DF5C23">
              <w:rPr>
                <w:noProof/>
                <w:sz w:val="22"/>
              </w:rPr>
              <w:br/>
            </w:r>
            <w:r w:rsidRPr="00DF5C23">
              <w:rPr>
                <w:b/>
                <w:noProof/>
                <w:sz w:val="20"/>
              </w:rPr>
              <w:t>2025</w:t>
            </w:r>
          </w:p>
        </w:tc>
        <w:tc>
          <w:tcPr>
            <w:tcW w:w="868" w:type="dxa"/>
            <w:tcBorders>
              <w:top w:val="single" w:sz="4" w:space="0" w:color="auto"/>
            </w:tcBorders>
            <w:vAlign w:val="center"/>
          </w:tcPr>
          <w:p w14:paraId="2CD91961" w14:textId="77777777" w:rsidR="0038775E" w:rsidRDefault="00877B9C" w:rsidP="002041D4">
            <w:pPr>
              <w:wordWrap w:val="0"/>
              <w:jc w:val="center"/>
              <w:rPr>
                <w:b/>
                <w:noProof/>
                <w:sz w:val="18"/>
              </w:rPr>
            </w:pPr>
            <w:r w:rsidRPr="00DF5C23">
              <w:rPr>
                <w:noProof/>
                <w:sz w:val="20"/>
              </w:rPr>
              <w:t>年</w:t>
            </w:r>
            <w:r w:rsidRPr="00DF5C23">
              <w:rPr>
                <w:noProof/>
                <w:sz w:val="22"/>
              </w:rPr>
              <w:br/>
            </w:r>
            <w:r w:rsidRPr="00DF5C23">
              <w:rPr>
                <w:b/>
                <w:noProof/>
                <w:sz w:val="20"/>
              </w:rPr>
              <w:t>2026</w:t>
            </w:r>
          </w:p>
        </w:tc>
        <w:tc>
          <w:tcPr>
            <w:tcW w:w="1448" w:type="dxa"/>
            <w:tcBorders>
              <w:top w:val="single" w:sz="4" w:space="0" w:color="auto"/>
            </w:tcBorders>
            <w:vAlign w:val="center"/>
          </w:tcPr>
          <w:p w14:paraId="1FAF61E7" w14:textId="77777777" w:rsidR="0038775E" w:rsidRDefault="00877B9C" w:rsidP="002041D4">
            <w:pPr>
              <w:wordWrap w:val="0"/>
              <w:jc w:val="center"/>
              <w:rPr>
                <w:b/>
                <w:noProof/>
                <w:sz w:val="18"/>
              </w:rPr>
            </w:pPr>
            <w:r w:rsidRPr="00DF5C23">
              <w:rPr>
                <w:noProof/>
                <w:sz w:val="20"/>
              </w:rPr>
              <w:t>年</w:t>
            </w:r>
            <w:r w:rsidRPr="00DF5C23">
              <w:rPr>
                <w:noProof/>
                <w:sz w:val="22"/>
              </w:rPr>
              <w:br/>
            </w:r>
            <w:r w:rsidRPr="00DF5C23">
              <w:rPr>
                <w:b/>
                <w:noProof/>
                <w:sz w:val="20"/>
              </w:rPr>
              <w:t xml:space="preserve">2027 </w:t>
            </w:r>
          </w:p>
        </w:tc>
        <w:tc>
          <w:tcPr>
            <w:tcW w:w="1418" w:type="dxa"/>
            <w:tcBorders>
              <w:top w:val="single" w:sz="4" w:space="0" w:color="auto"/>
            </w:tcBorders>
            <w:vAlign w:val="center"/>
          </w:tcPr>
          <w:p w14:paraId="264B8F38" w14:textId="77777777" w:rsidR="0038775E" w:rsidRDefault="00877B9C" w:rsidP="002041D4">
            <w:pPr>
              <w:wordWrap w:val="0"/>
              <w:jc w:val="center"/>
              <w:rPr>
                <w:b/>
                <w:noProof/>
                <w:sz w:val="20"/>
              </w:rPr>
            </w:pPr>
            <w:r w:rsidRPr="00DF5C23">
              <w:rPr>
                <w:b/>
                <w:noProof/>
                <w:sz w:val="20"/>
              </w:rPr>
              <w:t>TOTAL</w:t>
            </w:r>
          </w:p>
        </w:tc>
      </w:tr>
      <w:tr w:rsidR="005C61BF" w:rsidRPr="00DF5C23" w14:paraId="2C3A5D11" w14:textId="77777777" w:rsidTr="009C47CC">
        <w:trPr>
          <w:gridAfter w:val="9"/>
          <w:wAfter w:w="9300" w:type="dxa"/>
        </w:trPr>
        <w:tc>
          <w:tcPr>
            <w:tcW w:w="3960" w:type="dxa"/>
            <w:vAlign w:val="center"/>
          </w:tcPr>
          <w:p w14:paraId="3BC228F1" w14:textId="77777777" w:rsidR="0038775E" w:rsidRDefault="00877B9C" w:rsidP="002041D4">
            <w:pPr>
              <w:wordWrap w:val="0"/>
              <w:spacing w:before="60" w:after="60"/>
              <w:jc w:val="center"/>
              <w:rPr>
                <w:noProof/>
              </w:rPr>
            </w:pPr>
            <w:r w:rsidRPr="00DF5C23">
              <w:rPr>
                <w:noProof/>
                <w:sz w:val="22"/>
              </w:rPr>
              <w:t>DG: ENV</w:t>
            </w:r>
          </w:p>
        </w:tc>
      </w:tr>
      <w:tr w:rsidR="005C61BF" w:rsidRPr="00DF5C23" w14:paraId="2C3A5D1A" w14:textId="77777777" w:rsidTr="009C47CC">
        <w:trPr>
          <w:trHeight w:val="313"/>
        </w:trPr>
        <w:tc>
          <w:tcPr>
            <w:tcW w:w="6054" w:type="dxa"/>
            <w:gridSpan w:val="3"/>
            <w:vAlign w:val="center"/>
          </w:tcPr>
          <w:p w14:paraId="22A977F9" w14:textId="77777777" w:rsidR="0038775E" w:rsidRDefault="00877B9C" w:rsidP="002041D4">
            <w:pPr>
              <w:wordWrap w:val="0"/>
              <w:spacing w:before="20" w:after="20"/>
              <w:rPr>
                <w:noProof/>
              </w:rPr>
            </w:pPr>
            <w:r w:rsidRPr="00DF5C23">
              <w:rPr>
                <w:noProof/>
                <w:sz w:val="22"/>
              </w:rPr>
              <w:sym w:font="Wingdings" w:char="F09F"/>
            </w:r>
            <w:r w:rsidRPr="00DF5C23">
              <w:rPr>
                <w:noProof/>
                <w:sz w:val="22"/>
              </w:rPr>
              <w:t xml:space="preserve"> </w:t>
            </w:r>
            <w:r w:rsidRPr="00DF5C23">
              <w:rPr>
                <w:noProof/>
                <w:sz w:val="22"/>
              </w:rPr>
              <w:t>人的資源</w:t>
            </w:r>
            <w:r w:rsidRPr="00DF5C23">
              <w:rPr>
                <w:noProof/>
                <w:sz w:val="22"/>
              </w:rPr>
              <w:t xml:space="preserve"> </w:t>
            </w:r>
          </w:p>
        </w:tc>
        <w:tc>
          <w:tcPr>
            <w:tcW w:w="868" w:type="dxa"/>
            <w:vAlign w:val="bottom"/>
          </w:tcPr>
          <w:p w14:paraId="5A6C5DCD" w14:textId="77777777" w:rsidR="0038775E" w:rsidRDefault="00877B9C" w:rsidP="002041D4">
            <w:pPr>
              <w:wordWrap w:val="0"/>
              <w:spacing w:before="20" w:after="20"/>
              <w:jc w:val="right"/>
              <w:rPr>
                <w:noProof/>
                <w:sz w:val="20"/>
              </w:rPr>
            </w:pPr>
            <w:r w:rsidRPr="00DF5C23">
              <w:rPr>
                <w:rFonts w:ascii="Calibri" w:hAnsi="Calibri" w:cs="Calibri"/>
                <w:noProof/>
                <w:color w:val="000000"/>
                <w:sz w:val="22"/>
              </w:rPr>
              <w:t>0,671</w:t>
            </w:r>
          </w:p>
        </w:tc>
        <w:tc>
          <w:tcPr>
            <w:tcW w:w="868" w:type="dxa"/>
            <w:vAlign w:val="bottom"/>
          </w:tcPr>
          <w:p w14:paraId="0A577338" w14:textId="77777777" w:rsidR="0038775E" w:rsidRDefault="00877B9C" w:rsidP="002041D4">
            <w:pPr>
              <w:wordWrap w:val="0"/>
              <w:spacing w:before="20" w:after="20"/>
              <w:jc w:val="right"/>
              <w:rPr>
                <w:noProof/>
                <w:sz w:val="20"/>
              </w:rPr>
            </w:pPr>
            <w:r w:rsidRPr="00DF5C23">
              <w:rPr>
                <w:rFonts w:ascii="Calibri" w:hAnsi="Calibri" w:cs="Calibri"/>
                <w:noProof/>
                <w:color w:val="000000"/>
                <w:sz w:val="22"/>
              </w:rPr>
              <w:t>1,756</w:t>
            </w:r>
          </w:p>
        </w:tc>
        <w:tc>
          <w:tcPr>
            <w:tcW w:w="868" w:type="dxa"/>
            <w:vAlign w:val="bottom"/>
          </w:tcPr>
          <w:p w14:paraId="57EBD47A" w14:textId="77777777" w:rsidR="0038775E" w:rsidRDefault="00877B9C" w:rsidP="002041D4">
            <w:pPr>
              <w:wordWrap w:val="0"/>
              <w:spacing w:before="20" w:after="20"/>
              <w:jc w:val="right"/>
              <w:rPr>
                <w:noProof/>
                <w:sz w:val="20"/>
              </w:rPr>
            </w:pPr>
            <w:r w:rsidRPr="00DF5C23">
              <w:rPr>
                <w:rFonts w:ascii="Calibri" w:hAnsi="Calibri" w:cs="Calibri"/>
                <w:noProof/>
                <w:color w:val="000000"/>
                <w:sz w:val="22"/>
              </w:rPr>
              <w:t>2,227</w:t>
            </w:r>
          </w:p>
        </w:tc>
        <w:tc>
          <w:tcPr>
            <w:tcW w:w="868" w:type="dxa"/>
            <w:vAlign w:val="bottom"/>
          </w:tcPr>
          <w:p w14:paraId="0D4341D0" w14:textId="77777777" w:rsidR="0038775E" w:rsidRDefault="00877B9C" w:rsidP="002041D4">
            <w:pPr>
              <w:wordWrap w:val="0"/>
              <w:spacing w:before="20" w:after="20"/>
              <w:jc w:val="right"/>
              <w:rPr>
                <w:noProof/>
                <w:sz w:val="20"/>
              </w:rPr>
            </w:pPr>
            <w:r w:rsidRPr="00DF5C23">
              <w:rPr>
                <w:rFonts w:ascii="Calibri" w:hAnsi="Calibri" w:cs="Calibri"/>
                <w:noProof/>
                <w:color w:val="000000"/>
                <w:sz w:val="22"/>
              </w:rPr>
              <w:t>2,371</w:t>
            </w:r>
          </w:p>
        </w:tc>
        <w:tc>
          <w:tcPr>
            <w:tcW w:w="868" w:type="dxa"/>
            <w:vAlign w:val="bottom"/>
          </w:tcPr>
          <w:p w14:paraId="684074D8" w14:textId="77777777" w:rsidR="0038775E" w:rsidRDefault="00877B9C" w:rsidP="002041D4">
            <w:pPr>
              <w:wordWrap w:val="0"/>
              <w:spacing w:before="20" w:after="20"/>
              <w:jc w:val="right"/>
              <w:rPr>
                <w:noProof/>
                <w:sz w:val="20"/>
              </w:rPr>
            </w:pPr>
            <w:r w:rsidRPr="00DF5C23">
              <w:rPr>
                <w:rFonts w:ascii="Calibri" w:hAnsi="Calibri" w:cs="Calibri"/>
                <w:noProof/>
                <w:color w:val="000000"/>
                <w:sz w:val="22"/>
              </w:rPr>
              <w:t>2,528</w:t>
            </w:r>
          </w:p>
        </w:tc>
        <w:tc>
          <w:tcPr>
            <w:tcW w:w="1448" w:type="dxa"/>
            <w:vAlign w:val="bottom"/>
          </w:tcPr>
          <w:p w14:paraId="0BCF69B9" w14:textId="77777777" w:rsidR="0038775E" w:rsidRDefault="00877B9C" w:rsidP="002041D4">
            <w:pPr>
              <w:wordWrap w:val="0"/>
              <w:spacing w:before="20" w:after="20"/>
              <w:jc w:val="right"/>
              <w:rPr>
                <w:noProof/>
                <w:sz w:val="20"/>
              </w:rPr>
            </w:pPr>
            <w:r w:rsidRPr="00DF5C23">
              <w:rPr>
                <w:rFonts w:ascii="Calibri" w:hAnsi="Calibri" w:cs="Calibri"/>
                <w:noProof/>
                <w:color w:val="000000"/>
                <w:sz w:val="22"/>
              </w:rPr>
              <w:t>2,656</w:t>
            </w:r>
          </w:p>
        </w:tc>
        <w:tc>
          <w:tcPr>
            <w:tcW w:w="1418" w:type="dxa"/>
            <w:vAlign w:val="bottom"/>
          </w:tcPr>
          <w:p w14:paraId="2F179D39" w14:textId="77777777" w:rsidR="0038775E" w:rsidRDefault="00877B9C" w:rsidP="002041D4">
            <w:pPr>
              <w:wordWrap w:val="0"/>
              <w:spacing w:before="20" w:after="20"/>
              <w:jc w:val="right"/>
              <w:rPr>
                <w:b/>
                <w:noProof/>
                <w:sz w:val="20"/>
              </w:rPr>
            </w:pPr>
            <w:r w:rsidRPr="00DF5C23">
              <w:rPr>
                <w:rFonts w:ascii="Calibri" w:hAnsi="Calibri" w:cs="Calibri"/>
                <w:noProof/>
                <w:color w:val="FF0000"/>
                <w:sz w:val="22"/>
              </w:rPr>
              <w:t>12,208</w:t>
            </w:r>
          </w:p>
        </w:tc>
      </w:tr>
      <w:tr w:rsidR="005C61BF" w:rsidRPr="00DF5C23" w14:paraId="2C3A5D23" w14:textId="77777777" w:rsidTr="009C47CC">
        <w:trPr>
          <w:trHeight w:val="351"/>
        </w:trPr>
        <w:tc>
          <w:tcPr>
            <w:tcW w:w="6054" w:type="dxa"/>
            <w:gridSpan w:val="3"/>
            <w:vAlign w:val="center"/>
          </w:tcPr>
          <w:p w14:paraId="37F76455" w14:textId="77777777" w:rsidR="0038775E" w:rsidRDefault="00877B9C" w:rsidP="002041D4">
            <w:pPr>
              <w:wordWrap w:val="0"/>
              <w:spacing w:before="20" w:after="20"/>
              <w:rPr>
                <w:noProof/>
              </w:rPr>
            </w:pPr>
            <w:r w:rsidRPr="00DF5C23">
              <w:rPr>
                <w:noProof/>
                <w:sz w:val="22"/>
              </w:rPr>
              <w:sym w:font="Wingdings" w:char="F09F"/>
            </w:r>
            <w:r w:rsidRPr="00DF5C23">
              <w:rPr>
                <w:noProof/>
                <w:sz w:val="22"/>
              </w:rPr>
              <w:t xml:space="preserve"> </w:t>
            </w:r>
            <w:r w:rsidRPr="00DF5C23">
              <w:rPr>
                <w:noProof/>
                <w:sz w:val="22"/>
              </w:rPr>
              <w:t>その他管理部門費</w:t>
            </w:r>
            <w:r w:rsidRPr="00DF5C23">
              <w:rPr>
                <w:noProof/>
                <w:sz w:val="22"/>
              </w:rPr>
              <w:t xml:space="preserve"> </w:t>
            </w:r>
          </w:p>
        </w:tc>
        <w:tc>
          <w:tcPr>
            <w:tcW w:w="868" w:type="dxa"/>
            <w:vAlign w:val="bottom"/>
          </w:tcPr>
          <w:p w14:paraId="28D0D571" w14:textId="77777777" w:rsidR="0038775E" w:rsidRDefault="00877B9C" w:rsidP="002041D4">
            <w:pPr>
              <w:wordWrap w:val="0"/>
              <w:spacing w:before="20" w:after="20"/>
              <w:jc w:val="right"/>
              <w:rPr>
                <w:b/>
                <w:noProof/>
                <w:sz w:val="20"/>
              </w:rPr>
            </w:pPr>
            <w:r w:rsidRPr="00DF5C23">
              <w:rPr>
                <w:rFonts w:ascii="Calibri" w:hAnsi="Calibri" w:cs="Calibri"/>
                <w:noProof/>
                <w:color w:val="000000"/>
                <w:sz w:val="22"/>
              </w:rPr>
              <w:t>0,005</w:t>
            </w:r>
          </w:p>
        </w:tc>
        <w:tc>
          <w:tcPr>
            <w:tcW w:w="868" w:type="dxa"/>
            <w:vAlign w:val="bottom"/>
          </w:tcPr>
          <w:p w14:paraId="6E990B3E" w14:textId="77777777" w:rsidR="0038775E" w:rsidRDefault="00877B9C" w:rsidP="002041D4">
            <w:pPr>
              <w:wordWrap w:val="0"/>
              <w:spacing w:before="20" w:after="20"/>
              <w:jc w:val="right"/>
              <w:rPr>
                <w:b/>
                <w:noProof/>
                <w:sz w:val="20"/>
              </w:rPr>
            </w:pPr>
            <w:r w:rsidRPr="00DF5C23">
              <w:rPr>
                <w:rFonts w:ascii="Calibri" w:hAnsi="Calibri" w:cs="Calibri"/>
                <w:noProof/>
                <w:color w:val="000000"/>
                <w:sz w:val="22"/>
              </w:rPr>
              <w:t>0,005</w:t>
            </w:r>
          </w:p>
        </w:tc>
        <w:tc>
          <w:tcPr>
            <w:tcW w:w="868" w:type="dxa"/>
            <w:vAlign w:val="bottom"/>
          </w:tcPr>
          <w:p w14:paraId="00513666" w14:textId="77777777" w:rsidR="0038775E" w:rsidRDefault="00877B9C" w:rsidP="002041D4">
            <w:pPr>
              <w:wordWrap w:val="0"/>
              <w:spacing w:before="20" w:after="20"/>
              <w:jc w:val="right"/>
              <w:rPr>
                <w:b/>
                <w:noProof/>
                <w:sz w:val="20"/>
              </w:rPr>
            </w:pPr>
            <w:r w:rsidRPr="00DF5C23">
              <w:rPr>
                <w:rFonts w:ascii="Calibri" w:hAnsi="Calibri" w:cs="Calibri"/>
                <w:noProof/>
                <w:color w:val="000000"/>
                <w:sz w:val="22"/>
              </w:rPr>
              <w:t>0,097</w:t>
            </w:r>
          </w:p>
        </w:tc>
        <w:tc>
          <w:tcPr>
            <w:tcW w:w="868" w:type="dxa"/>
            <w:vAlign w:val="bottom"/>
          </w:tcPr>
          <w:p w14:paraId="46A097AF" w14:textId="77777777" w:rsidR="0038775E" w:rsidRDefault="00877B9C" w:rsidP="002041D4">
            <w:pPr>
              <w:wordWrap w:val="0"/>
              <w:spacing w:before="20" w:after="20"/>
              <w:jc w:val="right"/>
              <w:rPr>
                <w:b/>
                <w:noProof/>
                <w:sz w:val="20"/>
              </w:rPr>
            </w:pPr>
            <w:r w:rsidRPr="00DF5C23">
              <w:rPr>
                <w:rFonts w:ascii="Calibri" w:hAnsi="Calibri" w:cs="Calibri"/>
                <w:noProof/>
                <w:color w:val="000000"/>
                <w:sz w:val="22"/>
              </w:rPr>
              <w:t>0,096</w:t>
            </w:r>
          </w:p>
        </w:tc>
        <w:tc>
          <w:tcPr>
            <w:tcW w:w="868" w:type="dxa"/>
            <w:vAlign w:val="bottom"/>
          </w:tcPr>
          <w:p w14:paraId="19E7E9FF" w14:textId="77777777" w:rsidR="0038775E" w:rsidRDefault="00877B9C" w:rsidP="002041D4">
            <w:pPr>
              <w:wordWrap w:val="0"/>
              <w:spacing w:before="20" w:after="20"/>
              <w:jc w:val="right"/>
              <w:rPr>
                <w:b/>
                <w:noProof/>
                <w:sz w:val="20"/>
              </w:rPr>
            </w:pPr>
            <w:r w:rsidRPr="00DF5C23">
              <w:rPr>
                <w:rFonts w:ascii="Calibri" w:hAnsi="Calibri" w:cs="Calibri"/>
                <w:noProof/>
                <w:color w:val="000000"/>
                <w:sz w:val="22"/>
              </w:rPr>
              <w:t>0,097</w:t>
            </w:r>
          </w:p>
        </w:tc>
        <w:tc>
          <w:tcPr>
            <w:tcW w:w="1448" w:type="dxa"/>
            <w:vAlign w:val="bottom"/>
          </w:tcPr>
          <w:p w14:paraId="7108A032" w14:textId="77777777" w:rsidR="0038775E" w:rsidRDefault="00877B9C" w:rsidP="002041D4">
            <w:pPr>
              <w:wordWrap w:val="0"/>
              <w:spacing w:before="20" w:after="20"/>
              <w:jc w:val="right"/>
              <w:rPr>
                <w:b/>
                <w:noProof/>
                <w:sz w:val="20"/>
              </w:rPr>
            </w:pPr>
            <w:r w:rsidRPr="00DF5C23">
              <w:rPr>
                <w:rFonts w:ascii="Calibri" w:hAnsi="Calibri" w:cs="Calibri"/>
                <w:noProof/>
                <w:color w:val="000000"/>
                <w:sz w:val="22"/>
              </w:rPr>
              <w:t>0,090</w:t>
            </w:r>
          </w:p>
        </w:tc>
        <w:tc>
          <w:tcPr>
            <w:tcW w:w="1418" w:type="dxa"/>
            <w:vAlign w:val="bottom"/>
          </w:tcPr>
          <w:p w14:paraId="72F67FB8" w14:textId="77777777" w:rsidR="0038775E" w:rsidRDefault="00877B9C" w:rsidP="002041D4">
            <w:pPr>
              <w:wordWrap w:val="0"/>
              <w:spacing w:before="20" w:after="20"/>
              <w:jc w:val="right"/>
              <w:rPr>
                <w:b/>
                <w:noProof/>
                <w:sz w:val="20"/>
              </w:rPr>
            </w:pPr>
            <w:r w:rsidRPr="00DF5C23">
              <w:rPr>
                <w:rFonts w:ascii="Calibri" w:hAnsi="Calibri" w:cs="Calibri"/>
                <w:noProof/>
                <w:color w:val="000000"/>
                <w:sz w:val="22"/>
              </w:rPr>
              <w:t>0,390</w:t>
            </w:r>
          </w:p>
        </w:tc>
      </w:tr>
      <w:tr w:rsidR="005C61BF" w:rsidRPr="00DF5C23" w14:paraId="2C3A5D2D" w14:textId="77777777" w:rsidTr="009C47CC">
        <w:tc>
          <w:tcPr>
            <w:tcW w:w="3960" w:type="dxa"/>
            <w:tcBorders>
              <w:bottom w:val="single" w:sz="4" w:space="0" w:color="auto"/>
            </w:tcBorders>
            <w:vAlign w:val="center"/>
          </w:tcPr>
          <w:p w14:paraId="758EA2DD" w14:textId="77777777" w:rsidR="0038775E" w:rsidRDefault="00877B9C" w:rsidP="002041D4">
            <w:pPr>
              <w:wordWrap w:val="0"/>
              <w:jc w:val="center"/>
              <w:rPr>
                <w:b/>
                <w:noProof/>
              </w:rPr>
            </w:pPr>
            <w:r w:rsidRPr="00DF5C23">
              <w:rPr>
                <w:b/>
                <w:noProof/>
                <w:sz w:val="22"/>
              </w:rPr>
              <w:t xml:space="preserve">TOTAL DG </w:t>
            </w:r>
            <w:r w:rsidRPr="00DF5C23">
              <w:rPr>
                <w:noProof/>
                <w:sz w:val="22"/>
              </w:rPr>
              <w:t>ENV</w:t>
            </w:r>
          </w:p>
        </w:tc>
        <w:tc>
          <w:tcPr>
            <w:tcW w:w="2094" w:type="dxa"/>
            <w:gridSpan w:val="2"/>
            <w:tcBorders>
              <w:bottom w:val="single" w:sz="4" w:space="0" w:color="auto"/>
            </w:tcBorders>
            <w:vAlign w:val="center"/>
          </w:tcPr>
          <w:p w14:paraId="7C0ADD36" w14:textId="77777777" w:rsidR="0038775E" w:rsidRDefault="00877B9C" w:rsidP="002041D4">
            <w:pPr>
              <w:wordWrap w:val="0"/>
              <w:rPr>
                <w:noProof/>
                <w:sz w:val="14"/>
                <w:lang w:eastAsia="ja-JP"/>
              </w:rPr>
            </w:pPr>
            <w:r w:rsidRPr="00DF5C23">
              <w:rPr>
                <w:noProof/>
                <w:sz w:val="18"/>
                <w:lang w:eastAsia="ja-JP"/>
              </w:rPr>
              <w:t>アプロプリエーション</w:t>
            </w:r>
            <w:r w:rsidRPr="00DF5C23">
              <w:rPr>
                <w:noProof/>
                <w:sz w:val="18"/>
                <w:lang w:eastAsia="ja-JP"/>
              </w:rPr>
              <w:t xml:space="preserve"> </w:t>
            </w:r>
          </w:p>
        </w:tc>
        <w:tc>
          <w:tcPr>
            <w:tcW w:w="868" w:type="dxa"/>
            <w:tcBorders>
              <w:bottom w:val="single" w:sz="4" w:space="0" w:color="auto"/>
            </w:tcBorders>
            <w:vAlign w:val="bottom"/>
          </w:tcPr>
          <w:p w14:paraId="47D5543B" w14:textId="77777777" w:rsidR="0038775E" w:rsidRDefault="00877B9C" w:rsidP="002041D4">
            <w:pPr>
              <w:wordWrap w:val="0"/>
              <w:spacing w:before="20" w:after="20"/>
              <w:jc w:val="right"/>
              <w:rPr>
                <w:noProof/>
              </w:rPr>
            </w:pPr>
            <w:r w:rsidRPr="00DF5C23">
              <w:rPr>
                <w:rFonts w:ascii="Calibri" w:hAnsi="Calibri" w:cs="Calibri"/>
                <w:noProof/>
                <w:color w:val="000000"/>
                <w:sz w:val="22"/>
              </w:rPr>
              <w:t>0,676</w:t>
            </w:r>
          </w:p>
        </w:tc>
        <w:tc>
          <w:tcPr>
            <w:tcW w:w="868" w:type="dxa"/>
            <w:tcBorders>
              <w:bottom w:val="single" w:sz="4" w:space="0" w:color="auto"/>
            </w:tcBorders>
            <w:vAlign w:val="bottom"/>
          </w:tcPr>
          <w:p w14:paraId="5E0D3FC3" w14:textId="77777777" w:rsidR="0038775E" w:rsidRDefault="00877B9C" w:rsidP="002041D4">
            <w:pPr>
              <w:wordWrap w:val="0"/>
              <w:spacing w:before="20" w:after="20"/>
              <w:jc w:val="right"/>
              <w:rPr>
                <w:noProof/>
              </w:rPr>
            </w:pPr>
            <w:r w:rsidRPr="00DF5C23">
              <w:rPr>
                <w:rFonts w:ascii="Calibri" w:hAnsi="Calibri" w:cs="Calibri"/>
                <w:noProof/>
                <w:color w:val="000000"/>
                <w:sz w:val="22"/>
              </w:rPr>
              <w:t>1,761</w:t>
            </w:r>
          </w:p>
        </w:tc>
        <w:tc>
          <w:tcPr>
            <w:tcW w:w="868" w:type="dxa"/>
            <w:tcBorders>
              <w:bottom w:val="single" w:sz="4" w:space="0" w:color="auto"/>
            </w:tcBorders>
            <w:vAlign w:val="bottom"/>
          </w:tcPr>
          <w:p w14:paraId="3D53FDFF" w14:textId="77777777" w:rsidR="0038775E" w:rsidRDefault="00877B9C" w:rsidP="002041D4">
            <w:pPr>
              <w:wordWrap w:val="0"/>
              <w:spacing w:before="20" w:after="20"/>
              <w:jc w:val="right"/>
              <w:rPr>
                <w:noProof/>
              </w:rPr>
            </w:pPr>
            <w:r w:rsidRPr="00DF5C23">
              <w:rPr>
                <w:rFonts w:ascii="Calibri" w:hAnsi="Calibri" w:cs="Calibri"/>
                <w:noProof/>
                <w:color w:val="000000"/>
                <w:sz w:val="22"/>
              </w:rPr>
              <w:t>2,324</w:t>
            </w:r>
          </w:p>
        </w:tc>
        <w:tc>
          <w:tcPr>
            <w:tcW w:w="868" w:type="dxa"/>
            <w:tcBorders>
              <w:bottom w:val="single" w:sz="4" w:space="0" w:color="auto"/>
            </w:tcBorders>
            <w:vAlign w:val="bottom"/>
          </w:tcPr>
          <w:p w14:paraId="5A43F787" w14:textId="77777777" w:rsidR="0038775E" w:rsidRDefault="00877B9C" w:rsidP="002041D4">
            <w:pPr>
              <w:wordWrap w:val="0"/>
              <w:spacing w:before="20" w:after="20"/>
              <w:jc w:val="right"/>
              <w:rPr>
                <w:noProof/>
              </w:rPr>
            </w:pPr>
            <w:r w:rsidRPr="00DF5C23">
              <w:rPr>
                <w:rFonts w:ascii="Calibri" w:hAnsi="Calibri" w:cs="Calibri"/>
                <w:noProof/>
                <w:color w:val="000000"/>
                <w:sz w:val="22"/>
              </w:rPr>
              <w:t>2,467</w:t>
            </w:r>
          </w:p>
        </w:tc>
        <w:tc>
          <w:tcPr>
            <w:tcW w:w="868" w:type="dxa"/>
            <w:tcBorders>
              <w:bottom w:val="single" w:sz="4" w:space="0" w:color="auto"/>
            </w:tcBorders>
            <w:vAlign w:val="bottom"/>
          </w:tcPr>
          <w:p w14:paraId="7C7BD25A" w14:textId="77777777" w:rsidR="0038775E" w:rsidRDefault="00877B9C" w:rsidP="002041D4">
            <w:pPr>
              <w:wordWrap w:val="0"/>
              <w:spacing w:before="20" w:after="20"/>
              <w:jc w:val="right"/>
              <w:rPr>
                <w:noProof/>
              </w:rPr>
            </w:pPr>
            <w:r w:rsidRPr="00DF5C23">
              <w:rPr>
                <w:rFonts w:ascii="Calibri" w:hAnsi="Calibri" w:cs="Calibri"/>
                <w:noProof/>
                <w:color w:val="000000"/>
                <w:sz w:val="22"/>
              </w:rPr>
              <w:t>2,625</w:t>
            </w:r>
          </w:p>
        </w:tc>
        <w:tc>
          <w:tcPr>
            <w:tcW w:w="1448" w:type="dxa"/>
            <w:tcBorders>
              <w:bottom w:val="single" w:sz="4" w:space="0" w:color="auto"/>
            </w:tcBorders>
            <w:vAlign w:val="bottom"/>
          </w:tcPr>
          <w:p w14:paraId="3541BE82" w14:textId="77777777" w:rsidR="0038775E" w:rsidRDefault="00877B9C" w:rsidP="002041D4">
            <w:pPr>
              <w:wordWrap w:val="0"/>
              <w:spacing w:before="20" w:after="20"/>
              <w:jc w:val="right"/>
              <w:rPr>
                <w:noProof/>
              </w:rPr>
            </w:pPr>
            <w:r w:rsidRPr="00DF5C23">
              <w:rPr>
                <w:rFonts w:ascii="Calibri" w:hAnsi="Calibri" w:cs="Calibri"/>
                <w:noProof/>
                <w:color w:val="000000"/>
                <w:sz w:val="22"/>
              </w:rPr>
              <w:t>2,746</w:t>
            </w:r>
          </w:p>
        </w:tc>
        <w:tc>
          <w:tcPr>
            <w:tcW w:w="1418" w:type="dxa"/>
            <w:tcBorders>
              <w:bottom w:val="single" w:sz="4" w:space="0" w:color="auto"/>
            </w:tcBorders>
            <w:vAlign w:val="bottom"/>
          </w:tcPr>
          <w:p w14:paraId="363645C9" w14:textId="77777777" w:rsidR="0038775E" w:rsidRDefault="00877B9C" w:rsidP="002041D4">
            <w:pPr>
              <w:wordWrap w:val="0"/>
              <w:spacing w:before="20" w:after="20"/>
              <w:jc w:val="right"/>
              <w:rPr>
                <w:b/>
                <w:noProof/>
                <w:sz w:val="20"/>
              </w:rPr>
            </w:pPr>
            <w:r w:rsidRPr="00DF5C23">
              <w:rPr>
                <w:rFonts w:ascii="Calibri" w:hAnsi="Calibri" w:cs="Calibri"/>
                <w:noProof/>
                <w:color w:val="000000"/>
                <w:sz w:val="22"/>
              </w:rPr>
              <w:t>12,598</w:t>
            </w:r>
          </w:p>
        </w:tc>
      </w:tr>
      <w:tr w:rsidR="005C61BF" w:rsidRPr="00DF5C23" w14:paraId="2C3A5D37" w14:textId="77777777" w:rsidTr="009C47CC">
        <w:tc>
          <w:tcPr>
            <w:tcW w:w="3960" w:type="dxa"/>
            <w:tcBorders>
              <w:left w:val="nil"/>
              <w:bottom w:val="nil"/>
              <w:right w:val="nil"/>
            </w:tcBorders>
            <w:vAlign w:val="center"/>
          </w:tcPr>
          <w:p w14:paraId="2C3A5D2E" w14:textId="77777777" w:rsidR="005C61BF" w:rsidRPr="00DF5C23" w:rsidRDefault="005C61BF" w:rsidP="002041D4">
            <w:pPr>
              <w:wordWrap w:val="0"/>
              <w:jc w:val="center"/>
              <w:rPr>
                <w:b/>
                <w:noProof/>
                <w:sz w:val="22"/>
              </w:rPr>
            </w:pPr>
          </w:p>
        </w:tc>
        <w:tc>
          <w:tcPr>
            <w:tcW w:w="2094" w:type="dxa"/>
            <w:gridSpan w:val="2"/>
            <w:tcBorders>
              <w:left w:val="nil"/>
              <w:bottom w:val="nil"/>
              <w:right w:val="nil"/>
            </w:tcBorders>
            <w:vAlign w:val="center"/>
          </w:tcPr>
          <w:p w14:paraId="2C3A5D2F" w14:textId="77777777" w:rsidR="005C61BF" w:rsidRPr="00DF5C23" w:rsidRDefault="005C61BF" w:rsidP="002041D4">
            <w:pPr>
              <w:wordWrap w:val="0"/>
              <w:rPr>
                <w:noProof/>
                <w:sz w:val="18"/>
              </w:rPr>
            </w:pPr>
          </w:p>
        </w:tc>
        <w:tc>
          <w:tcPr>
            <w:tcW w:w="868" w:type="dxa"/>
            <w:tcBorders>
              <w:left w:val="nil"/>
              <w:bottom w:val="single" w:sz="4" w:space="0" w:color="auto"/>
              <w:right w:val="nil"/>
            </w:tcBorders>
            <w:vAlign w:val="center"/>
          </w:tcPr>
          <w:p w14:paraId="2C3A5D30" w14:textId="77777777" w:rsidR="005C61BF" w:rsidRPr="00DF5C23" w:rsidRDefault="005C61BF" w:rsidP="002041D4">
            <w:pPr>
              <w:wordWrap w:val="0"/>
              <w:spacing w:before="60" w:after="60"/>
              <w:jc w:val="right"/>
              <w:rPr>
                <w:noProof/>
                <w:sz w:val="20"/>
              </w:rPr>
            </w:pPr>
          </w:p>
        </w:tc>
        <w:tc>
          <w:tcPr>
            <w:tcW w:w="868" w:type="dxa"/>
            <w:tcBorders>
              <w:left w:val="nil"/>
              <w:bottom w:val="single" w:sz="4" w:space="0" w:color="auto"/>
              <w:right w:val="nil"/>
            </w:tcBorders>
            <w:vAlign w:val="center"/>
          </w:tcPr>
          <w:p w14:paraId="2C3A5D31" w14:textId="77777777" w:rsidR="005C61BF" w:rsidRPr="00DF5C23" w:rsidRDefault="005C61BF" w:rsidP="002041D4">
            <w:pPr>
              <w:wordWrap w:val="0"/>
              <w:spacing w:before="20" w:after="20"/>
              <w:jc w:val="right"/>
              <w:rPr>
                <w:noProof/>
                <w:sz w:val="20"/>
              </w:rPr>
            </w:pPr>
          </w:p>
        </w:tc>
        <w:tc>
          <w:tcPr>
            <w:tcW w:w="868" w:type="dxa"/>
            <w:tcBorders>
              <w:left w:val="nil"/>
              <w:bottom w:val="single" w:sz="4" w:space="0" w:color="auto"/>
              <w:right w:val="nil"/>
            </w:tcBorders>
            <w:vAlign w:val="center"/>
          </w:tcPr>
          <w:p w14:paraId="2C3A5D32" w14:textId="77777777" w:rsidR="005C61BF" w:rsidRPr="00DF5C23" w:rsidRDefault="005C61BF" w:rsidP="002041D4">
            <w:pPr>
              <w:wordWrap w:val="0"/>
              <w:spacing w:before="20" w:after="20"/>
              <w:jc w:val="right"/>
              <w:rPr>
                <w:noProof/>
                <w:sz w:val="20"/>
              </w:rPr>
            </w:pPr>
          </w:p>
        </w:tc>
        <w:tc>
          <w:tcPr>
            <w:tcW w:w="868" w:type="dxa"/>
            <w:tcBorders>
              <w:left w:val="nil"/>
              <w:bottom w:val="single" w:sz="4" w:space="0" w:color="auto"/>
              <w:right w:val="nil"/>
            </w:tcBorders>
            <w:vAlign w:val="center"/>
          </w:tcPr>
          <w:p w14:paraId="2C3A5D33" w14:textId="77777777" w:rsidR="005C61BF" w:rsidRPr="00DF5C23" w:rsidRDefault="005C61BF" w:rsidP="002041D4">
            <w:pPr>
              <w:wordWrap w:val="0"/>
              <w:spacing w:before="20" w:after="20"/>
              <w:jc w:val="right"/>
              <w:rPr>
                <w:noProof/>
                <w:sz w:val="20"/>
              </w:rPr>
            </w:pPr>
          </w:p>
        </w:tc>
        <w:tc>
          <w:tcPr>
            <w:tcW w:w="868" w:type="dxa"/>
            <w:tcBorders>
              <w:left w:val="nil"/>
              <w:bottom w:val="single" w:sz="4" w:space="0" w:color="auto"/>
              <w:right w:val="nil"/>
            </w:tcBorders>
            <w:vAlign w:val="center"/>
          </w:tcPr>
          <w:p w14:paraId="2C3A5D34" w14:textId="77777777" w:rsidR="005C61BF" w:rsidRPr="00DF5C23" w:rsidRDefault="005C61BF" w:rsidP="002041D4">
            <w:pPr>
              <w:wordWrap w:val="0"/>
              <w:spacing w:before="20" w:after="20"/>
              <w:jc w:val="right"/>
              <w:rPr>
                <w:noProof/>
                <w:sz w:val="20"/>
              </w:rPr>
            </w:pPr>
          </w:p>
        </w:tc>
        <w:tc>
          <w:tcPr>
            <w:tcW w:w="1448" w:type="dxa"/>
            <w:tcBorders>
              <w:left w:val="nil"/>
              <w:bottom w:val="single" w:sz="4" w:space="0" w:color="auto"/>
              <w:right w:val="nil"/>
            </w:tcBorders>
            <w:vAlign w:val="center"/>
          </w:tcPr>
          <w:p w14:paraId="2C3A5D35" w14:textId="77777777" w:rsidR="005C61BF" w:rsidRPr="00DF5C23" w:rsidRDefault="005C61BF" w:rsidP="002041D4">
            <w:pPr>
              <w:wordWrap w:val="0"/>
              <w:spacing w:before="20" w:after="20"/>
              <w:jc w:val="right"/>
              <w:rPr>
                <w:noProof/>
                <w:sz w:val="20"/>
              </w:rPr>
            </w:pPr>
          </w:p>
        </w:tc>
        <w:tc>
          <w:tcPr>
            <w:tcW w:w="1418" w:type="dxa"/>
            <w:tcBorders>
              <w:left w:val="nil"/>
              <w:bottom w:val="single" w:sz="4" w:space="0" w:color="auto"/>
            </w:tcBorders>
            <w:vAlign w:val="center"/>
          </w:tcPr>
          <w:p w14:paraId="2C3A5D36" w14:textId="77777777" w:rsidR="005C61BF" w:rsidRPr="00DF5C23" w:rsidRDefault="005C61BF" w:rsidP="002041D4">
            <w:pPr>
              <w:wordWrap w:val="0"/>
              <w:spacing w:before="20" w:after="20"/>
              <w:jc w:val="right"/>
              <w:rPr>
                <w:b/>
                <w:noProof/>
                <w:sz w:val="20"/>
              </w:rPr>
            </w:pPr>
          </w:p>
        </w:tc>
      </w:tr>
      <w:tr w:rsidR="005C61BF" w:rsidRPr="00DF5C23" w14:paraId="2C3A5D42" w14:textId="77777777" w:rsidTr="009C47CC">
        <w:tc>
          <w:tcPr>
            <w:tcW w:w="3960" w:type="dxa"/>
            <w:tcBorders>
              <w:top w:val="nil"/>
              <w:left w:val="nil"/>
              <w:right w:val="nil"/>
            </w:tcBorders>
            <w:vAlign w:val="center"/>
          </w:tcPr>
          <w:p w14:paraId="2C3A5D38" w14:textId="77777777" w:rsidR="005C61BF" w:rsidRPr="00DF5C23" w:rsidRDefault="005C61BF" w:rsidP="002041D4">
            <w:pPr>
              <w:wordWrap w:val="0"/>
              <w:jc w:val="center"/>
              <w:rPr>
                <w:noProof/>
              </w:rPr>
            </w:pPr>
          </w:p>
        </w:tc>
        <w:tc>
          <w:tcPr>
            <w:tcW w:w="1560" w:type="dxa"/>
            <w:tcBorders>
              <w:top w:val="nil"/>
              <w:left w:val="nil"/>
              <w:right w:val="nil"/>
            </w:tcBorders>
          </w:tcPr>
          <w:p w14:paraId="2C3A5D39" w14:textId="77777777" w:rsidR="005C61BF" w:rsidRPr="00DF5C23" w:rsidRDefault="005C61BF" w:rsidP="002041D4">
            <w:pPr>
              <w:wordWrap w:val="0"/>
              <w:rPr>
                <w:noProof/>
                <w:sz w:val="20"/>
              </w:rPr>
            </w:pPr>
          </w:p>
        </w:tc>
        <w:tc>
          <w:tcPr>
            <w:tcW w:w="534" w:type="dxa"/>
            <w:tcBorders>
              <w:top w:val="nil"/>
              <w:left w:val="nil"/>
            </w:tcBorders>
          </w:tcPr>
          <w:p w14:paraId="2C3A5D3A" w14:textId="77777777" w:rsidR="005C61BF" w:rsidRPr="00DF5C23" w:rsidRDefault="005C61BF" w:rsidP="002041D4">
            <w:pPr>
              <w:wordWrap w:val="0"/>
              <w:jc w:val="center"/>
              <w:rPr>
                <w:noProof/>
                <w:sz w:val="20"/>
              </w:rPr>
            </w:pPr>
          </w:p>
        </w:tc>
        <w:tc>
          <w:tcPr>
            <w:tcW w:w="868" w:type="dxa"/>
            <w:tcBorders>
              <w:top w:val="single" w:sz="4" w:space="0" w:color="auto"/>
            </w:tcBorders>
            <w:vAlign w:val="center"/>
          </w:tcPr>
          <w:p w14:paraId="5B201193" w14:textId="77777777" w:rsidR="0038775E" w:rsidRDefault="00877B9C" w:rsidP="002041D4">
            <w:pPr>
              <w:wordWrap w:val="0"/>
              <w:jc w:val="center"/>
              <w:rPr>
                <w:noProof/>
                <w:sz w:val="20"/>
              </w:rPr>
            </w:pPr>
            <w:r w:rsidRPr="00DF5C23">
              <w:rPr>
                <w:noProof/>
                <w:sz w:val="20"/>
                <w:szCs w:val="20"/>
              </w:rPr>
              <w:t>年</w:t>
            </w:r>
            <w:r w:rsidRPr="00DF5C23">
              <w:rPr>
                <w:noProof/>
                <w:sz w:val="22"/>
              </w:rPr>
              <w:br/>
            </w:r>
            <w:r w:rsidRPr="00DF5C23">
              <w:rPr>
                <w:b/>
                <w:bCs/>
                <w:noProof/>
                <w:sz w:val="20"/>
                <w:szCs w:val="20"/>
              </w:rPr>
              <w:t>2022</w:t>
            </w:r>
          </w:p>
        </w:tc>
        <w:tc>
          <w:tcPr>
            <w:tcW w:w="868" w:type="dxa"/>
            <w:tcBorders>
              <w:top w:val="single" w:sz="4" w:space="0" w:color="auto"/>
            </w:tcBorders>
            <w:vAlign w:val="center"/>
          </w:tcPr>
          <w:p w14:paraId="784F2145" w14:textId="77777777" w:rsidR="0038775E" w:rsidRDefault="00877B9C" w:rsidP="002041D4">
            <w:pPr>
              <w:wordWrap w:val="0"/>
              <w:jc w:val="center"/>
              <w:rPr>
                <w:noProof/>
                <w:sz w:val="20"/>
              </w:rPr>
            </w:pPr>
            <w:r w:rsidRPr="00DF5C23">
              <w:rPr>
                <w:noProof/>
                <w:sz w:val="20"/>
              </w:rPr>
              <w:t>年</w:t>
            </w:r>
            <w:r w:rsidRPr="00DF5C23">
              <w:rPr>
                <w:noProof/>
                <w:sz w:val="22"/>
              </w:rPr>
              <w:br/>
            </w:r>
            <w:r w:rsidRPr="00DF5C23">
              <w:rPr>
                <w:b/>
                <w:noProof/>
                <w:sz w:val="20"/>
              </w:rPr>
              <w:t>2023</w:t>
            </w:r>
          </w:p>
        </w:tc>
        <w:tc>
          <w:tcPr>
            <w:tcW w:w="868" w:type="dxa"/>
            <w:tcBorders>
              <w:top w:val="single" w:sz="4" w:space="0" w:color="auto"/>
            </w:tcBorders>
            <w:vAlign w:val="center"/>
          </w:tcPr>
          <w:p w14:paraId="0EBC515A" w14:textId="77777777" w:rsidR="0038775E" w:rsidRDefault="00877B9C" w:rsidP="002041D4">
            <w:pPr>
              <w:wordWrap w:val="0"/>
              <w:jc w:val="center"/>
              <w:rPr>
                <w:noProof/>
                <w:sz w:val="20"/>
              </w:rPr>
            </w:pPr>
            <w:r w:rsidRPr="00DF5C23">
              <w:rPr>
                <w:noProof/>
                <w:sz w:val="20"/>
              </w:rPr>
              <w:t>年</w:t>
            </w:r>
            <w:r w:rsidRPr="00DF5C23">
              <w:rPr>
                <w:noProof/>
                <w:sz w:val="22"/>
              </w:rPr>
              <w:br/>
            </w:r>
            <w:r w:rsidRPr="00DF5C23">
              <w:rPr>
                <w:b/>
                <w:noProof/>
                <w:sz w:val="20"/>
              </w:rPr>
              <w:t>2024</w:t>
            </w:r>
          </w:p>
        </w:tc>
        <w:tc>
          <w:tcPr>
            <w:tcW w:w="868" w:type="dxa"/>
            <w:tcBorders>
              <w:top w:val="single" w:sz="4" w:space="0" w:color="auto"/>
            </w:tcBorders>
            <w:vAlign w:val="center"/>
          </w:tcPr>
          <w:p w14:paraId="698991C8" w14:textId="77777777" w:rsidR="0038775E" w:rsidRDefault="00877B9C" w:rsidP="002041D4">
            <w:pPr>
              <w:wordWrap w:val="0"/>
              <w:jc w:val="center"/>
              <w:rPr>
                <w:noProof/>
                <w:sz w:val="20"/>
              </w:rPr>
            </w:pPr>
            <w:r w:rsidRPr="00DF5C23">
              <w:rPr>
                <w:noProof/>
                <w:sz w:val="20"/>
              </w:rPr>
              <w:t>年</w:t>
            </w:r>
            <w:r w:rsidRPr="00DF5C23">
              <w:rPr>
                <w:noProof/>
                <w:sz w:val="22"/>
              </w:rPr>
              <w:br/>
            </w:r>
            <w:r w:rsidRPr="00DF5C23">
              <w:rPr>
                <w:b/>
                <w:noProof/>
                <w:sz w:val="20"/>
              </w:rPr>
              <w:t>2025</w:t>
            </w:r>
          </w:p>
        </w:tc>
        <w:tc>
          <w:tcPr>
            <w:tcW w:w="868" w:type="dxa"/>
            <w:tcBorders>
              <w:top w:val="single" w:sz="4" w:space="0" w:color="auto"/>
            </w:tcBorders>
            <w:vAlign w:val="center"/>
          </w:tcPr>
          <w:p w14:paraId="5DAA8650" w14:textId="77777777" w:rsidR="0038775E" w:rsidRDefault="00877B9C" w:rsidP="002041D4">
            <w:pPr>
              <w:wordWrap w:val="0"/>
              <w:jc w:val="center"/>
              <w:rPr>
                <w:b/>
                <w:noProof/>
                <w:sz w:val="18"/>
              </w:rPr>
            </w:pPr>
            <w:r w:rsidRPr="00DF5C23">
              <w:rPr>
                <w:noProof/>
                <w:sz w:val="20"/>
              </w:rPr>
              <w:t>年</w:t>
            </w:r>
            <w:r w:rsidRPr="00DF5C23">
              <w:rPr>
                <w:noProof/>
                <w:sz w:val="22"/>
              </w:rPr>
              <w:br/>
            </w:r>
            <w:r w:rsidRPr="00DF5C23">
              <w:rPr>
                <w:b/>
                <w:noProof/>
                <w:sz w:val="20"/>
              </w:rPr>
              <w:t>2026</w:t>
            </w:r>
          </w:p>
        </w:tc>
        <w:tc>
          <w:tcPr>
            <w:tcW w:w="1448" w:type="dxa"/>
            <w:tcBorders>
              <w:top w:val="single" w:sz="4" w:space="0" w:color="auto"/>
            </w:tcBorders>
            <w:vAlign w:val="center"/>
          </w:tcPr>
          <w:p w14:paraId="71EF910A" w14:textId="77777777" w:rsidR="0038775E" w:rsidRDefault="00877B9C" w:rsidP="002041D4">
            <w:pPr>
              <w:wordWrap w:val="0"/>
              <w:jc w:val="center"/>
              <w:rPr>
                <w:b/>
                <w:noProof/>
                <w:sz w:val="18"/>
              </w:rPr>
            </w:pPr>
            <w:r w:rsidRPr="00DF5C23">
              <w:rPr>
                <w:noProof/>
                <w:sz w:val="20"/>
              </w:rPr>
              <w:t>年</w:t>
            </w:r>
            <w:r w:rsidRPr="00DF5C23">
              <w:rPr>
                <w:noProof/>
                <w:sz w:val="22"/>
              </w:rPr>
              <w:br/>
            </w:r>
            <w:r w:rsidRPr="00DF5C23">
              <w:rPr>
                <w:b/>
                <w:noProof/>
                <w:sz w:val="20"/>
              </w:rPr>
              <w:t xml:space="preserve">2027 </w:t>
            </w:r>
          </w:p>
        </w:tc>
        <w:tc>
          <w:tcPr>
            <w:tcW w:w="1418" w:type="dxa"/>
            <w:tcBorders>
              <w:top w:val="single" w:sz="4" w:space="0" w:color="auto"/>
            </w:tcBorders>
            <w:vAlign w:val="center"/>
          </w:tcPr>
          <w:p w14:paraId="0E9C0EA4" w14:textId="77777777" w:rsidR="0038775E" w:rsidRDefault="00877B9C" w:rsidP="002041D4">
            <w:pPr>
              <w:wordWrap w:val="0"/>
              <w:jc w:val="center"/>
              <w:rPr>
                <w:b/>
                <w:noProof/>
                <w:sz w:val="20"/>
              </w:rPr>
            </w:pPr>
            <w:r w:rsidRPr="00DF5C23">
              <w:rPr>
                <w:b/>
                <w:noProof/>
                <w:sz w:val="20"/>
              </w:rPr>
              <w:t>TOTAL</w:t>
            </w:r>
          </w:p>
        </w:tc>
      </w:tr>
      <w:tr w:rsidR="005C61BF" w:rsidRPr="00DF5C23" w14:paraId="2C3A5D44" w14:textId="77777777" w:rsidTr="009C47CC">
        <w:trPr>
          <w:gridAfter w:val="9"/>
          <w:wAfter w:w="9300" w:type="dxa"/>
        </w:trPr>
        <w:tc>
          <w:tcPr>
            <w:tcW w:w="3960" w:type="dxa"/>
            <w:vAlign w:val="center"/>
          </w:tcPr>
          <w:p w14:paraId="13EA7389" w14:textId="77777777" w:rsidR="0038775E" w:rsidRDefault="00877B9C" w:rsidP="002041D4">
            <w:pPr>
              <w:wordWrap w:val="0"/>
              <w:spacing w:before="60" w:after="60"/>
              <w:jc w:val="center"/>
              <w:rPr>
                <w:noProof/>
              </w:rPr>
            </w:pPr>
            <w:r w:rsidRPr="00DF5C23">
              <w:rPr>
                <w:noProof/>
                <w:sz w:val="22"/>
              </w:rPr>
              <w:t>DG: ENER</w:t>
            </w:r>
          </w:p>
        </w:tc>
      </w:tr>
      <w:tr w:rsidR="005C61BF" w:rsidRPr="00DF5C23" w14:paraId="2C3A5D4D" w14:textId="77777777" w:rsidTr="009C47CC">
        <w:trPr>
          <w:trHeight w:val="313"/>
        </w:trPr>
        <w:tc>
          <w:tcPr>
            <w:tcW w:w="6054" w:type="dxa"/>
            <w:gridSpan w:val="3"/>
            <w:vAlign w:val="center"/>
          </w:tcPr>
          <w:p w14:paraId="245F0CF6" w14:textId="77777777" w:rsidR="0038775E" w:rsidRDefault="00877B9C" w:rsidP="002041D4">
            <w:pPr>
              <w:wordWrap w:val="0"/>
              <w:spacing w:before="20" w:after="20"/>
              <w:rPr>
                <w:noProof/>
              </w:rPr>
            </w:pPr>
            <w:r w:rsidRPr="00DF5C23">
              <w:rPr>
                <w:noProof/>
                <w:sz w:val="22"/>
              </w:rPr>
              <w:sym w:font="Wingdings" w:char="F09F"/>
            </w:r>
            <w:r w:rsidRPr="00DF5C23">
              <w:rPr>
                <w:noProof/>
                <w:sz w:val="22"/>
              </w:rPr>
              <w:t xml:space="preserve"> </w:t>
            </w:r>
            <w:r w:rsidRPr="00DF5C23">
              <w:rPr>
                <w:noProof/>
                <w:sz w:val="22"/>
              </w:rPr>
              <w:t>人的資源</w:t>
            </w:r>
            <w:r w:rsidRPr="00DF5C23">
              <w:rPr>
                <w:noProof/>
                <w:sz w:val="22"/>
              </w:rPr>
              <w:t xml:space="preserve"> </w:t>
            </w:r>
          </w:p>
        </w:tc>
        <w:tc>
          <w:tcPr>
            <w:tcW w:w="868" w:type="dxa"/>
            <w:vAlign w:val="bottom"/>
          </w:tcPr>
          <w:p w14:paraId="6D810A10" w14:textId="77777777" w:rsidR="0038775E" w:rsidRDefault="00877B9C" w:rsidP="002041D4">
            <w:pPr>
              <w:wordWrap w:val="0"/>
              <w:spacing w:before="20" w:after="20"/>
              <w:jc w:val="right"/>
              <w:rPr>
                <w:noProof/>
                <w:sz w:val="20"/>
              </w:rPr>
            </w:pPr>
            <w:r w:rsidRPr="00DF5C23">
              <w:rPr>
                <w:rFonts w:ascii="Calibri" w:hAnsi="Calibri" w:cs="Calibri"/>
                <w:noProof/>
                <w:color w:val="000000"/>
                <w:sz w:val="22"/>
              </w:rPr>
              <w:t>0,713</w:t>
            </w:r>
          </w:p>
        </w:tc>
        <w:tc>
          <w:tcPr>
            <w:tcW w:w="868" w:type="dxa"/>
            <w:vAlign w:val="bottom"/>
          </w:tcPr>
          <w:p w14:paraId="0A6BF9B5" w14:textId="77777777" w:rsidR="0038775E" w:rsidRDefault="00877B9C" w:rsidP="002041D4">
            <w:pPr>
              <w:wordWrap w:val="0"/>
              <w:spacing w:before="20" w:after="20"/>
              <w:jc w:val="right"/>
              <w:rPr>
                <w:noProof/>
                <w:sz w:val="20"/>
              </w:rPr>
            </w:pPr>
            <w:r w:rsidRPr="00DF5C23">
              <w:rPr>
                <w:rFonts w:ascii="Calibri" w:hAnsi="Calibri" w:cs="Calibri"/>
                <w:noProof/>
                <w:color w:val="000000"/>
                <w:sz w:val="22"/>
              </w:rPr>
              <w:t>2,070</w:t>
            </w:r>
          </w:p>
        </w:tc>
        <w:tc>
          <w:tcPr>
            <w:tcW w:w="868" w:type="dxa"/>
            <w:vAlign w:val="bottom"/>
          </w:tcPr>
          <w:p w14:paraId="6B574BD3" w14:textId="77777777" w:rsidR="0038775E" w:rsidRDefault="00877B9C" w:rsidP="002041D4">
            <w:pPr>
              <w:wordWrap w:val="0"/>
              <w:spacing w:before="20" w:after="20"/>
              <w:jc w:val="right"/>
              <w:rPr>
                <w:noProof/>
                <w:sz w:val="20"/>
              </w:rPr>
            </w:pPr>
            <w:r w:rsidRPr="00DF5C23">
              <w:rPr>
                <w:rFonts w:ascii="Calibri" w:hAnsi="Calibri" w:cs="Calibri"/>
                <w:noProof/>
                <w:color w:val="000000"/>
                <w:sz w:val="22"/>
              </w:rPr>
              <w:t>2,214</w:t>
            </w:r>
          </w:p>
        </w:tc>
        <w:tc>
          <w:tcPr>
            <w:tcW w:w="868" w:type="dxa"/>
            <w:vAlign w:val="bottom"/>
          </w:tcPr>
          <w:p w14:paraId="0F04CAE7" w14:textId="77777777" w:rsidR="0038775E" w:rsidRDefault="00877B9C" w:rsidP="002041D4">
            <w:pPr>
              <w:wordWrap w:val="0"/>
              <w:spacing w:before="20" w:after="20"/>
              <w:jc w:val="right"/>
              <w:rPr>
                <w:noProof/>
                <w:sz w:val="20"/>
              </w:rPr>
            </w:pPr>
            <w:r w:rsidRPr="00DF5C23">
              <w:rPr>
                <w:rFonts w:ascii="Calibri" w:hAnsi="Calibri" w:cs="Calibri"/>
                <w:noProof/>
                <w:color w:val="000000"/>
                <w:sz w:val="22"/>
              </w:rPr>
              <w:t>2,214</w:t>
            </w:r>
          </w:p>
        </w:tc>
        <w:tc>
          <w:tcPr>
            <w:tcW w:w="868" w:type="dxa"/>
            <w:vAlign w:val="bottom"/>
          </w:tcPr>
          <w:p w14:paraId="45E8AD1A" w14:textId="77777777" w:rsidR="0038775E" w:rsidRDefault="00877B9C" w:rsidP="002041D4">
            <w:pPr>
              <w:wordWrap w:val="0"/>
              <w:spacing w:before="20" w:after="20"/>
              <w:jc w:val="right"/>
              <w:rPr>
                <w:noProof/>
                <w:sz w:val="20"/>
              </w:rPr>
            </w:pPr>
            <w:r w:rsidRPr="00DF5C23">
              <w:rPr>
                <w:rFonts w:ascii="Calibri" w:hAnsi="Calibri" w:cs="Calibri"/>
                <w:noProof/>
                <w:color w:val="000000"/>
                <w:sz w:val="22"/>
              </w:rPr>
              <w:t>2,214</w:t>
            </w:r>
          </w:p>
        </w:tc>
        <w:tc>
          <w:tcPr>
            <w:tcW w:w="1448" w:type="dxa"/>
            <w:vAlign w:val="bottom"/>
          </w:tcPr>
          <w:p w14:paraId="0A45863B" w14:textId="77777777" w:rsidR="0038775E" w:rsidRDefault="00877B9C" w:rsidP="002041D4">
            <w:pPr>
              <w:wordWrap w:val="0"/>
              <w:spacing w:before="20" w:after="20"/>
              <w:jc w:val="right"/>
              <w:rPr>
                <w:noProof/>
                <w:sz w:val="20"/>
              </w:rPr>
            </w:pPr>
            <w:r w:rsidRPr="00DF5C23">
              <w:rPr>
                <w:rFonts w:ascii="Calibri" w:hAnsi="Calibri" w:cs="Calibri"/>
                <w:noProof/>
                <w:color w:val="000000"/>
                <w:sz w:val="22"/>
              </w:rPr>
              <w:t>2,214</w:t>
            </w:r>
          </w:p>
        </w:tc>
        <w:tc>
          <w:tcPr>
            <w:tcW w:w="1418" w:type="dxa"/>
            <w:vAlign w:val="bottom"/>
          </w:tcPr>
          <w:p w14:paraId="283B395C" w14:textId="77777777" w:rsidR="0038775E" w:rsidRDefault="00877B9C" w:rsidP="002041D4">
            <w:pPr>
              <w:wordWrap w:val="0"/>
              <w:spacing w:before="20" w:after="20"/>
              <w:jc w:val="right"/>
              <w:rPr>
                <w:b/>
                <w:noProof/>
                <w:sz w:val="20"/>
              </w:rPr>
            </w:pPr>
            <w:r w:rsidRPr="00DF5C23">
              <w:rPr>
                <w:rFonts w:ascii="Calibri" w:hAnsi="Calibri" w:cs="Calibri"/>
                <w:noProof/>
                <w:color w:val="FF0000"/>
                <w:sz w:val="22"/>
              </w:rPr>
              <w:t>11,639</w:t>
            </w:r>
          </w:p>
        </w:tc>
      </w:tr>
      <w:tr w:rsidR="005C61BF" w:rsidRPr="00DF5C23" w14:paraId="2C3A5D56" w14:textId="77777777" w:rsidTr="009C47CC">
        <w:trPr>
          <w:trHeight w:val="351"/>
        </w:trPr>
        <w:tc>
          <w:tcPr>
            <w:tcW w:w="6054" w:type="dxa"/>
            <w:gridSpan w:val="3"/>
            <w:vAlign w:val="center"/>
          </w:tcPr>
          <w:p w14:paraId="0314538B" w14:textId="77777777" w:rsidR="0038775E" w:rsidRDefault="00877B9C" w:rsidP="002041D4">
            <w:pPr>
              <w:wordWrap w:val="0"/>
              <w:spacing w:before="20" w:after="20"/>
              <w:rPr>
                <w:noProof/>
              </w:rPr>
            </w:pPr>
            <w:r w:rsidRPr="00DF5C23">
              <w:rPr>
                <w:noProof/>
                <w:sz w:val="22"/>
              </w:rPr>
              <w:lastRenderedPageBreak/>
              <w:sym w:font="Wingdings" w:char="F09F"/>
            </w:r>
            <w:r w:rsidRPr="00DF5C23">
              <w:rPr>
                <w:noProof/>
                <w:sz w:val="22"/>
              </w:rPr>
              <w:t xml:space="preserve"> </w:t>
            </w:r>
            <w:r w:rsidRPr="00DF5C23">
              <w:rPr>
                <w:noProof/>
                <w:sz w:val="22"/>
              </w:rPr>
              <w:t>その他管理部門費</w:t>
            </w:r>
            <w:r w:rsidRPr="00DF5C23">
              <w:rPr>
                <w:noProof/>
                <w:sz w:val="22"/>
              </w:rPr>
              <w:t xml:space="preserve"> </w:t>
            </w:r>
          </w:p>
        </w:tc>
        <w:tc>
          <w:tcPr>
            <w:tcW w:w="868" w:type="dxa"/>
            <w:vAlign w:val="bottom"/>
          </w:tcPr>
          <w:p w14:paraId="3DD5BC29" w14:textId="77777777" w:rsidR="0038775E" w:rsidRDefault="00877B9C" w:rsidP="002041D4">
            <w:pPr>
              <w:wordWrap w:val="0"/>
              <w:spacing w:before="20" w:after="20"/>
              <w:jc w:val="right"/>
              <w:rPr>
                <w:b/>
                <w:noProof/>
                <w:sz w:val="20"/>
              </w:rPr>
            </w:pPr>
            <w:r w:rsidRPr="00DF5C23">
              <w:rPr>
                <w:rFonts w:ascii="Calibri" w:hAnsi="Calibri" w:cs="Calibri"/>
                <w:noProof/>
                <w:color w:val="000000"/>
                <w:sz w:val="22"/>
              </w:rPr>
              <w:t>0,005</w:t>
            </w:r>
          </w:p>
        </w:tc>
        <w:tc>
          <w:tcPr>
            <w:tcW w:w="868" w:type="dxa"/>
            <w:vAlign w:val="bottom"/>
          </w:tcPr>
          <w:p w14:paraId="4BA0415F" w14:textId="77777777" w:rsidR="0038775E" w:rsidRDefault="00877B9C" w:rsidP="002041D4">
            <w:pPr>
              <w:wordWrap w:val="0"/>
              <w:spacing w:before="20" w:after="20"/>
              <w:jc w:val="right"/>
              <w:rPr>
                <w:b/>
                <w:noProof/>
                <w:sz w:val="20"/>
              </w:rPr>
            </w:pPr>
            <w:r w:rsidRPr="00DF5C23">
              <w:rPr>
                <w:rFonts w:ascii="Calibri" w:hAnsi="Calibri" w:cs="Calibri"/>
                <w:noProof/>
                <w:color w:val="000000"/>
                <w:sz w:val="22"/>
              </w:rPr>
              <w:t>0,005</w:t>
            </w:r>
          </w:p>
        </w:tc>
        <w:tc>
          <w:tcPr>
            <w:tcW w:w="868" w:type="dxa"/>
            <w:vAlign w:val="bottom"/>
          </w:tcPr>
          <w:p w14:paraId="5DF8A723" w14:textId="77777777" w:rsidR="0038775E" w:rsidRDefault="00877B9C" w:rsidP="002041D4">
            <w:pPr>
              <w:wordWrap w:val="0"/>
              <w:spacing w:before="20" w:after="20"/>
              <w:jc w:val="right"/>
              <w:rPr>
                <w:b/>
                <w:noProof/>
                <w:sz w:val="20"/>
              </w:rPr>
            </w:pPr>
            <w:r w:rsidRPr="00DF5C23">
              <w:rPr>
                <w:rFonts w:ascii="Calibri" w:hAnsi="Calibri" w:cs="Calibri"/>
                <w:noProof/>
                <w:color w:val="000000"/>
                <w:sz w:val="22"/>
              </w:rPr>
              <w:t>0,097</w:t>
            </w:r>
          </w:p>
        </w:tc>
        <w:tc>
          <w:tcPr>
            <w:tcW w:w="868" w:type="dxa"/>
            <w:vAlign w:val="bottom"/>
          </w:tcPr>
          <w:p w14:paraId="2730CA73" w14:textId="77777777" w:rsidR="0038775E" w:rsidRDefault="00877B9C" w:rsidP="002041D4">
            <w:pPr>
              <w:wordWrap w:val="0"/>
              <w:spacing w:before="20" w:after="20"/>
              <w:jc w:val="right"/>
              <w:rPr>
                <w:b/>
                <w:noProof/>
                <w:sz w:val="20"/>
              </w:rPr>
            </w:pPr>
            <w:r w:rsidRPr="00DF5C23">
              <w:rPr>
                <w:rFonts w:ascii="Calibri" w:hAnsi="Calibri" w:cs="Calibri"/>
                <w:noProof/>
                <w:color w:val="000000"/>
                <w:sz w:val="22"/>
              </w:rPr>
              <w:t>0,097</w:t>
            </w:r>
          </w:p>
        </w:tc>
        <w:tc>
          <w:tcPr>
            <w:tcW w:w="868" w:type="dxa"/>
            <w:vAlign w:val="bottom"/>
          </w:tcPr>
          <w:p w14:paraId="15D3645D" w14:textId="77777777" w:rsidR="0038775E" w:rsidRDefault="00877B9C" w:rsidP="002041D4">
            <w:pPr>
              <w:wordWrap w:val="0"/>
              <w:spacing w:before="20" w:after="20"/>
              <w:jc w:val="right"/>
              <w:rPr>
                <w:b/>
                <w:noProof/>
                <w:sz w:val="20"/>
              </w:rPr>
            </w:pPr>
            <w:r w:rsidRPr="00DF5C23">
              <w:rPr>
                <w:rFonts w:ascii="Calibri" w:hAnsi="Calibri" w:cs="Calibri"/>
                <w:noProof/>
                <w:color w:val="000000"/>
                <w:sz w:val="22"/>
              </w:rPr>
              <w:t>0,096</w:t>
            </w:r>
          </w:p>
        </w:tc>
        <w:tc>
          <w:tcPr>
            <w:tcW w:w="1448" w:type="dxa"/>
            <w:vAlign w:val="bottom"/>
          </w:tcPr>
          <w:p w14:paraId="69BDFB4E" w14:textId="77777777" w:rsidR="0038775E" w:rsidRDefault="00877B9C" w:rsidP="002041D4">
            <w:pPr>
              <w:wordWrap w:val="0"/>
              <w:spacing w:before="20" w:after="20"/>
              <w:jc w:val="right"/>
              <w:rPr>
                <w:b/>
                <w:noProof/>
                <w:sz w:val="20"/>
              </w:rPr>
            </w:pPr>
            <w:r w:rsidRPr="00DF5C23">
              <w:rPr>
                <w:rFonts w:ascii="Calibri" w:hAnsi="Calibri" w:cs="Calibri"/>
                <w:noProof/>
                <w:color w:val="000000"/>
                <w:sz w:val="22"/>
              </w:rPr>
              <w:t>0,090</w:t>
            </w:r>
          </w:p>
        </w:tc>
        <w:tc>
          <w:tcPr>
            <w:tcW w:w="1418" w:type="dxa"/>
            <w:vAlign w:val="bottom"/>
          </w:tcPr>
          <w:p w14:paraId="385ED007" w14:textId="77777777" w:rsidR="0038775E" w:rsidRDefault="00877B9C" w:rsidP="002041D4">
            <w:pPr>
              <w:wordWrap w:val="0"/>
              <w:spacing w:before="20" w:after="20"/>
              <w:jc w:val="right"/>
              <w:rPr>
                <w:b/>
                <w:noProof/>
                <w:sz w:val="20"/>
              </w:rPr>
            </w:pPr>
            <w:r w:rsidRPr="00DF5C23">
              <w:rPr>
                <w:rFonts w:ascii="Calibri" w:hAnsi="Calibri" w:cs="Calibri"/>
                <w:noProof/>
                <w:color w:val="000000"/>
                <w:sz w:val="22"/>
              </w:rPr>
              <w:t>0,390</w:t>
            </w:r>
          </w:p>
        </w:tc>
      </w:tr>
      <w:tr w:rsidR="005C61BF" w:rsidRPr="00DF5C23" w14:paraId="2C3A5D60" w14:textId="77777777" w:rsidTr="009C47CC">
        <w:tc>
          <w:tcPr>
            <w:tcW w:w="3960" w:type="dxa"/>
            <w:tcBorders>
              <w:bottom w:val="single" w:sz="4" w:space="0" w:color="auto"/>
            </w:tcBorders>
            <w:vAlign w:val="center"/>
          </w:tcPr>
          <w:p w14:paraId="285F7D94" w14:textId="77777777" w:rsidR="0038775E" w:rsidRDefault="00877B9C" w:rsidP="002041D4">
            <w:pPr>
              <w:wordWrap w:val="0"/>
              <w:jc w:val="center"/>
              <w:rPr>
                <w:b/>
                <w:noProof/>
              </w:rPr>
            </w:pPr>
            <w:r w:rsidRPr="00DF5C23">
              <w:rPr>
                <w:b/>
                <w:noProof/>
                <w:sz w:val="22"/>
              </w:rPr>
              <w:t xml:space="preserve">TOTAL DG </w:t>
            </w:r>
            <w:r w:rsidRPr="00DF5C23">
              <w:rPr>
                <w:noProof/>
                <w:sz w:val="22"/>
              </w:rPr>
              <w:t>ENER</w:t>
            </w:r>
          </w:p>
        </w:tc>
        <w:tc>
          <w:tcPr>
            <w:tcW w:w="2094" w:type="dxa"/>
            <w:gridSpan w:val="2"/>
            <w:tcBorders>
              <w:bottom w:val="single" w:sz="4" w:space="0" w:color="auto"/>
            </w:tcBorders>
            <w:vAlign w:val="center"/>
          </w:tcPr>
          <w:p w14:paraId="726152DB" w14:textId="77777777" w:rsidR="0038775E" w:rsidRDefault="00877B9C" w:rsidP="002041D4">
            <w:pPr>
              <w:wordWrap w:val="0"/>
              <w:rPr>
                <w:noProof/>
                <w:sz w:val="14"/>
                <w:lang w:eastAsia="ja-JP"/>
              </w:rPr>
            </w:pPr>
            <w:r w:rsidRPr="00DF5C23">
              <w:rPr>
                <w:noProof/>
                <w:sz w:val="18"/>
                <w:lang w:eastAsia="ja-JP"/>
              </w:rPr>
              <w:t>アプロプリエーション</w:t>
            </w:r>
            <w:r w:rsidRPr="00DF5C23">
              <w:rPr>
                <w:noProof/>
                <w:sz w:val="18"/>
                <w:lang w:eastAsia="ja-JP"/>
              </w:rPr>
              <w:t xml:space="preserve"> </w:t>
            </w:r>
          </w:p>
        </w:tc>
        <w:tc>
          <w:tcPr>
            <w:tcW w:w="868" w:type="dxa"/>
            <w:tcBorders>
              <w:bottom w:val="single" w:sz="4" w:space="0" w:color="auto"/>
            </w:tcBorders>
            <w:vAlign w:val="bottom"/>
          </w:tcPr>
          <w:p w14:paraId="1AB48F53" w14:textId="77777777" w:rsidR="0038775E" w:rsidRDefault="00877B9C" w:rsidP="002041D4">
            <w:pPr>
              <w:wordWrap w:val="0"/>
              <w:spacing w:before="60" w:after="60"/>
              <w:jc w:val="right"/>
              <w:rPr>
                <w:noProof/>
              </w:rPr>
            </w:pPr>
            <w:r w:rsidRPr="00DF5C23">
              <w:rPr>
                <w:rFonts w:ascii="Calibri" w:hAnsi="Calibri" w:cs="Calibri"/>
                <w:noProof/>
                <w:color w:val="000000"/>
                <w:sz w:val="22"/>
              </w:rPr>
              <w:t>0,718</w:t>
            </w:r>
          </w:p>
        </w:tc>
        <w:tc>
          <w:tcPr>
            <w:tcW w:w="868" w:type="dxa"/>
            <w:tcBorders>
              <w:bottom w:val="single" w:sz="4" w:space="0" w:color="auto"/>
            </w:tcBorders>
            <w:vAlign w:val="bottom"/>
          </w:tcPr>
          <w:p w14:paraId="1BEB2F0F" w14:textId="77777777" w:rsidR="0038775E" w:rsidRDefault="00877B9C" w:rsidP="002041D4">
            <w:pPr>
              <w:wordWrap w:val="0"/>
              <w:spacing w:before="20" w:after="20"/>
              <w:jc w:val="right"/>
              <w:rPr>
                <w:noProof/>
              </w:rPr>
            </w:pPr>
            <w:r w:rsidRPr="00DF5C23">
              <w:rPr>
                <w:rFonts w:ascii="Calibri" w:hAnsi="Calibri" w:cs="Calibri"/>
                <w:noProof/>
                <w:color w:val="000000"/>
                <w:sz w:val="22"/>
              </w:rPr>
              <w:t>2,075</w:t>
            </w:r>
          </w:p>
        </w:tc>
        <w:tc>
          <w:tcPr>
            <w:tcW w:w="868" w:type="dxa"/>
            <w:tcBorders>
              <w:bottom w:val="single" w:sz="4" w:space="0" w:color="auto"/>
            </w:tcBorders>
            <w:vAlign w:val="bottom"/>
          </w:tcPr>
          <w:p w14:paraId="28790600" w14:textId="77777777" w:rsidR="0038775E" w:rsidRDefault="00877B9C" w:rsidP="002041D4">
            <w:pPr>
              <w:wordWrap w:val="0"/>
              <w:spacing w:before="20" w:after="20"/>
              <w:jc w:val="right"/>
              <w:rPr>
                <w:noProof/>
              </w:rPr>
            </w:pPr>
            <w:r w:rsidRPr="00DF5C23">
              <w:rPr>
                <w:rFonts w:ascii="Calibri" w:hAnsi="Calibri" w:cs="Calibri"/>
                <w:noProof/>
                <w:color w:val="000000"/>
                <w:sz w:val="22"/>
              </w:rPr>
              <w:t>2,311</w:t>
            </w:r>
          </w:p>
        </w:tc>
        <w:tc>
          <w:tcPr>
            <w:tcW w:w="868" w:type="dxa"/>
            <w:tcBorders>
              <w:bottom w:val="single" w:sz="4" w:space="0" w:color="auto"/>
            </w:tcBorders>
            <w:vAlign w:val="bottom"/>
          </w:tcPr>
          <w:p w14:paraId="45E806A4" w14:textId="77777777" w:rsidR="0038775E" w:rsidRDefault="00877B9C" w:rsidP="002041D4">
            <w:pPr>
              <w:wordWrap w:val="0"/>
              <w:spacing w:before="20" w:after="20"/>
              <w:jc w:val="right"/>
              <w:rPr>
                <w:noProof/>
              </w:rPr>
            </w:pPr>
            <w:r w:rsidRPr="00DF5C23">
              <w:rPr>
                <w:rFonts w:ascii="Calibri" w:hAnsi="Calibri" w:cs="Calibri"/>
                <w:noProof/>
                <w:color w:val="000000"/>
                <w:sz w:val="22"/>
              </w:rPr>
              <w:t>2,311</w:t>
            </w:r>
          </w:p>
        </w:tc>
        <w:tc>
          <w:tcPr>
            <w:tcW w:w="868" w:type="dxa"/>
            <w:tcBorders>
              <w:bottom w:val="single" w:sz="4" w:space="0" w:color="auto"/>
            </w:tcBorders>
            <w:vAlign w:val="bottom"/>
          </w:tcPr>
          <w:p w14:paraId="715396D8" w14:textId="77777777" w:rsidR="0038775E" w:rsidRDefault="00877B9C" w:rsidP="002041D4">
            <w:pPr>
              <w:wordWrap w:val="0"/>
              <w:spacing w:before="20" w:after="20"/>
              <w:jc w:val="right"/>
              <w:rPr>
                <w:noProof/>
              </w:rPr>
            </w:pPr>
            <w:r w:rsidRPr="00DF5C23">
              <w:rPr>
                <w:rFonts w:ascii="Calibri" w:hAnsi="Calibri" w:cs="Calibri"/>
                <w:noProof/>
                <w:color w:val="000000"/>
                <w:sz w:val="22"/>
              </w:rPr>
              <w:t>2,310</w:t>
            </w:r>
          </w:p>
        </w:tc>
        <w:tc>
          <w:tcPr>
            <w:tcW w:w="1448" w:type="dxa"/>
            <w:tcBorders>
              <w:bottom w:val="single" w:sz="4" w:space="0" w:color="auto"/>
            </w:tcBorders>
            <w:vAlign w:val="bottom"/>
          </w:tcPr>
          <w:p w14:paraId="2ECED16F" w14:textId="77777777" w:rsidR="0038775E" w:rsidRDefault="00877B9C" w:rsidP="002041D4">
            <w:pPr>
              <w:wordWrap w:val="0"/>
              <w:spacing w:before="20" w:after="20"/>
              <w:jc w:val="right"/>
              <w:rPr>
                <w:noProof/>
              </w:rPr>
            </w:pPr>
            <w:r w:rsidRPr="00DF5C23">
              <w:rPr>
                <w:rFonts w:ascii="Calibri" w:hAnsi="Calibri" w:cs="Calibri"/>
                <w:noProof/>
                <w:color w:val="000000"/>
                <w:sz w:val="22"/>
              </w:rPr>
              <w:t>2,304</w:t>
            </w:r>
          </w:p>
        </w:tc>
        <w:tc>
          <w:tcPr>
            <w:tcW w:w="1418" w:type="dxa"/>
            <w:tcBorders>
              <w:bottom w:val="single" w:sz="4" w:space="0" w:color="auto"/>
            </w:tcBorders>
            <w:vAlign w:val="bottom"/>
          </w:tcPr>
          <w:p w14:paraId="4F4557A1" w14:textId="77777777" w:rsidR="0038775E" w:rsidRDefault="00877B9C" w:rsidP="002041D4">
            <w:pPr>
              <w:wordWrap w:val="0"/>
              <w:spacing w:before="20" w:after="20"/>
              <w:jc w:val="right"/>
              <w:rPr>
                <w:b/>
                <w:noProof/>
                <w:sz w:val="20"/>
              </w:rPr>
            </w:pPr>
            <w:r w:rsidRPr="00DF5C23">
              <w:rPr>
                <w:rFonts w:ascii="Calibri" w:hAnsi="Calibri" w:cs="Calibri"/>
                <w:noProof/>
                <w:color w:val="000000"/>
                <w:sz w:val="22"/>
              </w:rPr>
              <w:t>12,029</w:t>
            </w:r>
          </w:p>
        </w:tc>
      </w:tr>
      <w:tr w:rsidR="005C61BF" w:rsidRPr="00DF5C23" w14:paraId="2C3A5D6A" w14:textId="77777777" w:rsidTr="009C47CC">
        <w:tc>
          <w:tcPr>
            <w:tcW w:w="3960" w:type="dxa"/>
            <w:tcBorders>
              <w:left w:val="nil"/>
              <w:bottom w:val="nil"/>
              <w:right w:val="nil"/>
            </w:tcBorders>
            <w:vAlign w:val="center"/>
          </w:tcPr>
          <w:p w14:paraId="2C3A5D61" w14:textId="77777777" w:rsidR="005C61BF" w:rsidRPr="00DF5C23" w:rsidRDefault="005C61BF" w:rsidP="002041D4">
            <w:pPr>
              <w:wordWrap w:val="0"/>
              <w:jc w:val="center"/>
              <w:rPr>
                <w:b/>
                <w:noProof/>
                <w:sz w:val="22"/>
              </w:rPr>
            </w:pPr>
          </w:p>
        </w:tc>
        <w:tc>
          <w:tcPr>
            <w:tcW w:w="2094" w:type="dxa"/>
            <w:gridSpan w:val="2"/>
            <w:tcBorders>
              <w:left w:val="nil"/>
              <w:bottom w:val="nil"/>
              <w:right w:val="nil"/>
            </w:tcBorders>
            <w:vAlign w:val="center"/>
          </w:tcPr>
          <w:p w14:paraId="2C3A5D62" w14:textId="77777777" w:rsidR="005C61BF" w:rsidRPr="00DF5C23" w:rsidRDefault="005C61BF" w:rsidP="002041D4">
            <w:pPr>
              <w:wordWrap w:val="0"/>
              <w:rPr>
                <w:noProof/>
                <w:sz w:val="18"/>
              </w:rPr>
            </w:pPr>
          </w:p>
        </w:tc>
        <w:tc>
          <w:tcPr>
            <w:tcW w:w="868" w:type="dxa"/>
            <w:tcBorders>
              <w:left w:val="nil"/>
              <w:bottom w:val="single" w:sz="4" w:space="0" w:color="auto"/>
              <w:right w:val="nil"/>
            </w:tcBorders>
            <w:vAlign w:val="center"/>
          </w:tcPr>
          <w:p w14:paraId="2C3A5D63" w14:textId="77777777" w:rsidR="005C61BF" w:rsidRPr="00DF5C23" w:rsidRDefault="005C61BF" w:rsidP="002041D4">
            <w:pPr>
              <w:wordWrap w:val="0"/>
              <w:spacing w:before="60" w:after="60"/>
              <w:jc w:val="right"/>
              <w:rPr>
                <w:noProof/>
                <w:sz w:val="20"/>
              </w:rPr>
            </w:pPr>
          </w:p>
        </w:tc>
        <w:tc>
          <w:tcPr>
            <w:tcW w:w="868" w:type="dxa"/>
            <w:tcBorders>
              <w:left w:val="nil"/>
              <w:bottom w:val="single" w:sz="4" w:space="0" w:color="auto"/>
              <w:right w:val="nil"/>
            </w:tcBorders>
            <w:vAlign w:val="center"/>
          </w:tcPr>
          <w:p w14:paraId="2C3A5D64" w14:textId="77777777" w:rsidR="005C61BF" w:rsidRPr="00DF5C23" w:rsidRDefault="005C61BF" w:rsidP="002041D4">
            <w:pPr>
              <w:wordWrap w:val="0"/>
              <w:spacing w:before="20" w:after="20"/>
              <w:jc w:val="right"/>
              <w:rPr>
                <w:noProof/>
                <w:sz w:val="20"/>
              </w:rPr>
            </w:pPr>
          </w:p>
        </w:tc>
        <w:tc>
          <w:tcPr>
            <w:tcW w:w="868" w:type="dxa"/>
            <w:tcBorders>
              <w:left w:val="nil"/>
              <w:bottom w:val="single" w:sz="4" w:space="0" w:color="auto"/>
              <w:right w:val="nil"/>
            </w:tcBorders>
            <w:vAlign w:val="center"/>
          </w:tcPr>
          <w:p w14:paraId="2C3A5D65" w14:textId="77777777" w:rsidR="005C61BF" w:rsidRPr="00DF5C23" w:rsidRDefault="005C61BF" w:rsidP="002041D4">
            <w:pPr>
              <w:wordWrap w:val="0"/>
              <w:spacing w:before="20" w:after="20"/>
              <w:jc w:val="right"/>
              <w:rPr>
                <w:noProof/>
                <w:sz w:val="20"/>
              </w:rPr>
            </w:pPr>
          </w:p>
        </w:tc>
        <w:tc>
          <w:tcPr>
            <w:tcW w:w="868" w:type="dxa"/>
            <w:tcBorders>
              <w:left w:val="nil"/>
              <w:bottom w:val="single" w:sz="4" w:space="0" w:color="auto"/>
              <w:right w:val="nil"/>
            </w:tcBorders>
            <w:vAlign w:val="center"/>
          </w:tcPr>
          <w:p w14:paraId="2C3A5D66" w14:textId="77777777" w:rsidR="005C61BF" w:rsidRPr="00DF5C23" w:rsidRDefault="005C61BF" w:rsidP="002041D4">
            <w:pPr>
              <w:wordWrap w:val="0"/>
              <w:spacing w:before="20" w:after="20"/>
              <w:jc w:val="right"/>
              <w:rPr>
                <w:noProof/>
                <w:sz w:val="20"/>
              </w:rPr>
            </w:pPr>
          </w:p>
        </w:tc>
        <w:tc>
          <w:tcPr>
            <w:tcW w:w="868" w:type="dxa"/>
            <w:tcBorders>
              <w:left w:val="nil"/>
              <w:bottom w:val="single" w:sz="4" w:space="0" w:color="auto"/>
              <w:right w:val="nil"/>
            </w:tcBorders>
            <w:vAlign w:val="center"/>
          </w:tcPr>
          <w:p w14:paraId="2C3A5D67" w14:textId="77777777" w:rsidR="005C61BF" w:rsidRPr="00DF5C23" w:rsidRDefault="005C61BF" w:rsidP="002041D4">
            <w:pPr>
              <w:wordWrap w:val="0"/>
              <w:spacing w:before="20" w:after="20"/>
              <w:jc w:val="right"/>
              <w:rPr>
                <w:noProof/>
                <w:sz w:val="20"/>
              </w:rPr>
            </w:pPr>
          </w:p>
        </w:tc>
        <w:tc>
          <w:tcPr>
            <w:tcW w:w="1448" w:type="dxa"/>
            <w:tcBorders>
              <w:left w:val="nil"/>
              <w:bottom w:val="single" w:sz="4" w:space="0" w:color="auto"/>
              <w:right w:val="nil"/>
            </w:tcBorders>
            <w:vAlign w:val="center"/>
          </w:tcPr>
          <w:p w14:paraId="2C3A5D68" w14:textId="77777777" w:rsidR="005C61BF" w:rsidRPr="00DF5C23" w:rsidRDefault="005C61BF" w:rsidP="002041D4">
            <w:pPr>
              <w:wordWrap w:val="0"/>
              <w:spacing w:before="20" w:after="20"/>
              <w:jc w:val="right"/>
              <w:rPr>
                <w:noProof/>
                <w:sz w:val="20"/>
              </w:rPr>
            </w:pPr>
          </w:p>
        </w:tc>
        <w:tc>
          <w:tcPr>
            <w:tcW w:w="1418" w:type="dxa"/>
            <w:tcBorders>
              <w:left w:val="nil"/>
              <w:bottom w:val="single" w:sz="4" w:space="0" w:color="auto"/>
            </w:tcBorders>
            <w:vAlign w:val="center"/>
          </w:tcPr>
          <w:p w14:paraId="2C3A5D69" w14:textId="77777777" w:rsidR="005C61BF" w:rsidRPr="00DF5C23" w:rsidRDefault="005C61BF" w:rsidP="002041D4">
            <w:pPr>
              <w:wordWrap w:val="0"/>
              <w:spacing w:before="20" w:after="20"/>
              <w:jc w:val="right"/>
              <w:rPr>
                <w:b/>
                <w:noProof/>
                <w:sz w:val="20"/>
              </w:rPr>
            </w:pPr>
          </w:p>
        </w:tc>
      </w:tr>
      <w:tr w:rsidR="005C61BF" w:rsidRPr="00DF5C23" w14:paraId="2C3A5D75" w14:textId="77777777" w:rsidTr="009C47CC">
        <w:tc>
          <w:tcPr>
            <w:tcW w:w="3960" w:type="dxa"/>
            <w:tcBorders>
              <w:top w:val="nil"/>
              <w:left w:val="nil"/>
              <w:right w:val="nil"/>
            </w:tcBorders>
            <w:vAlign w:val="center"/>
          </w:tcPr>
          <w:p w14:paraId="2C3A5D6B" w14:textId="77777777" w:rsidR="005C61BF" w:rsidRPr="00DF5C23" w:rsidRDefault="005C61BF" w:rsidP="002041D4">
            <w:pPr>
              <w:wordWrap w:val="0"/>
              <w:jc w:val="center"/>
              <w:rPr>
                <w:noProof/>
              </w:rPr>
            </w:pPr>
          </w:p>
        </w:tc>
        <w:tc>
          <w:tcPr>
            <w:tcW w:w="1560" w:type="dxa"/>
            <w:tcBorders>
              <w:top w:val="nil"/>
              <w:left w:val="nil"/>
              <w:right w:val="nil"/>
            </w:tcBorders>
          </w:tcPr>
          <w:p w14:paraId="2C3A5D6C" w14:textId="77777777" w:rsidR="005C61BF" w:rsidRPr="00DF5C23" w:rsidRDefault="005C61BF" w:rsidP="002041D4">
            <w:pPr>
              <w:wordWrap w:val="0"/>
              <w:rPr>
                <w:noProof/>
                <w:sz w:val="20"/>
              </w:rPr>
            </w:pPr>
          </w:p>
        </w:tc>
        <w:tc>
          <w:tcPr>
            <w:tcW w:w="534" w:type="dxa"/>
            <w:tcBorders>
              <w:top w:val="nil"/>
              <w:left w:val="nil"/>
            </w:tcBorders>
          </w:tcPr>
          <w:p w14:paraId="2C3A5D6D" w14:textId="77777777" w:rsidR="005C61BF" w:rsidRPr="00DF5C23" w:rsidRDefault="005C61BF" w:rsidP="002041D4">
            <w:pPr>
              <w:wordWrap w:val="0"/>
              <w:jc w:val="center"/>
              <w:rPr>
                <w:noProof/>
                <w:sz w:val="20"/>
              </w:rPr>
            </w:pPr>
          </w:p>
        </w:tc>
        <w:tc>
          <w:tcPr>
            <w:tcW w:w="868" w:type="dxa"/>
            <w:tcBorders>
              <w:top w:val="single" w:sz="4" w:space="0" w:color="auto"/>
            </w:tcBorders>
            <w:vAlign w:val="center"/>
          </w:tcPr>
          <w:p w14:paraId="323FA031" w14:textId="77777777" w:rsidR="0038775E" w:rsidRDefault="00877B9C" w:rsidP="002041D4">
            <w:pPr>
              <w:wordWrap w:val="0"/>
              <w:jc w:val="center"/>
              <w:rPr>
                <w:noProof/>
                <w:sz w:val="20"/>
              </w:rPr>
            </w:pPr>
            <w:r w:rsidRPr="00DF5C23">
              <w:rPr>
                <w:noProof/>
                <w:sz w:val="20"/>
                <w:szCs w:val="20"/>
              </w:rPr>
              <w:t>年</w:t>
            </w:r>
            <w:r w:rsidRPr="00DF5C23">
              <w:rPr>
                <w:noProof/>
                <w:sz w:val="22"/>
              </w:rPr>
              <w:br/>
            </w:r>
            <w:r w:rsidRPr="00DF5C23">
              <w:rPr>
                <w:b/>
                <w:bCs/>
                <w:noProof/>
                <w:sz w:val="20"/>
                <w:szCs w:val="20"/>
              </w:rPr>
              <w:t>2022</w:t>
            </w:r>
          </w:p>
        </w:tc>
        <w:tc>
          <w:tcPr>
            <w:tcW w:w="868" w:type="dxa"/>
            <w:tcBorders>
              <w:top w:val="single" w:sz="4" w:space="0" w:color="auto"/>
            </w:tcBorders>
            <w:vAlign w:val="center"/>
          </w:tcPr>
          <w:p w14:paraId="4DF1566F" w14:textId="77777777" w:rsidR="0038775E" w:rsidRDefault="00877B9C" w:rsidP="002041D4">
            <w:pPr>
              <w:wordWrap w:val="0"/>
              <w:jc w:val="center"/>
              <w:rPr>
                <w:noProof/>
                <w:sz w:val="20"/>
              </w:rPr>
            </w:pPr>
            <w:r w:rsidRPr="00DF5C23">
              <w:rPr>
                <w:noProof/>
                <w:sz w:val="20"/>
              </w:rPr>
              <w:t>年</w:t>
            </w:r>
            <w:r w:rsidRPr="00DF5C23">
              <w:rPr>
                <w:noProof/>
                <w:sz w:val="22"/>
              </w:rPr>
              <w:br/>
            </w:r>
            <w:r w:rsidRPr="00DF5C23">
              <w:rPr>
                <w:b/>
                <w:noProof/>
                <w:sz w:val="20"/>
              </w:rPr>
              <w:t>2023</w:t>
            </w:r>
          </w:p>
        </w:tc>
        <w:tc>
          <w:tcPr>
            <w:tcW w:w="868" w:type="dxa"/>
            <w:tcBorders>
              <w:top w:val="single" w:sz="4" w:space="0" w:color="auto"/>
            </w:tcBorders>
            <w:vAlign w:val="center"/>
          </w:tcPr>
          <w:p w14:paraId="3E8DC9F9" w14:textId="77777777" w:rsidR="0038775E" w:rsidRDefault="00877B9C" w:rsidP="002041D4">
            <w:pPr>
              <w:wordWrap w:val="0"/>
              <w:jc w:val="center"/>
              <w:rPr>
                <w:noProof/>
                <w:sz w:val="20"/>
              </w:rPr>
            </w:pPr>
            <w:r w:rsidRPr="00DF5C23">
              <w:rPr>
                <w:noProof/>
                <w:sz w:val="20"/>
              </w:rPr>
              <w:t>年</w:t>
            </w:r>
            <w:r w:rsidRPr="00DF5C23">
              <w:rPr>
                <w:noProof/>
                <w:sz w:val="22"/>
              </w:rPr>
              <w:br/>
            </w:r>
            <w:r w:rsidRPr="00DF5C23">
              <w:rPr>
                <w:b/>
                <w:noProof/>
                <w:sz w:val="20"/>
              </w:rPr>
              <w:t>2024</w:t>
            </w:r>
          </w:p>
        </w:tc>
        <w:tc>
          <w:tcPr>
            <w:tcW w:w="868" w:type="dxa"/>
            <w:tcBorders>
              <w:top w:val="single" w:sz="4" w:space="0" w:color="auto"/>
            </w:tcBorders>
            <w:vAlign w:val="center"/>
          </w:tcPr>
          <w:p w14:paraId="608A33A4" w14:textId="77777777" w:rsidR="0038775E" w:rsidRDefault="00877B9C" w:rsidP="002041D4">
            <w:pPr>
              <w:wordWrap w:val="0"/>
              <w:jc w:val="center"/>
              <w:rPr>
                <w:noProof/>
                <w:sz w:val="20"/>
              </w:rPr>
            </w:pPr>
            <w:r w:rsidRPr="00DF5C23">
              <w:rPr>
                <w:noProof/>
                <w:sz w:val="20"/>
              </w:rPr>
              <w:t>年</w:t>
            </w:r>
            <w:r w:rsidRPr="00DF5C23">
              <w:rPr>
                <w:noProof/>
                <w:sz w:val="22"/>
              </w:rPr>
              <w:br/>
            </w:r>
            <w:r w:rsidRPr="00DF5C23">
              <w:rPr>
                <w:b/>
                <w:noProof/>
                <w:sz w:val="20"/>
              </w:rPr>
              <w:t>2025</w:t>
            </w:r>
          </w:p>
        </w:tc>
        <w:tc>
          <w:tcPr>
            <w:tcW w:w="868" w:type="dxa"/>
            <w:tcBorders>
              <w:top w:val="single" w:sz="4" w:space="0" w:color="auto"/>
            </w:tcBorders>
            <w:vAlign w:val="center"/>
          </w:tcPr>
          <w:p w14:paraId="30EC00C8" w14:textId="77777777" w:rsidR="0038775E" w:rsidRDefault="00877B9C" w:rsidP="002041D4">
            <w:pPr>
              <w:wordWrap w:val="0"/>
              <w:jc w:val="center"/>
              <w:rPr>
                <w:b/>
                <w:noProof/>
                <w:sz w:val="18"/>
              </w:rPr>
            </w:pPr>
            <w:r w:rsidRPr="00DF5C23">
              <w:rPr>
                <w:noProof/>
                <w:sz w:val="20"/>
              </w:rPr>
              <w:t>年</w:t>
            </w:r>
            <w:r w:rsidRPr="00DF5C23">
              <w:rPr>
                <w:noProof/>
                <w:sz w:val="22"/>
              </w:rPr>
              <w:br/>
            </w:r>
            <w:r w:rsidRPr="00DF5C23">
              <w:rPr>
                <w:b/>
                <w:noProof/>
                <w:sz w:val="20"/>
              </w:rPr>
              <w:t>2026</w:t>
            </w:r>
          </w:p>
        </w:tc>
        <w:tc>
          <w:tcPr>
            <w:tcW w:w="1448" w:type="dxa"/>
            <w:tcBorders>
              <w:top w:val="single" w:sz="4" w:space="0" w:color="auto"/>
            </w:tcBorders>
            <w:vAlign w:val="center"/>
          </w:tcPr>
          <w:p w14:paraId="68E6C934" w14:textId="77777777" w:rsidR="0038775E" w:rsidRDefault="00877B9C" w:rsidP="002041D4">
            <w:pPr>
              <w:wordWrap w:val="0"/>
              <w:jc w:val="center"/>
              <w:rPr>
                <w:b/>
                <w:noProof/>
                <w:sz w:val="18"/>
              </w:rPr>
            </w:pPr>
            <w:r w:rsidRPr="00DF5C23">
              <w:rPr>
                <w:noProof/>
                <w:sz w:val="20"/>
              </w:rPr>
              <w:t>年</w:t>
            </w:r>
            <w:r w:rsidRPr="00DF5C23">
              <w:rPr>
                <w:noProof/>
                <w:sz w:val="22"/>
              </w:rPr>
              <w:br/>
            </w:r>
            <w:r w:rsidRPr="00DF5C23">
              <w:rPr>
                <w:b/>
                <w:noProof/>
                <w:sz w:val="20"/>
              </w:rPr>
              <w:t xml:space="preserve">2027 </w:t>
            </w:r>
          </w:p>
        </w:tc>
        <w:tc>
          <w:tcPr>
            <w:tcW w:w="1418" w:type="dxa"/>
            <w:tcBorders>
              <w:top w:val="single" w:sz="4" w:space="0" w:color="auto"/>
            </w:tcBorders>
            <w:vAlign w:val="center"/>
          </w:tcPr>
          <w:p w14:paraId="78C1B3D8" w14:textId="77777777" w:rsidR="0038775E" w:rsidRDefault="00877B9C" w:rsidP="002041D4">
            <w:pPr>
              <w:wordWrap w:val="0"/>
              <w:jc w:val="center"/>
              <w:rPr>
                <w:b/>
                <w:noProof/>
                <w:sz w:val="20"/>
              </w:rPr>
            </w:pPr>
            <w:r w:rsidRPr="00DF5C23">
              <w:rPr>
                <w:b/>
                <w:noProof/>
                <w:sz w:val="20"/>
              </w:rPr>
              <w:t>TOTAL</w:t>
            </w:r>
          </w:p>
        </w:tc>
      </w:tr>
      <w:tr w:rsidR="005C61BF" w:rsidRPr="00DF5C23" w14:paraId="2C3A5D77" w14:textId="77777777" w:rsidTr="009C47CC">
        <w:trPr>
          <w:gridAfter w:val="9"/>
          <w:wAfter w:w="9300" w:type="dxa"/>
        </w:trPr>
        <w:tc>
          <w:tcPr>
            <w:tcW w:w="3960" w:type="dxa"/>
            <w:vAlign w:val="center"/>
          </w:tcPr>
          <w:p w14:paraId="3A1D4B26" w14:textId="77777777" w:rsidR="0038775E" w:rsidRDefault="00877B9C" w:rsidP="002041D4">
            <w:pPr>
              <w:wordWrap w:val="0"/>
              <w:spacing w:before="60" w:after="60"/>
              <w:jc w:val="center"/>
              <w:rPr>
                <w:noProof/>
              </w:rPr>
            </w:pPr>
            <w:r w:rsidRPr="00DF5C23">
              <w:rPr>
                <w:noProof/>
                <w:sz w:val="22"/>
              </w:rPr>
              <w:t>DG: TAXUD</w:t>
            </w:r>
          </w:p>
        </w:tc>
      </w:tr>
      <w:tr w:rsidR="005C61BF" w:rsidRPr="00DF5C23" w14:paraId="2C3A5D80" w14:textId="77777777" w:rsidTr="009C47CC">
        <w:trPr>
          <w:trHeight w:val="313"/>
        </w:trPr>
        <w:tc>
          <w:tcPr>
            <w:tcW w:w="6054" w:type="dxa"/>
            <w:gridSpan w:val="3"/>
            <w:vAlign w:val="center"/>
          </w:tcPr>
          <w:p w14:paraId="10D8B704" w14:textId="77777777" w:rsidR="0038775E" w:rsidRDefault="00877B9C" w:rsidP="002041D4">
            <w:pPr>
              <w:wordWrap w:val="0"/>
              <w:spacing w:before="20" w:after="20"/>
              <w:rPr>
                <w:noProof/>
              </w:rPr>
            </w:pPr>
            <w:r w:rsidRPr="00DF5C23">
              <w:rPr>
                <w:noProof/>
                <w:sz w:val="22"/>
              </w:rPr>
              <w:sym w:font="Wingdings" w:char="F09F"/>
            </w:r>
            <w:r w:rsidRPr="00DF5C23">
              <w:rPr>
                <w:noProof/>
                <w:sz w:val="22"/>
              </w:rPr>
              <w:t xml:space="preserve"> </w:t>
            </w:r>
            <w:r w:rsidRPr="00DF5C23">
              <w:rPr>
                <w:noProof/>
                <w:sz w:val="22"/>
              </w:rPr>
              <w:t>人的資源</w:t>
            </w:r>
            <w:r w:rsidRPr="00DF5C23">
              <w:rPr>
                <w:noProof/>
                <w:sz w:val="22"/>
              </w:rPr>
              <w:t xml:space="preserve"> </w:t>
            </w:r>
          </w:p>
        </w:tc>
        <w:tc>
          <w:tcPr>
            <w:tcW w:w="868" w:type="dxa"/>
            <w:vAlign w:val="bottom"/>
          </w:tcPr>
          <w:p w14:paraId="64F1CF7F" w14:textId="77777777" w:rsidR="0038775E" w:rsidRDefault="00877B9C" w:rsidP="002041D4">
            <w:pPr>
              <w:wordWrap w:val="0"/>
              <w:spacing w:before="20" w:after="20"/>
              <w:jc w:val="right"/>
              <w:rPr>
                <w:rFonts w:ascii="Calibri" w:hAnsi="Calibri" w:cs="Calibri"/>
                <w:noProof/>
                <w:color w:val="000000"/>
                <w:sz w:val="22"/>
              </w:rPr>
            </w:pPr>
            <w:r w:rsidRPr="00DF5C23">
              <w:rPr>
                <w:rFonts w:ascii="Calibri" w:hAnsi="Calibri" w:cs="Calibri"/>
                <w:noProof/>
                <w:color w:val="000000"/>
                <w:sz w:val="22"/>
              </w:rPr>
              <w:t>0,000</w:t>
            </w:r>
          </w:p>
        </w:tc>
        <w:tc>
          <w:tcPr>
            <w:tcW w:w="868" w:type="dxa"/>
            <w:vAlign w:val="bottom"/>
          </w:tcPr>
          <w:p w14:paraId="2BB21A13" w14:textId="77777777" w:rsidR="0038775E" w:rsidRDefault="00877B9C" w:rsidP="002041D4">
            <w:pPr>
              <w:wordWrap w:val="0"/>
              <w:spacing w:before="20" w:after="20"/>
              <w:jc w:val="right"/>
              <w:rPr>
                <w:rFonts w:ascii="Calibri" w:hAnsi="Calibri" w:cs="Calibri"/>
                <w:noProof/>
                <w:color w:val="000000"/>
                <w:sz w:val="22"/>
              </w:rPr>
            </w:pPr>
            <w:r w:rsidRPr="00DF5C23">
              <w:rPr>
                <w:rFonts w:ascii="Calibri" w:hAnsi="Calibri" w:cs="Calibri"/>
                <w:noProof/>
                <w:color w:val="000000"/>
                <w:sz w:val="22"/>
              </w:rPr>
              <w:t>0,236</w:t>
            </w:r>
          </w:p>
        </w:tc>
        <w:tc>
          <w:tcPr>
            <w:tcW w:w="868" w:type="dxa"/>
            <w:vAlign w:val="bottom"/>
          </w:tcPr>
          <w:p w14:paraId="6A9F03B2" w14:textId="77777777" w:rsidR="0038775E" w:rsidRDefault="00877B9C" w:rsidP="002041D4">
            <w:pPr>
              <w:wordWrap w:val="0"/>
              <w:spacing w:before="20" w:after="20"/>
              <w:jc w:val="right"/>
              <w:rPr>
                <w:rFonts w:ascii="Calibri" w:hAnsi="Calibri" w:cs="Calibri"/>
                <w:noProof/>
                <w:color w:val="000000"/>
                <w:sz w:val="22"/>
              </w:rPr>
            </w:pPr>
            <w:r w:rsidRPr="00DF5C23">
              <w:rPr>
                <w:rFonts w:ascii="Calibri" w:hAnsi="Calibri" w:cs="Calibri"/>
                <w:noProof/>
                <w:color w:val="000000"/>
                <w:sz w:val="22"/>
              </w:rPr>
              <w:t>0,314</w:t>
            </w:r>
          </w:p>
        </w:tc>
        <w:tc>
          <w:tcPr>
            <w:tcW w:w="868" w:type="dxa"/>
            <w:vAlign w:val="bottom"/>
          </w:tcPr>
          <w:p w14:paraId="715DB7BA" w14:textId="77777777" w:rsidR="0038775E" w:rsidRDefault="00877B9C" w:rsidP="002041D4">
            <w:pPr>
              <w:wordWrap w:val="0"/>
              <w:spacing w:before="20" w:after="20"/>
              <w:jc w:val="right"/>
              <w:rPr>
                <w:rFonts w:ascii="Calibri" w:hAnsi="Calibri" w:cs="Calibri"/>
                <w:noProof/>
                <w:color w:val="000000"/>
                <w:sz w:val="22"/>
              </w:rPr>
            </w:pPr>
            <w:r w:rsidRPr="00DF5C23">
              <w:rPr>
                <w:rFonts w:ascii="Calibri" w:hAnsi="Calibri" w:cs="Calibri"/>
                <w:noProof/>
                <w:color w:val="000000"/>
                <w:sz w:val="22"/>
              </w:rPr>
              <w:t>0,314</w:t>
            </w:r>
          </w:p>
        </w:tc>
        <w:tc>
          <w:tcPr>
            <w:tcW w:w="868" w:type="dxa"/>
            <w:vAlign w:val="bottom"/>
          </w:tcPr>
          <w:p w14:paraId="335E4246" w14:textId="77777777" w:rsidR="0038775E" w:rsidRDefault="00877B9C" w:rsidP="002041D4">
            <w:pPr>
              <w:wordWrap w:val="0"/>
              <w:spacing w:before="20" w:after="20"/>
              <w:jc w:val="right"/>
              <w:rPr>
                <w:rFonts w:ascii="Calibri" w:hAnsi="Calibri" w:cs="Calibri"/>
                <w:noProof/>
                <w:color w:val="000000"/>
                <w:sz w:val="22"/>
              </w:rPr>
            </w:pPr>
            <w:r w:rsidRPr="00DF5C23">
              <w:rPr>
                <w:rFonts w:ascii="Calibri" w:hAnsi="Calibri" w:cs="Calibri"/>
                <w:noProof/>
                <w:color w:val="000000"/>
                <w:sz w:val="22"/>
              </w:rPr>
              <w:t>0,314</w:t>
            </w:r>
          </w:p>
        </w:tc>
        <w:tc>
          <w:tcPr>
            <w:tcW w:w="1448" w:type="dxa"/>
            <w:vAlign w:val="bottom"/>
          </w:tcPr>
          <w:p w14:paraId="422139E4" w14:textId="77777777" w:rsidR="0038775E" w:rsidRDefault="00877B9C" w:rsidP="002041D4">
            <w:pPr>
              <w:wordWrap w:val="0"/>
              <w:spacing w:before="20" w:after="20"/>
              <w:jc w:val="right"/>
              <w:rPr>
                <w:rFonts w:ascii="Calibri" w:hAnsi="Calibri" w:cs="Calibri"/>
                <w:noProof/>
                <w:color w:val="000000"/>
                <w:sz w:val="22"/>
              </w:rPr>
            </w:pPr>
            <w:r w:rsidRPr="00DF5C23">
              <w:rPr>
                <w:rFonts w:ascii="Calibri" w:hAnsi="Calibri" w:cs="Calibri"/>
                <w:noProof/>
                <w:color w:val="000000"/>
                <w:sz w:val="22"/>
              </w:rPr>
              <w:t>0,314</w:t>
            </w:r>
          </w:p>
        </w:tc>
        <w:tc>
          <w:tcPr>
            <w:tcW w:w="1418" w:type="dxa"/>
            <w:vAlign w:val="bottom"/>
          </w:tcPr>
          <w:p w14:paraId="0FB6BE17" w14:textId="77777777" w:rsidR="0038775E" w:rsidRDefault="00877B9C" w:rsidP="002041D4">
            <w:pPr>
              <w:wordWrap w:val="0"/>
              <w:spacing w:before="20" w:after="20"/>
              <w:jc w:val="right"/>
              <w:rPr>
                <w:rFonts w:ascii="Calibri" w:hAnsi="Calibri" w:cs="Calibri"/>
                <w:noProof/>
                <w:color w:val="000000"/>
                <w:sz w:val="22"/>
              </w:rPr>
            </w:pPr>
            <w:r w:rsidRPr="00DF5C23">
              <w:rPr>
                <w:rFonts w:ascii="Calibri" w:hAnsi="Calibri" w:cs="Calibri"/>
                <w:noProof/>
                <w:sz w:val="22"/>
              </w:rPr>
              <w:t>1,492</w:t>
            </w:r>
          </w:p>
        </w:tc>
      </w:tr>
      <w:tr w:rsidR="005C61BF" w:rsidRPr="00DF5C23" w14:paraId="2C3A5D89" w14:textId="77777777" w:rsidTr="009C47CC">
        <w:trPr>
          <w:trHeight w:val="351"/>
        </w:trPr>
        <w:tc>
          <w:tcPr>
            <w:tcW w:w="6054" w:type="dxa"/>
            <w:gridSpan w:val="3"/>
            <w:vAlign w:val="center"/>
          </w:tcPr>
          <w:p w14:paraId="70A73F29" w14:textId="77777777" w:rsidR="0038775E" w:rsidRDefault="00877B9C" w:rsidP="002041D4">
            <w:pPr>
              <w:wordWrap w:val="0"/>
              <w:spacing w:before="20" w:after="20"/>
              <w:rPr>
                <w:noProof/>
              </w:rPr>
            </w:pPr>
            <w:r w:rsidRPr="00DF5C23">
              <w:rPr>
                <w:noProof/>
                <w:sz w:val="22"/>
              </w:rPr>
              <w:sym w:font="Wingdings" w:char="F09F"/>
            </w:r>
            <w:r w:rsidRPr="00DF5C23">
              <w:rPr>
                <w:noProof/>
                <w:sz w:val="22"/>
              </w:rPr>
              <w:t xml:space="preserve"> </w:t>
            </w:r>
            <w:r w:rsidRPr="00DF5C23">
              <w:rPr>
                <w:noProof/>
                <w:sz w:val="22"/>
              </w:rPr>
              <w:t>その他管理部門費</w:t>
            </w:r>
            <w:r w:rsidRPr="00DF5C23">
              <w:rPr>
                <w:noProof/>
                <w:sz w:val="22"/>
              </w:rPr>
              <w:t xml:space="preserve"> </w:t>
            </w:r>
          </w:p>
        </w:tc>
        <w:tc>
          <w:tcPr>
            <w:tcW w:w="868" w:type="dxa"/>
            <w:vAlign w:val="center"/>
          </w:tcPr>
          <w:p w14:paraId="5B2EFAAF" w14:textId="77777777" w:rsidR="0038775E" w:rsidRDefault="00877B9C" w:rsidP="002041D4">
            <w:pPr>
              <w:wordWrap w:val="0"/>
              <w:spacing w:before="20" w:after="20"/>
              <w:jc w:val="right"/>
              <w:rPr>
                <w:rFonts w:ascii="Calibri" w:hAnsi="Calibri" w:cs="Calibri"/>
                <w:noProof/>
                <w:color w:val="000000"/>
                <w:sz w:val="22"/>
              </w:rPr>
            </w:pPr>
            <w:r w:rsidRPr="00DF5C23">
              <w:rPr>
                <w:rFonts w:ascii="Calibri" w:hAnsi="Calibri" w:cs="Calibri"/>
                <w:noProof/>
                <w:color w:val="000000"/>
                <w:sz w:val="22"/>
              </w:rPr>
              <w:t>0</w:t>
            </w:r>
          </w:p>
        </w:tc>
        <w:tc>
          <w:tcPr>
            <w:tcW w:w="868" w:type="dxa"/>
            <w:vAlign w:val="center"/>
          </w:tcPr>
          <w:p w14:paraId="3453EFE7" w14:textId="77777777" w:rsidR="0038775E" w:rsidRDefault="00877B9C" w:rsidP="002041D4">
            <w:pPr>
              <w:wordWrap w:val="0"/>
              <w:spacing w:before="20" w:after="20"/>
              <w:jc w:val="right"/>
              <w:rPr>
                <w:rFonts w:ascii="Calibri" w:hAnsi="Calibri" w:cs="Calibri"/>
                <w:noProof/>
                <w:color w:val="000000"/>
                <w:sz w:val="22"/>
              </w:rPr>
            </w:pPr>
            <w:r w:rsidRPr="00DF5C23">
              <w:rPr>
                <w:rFonts w:ascii="Calibri" w:hAnsi="Calibri" w:cs="Calibri"/>
                <w:noProof/>
                <w:color w:val="000000"/>
                <w:sz w:val="22"/>
              </w:rPr>
              <w:t>0</w:t>
            </w:r>
          </w:p>
        </w:tc>
        <w:tc>
          <w:tcPr>
            <w:tcW w:w="868" w:type="dxa"/>
            <w:vAlign w:val="center"/>
          </w:tcPr>
          <w:p w14:paraId="13275314" w14:textId="77777777" w:rsidR="0038775E" w:rsidRDefault="00877B9C" w:rsidP="002041D4">
            <w:pPr>
              <w:wordWrap w:val="0"/>
              <w:spacing w:before="20" w:after="20"/>
              <w:jc w:val="right"/>
              <w:rPr>
                <w:rFonts w:ascii="Calibri" w:hAnsi="Calibri" w:cs="Calibri"/>
                <w:noProof/>
                <w:color w:val="000000"/>
                <w:sz w:val="22"/>
              </w:rPr>
            </w:pPr>
            <w:r w:rsidRPr="00DF5C23">
              <w:rPr>
                <w:rFonts w:ascii="Calibri" w:hAnsi="Calibri" w:cs="Calibri"/>
                <w:noProof/>
                <w:color w:val="000000"/>
                <w:sz w:val="22"/>
              </w:rPr>
              <w:t>0</w:t>
            </w:r>
          </w:p>
        </w:tc>
        <w:tc>
          <w:tcPr>
            <w:tcW w:w="868" w:type="dxa"/>
            <w:vAlign w:val="center"/>
          </w:tcPr>
          <w:p w14:paraId="66AAD7CB" w14:textId="77777777" w:rsidR="0038775E" w:rsidRDefault="00877B9C" w:rsidP="002041D4">
            <w:pPr>
              <w:wordWrap w:val="0"/>
              <w:spacing w:before="20" w:after="20"/>
              <w:jc w:val="right"/>
              <w:rPr>
                <w:rFonts w:ascii="Calibri" w:hAnsi="Calibri" w:cs="Calibri"/>
                <w:noProof/>
                <w:color w:val="000000"/>
                <w:sz w:val="22"/>
              </w:rPr>
            </w:pPr>
            <w:r w:rsidRPr="00DF5C23">
              <w:rPr>
                <w:rFonts w:ascii="Calibri" w:hAnsi="Calibri" w:cs="Calibri"/>
                <w:noProof/>
                <w:color w:val="000000"/>
                <w:sz w:val="22"/>
              </w:rPr>
              <w:t>0</w:t>
            </w:r>
          </w:p>
        </w:tc>
        <w:tc>
          <w:tcPr>
            <w:tcW w:w="868" w:type="dxa"/>
            <w:vAlign w:val="center"/>
          </w:tcPr>
          <w:p w14:paraId="4325630F" w14:textId="77777777" w:rsidR="0038775E" w:rsidRDefault="00877B9C" w:rsidP="002041D4">
            <w:pPr>
              <w:wordWrap w:val="0"/>
              <w:spacing w:before="20" w:after="20"/>
              <w:jc w:val="right"/>
              <w:rPr>
                <w:rFonts w:ascii="Calibri" w:hAnsi="Calibri" w:cs="Calibri"/>
                <w:noProof/>
                <w:color w:val="000000"/>
                <w:sz w:val="22"/>
              </w:rPr>
            </w:pPr>
            <w:r w:rsidRPr="00DF5C23">
              <w:rPr>
                <w:rFonts w:ascii="Calibri" w:hAnsi="Calibri" w:cs="Calibri"/>
                <w:noProof/>
                <w:color w:val="000000"/>
                <w:sz w:val="22"/>
              </w:rPr>
              <w:t>0</w:t>
            </w:r>
          </w:p>
        </w:tc>
        <w:tc>
          <w:tcPr>
            <w:tcW w:w="1448" w:type="dxa"/>
            <w:vAlign w:val="center"/>
          </w:tcPr>
          <w:p w14:paraId="0C5607E6" w14:textId="77777777" w:rsidR="0038775E" w:rsidRDefault="00877B9C" w:rsidP="002041D4">
            <w:pPr>
              <w:wordWrap w:val="0"/>
              <w:spacing w:before="20" w:after="20"/>
              <w:jc w:val="right"/>
              <w:rPr>
                <w:rFonts w:ascii="Calibri" w:hAnsi="Calibri" w:cs="Calibri"/>
                <w:noProof/>
                <w:color w:val="000000"/>
                <w:sz w:val="22"/>
              </w:rPr>
            </w:pPr>
            <w:r w:rsidRPr="00DF5C23">
              <w:rPr>
                <w:rFonts w:ascii="Calibri" w:hAnsi="Calibri" w:cs="Calibri"/>
                <w:noProof/>
                <w:color w:val="000000"/>
                <w:sz w:val="22"/>
              </w:rPr>
              <w:t>0</w:t>
            </w:r>
          </w:p>
        </w:tc>
        <w:tc>
          <w:tcPr>
            <w:tcW w:w="1418" w:type="dxa"/>
            <w:vAlign w:val="center"/>
          </w:tcPr>
          <w:p w14:paraId="5B79C70A" w14:textId="77777777" w:rsidR="0038775E" w:rsidRDefault="00877B9C" w:rsidP="002041D4">
            <w:pPr>
              <w:wordWrap w:val="0"/>
              <w:spacing w:before="20" w:after="20"/>
              <w:jc w:val="right"/>
              <w:rPr>
                <w:rFonts w:ascii="Calibri" w:hAnsi="Calibri" w:cs="Calibri"/>
                <w:noProof/>
                <w:color w:val="000000"/>
                <w:sz w:val="22"/>
              </w:rPr>
            </w:pPr>
            <w:r w:rsidRPr="00DF5C23">
              <w:rPr>
                <w:rFonts w:ascii="Calibri" w:hAnsi="Calibri" w:cs="Calibri"/>
                <w:noProof/>
                <w:color w:val="000000"/>
                <w:sz w:val="22"/>
              </w:rPr>
              <w:t>0</w:t>
            </w:r>
          </w:p>
        </w:tc>
      </w:tr>
      <w:tr w:rsidR="005C61BF" w:rsidRPr="00DF5C23" w14:paraId="2C3A5D93" w14:textId="77777777" w:rsidTr="009C47CC">
        <w:tc>
          <w:tcPr>
            <w:tcW w:w="3960" w:type="dxa"/>
            <w:vAlign w:val="center"/>
          </w:tcPr>
          <w:p w14:paraId="69D5A538" w14:textId="77777777" w:rsidR="0038775E" w:rsidRDefault="00877B9C" w:rsidP="002041D4">
            <w:pPr>
              <w:wordWrap w:val="0"/>
              <w:jc w:val="center"/>
              <w:rPr>
                <w:b/>
                <w:noProof/>
              </w:rPr>
            </w:pPr>
            <w:r w:rsidRPr="00DF5C23">
              <w:rPr>
                <w:b/>
                <w:noProof/>
                <w:sz w:val="22"/>
              </w:rPr>
              <w:t xml:space="preserve">TOTAL DG </w:t>
            </w:r>
            <w:r w:rsidRPr="00DF5C23">
              <w:rPr>
                <w:noProof/>
                <w:sz w:val="22"/>
              </w:rPr>
              <w:t>TAXUD</w:t>
            </w:r>
          </w:p>
        </w:tc>
        <w:tc>
          <w:tcPr>
            <w:tcW w:w="2094" w:type="dxa"/>
            <w:gridSpan w:val="2"/>
            <w:vAlign w:val="center"/>
          </w:tcPr>
          <w:p w14:paraId="44304656" w14:textId="77777777" w:rsidR="0038775E" w:rsidRDefault="00877B9C" w:rsidP="002041D4">
            <w:pPr>
              <w:wordWrap w:val="0"/>
              <w:rPr>
                <w:noProof/>
                <w:sz w:val="14"/>
                <w:lang w:eastAsia="ja-JP"/>
              </w:rPr>
            </w:pPr>
            <w:r w:rsidRPr="00DF5C23">
              <w:rPr>
                <w:noProof/>
                <w:sz w:val="18"/>
                <w:lang w:eastAsia="ja-JP"/>
              </w:rPr>
              <w:t>アプロプリエーション</w:t>
            </w:r>
            <w:r w:rsidRPr="00DF5C23">
              <w:rPr>
                <w:noProof/>
                <w:sz w:val="18"/>
                <w:lang w:eastAsia="ja-JP"/>
              </w:rPr>
              <w:t xml:space="preserve"> </w:t>
            </w:r>
          </w:p>
        </w:tc>
        <w:tc>
          <w:tcPr>
            <w:tcW w:w="868" w:type="dxa"/>
            <w:vAlign w:val="bottom"/>
          </w:tcPr>
          <w:p w14:paraId="0B0727CA" w14:textId="77777777" w:rsidR="0038775E" w:rsidRDefault="00877B9C" w:rsidP="002041D4">
            <w:pPr>
              <w:wordWrap w:val="0"/>
              <w:spacing w:before="20" w:after="20"/>
              <w:jc w:val="right"/>
              <w:rPr>
                <w:rFonts w:ascii="Calibri" w:hAnsi="Calibri" w:cs="Calibri"/>
                <w:noProof/>
                <w:color w:val="000000"/>
                <w:sz w:val="22"/>
              </w:rPr>
            </w:pPr>
            <w:r w:rsidRPr="00DF5C23">
              <w:rPr>
                <w:rFonts w:ascii="Calibri" w:hAnsi="Calibri" w:cs="Calibri"/>
                <w:noProof/>
                <w:color w:val="000000"/>
                <w:sz w:val="22"/>
              </w:rPr>
              <w:t>0,000</w:t>
            </w:r>
          </w:p>
        </w:tc>
        <w:tc>
          <w:tcPr>
            <w:tcW w:w="868" w:type="dxa"/>
            <w:vAlign w:val="bottom"/>
          </w:tcPr>
          <w:p w14:paraId="2C8E1BFE" w14:textId="77777777" w:rsidR="0038775E" w:rsidRDefault="00877B9C" w:rsidP="002041D4">
            <w:pPr>
              <w:wordWrap w:val="0"/>
              <w:spacing w:before="20" w:after="20"/>
              <w:jc w:val="right"/>
              <w:rPr>
                <w:rFonts w:ascii="Calibri" w:hAnsi="Calibri" w:cs="Calibri"/>
                <w:noProof/>
                <w:color w:val="000000"/>
                <w:sz w:val="22"/>
              </w:rPr>
            </w:pPr>
            <w:r w:rsidRPr="00DF5C23">
              <w:rPr>
                <w:rFonts w:ascii="Calibri" w:hAnsi="Calibri" w:cs="Calibri"/>
                <w:noProof/>
                <w:color w:val="000000"/>
                <w:sz w:val="22"/>
              </w:rPr>
              <w:t>0,236</w:t>
            </w:r>
          </w:p>
        </w:tc>
        <w:tc>
          <w:tcPr>
            <w:tcW w:w="868" w:type="dxa"/>
            <w:vAlign w:val="bottom"/>
          </w:tcPr>
          <w:p w14:paraId="62D4AE2C" w14:textId="77777777" w:rsidR="0038775E" w:rsidRDefault="00877B9C" w:rsidP="002041D4">
            <w:pPr>
              <w:wordWrap w:val="0"/>
              <w:spacing w:before="20" w:after="20"/>
              <w:jc w:val="right"/>
              <w:rPr>
                <w:rFonts w:ascii="Calibri" w:hAnsi="Calibri" w:cs="Calibri"/>
                <w:noProof/>
                <w:color w:val="000000"/>
                <w:sz w:val="22"/>
              </w:rPr>
            </w:pPr>
            <w:r w:rsidRPr="00DF5C23">
              <w:rPr>
                <w:rFonts w:ascii="Calibri" w:hAnsi="Calibri" w:cs="Calibri"/>
                <w:noProof/>
                <w:color w:val="000000"/>
                <w:sz w:val="22"/>
              </w:rPr>
              <w:t>0,314</w:t>
            </w:r>
          </w:p>
        </w:tc>
        <w:tc>
          <w:tcPr>
            <w:tcW w:w="868" w:type="dxa"/>
            <w:vAlign w:val="bottom"/>
          </w:tcPr>
          <w:p w14:paraId="142AB217" w14:textId="77777777" w:rsidR="0038775E" w:rsidRDefault="00877B9C" w:rsidP="002041D4">
            <w:pPr>
              <w:wordWrap w:val="0"/>
              <w:spacing w:before="20" w:after="20"/>
              <w:jc w:val="right"/>
              <w:rPr>
                <w:rFonts w:ascii="Calibri" w:hAnsi="Calibri" w:cs="Calibri"/>
                <w:noProof/>
                <w:color w:val="000000"/>
                <w:sz w:val="22"/>
              </w:rPr>
            </w:pPr>
            <w:r w:rsidRPr="00DF5C23">
              <w:rPr>
                <w:rFonts w:ascii="Calibri" w:hAnsi="Calibri" w:cs="Calibri"/>
                <w:noProof/>
                <w:color w:val="000000"/>
                <w:sz w:val="22"/>
              </w:rPr>
              <w:t>0,314</w:t>
            </w:r>
          </w:p>
        </w:tc>
        <w:tc>
          <w:tcPr>
            <w:tcW w:w="868" w:type="dxa"/>
            <w:vAlign w:val="bottom"/>
          </w:tcPr>
          <w:p w14:paraId="44FEE99B" w14:textId="77777777" w:rsidR="0038775E" w:rsidRDefault="00877B9C" w:rsidP="002041D4">
            <w:pPr>
              <w:wordWrap w:val="0"/>
              <w:spacing w:before="20" w:after="20"/>
              <w:jc w:val="right"/>
              <w:rPr>
                <w:rFonts w:ascii="Calibri" w:hAnsi="Calibri" w:cs="Calibri"/>
                <w:noProof/>
                <w:color w:val="000000"/>
                <w:sz w:val="22"/>
              </w:rPr>
            </w:pPr>
            <w:r w:rsidRPr="00DF5C23">
              <w:rPr>
                <w:rFonts w:ascii="Calibri" w:hAnsi="Calibri" w:cs="Calibri"/>
                <w:noProof/>
                <w:color w:val="000000"/>
                <w:sz w:val="22"/>
              </w:rPr>
              <w:t>0,314</w:t>
            </w:r>
          </w:p>
        </w:tc>
        <w:tc>
          <w:tcPr>
            <w:tcW w:w="1448" w:type="dxa"/>
            <w:vAlign w:val="bottom"/>
          </w:tcPr>
          <w:p w14:paraId="0254C391" w14:textId="77777777" w:rsidR="0038775E" w:rsidRDefault="00877B9C" w:rsidP="002041D4">
            <w:pPr>
              <w:wordWrap w:val="0"/>
              <w:spacing w:before="20" w:after="20"/>
              <w:jc w:val="right"/>
              <w:rPr>
                <w:rFonts w:ascii="Calibri" w:hAnsi="Calibri" w:cs="Calibri"/>
                <w:noProof/>
                <w:color w:val="000000"/>
                <w:sz w:val="22"/>
              </w:rPr>
            </w:pPr>
            <w:r w:rsidRPr="00DF5C23">
              <w:rPr>
                <w:rFonts w:ascii="Calibri" w:hAnsi="Calibri" w:cs="Calibri"/>
                <w:noProof/>
                <w:color w:val="000000"/>
                <w:sz w:val="22"/>
              </w:rPr>
              <w:t>0,314</w:t>
            </w:r>
          </w:p>
        </w:tc>
        <w:tc>
          <w:tcPr>
            <w:tcW w:w="1418" w:type="dxa"/>
            <w:vAlign w:val="bottom"/>
          </w:tcPr>
          <w:p w14:paraId="08DF4681" w14:textId="77777777" w:rsidR="0038775E" w:rsidRDefault="00877B9C" w:rsidP="002041D4">
            <w:pPr>
              <w:wordWrap w:val="0"/>
              <w:spacing w:before="20" w:after="20"/>
              <w:jc w:val="right"/>
              <w:rPr>
                <w:rFonts w:ascii="Calibri" w:hAnsi="Calibri" w:cs="Calibri"/>
                <w:noProof/>
                <w:color w:val="000000"/>
                <w:sz w:val="22"/>
              </w:rPr>
            </w:pPr>
            <w:r w:rsidRPr="00DF5C23">
              <w:rPr>
                <w:rFonts w:ascii="Calibri" w:hAnsi="Calibri" w:cs="Calibri"/>
                <w:noProof/>
                <w:sz w:val="22"/>
              </w:rPr>
              <w:t>1,492</w:t>
            </w:r>
          </w:p>
        </w:tc>
      </w:tr>
    </w:tbl>
    <w:p w14:paraId="2C3A5D94" w14:textId="77777777" w:rsidR="00BF1765" w:rsidRPr="00DF5C23" w:rsidRDefault="00BF1765" w:rsidP="002041D4">
      <w:pPr>
        <w:wordWrap w:val="0"/>
        <w:rPr>
          <w:rFonts w:eastAsia="Calibri"/>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1448"/>
        <w:gridCol w:w="1418"/>
      </w:tblGrid>
      <w:tr w:rsidR="005C61BF" w:rsidRPr="00DF5C23" w14:paraId="2C3A5D9E" w14:textId="77777777" w:rsidTr="00A63641">
        <w:tc>
          <w:tcPr>
            <w:tcW w:w="3960" w:type="dxa"/>
            <w:shd w:val="thinDiagStripe" w:color="C0C0C0" w:fill="auto"/>
            <w:vAlign w:val="center"/>
          </w:tcPr>
          <w:p w14:paraId="78A07883" w14:textId="77777777" w:rsidR="0038775E" w:rsidRDefault="00877B9C" w:rsidP="002041D4">
            <w:pPr>
              <w:wordWrap w:val="0"/>
              <w:jc w:val="center"/>
              <w:rPr>
                <w:rFonts w:eastAsia="Calibri"/>
                <w:b/>
                <w:noProof/>
                <w:lang w:eastAsia="ja-JP"/>
              </w:rPr>
            </w:pPr>
            <w:r w:rsidRPr="00DF5C23">
              <w:rPr>
                <w:rFonts w:eastAsia="Calibri"/>
                <w:b/>
                <w:noProof/>
                <w:sz w:val="22"/>
                <w:lang w:eastAsia="ja-JP"/>
              </w:rPr>
              <w:t>総支給額</w:t>
            </w:r>
            <w:r w:rsidRPr="00DF5C23">
              <w:rPr>
                <w:rFonts w:eastAsia="Calibri"/>
                <w:noProof/>
                <w:sz w:val="22"/>
                <w:lang w:eastAsia="ja-JP"/>
              </w:rPr>
              <w:br/>
            </w:r>
            <w:r w:rsidRPr="00DF5C23">
              <w:rPr>
                <w:rFonts w:eastAsia="Calibri"/>
                <w:noProof/>
                <w:sz w:val="22"/>
                <w:lang w:eastAsia="ja-JP"/>
              </w:rPr>
              <w:br/>
            </w:r>
            <w:r w:rsidRPr="00DF5C23">
              <w:rPr>
                <w:rFonts w:eastAsia="Calibri"/>
                <w:noProof/>
                <w:sz w:val="22"/>
                <w:lang w:eastAsia="ja-JP"/>
              </w:rPr>
              <w:t>多年間財務</w:t>
            </w:r>
            <w:r w:rsidRPr="00DF5C23">
              <w:rPr>
                <w:rFonts w:eastAsia="Calibri"/>
                <w:b/>
                <w:noProof/>
                <w:sz w:val="22"/>
                <w:lang w:eastAsia="ja-JP"/>
              </w:rPr>
              <w:t>枠組みの見出し</w:t>
            </w:r>
            <w:r w:rsidRPr="00DF5C23">
              <w:rPr>
                <w:rFonts w:eastAsia="Calibri"/>
                <w:b/>
                <w:noProof/>
                <w:sz w:val="22"/>
                <w:lang w:eastAsia="ja-JP"/>
              </w:rPr>
              <w:t>7</w:t>
            </w:r>
            <w:r w:rsidRPr="00DF5C23">
              <w:rPr>
                <w:rFonts w:eastAsia="Calibri"/>
                <w:b/>
                <w:noProof/>
                <w:sz w:val="22"/>
                <w:lang w:eastAsia="ja-JP"/>
              </w:rPr>
              <w:t>の下で</w:t>
            </w:r>
            <w:r w:rsidRPr="00DF5C23">
              <w:rPr>
                <w:rFonts w:eastAsia="Calibri"/>
                <w:b/>
                <w:noProof/>
                <w:sz w:val="22"/>
                <w:lang w:eastAsia="ja-JP"/>
              </w:rPr>
              <w:t xml:space="preserve"> </w:t>
            </w:r>
          </w:p>
        </w:tc>
        <w:tc>
          <w:tcPr>
            <w:tcW w:w="2094" w:type="dxa"/>
            <w:vAlign w:val="center"/>
          </w:tcPr>
          <w:p w14:paraId="3F3C2C85" w14:textId="77777777" w:rsidR="0038775E" w:rsidRDefault="00877B9C" w:rsidP="002041D4">
            <w:pPr>
              <w:wordWrap w:val="0"/>
              <w:spacing w:before="40" w:after="40"/>
              <w:rPr>
                <w:rFonts w:eastAsia="Calibri"/>
                <w:noProof/>
                <w:lang w:eastAsia="ja-JP"/>
              </w:rPr>
            </w:pPr>
            <w:r w:rsidRPr="00DF5C23">
              <w:rPr>
                <w:rFonts w:eastAsia="Calibri"/>
                <w:noProof/>
                <w:sz w:val="18"/>
                <w:lang w:eastAsia="ja-JP"/>
              </w:rPr>
              <w:t>(</w:t>
            </w:r>
            <w:r w:rsidRPr="00DF5C23">
              <w:rPr>
                <w:rFonts w:eastAsia="Calibri"/>
                <w:noProof/>
                <w:sz w:val="18"/>
                <w:lang w:eastAsia="ja-JP"/>
              </w:rPr>
              <w:t>コミットメント総額＝支払総額</w:t>
            </w:r>
            <w:r w:rsidRPr="00DF5C23">
              <w:rPr>
                <w:rFonts w:eastAsia="Calibri"/>
                <w:noProof/>
                <w:sz w:val="18"/>
                <w:lang w:eastAsia="ja-JP"/>
              </w:rPr>
              <w:t>)</w:t>
            </w:r>
          </w:p>
        </w:tc>
        <w:tc>
          <w:tcPr>
            <w:tcW w:w="868" w:type="dxa"/>
            <w:vAlign w:val="bottom"/>
          </w:tcPr>
          <w:p w14:paraId="0284CD73" w14:textId="77777777" w:rsidR="0038775E" w:rsidRDefault="00877B9C" w:rsidP="002041D4">
            <w:pPr>
              <w:wordWrap w:val="0"/>
              <w:spacing w:before="20" w:after="20"/>
              <w:jc w:val="right"/>
              <w:rPr>
                <w:rFonts w:ascii="Calibri" w:eastAsia="Calibri" w:hAnsi="Calibri" w:cs="Calibri"/>
                <w:noProof/>
                <w:color w:val="000000"/>
                <w:sz w:val="22"/>
              </w:rPr>
            </w:pPr>
            <w:r w:rsidRPr="00DF5C23">
              <w:rPr>
                <w:rFonts w:ascii="Calibri" w:hAnsi="Calibri" w:cs="Calibri"/>
                <w:noProof/>
                <w:color w:val="000000"/>
                <w:sz w:val="22"/>
              </w:rPr>
              <w:t>1,781</w:t>
            </w:r>
          </w:p>
        </w:tc>
        <w:tc>
          <w:tcPr>
            <w:tcW w:w="868" w:type="dxa"/>
            <w:vAlign w:val="bottom"/>
          </w:tcPr>
          <w:p w14:paraId="3BCA742B" w14:textId="77777777" w:rsidR="0038775E" w:rsidRDefault="00877B9C" w:rsidP="002041D4">
            <w:pPr>
              <w:wordWrap w:val="0"/>
              <w:spacing w:before="20" w:after="20"/>
              <w:jc w:val="right"/>
              <w:rPr>
                <w:rFonts w:ascii="Calibri" w:eastAsia="Calibri" w:hAnsi="Calibri" w:cs="Calibri"/>
                <w:noProof/>
                <w:color w:val="000000"/>
                <w:sz w:val="22"/>
              </w:rPr>
            </w:pPr>
            <w:r w:rsidRPr="00DF5C23">
              <w:rPr>
                <w:rFonts w:ascii="Calibri" w:hAnsi="Calibri" w:cs="Calibri"/>
                <w:noProof/>
                <w:color w:val="000000"/>
                <w:sz w:val="22"/>
              </w:rPr>
              <w:t>5,816</w:t>
            </w:r>
          </w:p>
        </w:tc>
        <w:tc>
          <w:tcPr>
            <w:tcW w:w="868" w:type="dxa"/>
            <w:vAlign w:val="bottom"/>
          </w:tcPr>
          <w:p w14:paraId="60D762B9" w14:textId="77777777" w:rsidR="0038775E" w:rsidRDefault="00877B9C" w:rsidP="002041D4">
            <w:pPr>
              <w:wordWrap w:val="0"/>
              <w:spacing w:before="20" w:after="20"/>
              <w:jc w:val="right"/>
              <w:rPr>
                <w:rFonts w:ascii="Calibri" w:eastAsia="Calibri" w:hAnsi="Calibri" w:cs="Calibri"/>
                <w:noProof/>
                <w:color w:val="000000"/>
                <w:sz w:val="22"/>
              </w:rPr>
            </w:pPr>
            <w:r w:rsidRPr="00DF5C23">
              <w:rPr>
                <w:rFonts w:ascii="Calibri" w:hAnsi="Calibri" w:cs="Calibri"/>
                <w:noProof/>
                <w:color w:val="000000"/>
                <w:sz w:val="22"/>
              </w:rPr>
              <w:t>7,370</w:t>
            </w:r>
          </w:p>
        </w:tc>
        <w:tc>
          <w:tcPr>
            <w:tcW w:w="868" w:type="dxa"/>
            <w:vAlign w:val="bottom"/>
          </w:tcPr>
          <w:p w14:paraId="41F34087" w14:textId="77777777" w:rsidR="0038775E" w:rsidRDefault="00877B9C" w:rsidP="002041D4">
            <w:pPr>
              <w:wordWrap w:val="0"/>
              <w:spacing w:before="20" w:after="20"/>
              <w:jc w:val="right"/>
              <w:rPr>
                <w:rFonts w:ascii="Calibri" w:eastAsia="Calibri" w:hAnsi="Calibri" w:cs="Calibri"/>
                <w:noProof/>
                <w:color w:val="000000"/>
                <w:sz w:val="22"/>
              </w:rPr>
            </w:pPr>
            <w:r w:rsidRPr="00DF5C23">
              <w:rPr>
                <w:rFonts w:ascii="Calibri" w:hAnsi="Calibri" w:cs="Calibri"/>
                <w:noProof/>
                <w:color w:val="000000"/>
                <w:sz w:val="22"/>
              </w:rPr>
              <w:t>7,658</w:t>
            </w:r>
          </w:p>
        </w:tc>
        <w:tc>
          <w:tcPr>
            <w:tcW w:w="868" w:type="dxa"/>
            <w:vAlign w:val="bottom"/>
          </w:tcPr>
          <w:p w14:paraId="2BFF5568" w14:textId="77777777" w:rsidR="0038775E" w:rsidRDefault="00877B9C" w:rsidP="002041D4">
            <w:pPr>
              <w:wordWrap w:val="0"/>
              <w:spacing w:before="20" w:after="20"/>
              <w:jc w:val="right"/>
              <w:rPr>
                <w:rFonts w:ascii="Calibri" w:eastAsia="Calibri" w:hAnsi="Calibri" w:cs="Calibri"/>
                <w:noProof/>
                <w:color w:val="000000"/>
                <w:sz w:val="22"/>
              </w:rPr>
            </w:pPr>
            <w:r w:rsidRPr="00DF5C23">
              <w:rPr>
                <w:rFonts w:ascii="Calibri" w:hAnsi="Calibri" w:cs="Calibri"/>
                <w:noProof/>
                <w:color w:val="000000"/>
                <w:sz w:val="22"/>
              </w:rPr>
              <w:t>7,887</w:t>
            </w:r>
          </w:p>
        </w:tc>
        <w:tc>
          <w:tcPr>
            <w:tcW w:w="1448" w:type="dxa"/>
            <w:vAlign w:val="bottom"/>
          </w:tcPr>
          <w:p w14:paraId="7D7C52DD" w14:textId="77777777" w:rsidR="0038775E" w:rsidRDefault="00877B9C" w:rsidP="002041D4">
            <w:pPr>
              <w:wordWrap w:val="0"/>
              <w:spacing w:before="20" w:after="20"/>
              <w:jc w:val="right"/>
              <w:rPr>
                <w:rFonts w:ascii="Calibri" w:eastAsia="Calibri" w:hAnsi="Calibri" w:cs="Calibri"/>
                <w:noProof/>
                <w:color w:val="000000"/>
                <w:sz w:val="22"/>
              </w:rPr>
            </w:pPr>
            <w:r w:rsidRPr="00DF5C23">
              <w:rPr>
                <w:rFonts w:ascii="Calibri" w:hAnsi="Calibri" w:cs="Calibri"/>
                <w:noProof/>
                <w:color w:val="000000"/>
                <w:sz w:val="22"/>
              </w:rPr>
              <w:t>8,109</w:t>
            </w:r>
          </w:p>
        </w:tc>
        <w:tc>
          <w:tcPr>
            <w:tcW w:w="1418" w:type="dxa"/>
            <w:vAlign w:val="bottom"/>
          </w:tcPr>
          <w:p w14:paraId="2583F18E" w14:textId="77777777" w:rsidR="0038775E" w:rsidRDefault="00877B9C" w:rsidP="002041D4">
            <w:pPr>
              <w:wordWrap w:val="0"/>
              <w:spacing w:before="20" w:after="20"/>
              <w:jc w:val="right"/>
              <w:rPr>
                <w:rFonts w:ascii="Calibri" w:eastAsia="Calibri" w:hAnsi="Calibri" w:cs="Calibri"/>
                <w:noProof/>
                <w:color w:val="000000"/>
                <w:sz w:val="22"/>
              </w:rPr>
            </w:pPr>
            <w:r w:rsidRPr="00DF5C23">
              <w:rPr>
                <w:rFonts w:ascii="Calibri" w:hAnsi="Calibri" w:cs="Calibri"/>
                <w:noProof/>
                <w:color w:val="000000"/>
                <w:sz w:val="22"/>
              </w:rPr>
              <w:t>38,621</w:t>
            </w:r>
          </w:p>
        </w:tc>
      </w:tr>
    </w:tbl>
    <w:p w14:paraId="51D6A56F" w14:textId="77777777" w:rsidR="0038775E" w:rsidRDefault="00877B9C" w:rsidP="002041D4">
      <w:pPr>
        <w:wordWrap w:val="0"/>
        <w:jc w:val="right"/>
        <w:rPr>
          <w:rFonts w:eastAsia="Calibri"/>
          <w:noProof/>
          <w:sz w:val="20"/>
          <w:lang w:eastAsia="ja-JP"/>
        </w:rPr>
      </w:pPr>
      <w:r w:rsidRPr="00DF5C23">
        <w:rPr>
          <w:rFonts w:eastAsia="Calibri"/>
          <w:noProof/>
          <w:sz w:val="20"/>
          <w:lang w:eastAsia="ja-JP"/>
        </w:rPr>
        <w:t>百万ユーロ（小数点以下</w:t>
      </w:r>
      <w:r w:rsidRPr="00DF5C23">
        <w:rPr>
          <w:rFonts w:eastAsia="Calibri"/>
          <w:noProof/>
          <w:sz w:val="20"/>
          <w:lang w:eastAsia="ja-JP"/>
        </w:rPr>
        <w:t>3</w:t>
      </w:r>
      <w:r w:rsidRPr="00DF5C23">
        <w:rPr>
          <w:rFonts w:eastAsia="Calibri"/>
          <w:noProof/>
          <w:sz w:val="20"/>
          <w:lang w:eastAsia="ja-JP"/>
        </w:rPr>
        <w:t>桁まで）</w:t>
      </w:r>
    </w:p>
    <w:tbl>
      <w:tblPr>
        <w:tblW w:w="1396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10"/>
        <w:gridCol w:w="892"/>
        <w:gridCol w:w="951"/>
        <w:gridCol w:w="992"/>
        <w:gridCol w:w="993"/>
        <w:gridCol w:w="992"/>
        <w:gridCol w:w="992"/>
        <w:gridCol w:w="992"/>
        <w:gridCol w:w="1134"/>
      </w:tblGrid>
      <w:tr w:rsidR="00BF1765" w:rsidRPr="00DF5C23" w14:paraId="2C3A5DAB" w14:textId="77777777" w:rsidTr="00EC0E40">
        <w:tc>
          <w:tcPr>
            <w:tcW w:w="3960" w:type="dxa"/>
            <w:tcBorders>
              <w:top w:val="nil"/>
              <w:left w:val="nil"/>
              <w:right w:val="nil"/>
            </w:tcBorders>
            <w:vAlign w:val="center"/>
          </w:tcPr>
          <w:p w14:paraId="2C3A5DA0" w14:textId="77777777" w:rsidR="00BF1765" w:rsidRPr="00DF5C23" w:rsidRDefault="00BF1765" w:rsidP="002041D4">
            <w:pPr>
              <w:wordWrap w:val="0"/>
              <w:jc w:val="center"/>
              <w:rPr>
                <w:rFonts w:eastAsia="Calibri"/>
                <w:noProof/>
                <w:lang w:eastAsia="ja-JP"/>
              </w:rPr>
            </w:pPr>
          </w:p>
        </w:tc>
        <w:tc>
          <w:tcPr>
            <w:tcW w:w="1560" w:type="dxa"/>
            <w:tcBorders>
              <w:top w:val="nil"/>
              <w:left w:val="nil"/>
              <w:right w:val="nil"/>
            </w:tcBorders>
          </w:tcPr>
          <w:p w14:paraId="2C3A5DA1" w14:textId="77777777" w:rsidR="00BF1765" w:rsidRPr="00DF5C23" w:rsidRDefault="00BF1765" w:rsidP="002041D4">
            <w:pPr>
              <w:wordWrap w:val="0"/>
              <w:rPr>
                <w:rFonts w:eastAsia="Calibri"/>
                <w:noProof/>
                <w:sz w:val="20"/>
                <w:lang w:eastAsia="ja-JP"/>
              </w:rPr>
            </w:pPr>
          </w:p>
        </w:tc>
        <w:tc>
          <w:tcPr>
            <w:tcW w:w="510" w:type="dxa"/>
            <w:tcBorders>
              <w:top w:val="nil"/>
              <w:left w:val="nil"/>
            </w:tcBorders>
          </w:tcPr>
          <w:p w14:paraId="2C3A5DA2" w14:textId="77777777" w:rsidR="00BF1765" w:rsidRPr="00DF5C23" w:rsidRDefault="00BF1765" w:rsidP="002041D4">
            <w:pPr>
              <w:wordWrap w:val="0"/>
              <w:jc w:val="center"/>
              <w:rPr>
                <w:rFonts w:eastAsia="Calibri"/>
                <w:noProof/>
                <w:sz w:val="20"/>
                <w:lang w:eastAsia="ja-JP"/>
              </w:rPr>
            </w:pPr>
          </w:p>
        </w:tc>
        <w:tc>
          <w:tcPr>
            <w:tcW w:w="892" w:type="dxa"/>
            <w:vAlign w:val="center"/>
          </w:tcPr>
          <w:p w14:paraId="32956CCA" w14:textId="77777777" w:rsidR="0038775E" w:rsidRDefault="00877B9C" w:rsidP="002041D4">
            <w:pPr>
              <w:wordWrap w:val="0"/>
              <w:jc w:val="center"/>
              <w:rPr>
                <w:rFonts w:eastAsia="Calibri"/>
                <w:noProof/>
                <w:sz w:val="20"/>
              </w:rPr>
            </w:pPr>
            <w:r w:rsidRPr="00DF5C23">
              <w:rPr>
                <w:rFonts w:eastAsia="Calibri"/>
                <w:noProof/>
                <w:sz w:val="20"/>
                <w:szCs w:val="20"/>
              </w:rPr>
              <w:t>年</w:t>
            </w:r>
            <w:r w:rsidRPr="00DF5C23">
              <w:rPr>
                <w:rFonts w:eastAsia="Calibri"/>
                <w:noProof/>
                <w:sz w:val="22"/>
              </w:rPr>
              <w:br/>
            </w:r>
            <w:r w:rsidRPr="00DF5C23">
              <w:rPr>
                <w:rFonts w:eastAsia="Calibri"/>
                <w:b/>
                <w:bCs/>
                <w:noProof/>
                <w:sz w:val="20"/>
                <w:szCs w:val="20"/>
              </w:rPr>
              <w:t>2022</w:t>
            </w:r>
          </w:p>
        </w:tc>
        <w:tc>
          <w:tcPr>
            <w:tcW w:w="951" w:type="dxa"/>
            <w:vAlign w:val="center"/>
          </w:tcPr>
          <w:p w14:paraId="297B5694" w14:textId="77777777" w:rsidR="0038775E" w:rsidRDefault="00877B9C" w:rsidP="002041D4">
            <w:pPr>
              <w:wordWrap w:val="0"/>
              <w:jc w:val="center"/>
              <w:rPr>
                <w:rFonts w:eastAsia="Calibri"/>
                <w:noProof/>
                <w:sz w:val="20"/>
              </w:rPr>
            </w:pPr>
            <w:r w:rsidRPr="00DF5C23">
              <w:rPr>
                <w:rFonts w:eastAsia="Calibri"/>
                <w:noProof/>
                <w:sz w:val="20"/>
              </w:rPr>
              <w:t>年</w:t>
            </w:r>
            <w:r w:rsidRPr="00DF5C23">
              <w:rPr>
                <w:rFonts w:eastAsia="Calibri"/>
                <w:noProof/>
                <w:sz w:val="22"/>
              </w:rPr>
              <w:br/>
            </w:r>
            <w:r w:rsidRPr="00DF5C23">
              <w:rPr>
                <w:rFonts w:eastAsia="Calibri"/>
                <w:b/>
                <w:noProof/>
                <w:sz w:val="20"/>
              </w:rPr>
              <w:t>2023</w:t>
            </w:r>
          </w:p>
        </w:tc>
        <w:tc>
          <w:tcPr>
            <w:tcW w:w="992" w:type="dxa"/>
            <w:vAlign w:val="center"/>
          </w:tcPr>
          <w:p w14:paraId="7BB53365" w14:textId="77777777" w:rsidR="0038775E" w:rsidRDefault="00877B9C" w:rsidP="002041D4">
            <w:pPr>
              <w:wordWrap w:val="0"/>
              <w:jc w:val="center"/>
              <w:rPr>
                <w:rFonts w:eastAsia="Calibri"/>
                <w:noProof/>
                <w:sz w:val="20"/>
              </w:rPr>
            </w:pPr>
            <w:r w:rsidRPr="00DF5C23">
              <w:rPr>
                <w:rFonts w:eastAsia="Calibri"/>
                <w:noProof/>
                <w:sz w:val="20"/>
              </w:rPr>
              <w:t>年</w:t>
            </w:r>
            <w:r w:rsidRPr="00DF5C23">
              <w:rPr>
                <w:rFonts w:eastAsia="Calibri"/>
                <w:noProof/>
                <w:sz w:val="22"/>
              </w:rPr>
              <w:br/>
            </w:r>
            <w:r w:rsidRPr="00DF5C23">
              <w:rPr>
                <w:rFonts w:eastAsia="Calibri"/>
                <w:b/>
                <w:noProof/>
                <w:sz w:val="20"/>
              </w:rPr>
              <w:t>2024</w:t>
            </w:r>
          </w:p>
        </w:tc>
        <w:tc>
          <w:tcPr>
            <w:tcW w:w="993" w:type="dxa"/>
            <w:vAlign w:val="center"/>
          </w:tcPr>
          <w:p w14:paraId="71819C67" w14:textId="77777777" w:rsidR="0038775E" w:rsidRDefault="00877B9C" w:rsidP="002041D4">
            <w:pPr>
              <w:wordWrap w:val="0"/>
              <w:jc w:val="center"/>
              <w:rPr>
                <w:rFonts w:eastAsia="Calibri"/>
                <w:noProof/>
                <w:sz w:val="20"/>
              </w:rPr>
            </w:pPr>
            <w:r w:rsidRPr="00DF5C23">
              <w:rPr>
                <w:rFonts w:eastAsia="Calibri"/>
                <w:noProof/>
                <w:sz w:val="20"/>
              </w:rPr>
              <w:t>年</w:t>
            </w:r>
            <w:r w:rsidRPr="00DF5C23">
              <w:rPr>
                <w:rFonts w:eastAsia="Calibri"/>
                <w:noProof/>
                <w:sz w:val="22"/>
              </w:rPr>
              <w:br/>
            </w:r>
            <w:r w:rsidRPr="00DF5C23">
              <w:rPr>
                <w:rFonts w:eastAsia="Calibri"/>
                <w:b/>
                <w:noProof/>
                <w:sz w:val="20"/>
              </w:rPr>
              <w:t>2025</w:t>
            </w:r>
          </w:p>
        </w:tc>
        <w:tc>
          <w:tcPr>
            <w:tcW w:w="992" w:type="dxa"/>
            <w:vAlign w:val="center"/>
          </w:tcPr>
          <w:p w14:paraId="145A1F38" w14:textId="77777777" w:rsidR="0038775E" w:rsidRDefault="00877B9C" w:rsidP="002041D4">
            <w:pPr>
              <w:wordWrap w:val="0"/>
              <w:jc w:val="center"/>
              <w:rPr>
                <w:rFonts w:eastAsia="Calibri"/>
                <w:b/>
                <w:noProof/>
                <w:sz w:val="18"/>
              </w:rPr>
            </w:pPr>
            <w:r w:rsidRPr="00DF5C23">
              <w:rPr>
                <w:rFonts w:eastAsia="Calibri"/>
                <w:noProof/>
                <w:sz w:val="20"/>
              </w:rPr>
              <w:t>年</w:t>
            </w:r>
            <w:r w:rsidRPr="00DF5C23">
              <w:rPr>
                <w:rFonts w:eastAsia="Calibri"/>
                <w:noProof/>
                <w:sz w:val="22"/>
              </w:rPr>
              <w:br/>
            </w:r>
            <w:r w:rsidRPr="00DF5C23">
              <w:rPr>
                <w:rFonts w:eastAsia="Calibri"/>
                <w:b/>
                <w:noProof/>
                <w:sz w:val="20"/>
              </w:rPr>
              <w:t>2026</w:t>
            </w:r>
          </w:p>
        </w:tc>
        <w:tc>
          <w:tcPr>
            <w:tcW w:w="992" w:type="dxa"/>
            <w:vAlign w:val="center"/>
          </w:tcPr>
          <w:p w14:paraId="606C6E4D" w14:textId="77777777" w:rsidR="0038775E" w:rsidRDefault="00877B9C" w:rsidP="002041D4">
            <w:pPr>
              <w:wordWrap w:val="0"/>
              <w:jc w:val="center"/>
              <w:rPr>
                <w:rFonts w:eastAsia="Calibri"/>
                <w:b/>
                <w:noProof/>
                <w:sz w:val="18"/>
              </w:rPr>
            </w:pPr>
            <w:r w:rsidRPr="00DF5C23">
              <w:rPr>
                <w:rFonts w:eastAsia="Calibri"/>
                <w:noProof/>
                <w:sz w:val="20"/>
              </w:rPr>
              <w:t>年</w:t>
            </w:r>
            <w:r w:rsidRPr="00DF5C23">
              <w:rPr>
                <w:rFonts w:eastAsia="Calibri"/>
                <w:noProof/>
                <w:sz w:val="22"/>
              </w:rPr>
              <w:br/>
            </w:r>
            <w:r w:rsidRPr="00DF5C23">
              <w:rPr>
                <w:rFonts w:eastAsia="Calibri"/>
                <w:b/>
                <w:noProof/>
                <w:sz w:val="20"/>
              </w:rPr>
              <w:t xml:space="preserve">2027 </w:t>
            </w:r>
          </w:p>
        </w:tc>
        <w:tc>
          <w:tcPr>
            <w:tcW w:w="992" w:type="dxa"/>
          </w:tcPr>
          <w:p w14:paraId="3AD05A56" w14:textId="77777777" w:rsidR="0038775E" w:rsidRDefault="00877B9C" w:rsidP="002041D4">
            <w:pPr>
              <w:wordWrap w:val="0"/>
              <w:jc w:val="center"/>
              <w:rPr>
                <w:rFonts w:eastAsia="Calibri"/>
                <w:noProof/>
                <w:sz w:val="20"/>
                <w:szCs w:val="20"/>
              </w:rPr>
            </w:pPr>
            <w:r w:rsidRPr="00DF5C23">
              <w:rPr>
                <w:rFonts w:eastAsia="Calibri"/>
                <w:noProof/>
                <w:sz w:val="20"/>
                <w:szCs w:val="20"/>
              </w:rPr>
              <w:t>ポスト</w:t>
            </w:r>
            <w:r w:rsidRPr="00DF5C23">
              <w:rPr>
                <w:rFonts w:eastAsia="Calibri"/>
                <w:noProof/>
                <w:sz w:val="20"/>
                <w:szCs w:val="20"/>
              </w:rPr>
              <w:t>2027</w:t>
            </w:r>
          </w:p>
        </w:tc>
        <w:tc>
          <w:tcPr>
            <w:tcW w:w="1134" w:type="dxa"/>
            <w:vAlign w:val="center"/>
          </w:tcPr>
          <w:p w14:paraId="66267154" w14:textId="77777777" w:rsidR="0038775E" w:rsidRDefault="00877B9C" w:rsidP="002041D4">
            <w:pPr>
              <w:wordWrap w:val="0"/>
              <w:jc w:val="center"/>
              <w:rPr>
                <w:rFonts w:eastAsia="Calibri"/>
                <w:b/>
                <w:noProof/>
                <w:sz w:val="20"/>
              </w:rPr>
            </w:pPr>
            <w:r w:rsidRPr="00DF5C23">
              <w:rPr>
                <w:rFonts w:eastAsia="Calibri"/>
                <w:b/>
                <w:noProof/>
                <w:sz w:val="20"/>
              </w:rPr>
              <w:t>TOTAL</w:t>
            </w:r>
          </w:p>
        </w:tc>
      </w:tr>
      <w:tr w:rsidR="005C61BF" w:rsidRPr="00DF5C23" w14:paraId="2C3A5DB7" w14:textId="77777777" w:rsidTr="00EC0E40">
        <w:tc>
          <w:tcPr>
            <w:tcW w:w="3960" w:type="dxa"/>
            <w:vMerge w:val="restart"/>
            <w:shd w:val="clear" w:color="auto" w:fill="C0C0C0"/>
            <w:vAlign w:val="center"/>
          </w:tcPr>
          <w:p w14:paraId="6BD6866B" w14:textId="77777777" w:rsidR="0038775E" w:rsidRDefault="00877B9C" w:rsidP="002041D4">
            <w:pPr>
              <w:wordWrap w:val="0"/>
              <w:jc w:val="center"/>
              <w:rPr>
                <w:rFonts w:eastAsia="Calibri"/>
                <w:b/>
                <w:noProof/>
                <w:lang w:eastAsia="ja-JP"/>
              </w:rPr>
            </w:pPr>
            <w:r w:rsidRPr="00DF5C23">
              <w:rPr>
                <w:rFonts w:eastAsia="Calibri"/>
                <w:b/>
                <w:noProof/>
                <w:sz w:val="22"/>
                <w:lang w:eastAsia="ja-JP"/>
              </w:rPr>
              <w:t>総支給額</w:t>
            </w:r>
            <w:r w:rsidRPr="00DF5C23">
              <w:rPr>
                <w:rFonts w:eastAsia="Calibri"/>
                <w:b/>
                <w:noProof/>
                <w:sz w:val="22"/>
                <w:lang w:eastAsia="ja-JP"/>
              </w:rPr>
              <w:t xml:space="preserve"> </w:t>
            </w:r>
            <w:r w:rsidRPr="00DF5C23">
              <w:rPr>
                <w:rFonts w:eastAsia="Calibri"/>
                <w:noProof/>
                <w:sz w:val="22"/>
                <w:lang w:eastAsia="ja-JP"/>
              </w:rPr>
              <w:br/>
            </w:r>
            <w:r w:rsidRPr="00DF5C23">
              <w:rPr>
                <w:rFonts w:eastAsia="Calibri"/>
                <w:noProof/>
                <w:sz w:val="22"/>
                <w:lang w:eastAsia="ja-JP"/>
              </w:rPr>
              <w:br/>
            </w:r>
            <w:r w:rsidRPr="00DF5C23">
              <w:rPr>
                <w:rFonts w:eastAsia="Calibri"/>
                <w:noProof/>
                <w:sz w:val="22"/>
                <w:lang w:eastAsia="ja-JP"/>
              </w:rPr>
              <w:t>多年間財務</w:t>
            </w:r>
            <w:r w:rsidRPr="00DF5C23">
              <w:rPr>
                <w:rFonts w:eastAsia="Calibri"/>
                <w:b/>
                <w:noProof/>
                <w:sz w:val="22"/>
                <w:lang w:eastAsia="ja-JP"/>
              </w:rPr>
              <w:t>枠組みの見出し</w:t>
            </w:r>
            <w:r w:rsidRPr="00DF5C23">
              <w:rPr>
                <w:rFonts w:eastAsia="Calibri"/>
                <w:b/>
                <w:noProof/>
                <w:sz w:val="22"/>
                <w:lang w:eastAsia="ja-JP"/>
              </w:rPr>
              <w:t>1</w:t>
            </w:r>
            <w:r w:rsidRPr="00DF5C23">
              <w:rPr>
                <w:rFonts w:eastAsia="Calibri"/>
                <w:b/>
                <w:noProof/>
                <w:sz w:val="22"/>
                <w:lang w:eastAsia="ja-JP"/>
              </w:rPr>
              <w:t>から</w:t>
            </w:r>
            <w:r w:rsidRPr="00DF5C23">
              <w:rPr>
                <w:rFonts w:eastAsia="Calibri"/>
                <w:b/>
                <w:noProof/>
                <w:sz w:val="22"/>
                <w:lang w:eastAsia="ja-JP"/>
              </w:rPr>
              <w:t>7</w:t>
            </w:r>
            <w:r w:rsidRPr="00DF5C23">
              <w:rPr>
                <w:rFonts w:eastAsia="Calibri"/>
                <w:b/>
                <w:noProof/>
                <w:sz w:val="22"/>
                <w:lang w:eastAsia="ja-JP"/>
              </w:rPr>
              <w:t>の下にある。</w:t>
            </w:r>
            <w:r w:rsidRPr="00DF5C23">
              <w:rPr>
                <w:rFonts w:eastAsia="Calibri"/>
                <w:b/>
                <w:noProof/>
                <w:sz w:val="22"/>
                <w:lang w:eastAsia="ja-JP"/>
              </w:rPr>
              <w:t xml:space="preserve"> </w:t>
            </w:r>
          </w:p>
        </w:tc>
        <w:tc>
          <w:tcPr>
            <w:tcW w:w="2070" w:type="dxa"/>
            <w:gridSpan w:val="2"/>
            <w:vAlign w:val="center"/>
          </w:tcPr>
          <w:p w14:paraId="1FEFAE16" w14:textId="77777777" w:rsidR="0038775E" w:rsidRDefault="00877B9C" w:rsidP="002041D4">
            <w:pPr>
              <w:wordWrap w:val="0"/>
              <w:rPr>
                <w:rFonts w:eastAsia="Calibri"/>
                <w:noProof/>
                <w:sz w:val="14"/>
              </w:rPr>
            </w:pPr>
            <w:r w:rsidRPr="00DF5C23">
              <w:rPr>
                <w:rFonts w:eastAsia="Calibri"/>
                <w:noProof/>
                <w:sz w:val="18"/>
              </w:rPr>
              <w:t>コミットメント</w:t>
            </w:r>
          </w:p>
        </w:tc>
        <w:tc>
          <w:tcPr>
            <w:tcW w:w="892" w:type="dxa"/>
            <w:vAlign w:val="bottom"/>
          </w:tcPr>
          <w:p w14:paraId="48F6352B" w14:textId="77777777" w:rsidR="0038775E" w:rsidRDefault="00877B9C" w:rsidP="002041D4">
            <w:pPr>
              <w:wordWrap w:val="0"/>
              <w:spacing w:before="60" w:after="60"/>
              <w:jc w:val="right"/>
              <w:rPr>
                <w:rFonts w:eastAsia="Calibri"/>
                <w:noProof/>
                <w:sz w:val="20"/>
              </w:rPr>
            </w:pPr>
            <w:r w:rsidRPr="00DF5C23">
              <w:rPr>
                <w:rFonts w:ascii="Calibri" w:hAnsi="Calibri" w:cs="Calibri"/>
                <w:noProof/>
                <w:color w:val="000000"/>
                <w:sz w:val="22"/>
              </w:rPr>
              <w:t>9,081</w:t>
            </w:r>
          </w:p>
        </w:tc>
        <w:tc>
          <w:tcPr>
            <w:tcW w:w="951" w:type="dxa"/>
            <w:vAlign w:val="bottom"/>
          </w:tcPr>
          <w:p w14:paraId="28628EC9" w14:textId="77777777" w:rsidR="0038775E" w:rsidRDefault="00877B9C" w:rsidP="002041D4">
            <w:pPr>
              <w:wordWrap w:val="0"/>
              <w:spacing w:before="60" w:after="60"/>
              <w:jc w:val="right"/>
              <w:rPr>
                <w:rFonts w:eastAsia="Calibri"/>
                <w:noProof/>
                <w:sz w:val="20"/>
              </w:rPr>
            </w:pPr>
            <w:r w:rsidRPr="00DF5C23">
              <w:rPr>
                <w:rFonts w:ascii="Calibri" w:hAnsi="Calibri" w:cs="Calibri"/>
                <w:noProof/>
                <w:color w:val="000000"/>
                <w:sz w:val="22"/>
              </w:rPr>
              <w:t>14,416</w:t>
            </w:r>
          </w:p>
        </w:tc>
        <w:tc>
          <w:tcPr>
            <w:tcW w:w="992" w:type="dxa"/>
            <w:vAlign w:val="bottom"/>
          </w:tcPr>
          <w:p w14:paraId="680C7887" w14:textId="77777777" w:rsidR="0038775E" w:rsidRDefault="00877B9C" w:rsidP="002041D4">
            <w:pPr>
              <w:wordWrap w:val="0"/>
              <w:spacing w:before="60" w:after="60"/>
              <w:jc w:val="right"/>
              <w:rPr>
                <w:rFonts w:eastAsia="Calibri"/>
                <w:noProof/>
                <w:sz w:val="20"/>
              </w:rPr>
            </w:pPr>
            <w:r w:rsidRPr="00DF5C23">
              <w:rPr>
                <w:rFonts w:ascii="Calibri" w:hAnsi="Calibri" w:cs="Calibri"/>
                <w:noProof/>
                <w:color w:val="000000"/>
                <w:sz w:val="22"/>
              </w:rPr>
              <w:t>17,</w:t>
            </w:r>
            <w:r w:rsidR="00401706" w:rsidRPr="00DF5C23">
              <w:rPr>
                <w:rFonts w:ascii="Calibri" w:hAnsi="Calibri" w:cs="Calibri"/>
                <w:noProof/>
                <w:color w:val="000000"/>
                <w:sz w:val="22"/>
              </w:rPr>
              <w:t>970</w:t>
            </w:r>
          </w:p>
        </w:tc>
        <w:tc>
          <w:tcPr>
            <w:tcW w:w="993" w:type="dxa"/>
            <w:vAlign w:val="bottom"/>
          </w:tcPr>
          <w:p w14:paraId="4178C622" w14:textId="77777777" w:rsidR="0038775E" w:rsidRDefault="00877B9C" w:rsidP="002041D4">
            <w:pPr>
              <w:wordWrap w:val="0"/>
              <w:spacing w:before="60" w:after="60"/>
              <w:jc w:val="right"/>
              <w:rPr>
                <w:rFonts w:eastAsia="Calibri"/>
                <w:noProof/>
                <w:sz w:val="20"/>
              </w:rPr>
            </w:pPr>
            <w:r w:rsidRPr="00DF5C23">
              <w:rPr>
                <w:rFonts w:ascii="Calibri" w:hAnsi="Calibri" w:cs="Calibri"/>
                <w:noProof/>
                <w:color w:val="000000"/>
                <w:sz w:val="22"/>
              </w:rPr>
              <w:t>19,308</w:t>
            </w:r>
          </w:p>
        </w:tc>
        <w:tc>
          <w:tcPr>
            <w:tcW w:w="992" w:type="dxa"/>
            <w:vAlign w:val="bottom"/>
          </w:tcPr>
          <w:p w14:paraId="5155E031" w14:textId="77777777" w:rsidR="0038775E" w:rsidRDefault="00877B9C" w:rsidP="002041D4">
            <w:pPr>
              <w:wordWrap w:val="0"/>
              <w:spacing w:before="60" w:after="60"/>
              <w:jc w:val="right"/>
              <w:rPr>
                <w:rFonts w:eastAsia="Calibri"/>
                <w:noProof/>
                <w:sz w:val="20"/>
              </w:rPr>
            </w:pPr>
            <w:r w:rsidRPr="00DF5C23">
              <w:rPr>
                <w:rFonts w:ascii="Calibri" w:hAnsi="Calibri" w:cs="Calibri"/>
                <w:noProof/>
                <w:color w:val="000000"/>
                <w:sz w:val="22"/>
              </w:rPr>
              <w:t>22,</w:t>
            </w:r>
            <w:r w:rsidR="00401706" w:rsidRPr="00DF5C23">
              <w:rPr>
                <w:rFonts w:ascii="Calibri" w:hAnsi="Calibri" w:cs="Calibri"/>
                <w:noProof/>
                <w:color w:val="000000"/>
                <w:sz w:val="22"/>
              </w:rPr>
              <w:t>537</w:t>
            </w:r>
          </w:p>
        </w:tc>
        <w:tc>
          <w:tcPr>
            <w:tcW w:w="992" w:type="dxa"/>
            <w:vAlign w:val="bottom"/>
          </w:tcPr>
          <w:p w14:paraId="66868978" w14:textId="77777777" w:rsidR="0038775E" w:rsidRDefault="00877B9C" w:rsidP="002041D4">
            <w:pPr>
              <w:wordWrap w:val="0"/>
              <w:spacing w:before="60" w:after="60"/>
              <w:jc w:val="right"/>
              <w:rPr>
                <w:rFonts w:eastAsia="Calibri"/>
                <w:noProof/>
                <w:sz w:val="20"/>
              </w:rPr>
            </w:pPr>
            <w:r w:rsidRPr="00DF5C23">
              <w:rPr>
                <w:rFonts w:ascii="Calibri" w:hAnsi="Calibri" w:cs="Calibri"/>
                <w:noProof/>
                <w:color w:val="000000"/>
                <w:sz w:val="22"/>
              </w:rPr>
              <w:t>22,</w:t>
            </w:r>
            <w:r w:rsidR="00401706" w:rsidRPr="00DF5C23">
              <w:rPr>
                <w:rFonts w:ascii="Calibri" w:hAnsi="Calibri" w:cs="Calibri"/>
                <w:noProof/>
                <w:color w:val="000000"/>
                <w:sz w:val="22"/>
              </w:rPr>
              <w:t>559</w:t>
            </w:r>
          </w:p>
        </w:tc>
        <w:tc>
          <w:tcPr>
            <w:tcW w:w="992" w:type="dxa"/>
          </w:tcPr>
          <w:p w14:paraId="2C3A5DB4" w14:textId="77777777" w:rsidR="00D217AB" w:rsidRPr="00DF5C23" w:rsidRDefault="00D217AB" w:rsidP="002041D4">
            <w:pPr>
              <w:wordWrap w:val="0"/>
              <w:spacing w:before="20" w:after="20"/>
              <w:jc w:val="right"/>
              <w:rPr>
                <w:rFonts w:ascii="Calibri" w:hAnsi="Calibri" w:cs="Calibri"/>
                <w:noProof/>
                <w:color w:val="000000"/>
                <w:sz w:val="22"/>
              </w:rPr>
            </w:pPr>
          </w:p>
        </w:tc>
        <w:tc>
          <w:tcPr>
            <w:tcW w:w="1134" w:type="dxa"/>
            <w:vAlign w:val="bottom"/>
          </w:tcPr>
          <w:p w14:paraId="5254C058" w14:textId="77777777" w:rsidR="0038775E" w:rsidRDefault="00877B9C" w:rsidP="002041D4">
            <w:pPr>
              <w:wordWrap w:val="0"/>
              <w:spacing w:before="0" w:after="0"/>
              <w:jc w:val="right"/>
              <w:rPr>
                <w:rFonts w:ascii="Calibri" w:hAnsi="Calibri" w:cs="Calibri"/>
                <w:noProof/>
                <w:color w:val="000000"/>
                <w:sz w:val="22"/>
              </w:rPr>
            </w:pPr>
            <w:r w:rsidRPr="00DF5C23">
              <w:rPr>
                <w:rFonts w:ascii="Calibri" w:hAnsi="Calibri" w:cs="Calibri"/>
                <w:noProof/>
                <w:color w:val="000000"/>
                <w:sz w:val="22"/>
              </w:rPr>
              <w:t>105,871</w:t>
            </w:r>
          </w:p>
          <w:p w14:paraId="2C3A5DB6" w14:textId="77777777" w:rsidR="005C61BF" w:rsidRPr="00DF5C23" w:rsidRDefault="005C61BF" w:rsidP="002041D4">
            <w:pPr>
              <w:wordWrap w:val="0"/>
              <w:spacing w:before="20" w:after="20"/>
              <w:jc w:val="right"/>
              <w:rPr>
                <w:rFonts w:eastAsia="Calibri"/>
                <w:b/>
                <w:noProof/>
                <w:sz w:val="20"/>
              </w:rPr>
            </w:pPr>
          </w:p>
        </w:tc>
      </w:tr>
      <w:tr w:rsidR="005C61BF" w:rsidRPr="00DF5C23" w14:paraId="2C3A5DC2" w14:textId="77777777" w:rsidTr="00EC0E40">
        <w:tc>
          <w:tcPr>
            <w:tcW w:w="3960" w:type="dxa"/>
            <w:vMerge/>
            <w:shd w:val="clear" w:color="auto" w:fill="C0C0C0"/>
          </w:tcPr>
          <w:p w14:paraId="2C3A5DB8" w14:textId="77777777" w:rsidR="005C61BF" w:rsidRPr="00DF5C23" w:rsidRDefault="005C61BF" w:rsidP="002041D4">
            <w:pPr>
              <w:wordWrap w:val="0"/>
              <w:rPr>
                <w:rFonts w:eastAsia="Calibri"/>
                <w:noProof/>
                <w:sz w:val="20"/>
              </w:rPr>
            </w:pPr>
          </w:p>
        </w:tc>
        <w:tc>
          <w:tcPr>
            <w:tcW w:w="2070" w:type="dxa"/>
            <w:gridSpan w:val="2"/>
            <w:vAlign w:val="center"/>
          </w:tcPr>
          <w:p w14:paraId="1863E48F" w14:textId="77777777" w:rsidR="0038775E" w:rsidRDefault="00877B9C" w:rsidP="002041D4">
            <w:pPr>
              <w:wordWrap w:val="0"/>
              <w:rPr>
                <w:rFonts w:eastAsia="Calibri"/>
                <w:noProof/>
                <w:sz w:val="14"/>
              </w:rPr>
            </w:pPr>
            <w:r w:rsidRPr="00DF5C23">
              <w:rPr>
                <w:rFonts w:eastAsia="Calibri"/>
                <w:noProof/>
                <w:sz w:val="18"/>
              </w:rPr>
              <w:t>ペイメント</w:t>
            </w:r>
          </w:p>
        </w:tc>
        <w:tc>
          <w:tcPr>
            <w:tcW w:w="892" w:type="dxa"/>
            <w:vAlign w:val="bottom"/>
          </w:tcPr>
          <w:p w14:paraId="4B440DB4" w14:textId="77777777" w:rsidR="0038775E" w:rsidRDefault="00877B9C" w:rsidP="002041D4">
            <w:pPr>
              <w:wordWrap w:val="0"/>
              <w:spacing w:before="60" w:after="60"/>
              <w:jc w:val="right"/>
              <w:rPr>
                <w:rFonts w:eastAsia="Calibri"/>
                <w:noProof/>
                <w:sz w:val="20"/>
              </w:rPr>
            </w:pPr>
            <w:r w:rsidRPr="00DF5C23">
              <w:rPr>
                <w:rFonts w:ascii="Calibri" w:hAnsi="Calibri" w:cs="Calibri"/>
                <w:noProof/>
                <w:color w:val="000000"/>
                <w:sz w:val="22"/>
              </w:rPr>
              <w:t>3,</w:t>
            </w:r>
            <w:r w:rsidR="00401706" w:rsidRPr="00DF5C23">
              <w:rPr>
                <w:rFonts w:ascii="Calibri" w:hAnsi="Calibri" w:cs="Calibri"/>
                <w:noProof/>
                <w:color w:val="000000"/>
                <w:sz w:val="22"/>
              </w:rPr>
              <w:t>972</w:t>
            </w:r>
          </w:p>
        </w:tc>
        <w:tc>
          <w:tcPr>
            <w:tcW w:w="951" w:type="dxa"/>
            <w:vAlign w:val="bottom"/>
          </w:tcPr>
          <w:p w14:paraId="0CCE7E5F" w14:textId="77777777" w:rsidR="0038775E" w:rsidRDefault="00877B9C" w:rsidP="002041D4">
            <w:pPr>
              <w:wordWrap w:val="0"/>
              <w:spacing w:before="60" w:after="60"/>
              <w:jc w:val="right"/>
              <w:rPr>
                <w:rFonts w:eastAsia="Calibri"/>
                <w:noProof/>
                <w:sz w:val="20"/>
              </w:rPr>
            </w:pPr>
            <w:r w:rsidRPr="00DF5C23">
              <w:rPr>
                <w:rFonts w:ascii="Calibri" w:hAnsi="Calibri" w:cs="Calibri"/>
                <w:noProof/>
                <w:color w:val="000000"/>
                <w:sz w:val="22"/>
              </w:rPr>
              <w:t>10,</w:t>
            </w:r>
            <w:r w:rsidR="00401706" w:rsidRPr="00DF5C23">
              <w:rPr>
                <w:rFonts w:ascii="Calibri" w:hAnsi="Calibri" w:cs="Calibri"/>
                <w:noProof/>
                <w:color w:val="000000"/>
                <w:sz w:val="22"/>
              </w:rPr>
              <w:t>585</w:t>
            </w:r>
          </w:p>
        </w:tc>
        <w:tc>
          <w:tcPr>
            <w:tcW w:w="992" w:type="dxa"/>
            <w:vAlign w:val="bottom"/>
          </w:tcPr>
          <w:p w14:paraId="68D2BD07" w14:textId="77777777" w:rsidR="0038775E" w:rsidRDefault="00877B9C" w:rsidP="002041D4">
            <w:pPr>
              <w:wordWrap w:val="0"/>
              <w:spacing w:before="60" w:after="60"/>
              <w:jc w:val="right"/>
              <w:rPr>
                <w:rFonts w:eastAsia="Calibri"/>
                <w:noProof/>
                <w:sz w:val="20"/>
              </w:rPr>
            </w:pPr>
            <w:r w:rsidRPr="00DF5C23">
              <w:rPr>
                <w:rFonts w:ascii="Calibri" w:hAnsi="Calibri" w:cs="Calibri"/>
                <w:noProof/>
                <w:color w:val="000000"/>
                <w:sz w:val="22"/>
              </w:rPr>
              <w:t>16,211</w:t>
            </w:r>
          </w:p>
        </w:tc>
        <w:tc>
          <w:tcPr>
            <w:tcW w:w="993" w:type="dxa"/>
            <w:vAlign w:val="bottom"/>
          </w:tcPr>
          <w:p w14:paraId="77AAB06C" w14:textId="77777777" w:rsidR="0038775E" w:rsidRDefault="00877B9C" w:rsidP="002041D4">
            <w:pPr>
              <w:wordWrap w:val="0"/>
              <w:spacing w:before="60" w:after="60"/>
              <w:jc w:val="right"/>
              <w:rPr>
                <w:rFonts w:eastAsia="Calibri"/>
                <w:noProof/>
                <w:sz w:val="20"/>
              </w:rPr>
            </w:pPr>
            <w:r w:rsidRPr="00DF5C23">
              <w:rPr>
                <w:rFonts w:ascii="Calibri" w:hAnsi="Calibri" w:cs="Calibri"/>
                <w:noProof/>
                <w:color w:val="000000"/>
                <w:sz w:val="22"/>
              </w:rPr>
              <w:t>17,</w:t>
            </w:r>
            <w:r w:rsidR="00401706" w:rsidRPr="00DF5C23">
              <w:rPr>
                <w:rFonts w:ascii="Calibri" w:hAnsi="Calibri" w:cs="Calibri"/>
                <w:noProof/>
                <w:color w:val="000000"/>
                <w:sz w:val="22"/>
              </w:rPr>
              <w:t>912</w:t>
            </w:r>
          </w:p>
        </w:tc>
        <w:tc>
          <w:tcPr>
            <w:tcW w:w="992" w:type="dxa"/>
            <w:vAlign w:val="bottom"/>
          </w:tcPr>
          <w:p w14:paraId="6A3F1B3D" w14:textId="77777777" w:rsidR="0038775E" w:rsidRDefault="00877B9C" w:rsidP="002041D4">
            <w:pPr>
              <w:wordWrap w:val="0"/>
              <w:spacing w:before="60" w:after="60"/>
              <w:jc w:val="right"/>
              <w:rPr>
                <w:rFonts w:eastAsia="Calibri"/>
                <w:noProof/>
                <w:sz w:val="20"/>
              </w:rPr>
            </w:pPr>
            <w:r w:rsidRPr="00DF5C23">
              <w:rPr>
                <w:rFonts w:ascii="Calibri" w:hAnsi="Calibri" w:cs="Calibri"/>
                <w:noProof/>
                <w:color w:val="000000"/>
                <w:sz w:val="22"/>
              </w:rPr>
              <w:t>19,</w:t>
            </w:r>
            <w:r w:rsidR="00401706" w:rsidRPr="00DF5C23">
              <w:rPr>
                <w:rFonts w:ascii="Calibri" w:hAnsi="Calibri" w:cs="Calibri"/>
                <w:noProof/>
                <w:color w:val="000000"/>
                <w:sz w:val="22"/>
              </w:rPr>
              <w:t>997</w:t>
            </w:r>
          </w:p>
        </w:tc>
        <w:tc>
          <w:tcPr>
            <w:tcW w:w="992" w:type="dxa"/>
            <w:vAlign w:val="bottom"/>
          </w:tcPr>
          <w:p w14:paraId="1204E4AE" w14:textId="77777777" w:rsidR="0038775E" w:rsidRDefault="00877B9C" w:rsidP="002041D4">
            <w:pPr>
              <w:wordWrap w:val="0"/>
              <w:spacing w:before="60" w:after="60"/>
              <w:jc w:val="right"/>
              <w:rPr>
                <w:rFonts w:eastAsia="Calibri"/>
                <w:noProof/>
                <w:sz w:val="20"/>
              </w:rPr>
            </w:pPr>
            <w:r w:rsidRPr="00DF5C23">
              <w:rPr>
                <w:rFonts w:ascii="Calibri" w:hAnsi="Calibri" w:cs="Calibri"/>
                <w:noProof/>
                <w:color w:val="000000"/>
                <w:sz w:val="22"/>
              </w:rPr>
              <w:t>21,</w:t>
            </w:r>
            <w:r w:rsidR="00401706" w:rsidRPr="00DF5C23">
              <w:rPr>
                <w:rFonts w:ascii="Calibri" w:hAnsi="Calibri" w:cs="Calibri"/>
                <w:noProof/>
                <w:color w:val="000000"/>
                <w:sz w:val="22"/>
              </w:rPr>
              <w:t>419</w:t>
            </w:r>
          </w:p>
        </w:tc>
        <w:tc>
          <w:tcPr>
            <w:tcW w:w="992" w:type="dxa"/>
            <w:vAlign w:val="bottom"/>
          </w:tcPr>
          <w:p w14:paraId="60C5A1CE" w14:textId="77777777" w:rsidR="0038775E" w:rsidRDefault="00877B9C" w:rsidP="002041D4">
            <w:pPr>
              <w:wordWrap w:val="0"/>
              <w:spacing w:before="20" w:after="20"/>
              <w:jc w:val="right"/>
              <w:rPr>
                <w:rFonts w:ascii="Calibri" w:hAnsi="Calibri" w:cs="Calibri"/>
                <w:noProof/>
                <w:color w:val="000000"/>
                <w:sz w:val="22"/>
              </w:rPr>
            </w:pPr>
            <w:r w:rsidRPr="00DF5C23">
              <w:rPr>
                <w:rFonts w:ascii="Calibri" w:hAnsi="Calibri" w:cs="Calibri"/>
                <w:noProof/>
                <w:color w:val="000000"/>
                <w:sz w:val="22"/>
              </w:rPr>
              <w:t>15,</w:t>
            </w:r>
            <w:r w:rsidR="00401706" w:rsidRPr="00DF5C23">
              <w:rPr>
                <w:rFonts w:ascii="Calibri" w:hAnsi="Calibri" w:cs="Calibri"/>
                <w:noProof/>
                <w:color w:val="000000"/>
                <w:sz w:val="22"/>
              </w:rPr>
              <w:t>775</w:t>
            </w:r>
          </w:p>
        </w:tc>
        <w:tc>
          <w:tcPr>
            <w:tcW w:w="1134" w:type="dxa"/>
            <w:vAlign w:val="bottom"/>
          </w:tcPr>
          <w:p w14:paraId="18DD3753" w14:textId="77777777" w:rsidR="0038775E" w:rsidRDefault="00877B9C" w:rsidP="002041D4">
            <w:pPr>
              <w:wordWrap w:val="0"/>
              <w:spacing w:before="20" w:after="20"/>
              <w:jc w:val="right"/>
              <w:rPr>
                <w:rFonts w:eastAsia="Calibri"/>
                <w:b/>
                <w:noProof/>
                <w:sz w:val="20"/>
              </w:rPr>
            </w:pPr>
            <w:r w:rsidRPr="00DF5C23">
              <w:rPr>
                <w:rFonts w:ascii="Calibri" w:hAnsi="Calibri" w:cs="Calibri"/>
                <w:noProof/>
                <w:color w:val="000000"/>
                <w:sz w:val="22"/>
              </w:rPr>
              <w:t>105,871</w:t>
            </w:r>
          </w:p>
        </w:tc>
      </w:tr>
    </w:tbl>
    <w:p w14:paraId="2C3A5DC3" w14:textId="77777777" w:rsidR="00BF1765" w:rsidRPr="00DF5C23" w:rsidRDefault="00BF1765" w:rsidP="002041D4">
      <w:pPr>
        <w:wordWrap w:val="0"/>
        <w:rPr>
          <w:rFonts w:eastAsia="Calibri"/>
          <w:noProof/>
        </w:rPr>
      </w:pPr>
    </w:p>
    <w:p w14:paraId="79A03CAC" w14:textId="77777777" w:rsidR="0038775E" w:rsidRDefault="00877B9C" w:rsidP="002041D4">
      <w:pPr>
        <w:pStyle w:val="ManualHeading3"/>
        <w:wordWrap w:val="0"/>
        <w:rPr>
          <w:bCs/>
          <w:noProof/>
          <w:szCs w:val="24"/>
          <w:lang w:eastAsia="ja-JP"/>
        </w:rPr>
      </w:pPr>
      <w:bookmarkStart w:id="57" w:name="_Toc514938054"/>
      <w:bookmarkStart w:id="58" w:name="_Toc520485053"/>
      <w:r w:rsidRPr="004F5E59">
        <w:rPr>
          <w:lang w:eastAsia="ja-JP"/>
        </w:rPr>
        <w:lastRenderedPageBreak/>
        <w:t>3.2.2.</w:t>
      </w:r>
      <w:r w:rsidRPr="004F5E59">
        <w:rPr>
          <w:lang w:eastAsia="ja-JP"/>
        </w:rPr>
        <w:tab/>
      </w:r>
      <w:r w:rsidR="003102BB" w:rsidRPr="00DF5C23">
        <w:rPr>
          <w:noProof/>
          <w:lang w:eastAsia="ja-JP"/>
        </w:rPr>
        <w:t>運営費交付金で賄われるアウトプットの見積もり</w:t>
      </w:r>
      <w:r w:rsidR="003102BB" w:rsidRPr="00DF5C23">
        <w:rPr>
          <w:noProof/>
          <w:lang w:eastAsia="ja-JP"/>
        </w:rPr>
        <w:t xml:space="preserve"> </w:t>
      </w:r>
      <w:bookmarkEnd w:id="57"/>
      <w:bookmarkEnd w:id="58"/>
    </w:p>
    <w:p w14:paraId="1344844E" w14:textId="77777777" w:rsidR="0038775E" w:rsidRDefault="00877B9C" w:rsidP="002041D4">
      <w:pPr>
        <w:pBdr>
          <w:top w:val="single" w:sz="4" w:space="1" w:color="auto"/>
          <w:left w:val="single" w:sz="4" w:space="4" w:color="auto"/>
          <w:bottom w:val="single" w:sz="4" w:space="1" w:color="auto"/>
          <w:right w:val="single" w:sz="4" w:space="4" w:color="auto"/>
        </w:pBdr>
        <w:wordWrap w:val="0"/>
        <w:ind w:left="1418" w:hanging="568"/>
        <w:rPr>
          <w:rFonts w:eastAsia="Calibri"/>
          <w:noProof/>
          <w:lang w:eastAsia="ja-JP"/>
        </w:rPr>
      </w:pPr>
      <w:r w:rsidRPr="00DF5C23">
        <w:rPr>
          <w:rFonts w:eastAsia="Calibri"/>
          <w:noProof/>
          <w:lang w:eastAsia="ja-JP"/>
        </w:rPr>
        <w:t>具体的な目標</w:t>
      </w:r>
    </w:p>
    <w:p w14:paraId="46945484" w14:textId="77777777" w:rsidR="0038775E" w:rsidRDefault="00877B9C" w:rsidP="002041D4">
      <w:pPr>
        <w:pBdr>
          <w:top w:val="single" w:sz="4" w:space="1" w:color="auto"/>
          <w:left w:val="single" w:sz="4" w:space="4" w:color="auto"/>
          <w:bottom w:val="single" w:sz="4" w:space="1" w:color="auto"/>
          <w:right w:val="single" w:sz="4" w:space="4" w:color="auto"/>
        </w:pBdr>
        <w:wordWrap w:val="0"/>
        <w:ind w:left="1418" w:hanging="568"/>
        <w:rPr>
          <w:rFonts w:eastAsia="Calibri"/>
          <w:noProof/>
          <w:lang w:eastAsia="ja-JP"/>
        </w:rPr>
      </w:pPr>
      <w:r w:rsidRPr="00DF5C23">
        <w:rPr>
          <w:rFonts w:eastAsia="Calibri"/>
          <w:noProof/>
          <w:lang w:eastAsia="ja-JP"/>
        </w:rPr>
        <w:t>No 1</w:t>
      </w:r>
      <w:r w:rsidRPr="00DF5C23">
        <w:rPr>
          <w:rFonts w:eastAsia="Calibri"/>
          <w:noProof/>
          <w:lang w:eastAsia="ja-JP"/>
        </w:rPr>
        <w:t>：サプライチェーンにおける製品の環境持続可能性と持続可能性情報へのアクセスを改善する。</w:t>
      </w:r>
    </w:p>
    <w:p w14:paraId="437B1DED" w14:textId="77777777" w:rsidR="0038775E" w:rsidRDefault="00877B9C" w:rsidP="002041D4">
      <w:pPr>
        <w:pBdr>
          <w:top w:val="single" w:sz="4" w:space="1" w:color="auto"/>
          <w:left w:val="single" w:sz="4" w:space="4" w:color="auto"/>
          <w:bottom w:val="single" w:sz="4" w:space="1" w:color="auto"/>
          <w:right w:val="single" w:sz="4" w:space="4" w:color="auto"/>
        </w:pBdr>
        <w:wordWrap w:val="0"/>
        <w:ind w:left="850"/>
        <w:rPr>
          <w:rFonts w:eastAsia="Calibri"/>
          <w:noProof/>
          <w:lang w:eastAsia="ja-JP"/>
        </w:rPr>
      </w:pPr>
      <w:r w:rsidRPr="00DF5C23">
        <w:rPr>
          <w:rFonts w:eastAsia="Calibri"/>
          <w:noProof/>
          <w:lang w:eastAsia="ja-JP"/>
        </w:rPr>
        <w:t xml:space="preserve">No 2: </w:t>
      </w:r>
      <w:r w:rsidRPr="00DF5C23">
        <w:rPr>
          <w:rFonts w:eastAsia="Calibri"/>
          <w:noProof/>
          <w:lang w:eastAsia="ja-JP"/>
        </w:rPr>
        <w:t>より持続可能な製品やビジネスモデルを奨励し、価値保持を向上させる。</w:t>
      </w:r>
    </w:p>
    <w:p w14:paraId="6537DBFF" w14:textId="77777777" w:rsidR="0038775E" w:rsidRDefault="00877B9C" w:rsidP="002041D4">
      <w:pPr>
        <w:pBdr>
          <w:top w:val="single" w:sz="4" w:space="1" w:color="auto"/>
          <w:left w:val="single" w:sz="4" w:space="4" w:color="auto"/>
          <w:bottom w:val="single" w:sz="4" w:space="1" w:color="auto"/>
          <w:right w:val="single" w:sz="4" w:space="4" w:color="auto"/>
        </w:pBdr>
        <w:wordWrap w:val="0"/>
        <w:ind w:left="850"/>
        <w:rPr>
          <w:rFonts w:eastAsia="Calibri"/>
          <w:noProof/>
          <w:lang w:eastAsia="ja-JP"/>
        </w:rPr>
      </w:pPr>
      <w:r w:rsidRPr="00DF5C23">
        <w:rPr>
          <w:rFonts w:eastAsia="Calibri"/>
          <w:noProof/>
          <w:lang w:eastAsia="ja-JP"/>
        </w:rPr>
        <w:t>No 3:</w:t>
      </w:r>
      <w:r w:rsidRPr="00DF5C23">
        <w:rPr>
          <w:rFonts w:eastAsia="Calibri"/>
          <w:noProof/>
          <w:lang w:eastAsia="ja-JP"/>
        </w:rPr>
        <w:tab/>
      </w:r>
      <w:r w:rsidRPr="00DF5C23">
        <w:rPr>
          <w:rFonts w:eastAsia="Calibri"/>
          <w:noProof/>
          <w:lang w:eastAsia="ja-JP"/>
        </w:rPr>
        <w:t>サステナブル製品に関する法的枠組みの適用を改善する。</w:t>
      </w:r>
    </w:p>
    <w:p w14:paraId="2C3A5DC9" w14:textId="77777777" w:rsidR="00BF1765" w:rsidRPr="00DF5C23" w:rsidRDefault="00BF1765" w:rsidP="002041D4">
      <w:pPr>
        <w:wordWrap w:val="0"/>
        <w:jc w:val="right"/>
        <w:rPr>
          <w:rFonts w:eastAsia="Calibri"/>
          <w:noProof/>
          <w:sz w:val="20"/>
          <w:lang w:eastAsia="ja-JP"/>
        </w:rPr>
      </w:pPr>
    </w:p>
    <w:p w14:paraId="2AFFA9BE" w14:textId="77777777" w:rsidR="0038775E" w:rsidRDefault="00877B9C" w:rsidP="002041D4">
      <w:pPr>
        <w:wordWrap w:val="0"/>
        <w:jc w:val="right"/>
        <w:rPr>
          <w:rFonts w:eastAsia="Calibri"/>
          <w:noProof/>
          <w:sz w:val="20"/>
          <w:lang w:eastAsia="ja-JP"/>
        </w:rPr>
      </w:pPr>
      <w:r w:rsidRPr="00DF5C23">
        <w:rPr>
          <w:rFonts w:eastAsia="Calibri"/>
          <w:noProof/>
          <w:sz w:val="20"/>
          <w:lang w:eastAsia="ja-JP"/>
        </w:rPr>
        <w:t>コミットメント充当額（単位：百万ユーロ、小数点以下第三位まで）</w:t>
      </w:r>
    </w:p>
    <w:tbl>
      <w:tblPr>
        <w:tblW w:w="12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1"/>
        <w:gridCol w:w="969"/>
        <w:gridCol w:w="700"/>
        <w:gridCol w:w="503"/>
        <w:gridCol w:w="720"/>
        <w:gridCol w:w="540"/>
        <w:gridCol w:w="720"/>
        <w:gridCol w:w="720"/>
        <w:gridCol w:w="720"/>
        <w:gridCol w:w="900"/>
        <w:gridCol w:w="29"/>
        <w:gridCol w:w="691"/>
        <w:gridCol w:w="540"/>
        <w:gridCol w:w="753"/>
        <w:gridCol w:w="426"/>
        <w:gridCol w:w="850"/>
        <w:gridCol w:w="567"/>
        <w:gridCol w:w="851"/>
        <w:gridCol w:w="338"/>
        <w:gridCol w:w="236"/>
      </w:tblGrid>
      <w:tr w:rsidR="005C61BF" w:rsidRPr="00DF5C23" w14:paraId="2C3A5DD7" w14:textId="77777777" w:rsidTr="009C47CC">
        <w:trPr>
          <w:gridAfter w:val="2"/>
          <w:wAfter w:w="574" w:type="dxa"/>
          <w:jc w:val="center"/>
        </w:trPr>
        <w:tc>
          <w:tcPr>
            <w:tcW w:w="1171" w:type="dxa"/>
            <w:vMerge w:val="restart"/>
            <w:vAlign w:val="center"/>
          </w:tcPr>
          <w:p w14:paraId="2D1FAB47" w14:textId="77777777" w:rsidR="0038775E" w:rsidRDefault="00877B9C" w:rsidP="002041D4">
            <w:pPr>
              <w:wordWrap w:val="0"/>
              <w:ind w:right="-29"/>
              <w:jc w:val="center"/>
              <w:rPr>
                <w:b/>
                <w:noProof/>
                <w:sz w:val="18"/>
                <w:szCs w:val="18"/>
                <w:lang w:eastAsia="ja-JP"/>
              </w:rPr>
            </w:pPr>
            <w:r w:rsidRPr="00DF5C23">
              <w:rPr>
                <w:b/>
                <w:noProof/>
                <w:sz w:val="18"/>
                <w:lang w:eastAsia="ja-JP"/>
              </w:rPr>
              <w:t>目的・アウトプットを明示する</w:t>
            </w:r>
            <w:r w:rsidRPr="00DF5C23">
              <w:rPr>
                <w:b/>
                <w:noProof/>
                <w:sz w:val="18"/>
                <w:lang w:eastAsia="ja-JP"/>
              </w:rPr>
              <w:t xml:space="preserve"> </w:t>
            </w:r>
          </w:p>
          <w:p w14:paraId="2C3A5DCC" w14:textId="77777777" w:rsidR="005C61BF" w:rsidRPr="00DF5C23" w:rsidRDefault="005C61BF" w:rsidP="002041D4">
            <w:pPr>
              <w:wordWrap w:val="0"/>
              <w:ind w:right="-29"/>
              <w:jc w:val="center"/>
              <w:rPr>
                <w:b/>
                <w:noProof/>
                <w:sz w:val="18"/>
                <w:szCs w:val="18"/>
                <w:lang w:eastAsia="ja-JP"/>
              </w:rPr>
            </w:pPr>
          </w:p>
          <w:p w14:paraId="2C3A5DCD" w14:textId="77777777" w:rsidR="005C61BF" w:rsidRPr="00DF5C23" w:rsidRDefault="005C61BF" w:rsidP="002041D4">
            <w:pPr>
              <w:wordWrap w:val="0"/>
              <w:ind w:right="-29"/>
              <w:jc w:val="center"/>
              <w:rPr>
                <w:noProof/>
                <w:sz w:val="18"/>
                <w:szCs w:val="18"/>
              </w:rPr>
            </w:pPr>
            <w:r w:rsidRPr="00DF5C23">
              <w:rPr>
                <w:noProof/>
                <w:sz w:val="18"/>
              </w:rPr>
              <w:sym w:font="Wingdings" w:char="F0F2"/>
            </w:r>
          </w:p>
        </w:tc>
        <w:tc>
          <w:tcPr>
            <w:tcW w:w="969" w:type="dxa"/>
            <w:vAlign w:val="center"/>
          </w:tcPr>
          <w:p w14:paraId="2C3A5DCE" w14:textId="77777777" w:rsidR="005C61BF" w:rsidRPr="00DF5C23" w:rsidRDefault="005C61BF" w:rsidP="002041D4">
            <w:pPr>
              <w:wordWrap w:val="0"/>
              <w:ind w:right="-29"/>
              <w:jc w:val="center"/>
              <w:rPr>
                <w:noProof/>
                <w:sz w:val="18"/>
                <w:szCs w:val="18"/>
              </w:rPr>
            </w:pPr>
          </w:p>
        </w:tc>
        <w:tc>
          <w:tcPr>
            <w:tcW w:w="700" w:type="dxa"/>
            <w:vAlign w:val="center"/>
          </w:tcPr>
          <w:p w14:paraId="2C3A5DCF" w14:textId="77777777" w:rsidR="005C61BF" w:rsidRPr="00DF5C23" w:rsidRDefault="005C61BF" w:rsidP="002041D4">
            <w:pPr>
              <w:wordWrap w:val="0"/>
              <w:ind w:right="-29"/>
              <w:jc w:val="center"/>
              <w:rPr>
                <w:noProof/>
                <w:sz w:val="18"/>
                <w:szCs w:val="18"/>
              </w:rPr>
            </w:pPr>
          </w:p>
        </w:tc>
        <w:tc>
          <w:tcPr>
            <w:tcW w:w="1223" w:type="dxa"/>
            <w:gridSpan w:val="2"/>
            <w:tcBorders>
              <w:left w:val="nil"/>
            </w:tcBorders>
            <w:vAlign w:val="center"/>
          </w:tcPr>
          <w:p w14:paraId="32FA80AF" w14:textId="77777777" w:rsidR="0038775E" w:rsidRDefault="00877B9C" w:rsidP="002041D4">
            <w:pPr>
              <w:wordWrap w:val="0"/>
              <w:ind w:right="-29"/>
              <w:jc w:val="center"/>
              <w:rPr>
                <w:noProof/>
                <w:sz w:val="18"/>
                <w:szCs w:val="18"/>
              </w:rPr>
            </w:pPr>
            <w:r w:rsidRPr="00DF5C23">
              <w:rPr>
                <w:noProof/>
                <w:sz w:val="20"/>
                <w:szCs w:val="20"/>
              </w:rPr>
              <w:t>年</w:t>
            </w:r>
            <w:r w:rsidRPr="00DF5C23">
              <w:rPr>
                <w:noProof/>
                <w:sz w:val="22"/>
              </w:rPr>
              <w:br/>
            </w:r>
            <w:r w:rsidRPr="00DF5C23">
              <w:rPr>
                <w:b/>
                <w:bCs/>
                <w:noProof/>
                <w:sz w:val="20"/>
                <w:szCs w:val="20"/>
              </w:rPr>
              <w:t>2022</w:t>
            </w:r>
          </w:p>
        </w:tc>
        <w:tc>
          <w:tcPr>
            <w:tcW w:w="1260" w:type="dxa"/>
            <w:gridSpan w:val="2"/>
            <w:vAlign w:val="center"/>
          </w:tcPr>
          <w:p w14:paraId="4F2794C3" w14:textId="77777777" w:rsidR="0038775E" w:rsidRDefault="00877B9C" w:rsidP="002041D4">
            <w:pPr>
              <w:wordWrap w:val="0"/>
              <w:ind w:right="-29"/>
              <w:jc w:val="center"/>
              <w:rPr>
                <w:noProof/>
                <w:sz w:val="18"/>
                <w:szCs w:val="18"/>
              </w:rPr>
            </w:pPr>
            <w:r w:rsidRPr="00DF5C23">
              <w:rPr>
                <w:noProof/>
                <w:sz w:val="20"/>
              </w:rPr>
              <w:t>年</w:t>
            </w:r>
            <w:r w:rsidRPr="00DF5C23">
              <w:rPr>
                <w:noProof/>
                <w:sz w:val="22"/>
              </w:rPr>
              <w:br/>
            </w:r>
            <w:r w:rsidRPr="00DF5C23">
              <w:rPr>
                <w:b/>
                <w:noProof/>
                <w:sz w:val="20"/>
              </w:rPr>
              <w:t>2023</w:t>
            </w:r>
          </w:p>
        </w:tc>
        <w:tc>
          <w:tcPr>
            <w:tcW w:w="1440" w:type="dxa"/>
            <w:gridSpan w:val="2"/>
            <w:vAlign w:val="center"/>
          </w:tcPr>
          <w:p w14:paraId="3C82D8DA" w14:textId="77777777" w:rsidR="0038775E" w:rsidRDefault="00877B9C" w:rsidP="002041D4">
            <w:pPr>
              <w:wordWrap w:val="0"/>
              <w:ind w:right="-29"/>
              <w:jc w:val="center"/>
              <w:rPr>
                <w:noProof/>
                <w:sz w:val="18"/>
                <w:szCs w:val="18"/>
              </w:rPr>
            </w:pPr>
            <w:r w:rsidRPr="00DF5C23">
              <w:rPr>
                <w:noProof/>
                <w:sz w:val="20"/>
              </w:rPr>
              <w:t>年</w:t>
            </w:r>
            <w:r w:rsidRPr="00DF5C23">
              <w:rPr>
                <w:noProof/>
                <w:sz w:val="22"/>
              </w:rPr>
              <w:br/>
            </w:r>
            <w:r w:rsidRPr="00DF5C23">
              <w:rPr>
                <w:b/>
                <w:noProof/>
                <w:sz w:val="20"/>
              </w:rPr>
              <w:t>2024</w:t>
            </w:r>
          </w:p>
        </w:tc>
        <w:tc>
          <w:tcPr>
            <w:tcW w:w="1620" w:type="dxa"/>
            <w:gridSpan w:val="3"/>
            <w:vAlign w:val="center"/>
          </w:tcPr>
          <w:p w14:paraId="02C5FF23" w14:textId="77777777" w:rsidR="0038775E" w:rsidRDefault="00877B9C" w:rsidP="002041D4">
            <w:pPr>
              <w:wordWrap w:val="0"/>
              <w:ind w:right="-29"/>
              <w:jc w:val="center"/>
              <w:rPr>
                <w:noProof/>
                <w:sz w:val="18"/>
                <w:szCs w:val="18"/>
              </w:rPr>
            </w:pPr>
            <w:r w:rsidRPr="00DF5C23">
              <w:rPr>
                <w:noProof/>
                <w:sz w:val="20"/>
              </w:rPr>
              <w:t>年</w:t>
            </w:r>
            <w:r w:rsidRPr="00DF5C23">
              <w:rPr>
                <w:noProof/>
                <w:sz w:val="22"/>
              </w:rPr>
              <w:br/>
            </w:r>
            <w:r w:rsidRPr="00DF5C23">
              <w:rPr>
                <w:b/>
                <w:noProof/>
                <w:sz w:val="20"/>
              </w:rPr>
              <w:t>2025</w:t>
            </w:r>
          </w:p>
        </w:tc>
        <w:tc>
          <w:tcPr>
            <w:tcW w:w="1293" w:type="dxa"/>
            <w:gridSpan w:val="2"/>
            <w:vAlign w:val="center"/>
          </w:tcPr>
          <w:p w14:paraId="00D99053" w14:textId="77777777" w:rsidR="0038775E" w:rsidRDefault="00877B9C" w:rsidP="002041D4">
            <w:pPr>
              <w:wordWrap w:val="0"/>
              <w:jc w:val="center"/>
              <w:rPr>
                <w:noProof/>
                <w:sz w:val="18"/>
                <w:szCs w:val="18"/>
              </w:rPr>
            </w:pPr>
            <w:r w:rsidRPr="00DF5C23">
              <w:rPr>
                <w:noProof/>
                <w:sz w:val="20"/>
              </w:rPr>
              <w:t>年</w:t>
            </w:r>
            <w:r w:rsidRPr="00DF5C23">
              <w:rPr>
                <w:noProof/>
                <w:sz w:val="22"/>
              </w:rPr>
              <w:br/>
            </w:r>
            <w:r w:rsidRPr="00DF5C23">
              <w:rPr>
                <w:b/>
                <w:noProof/>
                <w:sz w:val="20"/>
              </w:rPr>
              <w:t>2026</w:t>
            </w:r>
          </w:p>
        </w:tc>
        <w:tc>
          <w:tcPr>
            <w:tcW w:w="1276" w:type="dxa"/>
            <w:gridSpan w:val="2"/>
            <w:vAlign w:val="center"/>
          </w:tcPr>
          <w:p w14:paraId="358272E2" w14:textId="77777777" w:rsidR="0038775E" w:rsidRDefault="00877B9C" w:rsidP="002041D4">
            <w:pPr>
              <w:wordWrap w:val="0"/>
              <w:jc w:val="center"/>
              <w:rPr>
                <w:noProof/>
                <w:sz w:val="18"/>
                <w:szCs w:val="18"/>
              </w:rPr>
            </w:pPr>
            <w:r w:rsidRPr="00DF5C23">
              <w:rPr>
                <w:noProof/>
                <w:sz w:val="20"/>
              </w:rPr>
              <w:t>年</w:t>
            </w:r>
            <w:r w:rsidRPr="00DF5C23">
              <w:rPr>
                <w:noProof/>
                <w:sz w:val="22"/>
              </w:rPr>
              <w:br/>
            </w:r>
            <w:r w:rsidRPr="00DF5C23">
              <w:rPr>
                <w:b/>
                <w:noProof/>
                <w:sz w:val="20"/>
              </w:rPr>
              <w:t>2027</w:t>
            </w:r>
            <w:r w:rsidRPr="00DF5C23">
              <w:rPr>
                <w:b/>
                <w:noProof/>
                <w:sz w:val="20"/>
              </w:rPr>
              <w:t>年以降</w:t>
            </w:r>
          </w:p>
        </w:tc>
        <w:tc>
          <w:tcPr>
            <w:tcW w:w="1418" w:type="dxa"/>
            <w:gridSpan w:val="2"/>
            <w:tcBorders>
              <w:left w:val="nil"/>
              <w:bottom w:val="nil"/>
            </w:tcBorders>
            <w:vAlign w:val="center"/>
          </w:tcPr>
          <w:p w14:paraId="687E1173" w14:textId="77777777" w:rsidR="0038775E" w:rsidRDefault="00877B9C" w:rsidP="002041D4">
            <w:pPr>
              <w:wordWrap w:val="0"/>
              <w:ind w:right="-29"/>
              <w:jc w:val="center"/>
              <w:rPr>
                <w:noProof/>
                <w:sz w:val="18"/>
                <w:szCs w:val="18"/>
              </w:rPr>
            </w:pPr>
            <w:r w:rsidRPr="00DF5C23">
              <w:rPr>
                <w:b/>
                <w:noProof/>
                <w:sz w:val="18"/>
              </w:rPr>
              <w:t>TOTAL</w:t>
            </w:r>
          </w:p>
        </w:tc>
      </w:tr>
      <w:tr w:rsidR="005C61BF" w:rsidRPr="00DF5C23" w14:paraId="2C3A5DDA" w14:textId="77777777" w:rsidTr="009C47CC">
        <w:trPr>
          <w:gridAfter w:val="2"/>
          <w:wAfter w:w="574" w:type="dxa"/>
          <w:jc w:val="center"/>
        </w:trPr>
        <w:tc>
          <w:tcPr>
            <w:tcW w:w="1171" w:type="dxa"/>
            <w:vMerge/>
            <w:vAlign w:val="center"/>
          </w:tcPr>
          <w:p w14:paraId="2C3A5DD8" w14:textId="77777777" w:rsidR="005C61BF" w:rsidRPr="00DF5C23" w:rsidRDefault="005C61BF" w:rsidP="002041D4">
            <w:pPr>
              <w:wordWrap w:val="0"/>
              <w:ind w:right="-29"/>
              <w:jc w:val="center"/>
              <w:rPr>
                <w:noProof/>
                <w:sz w:val="18"/>
                <w:szCs w:val="18"/>
              </w:rPr>
            </w:pPr>
          </w:p>
        </w:tc>
        <w:tc>
          <w:tcPr>
            <w:tcW w:w="11199" w:type="dxa"/>
            <w:gridSpan w:val="17"/>
            <w:vAlign w:val="center"/>
          </w:tcPr>
          <w:p w14:paraId="47704F34" w14:textId="77777777" w:rsidR="0038775E" w:rsidRDefault="00877B9C" w:rsidP="002041D4">
            <w:pPr>
              <w:wordWrap w:val="0"/>
              <w:spacing w:before="60" w:after="60"/>
              <w:ind w:right="-29"/>
              <w:jc w:val="center"/>
              <w:rPr>
                <w:noProof/>
                <w:sz w:val="18"/>
                <w:szCs w:val="18"/>
              </w:rPr>
            </w:pPr>
            <w:r w:rsidRPr="00DF5C23">
              <w:rPr>
                <w:b/>
                <w:noProof/>
                <w:sz w:val="18"/>
              </w:rPr>
              <w:t>OUTPUTS</w:t>
            </w:r>
          </w:p>
        </w:tc>
      </w:tr>
      <w:tr w:rsidR="005C61BF" w:rsidRPr="00DF5C23" w14:paraId="2C3A5DED" w14:textId="77777777" w:rsidTr="009C47CC">
        <w:trPr>
          <w:gridAfter w:val="2"/>
          <w:wAfter w:w="574" w:type="dxa"/>
          <w:cantSplit/>
          <w:trHeight w:val="1134"/>
          <w:jc w:val="center"/>
        </w:trPr>
        <w:tc>
          <w:tcPr>
            <w:tcW w:w="1171" w:type="dxa"/>
            <w:vMerge/>
            <w:vAlign w:val="center"/>
          </w:tcPr>
          <w:p w14:paraId="2C3A5DDB" w14:textId="77777777" w:rsidR="005C61BF" w:rsidRPr="00DF5C23" w:rsidRDefault="005C61BF" w:rsidP="002041D4">
            <w:pPr>
              <w:wordWrap w:val="0"/>
              <w:rPr>
                <w:noProof/>
                <w:sz w:val="18"/>
                <w:szCs w:val="18"/>
              </w:rPr>
            </w:pPr>
          </w:p>
        </w:tc>
        <w:tc>
          <w:tcPr>
            <w:tcW w:w="969" w:type="dxa"/>
            <w:vAlign w:val="center"/>
          </w:tcPr>
          <w:p w14:paraId="3A9B6358" w14:textId="77777777" w:rsidR="0038775E" w:rsidRDefault="00877B9C" w:rsidP="002041D4">
            <w:pPr>
              <w:wordWrap w:val="0"/>
              <w:jc w:val="center"/>
              <w:rPr>
                <w:noProof/>
                <w:sz w:val="18"/>
                <w:szCs w:val="18"/>
              </w:rPr>
            </w:pPr>
            <w:r w:rsidRPr="00DF5C23">
              <w:rPr>
                <w:noProof/>
                <w:sz w:val="18"/>
                <w:szCs w:val="18"/>
              </w:rPr>
              <w:t>タイプ</w:t>
            </w:r>
            <w:r w:rsidR="008B78E1" w:rsidRPr="00DF5C23">
              <w:rPr>
                <w:rStyle w:val="afa"/>
                <w:noProof/>
                <w:sz w:val="18"/>
                <w:szCs w:val="18"/>
              </w:rPr>
              <w:footnoteReference w:id="100"/>
            </w:r>
          </w:p>
          <w:p w14:paraId="2C3A5DDD" w14:textId="77777777" w:rsidR="005C61BF" w:rsidRPr="00DF5C23" w:rsidRDefault="005C61BF" w:rsidP="002041D4">
            <w:pPr>
              <w:wordWrap w:val="0"/>
              <w:spacing w:before="0" w:after="0"/>
              <w:jc w:val="center"/>
              <w:rPr>
                <w:noProof/>
                <w:sz w:val="18"/>
                <w:szCs w:val="18"/>
              </w:rPr>
            </w:pPr>
          </w:p>
        </w:tc>
        <w:tc>
          <w:tcPr>
            <w:tcW w:w="700" w:type="dxa"/>
            <w:vAlign w:val="center"/>
          </w:tcPr>
          <w:p w14:paraId="69B89AC0" w14:textId="77777777" w:rsidR="0038775E" w:rsidRDefault="00877B9C" w:rsidP="002041D4">
            <w:pPr>
              <w:wordWrap w:val="0"/>
              <w:jc w:val="center"/>
              <w:rPr>
                <w:noProof/>
                <w:sz w:val="18"/>
                <w:szCs w:val="18"/>
              </w:rPr>
            </w:pPr>
            <w:r w:rsidRPr="00DF5C23">
              <w:rPr>
                <w:noProof/>
                <w:sz w:val="18"/>
              </w:rPr>
              <w:t>平均コスト</w:t>
            </w:r>
          </w:p>
        </w:tc>
        <w:tc>
          <w:tcPr>
            <w:tcW w:w="503" w:type="dxa"/>
            <w:tcBorders>
              <w:left w:val="nil"/>
              <w:right w:val="dashSmallGap" w:sz="4" w:space="0" w:color="auto"/>
            </w:tcBorders>
            <w:shd w:val="clear" w:color="auto" w:fill="auto"/>
            <w:textDirection w:val="btLr"/>
            <w:vAlign w:val="center"/>
          </w:tcPr>
          <w:p w14:paraId="6A1599AE" w14:textId="0AFD3E16" w:rsidR="0038775E" w:rsidRDefault="003D3ACD" w:rsidP="002041D4">
            <w:pPr>
              <w:wordWrap w:val="0"/>
              <w:ind w:left="113" w:right="113"/>
              <w:jc w:val="center"/>
              <w:rPr>
                <w:noProof/>
                <w:sz w:val="18"/>
                <w:szCs w:val="18"/>
              </w:rPr>
            </w:pPr>
            <w:r>
              <w:rPr>
                <w:noProof/>
                <w:sz w:val="18"/>
              </w:rPr>
              <w:t>No</w:t>
            </w:r>
          </w:p>
        </w:tc>
        <w:tc>
          <w:tcPr>
            <w:tcW w:w="720" w:type="dxa"/>
            <w:tcBorders>
              <w:left w:val="dashSmallGap" w:sz="4" w:space="0" w:color="auto"/>
            </w:tcBorders>
            <w:shd w:val="clear" w:color="auto" w:fill="auto"/>
            <w:vAlign w:val="center"/>
          </w:tcPr>
          <w:p w14:paraId="59B5918F" w14:textId="77777777" w:rsidR="0038775E" w:rsidRDefault="00877B9C" w:rsidP="002041D4">
            <w:pPr>
              <w:wordWrap w:val="0"/>
              <w:jc w:val="center"/>
              <w:rPr>
                <w:noProof/>
                <w:sz w:val="18"/>
                <w:szCs w:val="18"/>
              </w:rPr>
            </w:pPr>
            <w:r w:rsidRPr="00DF5C23">
              <w:rPr>
                <w:noProof/>
                <w:sz w:val="18"/>
              </w:rPr>
              <w:t>コスト</w:t>
            </w:r>
          </w:p>
        </w:tc>
        <w:tc>
          <w:tcPr>
            <w:tcW w:w="540" w:type="dxa"/>
            <w:tcBorders>
              <w:right w:val="dashSmallGap" w:sz="4" w:space="0" w:color="auto"/>
            </w:tcBorders>
            <w:shd w:val="clear" w:color="auto" w:fill="auto"/>
            <w:textDirection w:val="btLr"/>
            <w:vAlign w:val="center"/>
          </w:tcPr>
          <w:p w14:paraId="259E03A0" w14:textId="2744D6B6" w:rsidR="0038775E" w:rsidRDefault="003D3ACD" w:rsidP="002041D4">
            <w:pPr>
              <w:wordWrap w:val="0"/>
              <w:ind w:left="113" w:right="113"/>
              <w:jc w:val="center"/>
              <w:rPr>
                <w:noProof/>
                <w:sz w:val="18"/>
                <w:szCs w:val="18"/>
              </w:rPr>
            </w:pPr>
            <w:r>
              <w:rPr>
                <w:noProof/>
                <w:sz w:val="18"/>
              </w:rPr>
              <w:t>No</w:t>
            </w:r>
          </w:p>
        </w:tc>
        <w:tc>
          <w:tcPr>
            <w:tcW w:w="720" w:type="dxa"/>
            <w:tcBorders>
              <w:left w:val="dashSmallGap" w:sz="4" w:space="0" w:color="auto"/>
            </w:tcBorders>
            <w:shd w:val="clear" w:color="auto" w:fill="auto"/>
            <w:vAlign w:val="center"/>
          </w:tcPr>
          <w:p w14:paraId="39FDE173" w14:textId="77777777" w:rsidR="0038775E" w:rsidRDefault="00877B9C" w:rsidP="002041D4">
            <w:pPr>
              <w:wordWrap w:val="0"/>
              <w:jc w:val="center"/>
              <w:rPr>
                <w:noProof/>
                <w:sz w:val="18"/>
                <w:szCs w:val="18"/>
              </w:rPr>
            </w:pPr>
            <w:r w:rsidRPr="00DF5C23">
              <w:rPr>
                <w:noProof/>
                <w:sz w:val="18"/>
              </w:rPr>
              <w:t>コスト</w:t>
            </w:r>
          </w:p>
        </w:tc>
        <w:tc>
          <w:tcPr>
            <w:tcW w:w="720" w:type="dxa"/>
            <w:tcBorders>
              <w:right w:val="dashSmallGap" w:sz="4" w:space="0" w:color="auto"/>
            </w:tcBorders>
            <w:shd w:val="clear" w:color="auto" w:fill="auto"/>
            <w:textDirection w:val="btLr"/>
            <w:vAlign w:val="center"/>
          </w:tcPr>
          <w:p w14:paraId="5BBEC7D3" w14:textId="3A55609F" w:rsidR="0038775E" w:rsidRDefault="003D3ACD" w:rsidP="002041D4">
            <w:pPr>
              <w:wordWrap w:val="0"/>
              <w:ind w:left="113" w:right="113"/>
              <w:jc w:val="center"/>
              <w:rPr>
                <w:noProof/>
                <w:sz w:val="18"/>
                <w:szCs w:val="18"/>
              </w:rPr>
            </w:pPr>
            <w:r>
              <w:rPr>
                <w:noProof/>
                <w:sz w:val="18"/>
              </w:rPr>
              <w:t>No</w:t>
            </w:r>
          </w:p>
        </w:tc>
        <w:tc>
          <w:tcPr>
            <w:tcW w:w="720" w:type="dxa"/>
            <w:tcBorders>
              <w:left w:val="dashSmallGap" w:sz="4" w:space="0" w:color="auto"/>
            </w:tcBorders>
            <w:shd w:val="clear" w:color="auto" w:fill="auto"/>
            <w:vAlign w:val="center"/>
          </w:tcPr>
          <w:p w14:paraId="4104DBB2" w14:textId="77777777" w:rsidR="0038775E" w:rsidRDefault="00877B9C" w:rsidP="002041D4">
            <w:pPr>
              <w:wordWrap w:val="0"/>
              <w:jc w:val="center"/>
              <w:rPr>
                <w:noProof/>
                <w:sz w:val="18"/>
                <w:szCs w:val="18"/>
              </w:rPr>
            </w:pPr>
            <w:r w:rsidRPr="00DF5C23">
              <w:rPr>
                <w:noProof/>
                <w:sz w:val="18"/>
              </w:rPr>
              <w:t>コスト</w:t>
            </w:r>
          </w:p>
        </w:tc>
        <w:tc>
          <w:tcPr>
            <w:tcW w:w="900" w:type="dxa"/>
            <w:tcBorders>
              <w:right w:val="dashSmallGap" w:sz="4" w:space="0" w:color="auto"/>
            </w:tcBorders>
            <w:shd w:val="clear" w:color="auto" w:fill="auto"/>
            <w:textDirection w:val="btLr"/>
            <w:vAlign w:val="center"/>
          </w:tcPr>
          <w:p w14:paraId="726D00AC" w14:textId="5DF33FC8" w:rsidR="0038775E" w:rsidRDefault="003D3ACD" w:rsidP="002041D4">
            <w:pPr>
              <w:wordWrap w:val="0"/>
              <w:ind w:left="113" w:right="113"/>
              <w:jc w:val="center"/>
              <w:rPr>
                <w:noProof/>
                <w:sz w:val="18"/>
                <w:szCs w:val="18"/>
              </w:rPr>
            </w:pPr>
            <w:r>
              <w:rPr>
                <w:noProof/>
                <w:sz w:val="18"/>
              </w:rPr>
              <w:t>No</w:t>
            </w:r>
          </w:p>
        </w:tc>
        <w:tc>
          <w:tcPr>
            <w:tcW w:w="720" w:type="dxa"/>
            <w:gridSpan w:val="2"/>
            <w:tcBorders>
              <w:left w:val="dashSmallGap" w:sz="4" w:space="0" w:color="auto"/>
            </w:tcBorders>
            <w:shd w:val="clear" w:color="auto" w:fill="auto"/>
            <w:vAlign w:val="center"/>
          </w:tcPr>
          <w:p w14:paraId="5ABFAB7D" w14:textId="77777777" w:rsidR="0038775E" w:rsidRDefault="00877B9C" w:rsidP="002041D4">
            <w:pPr>
              <w:wordWrap w:val="0"/>
              <w:jc w:val="center"/>
              <w:rPr>
                <w:noProof/>
                <w:sz w:val="18"/>
                <w:szCs w:val="18"/>
              </w:rPr>
            </w:pPr>
            <w:r w:rsidRPr="00DF5C23">
              <w:rPr>
                <w:noProof/>
                <w:sz w:val="18"/>
              </w:rPr>
              <w:t>コスト</w:t>
            </w:r>
          </w:p>
        </w:tc>
        <w:tc>
          <w:tcPr>
            <w:tcW w:w="540" w:type="dxa"/>
            <w:tcBorders>
              <w:right w:val="dashSmallGap" w:sz="4" w:space="0" w:color="auto"/>
            </w:tcBorders>
            <w:shd w:val="clear" w:color="auto" w:fill="auto"/>
            <w:textDirection w:val="btLr"/>
            <w:vAlign w:val="center"/>
          </w:tcPr>
          <w:p w14:paraId="0622AE8F" w14:textId="2F1A5DA8" w:rsidR="0038775E" w:rsidRDefault="003D3ACD" w:rsidP="002041D4">
            <w:pPr>
              <w:wordWrap w:val="0"/>
              <w:ind w:left="113" w:right="113"/>
              <w:jc w:val="center"/>
              <w:rPr>
                <w:noProof/>
                <w:sz w:val="18"/>
                <w:szCs w:val="18"/>
              </w:rPr>
            </w:pPr>
            <w:r>
              <w:rPr>
                <w:noProof/>
                <w:sz w:val="18"/>
              </w:rPr>
              <w:t>No</w:t>
            </w:r>
          </w:p>
        </w:tc>
        <w:tc>
          <w:tcPr>
            <w:tcW w:w="753" w:type="dxa"/>
            <w:tcBorders>
              <w:left w:val="dashSmallGap" w:sz="4" w:space="0" w:color="auto"/>
            </w:tcBorders>
            <w:shd w:val="clear" w:color="auto" w:fill="auto"/>
            <w:vAlign w:val="center"/>
          </w:tcPr>
          <w:p w14:paraId="7B8F56BF" w14:textId="77777777" w:rsidR="0038775E" w:rsidRDefault="00877B9C" w:rsidP="002041D4">
            <w:pPr>
              <w:wordWrap w:val="0"/>
              <w:jc w:val="center"/>
              <w:rPr>
                <w:noProof/>
                <w:sz w:val="18"/>
                <w:szCs w:val="18"/>
              </w:rPr>
            </w:pPr>
            <w:r w:rsidRPr="00DF5C23">
              <w:rPr>
                <w:noProof/>
                <w:sz w:val="18"/>
              </w:rPr>
              <w:t>コスト</w:t>
            </w:r>
          </w:p>
        </w:tc>
        <w:tc>
          <w:tcPr>
            <w:tcW w:w="426" w:type="dxa"/>
            <w:tcBorders>
              <w:right w:val="dashSmallGap" w:sz="4" w:space="0" w:color="auto"/>
            </w:tcBorders>
            <w:shd w:val="clear" w:color="auto" w:fill="auto"/>
            <w:textDirection w:val="btLr"/>
            <w:vAlign w:val="center"/>
          </w:tcPr>
          <w:p w14:paraId="44FFE36F" w14:textId="6E841A9E" w:rsidR="0038775E" w:rsidRDefault="003D3ACD" w:rsidP="002041D4">
            <w:pPr>
              <w:wordWrap w:val="0"/>
              <w:ind w:left="113" w:right="113"/>
              <w:jc w:val="center"/>
              <w:rPr>
                <w:noProof/>
                <w:sz w:val="18"/>
                <w:szCs w:val="18"/>
              </w:rPr>
            </w:pPr>
            <w:r>
              <w:rPr>
                <w:noProof/>
                <w:sz w:val="18"/>
              </w:rPr>
              <w:t>No</w:t>
            </w:r>
          </w:p>
        </w:tc>
        <w:tc>
          <w:tcPr>
            <w:tcW w:w="850" w:type="dxa"/>
            <w:tcBorders>
              <w:left w:val="dashSmallGap" w:sz="4" w:space="0" w:color="auto"/>
            </w:tcBorders>
            <w:shd w:val="clear" w:color="auto" w:fill="auto"/>
            <w:vAlign w:val="center"/>
          </w:tcPr>
          <w:p w14:paraId="27C4F184" w14:textId="77777777" w:rsidR="0038775E" w:rsidRDefault="00877B9C" w:rsidP="002041D4">
            <w:pPr>
              <w:wordWrap w:val="0"/>
              <w:jc w:val="center"/>
              <w:rPr>
                <w:noProof/>
                <w:sz w:val="18"/>
                <w:szCs w:val="18"/>
              </w:rPr>
            </w:pPr>
            <w:r w:rsidRPr="00DF5C23">
              <w:rPr>
                <w:noProof/>
                <w:sz w:val="18"/>
              </w:rPr>
              <w:t>コスト</w:t>
            </w:r>
          </w:p>
        </w:tc>
        <w:tc>
          <w:tcPr>
            <w:tcW w:w="567" w:type="dxa"/>
            <w:tcBorders>
              <w:right w:val="dashSmallGap" w:sz="4" w:space="0" w:color="auto"/>
            </w:tcBorders>
            <w:shd w:val="clear" w:color="auto" w:fill="auto"/>
            <w:textDirection w:val="btLr"/>
            <w:vAlign w:val="center"/>
          </w:tcPr>
          <w:p w14:paraId="497226C6" w14:textId="1A0F7FB7" w:rsidR="0038775E" w:rsidRDefault="003D3ACD" w:rsidP="002041D4">
            <w:pPr>
              <w:wordWrap w:val="0"/>
              <w:ind w:left="113" w:right="113"/>
              <w:jc w:val="center"/>
              <w:rPr>
                <w:noProof/>
                <w:sz w:val="18"/>
                <w:szCs w:val="18"/>
              </w:rPr>
            </w:pPr>
            <w:r>
              <w:rPr>
                <w:noProof/>
                <w:sz w:val="18"/>
              </w:rPr>
              <w:t>No</w:t>
            </w:r>
          </w:p>
        </w:tc>
        <w:tc>
          <w:tcPr>
            <w:tcW w:w="851" w:type="dxa"/>
            <w:tcBorders>
              <w:left w:val="dashSmallGap" w:sz="4" w:space="0" w:color="auto"/>
            </w:tcBorders>
            <w:shd w:val="clear" w:color="auto" w:fill="auto"/>
            <w:vAlign w:val="center"/>
          </w:tcPr>
          <w:p w14:paraId="3B466142" w14:textId="77777777" w:rsidR="0038775E" w:rsidRDefault="00877B9C" w:rsidP="002041D4">
            <w:pPr>
              <w:wordWrap w:val="0"/>
              <w:jc w:val="center"/>
              <w:rPr>
                <w:noProof/>
                <w:sz w:val="18"/>
                <w:szCs w:val="18"/>
              </w:rPr>
            </w:pPr>
            <w:r w:rsidRPr="00DF5C23">
              <w:rPr>
                <w:noProof/>
                <w:sz w:val="18"/>
              </w:rPr>
              <w:t>コスト</w:t>
            </w:r>
          </w:p>
        </w:tc>
      </w:tr>
      <w:tr w:rsidR="005C61BF" w:rsidRPr="00DF5C23" w14:paraId="2C3A5DF2" w14:textId="77777777" w:rsidTr="009C47CC">
        <w:trPr>
          <w:jc w:val="center"/>
        </w:trPr>
        <w:tc>
          <w:tcPr>
            <w:tcW w:w="2840" w:type="dxa"/>
            <w:gridSpan w:val="3"/>
            <w:vAlign w:val="center"/>
          </w:tcPr>
          <w:p w14:paraId="160DE6F6" w14:textId="77777777" w:rsidR="0038775E" w:rsidRDefault="00877B9C" w:rsidP="002041D4">
            <w:pPr>
              <w:wordWrap w:val="0"/>
              <w:spacing w:before="60" w:after="60"/>
              <w:ind w:right="-29"/>
              <w:jc w:val="center"/>
              <w:rPr>
                <w:noProof/>
                <w:sz w:val="18"/>
                <w:szCs w:val="18"/>
              </w:rPr>
            </w:pPr>
            <w:r w:rsidRPr="00DF5C23">
              <w:rPr>
                <w:noProof/>
                <w:sz w:val="18"/>
                <w:szCs w:val="18"/>
              </w:rPr>
              <w:t>SPECIFIC OBJECTION No.1</w:t>
            </w:r>
            <w:r w:rsidR="008B78E1" w:rsidRPr="00DF5C23">
              <w:rPr>
                <w:rStyle w:val="afa"/>
                <w:noProof/>
                <w:sz w:val="18"/>
                <w:szCs w:val="18"/>
              </w:rPr>
              <w:footnoteReference w:id="101"/>
            </w:r>
          </w:p>
        </w:tc>
        <w:tc>
          <w:tcPr>
            <w:tcW w:w="9530" w:type="dxa"/>
            <w:gridSpan w:val="15"/>
            <w:tcBorders>
              <w:top w:val="nil"/>
              <w:left w:val="nil"/>
              <w:bottom w:val="nil"/>
              <w:right w:val="nil"/>
            </w:tcBorders>
          </w:tcPr>
          <w:p w14:paraId="09062AF3" w14:textId="77777777" w:rsidR="0038775E" w:rsidRDefault="00877B9C" w:rsidP="002041D4">
            <w:pPr>
              <w:wordWrap w:val="0"/>
              <w:spacing w:before="60" w:after="60"/>
              <w:ind w:right="-29"/>
              <w:jc w:val="left"/>
              <w:rPr>
                <w:noProof/>
                <w:sz w:val="18"/>
                <w:szCs w:val="18"/>
                <w:lang w:eastAsia="ja-JP"/>
              </w:rPr>
            </w:pPr>
            <w:r w:rsidRPr="00DF5C23">
              <w:rPr>
                <w:noProof/>
                <w:sz w:val="18"/>
                <w:szCs w:val="18"/>
                <w:lang w:eastAsia="ja-JP"/>
              </w:rPr>
              <w:t>サプライチェーンにおける製品の環境サステナビリティとサステナビリティ情報へのアクセスを改善する。</w:t>
            </w:r>
          </w:p>
        </w:tc>
        <w:tc>
          <w:tcPr>
            <w:tcW w:w="338" w:type="dxa"/>
            <w:tcBorders>
              <w:top w:val="nil"/>
              <w:left w:val="nil"/>
              <w:bottom w:val="nil"/>
              <w:right w:val="nil"/>
            </w:tcBorders>
          </w:tcPr>
          <w:p w14:paraId="2C3A5DF0" w14:textId="77777777" w:rsidR="005C61BF" w:rsidRPr="00DF5C23" w:rsidRDefault="005C61BF" w:rsidP="002041D4">
            <w:pPr>
              <w:wordWrap w:val="0"/>
              <w:spacing w:before="60" w:after="60"/>
              <w:ind w:right="-29"/>
              <w:jc w:val="center"/>
              <w:rPr>
                <w:noProof/>
                <w:sz w:val="18"/>
                <w:szCs w:val="18"/>
                <w:lang w:eastAsia="ja-JP"/>
              </w:rPr>
            </w:pPr>
          </w:p>
        </w:tc>
        <w:tc>
          <w:tcPr>
            <w:tcW w:w="236" w:type="dxa"/>
            <w:tcBorders>
              <w:top w:val="nil"/>
              <w:left w:val="nil"/>
              <w:bottom w:val="nil"/>
              <w:right w:val="nil"/>
            </w:tcBorders>
          </w:tcPr>
          <w:p w14:paraId="2C3A5DF1" w14:textId="77777777" w:rsidR="005C61BF" w:rsidRPr="00DF5C23" w:rsidRDefault="005C61BF" w:rsidP="002041D4">
            <w:pPr>
              <w:wordWrap w:val="0"/>
              <w:spacing w:before="60" w:after="60"/>
              <w:ind w:right="-29"/>
              <w:jc w:val="center"/>
              <w:rPr>
                <w:noProof/>
                <w:sz w:val="18"/>
                <w:szCs w:val="18"/>
                <w:lang w:eastAsia="ja-JP"/>
              </w:rPr>
            </w:pPr>
          </w:p>
        </w:tc>
      </w:tr>
      <w:tr w:rsidR="005C61BF" w:rsidRPr="00DF5C23" w14:paraId="2C3A5E04" w14:textId="77777777" w:rsidTr="009C47CC">
        <w:trPr>
          <w:gridAfter w:val="2"/>
          <w:wAfter w:w="574" w:type="dxa"/>
          <w:trHeight w:val="369"/>
          <w:jc w:val="center"/>
        </w:trPr>
        <w:tc>
          <w:tcPr>
            <w:tcW w:w="1171" w:type="dxa"/>
          </w:tcPr>
          <w:p w14:paraId="4CAA63F3" w14:textId="77777777" w:rsidR="0038775E" w:rsidRDefault="00877B9C" w:rsidP="002041D4">
            <w:pPr>
              <w:wordWrap w:val="0"/>
              <w:ind w:right="-29"/>
              <w:jc w:val="center"/>
              <w:rPr>
                <w:noProof/>
                <w:sz w:val="18"/>
                <w:szCs w:val="18"/>
              </w:rPr>
            </w:pPr>
            <w:r w:rsidRPr="00DF5C23">
              <w:rPr>
                <w:noProof/>
                <w:sz w:val="18"/>
              </w:rPr>
              <w:t xml:space="preserve">- </w:t>
            </w:r>
            <w:r w:rsidRPr="00DF5C23">
              <w:rPr>
                <w:noProof/>
                <w:sz w:val="18"/>
              </w:rPr>
              <w:t>出力</w:t>
            </w:r>
          </w:p>
        </w:tc>
        <w:tc>
          <w:tcPr>
            <w:tcW w:w="969" w:type="dxa"/>
          </w:tcPr>
          <w:p w14:paraId="3FC9398B" w14:textId="77777777" w:rsidR="0038775E" w:rsidRDefault="00877B9C" w:rsidP="002041D4">
            <w:pPr>
              <w:wordWrap w:val="0"/>
              <w:ind w:right="-29"/>
              <w:jc w:val="center"/>
              <w:rPr>
                <w:noProof/>
                <w:sz w:val="18"/>
                <w:szCs w:val="18"/>
                <w:lang w:eastAsia="ja-JP"/>
              </w:rPr>
            </w:pPr>
            <w:r w:rsidRPr="00DF5C23">
              <w:rPr>
                <w:noProof/>
                <w:sz w:val="16"/>
                <w:szCs w:val="18"/>
                <w:lang w:eastAsia="ja-JP"/>
              </w:rPr>
              <w:t>委任された行為（レビュー）</w:t>
            </w:r>
          </w:p>
        </w:tc>
        <w:tc>
          <w:tcPr>
            <w:tcW w:w="700" w:type="dxa"/>
          </w:tcPr>
          <w:p w14:paraId="25B1624A" w14:textId="77777777" w:rsidR="0038775E" w:rsidRDefault="00877B9C" w:rsidP="002041D4">
            <w:pPr>
              <w:wordWrap w:val="0"/>
              <w:ind w:right="-29"/>
              <w:jc w:val="center"/>
              <w:rPr>
                <w:noProof/>
                <w:sz w:val="18"/>
                <w:szCs w:val="18"/>
              </w:rPr>
            </w:pPr>
            <w:r w:rsidRPr="00DF5C23">
              <w:rPr>
                <w:noProof/>
                <w:sz w:val="18"/>
                <w:szCs w:val="18"/>
              </w:rPr>
              <w:t>0,300</w:t>
            </w:r>
          </w:p>
        </w:tc>
        <w:tc>
          <w:tcPr>
            <w:tcW w:w="503" w:type="dxa"/>
            <w:tcBorders>
              <w:right w:val="dashSmallGap" w:sz="4" w:space="0" w:color="auto"/>
            </w:tcBorders>
          </w:tcPr>
          <w:p w14:paraId="21146DBA" w14:textId="77777777" w:rsidR="0038775E" w:rsidRDefault="00877B9C" w:rsidP="002041D4">
            <w:pPr>
              <w:wordWrap w:val="0"/>
              <w:ind w:right="-29"/>
              <w:jc w:val="center"/>
              <w:rPr>
                <w:noProof/>
                <w:sz w:val="18"/>
                <w:szCs w:val="18"/>
              </w:rPr>
            </w:pPr>
            <w:r w:rsidRPr="00DF5C23">
              <w:rPr>
                <w:noProof/>
                <w:sz w:val="18"/>
                <w:szCs w:val="18"/>
              </w:rPr>
              <w:t>-</w:t>
            </w:r>
          </w:p>
        </w:tc>
        <w:tc>
          <w:tcPr>
            <w:tcW w:w="720" w:type="dxa"/>
            <w:tcBorders>
              <w:left w:val="dashSmallGap" w:sz="4" w:space="0" w:color="auto"/>
            </w:tcBorders>
          </w:tcPr>
          <w:p w14:paraId="2C3A5DF7" w14:textId="77777777" w:rsidR="005C61BF" w:rsidRPr="00DF5C23" w:rsidRDefault="005C61BF" w:rsidP="002041D4">
            <w:pPr>
              <w:wordWrap w:val="0"/>
              <w:ind w:right="-29"/>
              <w:jc w:val="center"/>
              <w:rPr>
                <w:noProof/>
                <w:sz w:val="18"/>
                <w:szCs w:val="18"/>
              </w:rPr>
            </w:pPr>
          </w:p>
        </w:tc>
        <w:tc>
          <w:tcPr>
            <w:tcW w:w="540" w:type="dxa"/>
            <w:tcBorders>
              <w:right w:val="dashSmallGap" w:sz="4" w:space="0" w:color="auto"/>
            </w:tcBorders>
          </w:tcPr>
          <w:p w14:paraId="27C23EEE" w14:textId="77777777" w:rsidR="0038775E" w:rsidRDefault="00877B9C" w:rsidP="002041D4">
            <w:pPr>
              <w:wordWrap w:val="0"/>
              <w:ind w:right="-29"/>
              <w:jc w:val="center"/>
              <w:rPr>
                <w:noProof/>
                <w:sz w:val="18"/>
                <w:szCs w:val="18"/>
              </w:rPr>
            </w:pPr>
            <w:r w:rsidRPr="00DF5C23">
              <w:rPr>
                <w:noProof/>
                <w:sz w:val="18"/>
                <w:szCs w:val="18"/>
              </w:rPr>
              <w:t>-</w:t>
            </w:r>
          </w:p>
        </w:tc>
        <w:tc>
          <w:tcPr>
            <w:tcW w:w="720" w:type="dxa"/>
            <w:tcBorders>
              <w:left w:val="dashSmallGap" w:sz="4" w:space="0" w:color="auto"/>
            </w:tcBorders>
          </w:tcPr>
          <w:p w14:paraId="2C3A5DF9" w14:textId="77777777" w:rsidR="005C61BF" w:rsidRPr="00DF5C23" w:rsidRDefault="005C61BF" w:rsidP="002041D4">
            <w:pPr>
              <w:wordWrap w:val="0"/>
              <w:ind w:right="-29"/>
              <w:jc w:val="center"/>
              <w:rPr>
                <w:noProof/>
                <w:sz w:val="18"/>
                <w:szCs w:val="18"/>
              </w:rPr>
            </w:pPr>
          </w:p>
        </w:tc>
        <w:tc>
          <w:tcPr>
            <w:tcW w:w="720" w:type="dxa"/>
            <w:tcBorders>
              <w:right w:val="dashSmallGap" w:sz="4" w:space="0" w:color="auto"/>
            </w:tcBorders>
          </w:tcPr>
          <w:p w14:paraId="61F4F970" w14:textId="77777777" w:rsidR="0038775E" w:rsidRDefault="00877B9C" w:rsidP="002041D4">
            <w:pPr>
              <w:wordWrap w:val="0"/>
              <w:ind w:right="-29"/>
              <w:jc w:val="center"/>
              <w:rPr>
                <w:noProof/>
                <w:sz w:val="18"/>
                <w:szCs w:val="18"/>
              </w:rPr>
            </w:pPr>
            <w:r w:rsidRPr="00DF5C23">
              <w:rPr>
                <w:noProof/>
                <w:sz w:val="18"/>
                <w:szCs w:val="18"/>
              </w:rPr>
              <w:t>7</w:t>
            </w:r>
          </w:p>
        </w:tc>
        <w:tc>
          <w:tcPr>
            <w:tcW w:w="720" w:type="dxa"/>
            <w:tcBorders>
              <w:left w:val="dashSmallGap" w:sz="4" w:space="0" w:color="auto"/>
            </w:tcBorders>
          </w:tcPr>
          <w:p w14:paraId="0E123ABF" w14:textId="77777777" w:rsidR="0038775E" w:rsidRDefault="00877B9C" w:rsidP="002041D4">
            <w:pPr>
              <w:wordWrap w:val="0"/>
              <w:ind w:right="-29"/>
              <w:jc w:val="center"/>
              <w:rPr>
                <w:noProof/>
                <w:sz w:val="18"/>
                <w:szCs w:val="18"/>
              </w:rPr>
            </w:pPr>
            <w:r w:rsidRPr="00DF5C23">
              <w:rPr>
                <w:noProof/>
                <w:sz w:val="18"/>
                <w:szCs w:val="18"/>
              </w:rPr>
              <w:t>2,100</w:t>
            </w:r>
          </w:p>
        </w:tc>
        <w:tc>
          <w:tcPr>
            <w:tcW w:w="900" w:type="dxa"/>
            <w:tcBorders>
              <w:right w:val="dashSmallGap" w:sz="4" w:space="0" w:color="auto"/>
            </w:tcBorders>
          </w:tcPr>
          <w:p w14:paraId="6C646AEE" w14:textId="77777777" w:rsidR="0038775E" w:rsidRDefault="00877B9C" w:rsidP="002041D4">
            <w:pPr>
              <w:wordWrap w:val="0"/>
              <w:ind w:right="-29"/>
              <w:jc w:val="center"/>
              <w:rPr>
                <w:noProof/>
                <w:sz w:val="18"/>
                <w:szCs w:val="18"/>
              </w:rPr>
            </w:pPr>
            <w:r w:rsidRPr="00DF5C23">
              <w:rPr>
                <w:noProof/>
                <w:sz w:val="18"/>
                <w:szCs w:val="18"/>
              </w:rPr>
              <w:t>6</w:t>
            </w:r>
          </w:p>
        </w:tc>
        <w:tc>
          <w:tcPr>
            <w:tcW w:w="720" w:type="dxa"/>
            <w:gridSpan w:val="2"/>
            <w:tcBorders>
              <w:left w:val="dashSmallGap" w:sz="4" w:space="0" w:color="auto"/>
            </w:tcBorders>
          </w:tcPr>
          <w:p w14:paraId="6367197B" w14:textId="77777777" w:rsidR="0038775E" w:rsidRDefault="00877B9C" w:rsidP="002041D4">
            <w:pPr>
              <w:wordWrap w:val="0"/>
              <w:ind w:right="-29"/>
              <w:jc w:val="center"/>
              <w:rPr>
                <w:noProof/>
                <w:sz w:val="18"/>
                <w:szCs w:val="18"/>
              </w:rPr>
            </w:pPr>
            <w:r w:rsidRPr="00DF5C23">
              <w:rPr>
                <w:noProof/>
                <w:sz w:val="18"/>
                <w:szCs w:val="18"/>
              </w:rPr>
              <w:t>1,800</w:t>
            </w:r>
          </w:p>
        </w:tc>
        <w:tc>
          <w:tcPr>
            <w:tcW w:w="540" w:type="dxa"/>
            <w:tcBorders>
              <w:right w:val="dashSmallGap" w:sz="4" w:space="0" w:color="auto"/>
            </w:tcBorders>
          </w:tcPr>
          <w:p w14:paraId="0549689E" w14:textId="77777777" w:rsidR="0038775E" w:rsidRDefault="00877B9C" w:rsidP="002041D4">
            <w:pPr>
              <w:wordWrap w:val="0"/>
              <w:ind w:right="-29"/>
              <w:jc w:val="center"/>
              <w:rPr>
                <w:noProof/>
                <w:sz w:val="18"/>
                <w:szCs w:val="18"/>
              </w:rPr>
            </w:pPr>
            <w:r w:rsidRPr="00DF5C23">
              <w:rPr>
                <w:noProof/>
                <w:sz w:val="18"/>
                <w:szCs w:val="18"/>
              </w:rPr>
              <w:t>5</w:t>
            </w:r>
          </w:p>
        </w:tc>
        <w:tc>
          <w:tcPr>
            <w:tcW w:w="753" w:type="dxa"/>
            <w:tcBorders>
              <w:left w:val="dashSmallGap" w:sz="4" w:space="0" w:color="auto"/>
            </w:tcBorders>
          </w:tcPr>
          <w:p w14:paraId="6C3F1C35" w14:textId="77777777" w:rsidR="0038775E" w:rsidRDefault="00877B9C" w:rsidP="002041D4">
            <w:pPr>
              <w:wordWrap w:val="0"/>
              <w:ind w:right="-29"/>
              <w:jc w:val="center"/>
              <w:rPr>
                <w:noProof/>
                <w:sz w:val="18"/>
                <w:szCs w:val="18"/>
              </w:rPr>
            </w:pPr>
            <w:r w:rsidRPr="00DF5C23">
              <w:rPr>
                <w:noProof/>
                <w:sz w:val="18"/>
                <w:szCs w:val="18"/>
              </w:rPr>
              <w:t>1,500</w:t>
            </w:r>
          </w:p>
        </w:tc>
        <w:tc>
          <w:tcPr>
            <w:tcW w:w="426" w:type="dxa"/>
            <w:tcBorders>
              <w:right w:val="dashSmallGap" w:sz="4" w:space="0" w:color="auto"/>
            </w:tcBorders>
          </w:tcPr>
          <w:p w14:paraId="4C2A20E7" w14:textId="77777777" w:rsidR="0038775E" w:rsidRDefault="00877B9C" w:rsidP="002041D4">
            <w:pPr>
              <w:wordWrap w:val="0"/>
              <w:ind w:right="-29"/>
              <w:jc w:val="center"/>
              <w:rPr>
                <w:noProof/>
                <w:sz w:val="18"/>
                <w:szCs w:val="18"/>
              </w:rPr>
            </w:pPr>
            <w:r w:rsidRPr="00DF5C23">
              <w:rPr>
                <w:noProof/>
                <w:sz w:val="18"/>
                <w:szCs w:val="18"/>
              </w:rPr>
              <w:t>5</w:t>
            </w:r>
          </w:p>
        </w:tc>
        <w:tc>
          <w:tcPr>
            <w:tcW w:w="850" w:type="dxa"/>
            <w:tcBorders>
              <w:left w:val="dashSmallGap" w:sz="4" w:space="0" w:color="auto"/>
            </w:tcBorders>
          </w:tcPr>
          <w:p w14:paraId="073D1D4E" w14:textId="77777777" w:rsidR="0038775E" w:rsidRDefault="00877B9C" w:rsidP="002041D4">
            <w:pPr>
              <w:wordWrap w:val="0"/>
              <w:ind w:right="-29"/>
              <w:jc w:val="center"/>
              <w:rPr>
                <w:noProof/>
                <w:sz w:val="18"/>
                <w:szCs w:val="18"/>
              </w:rPr>
            </w:pPr>
            <w:r w:rsidRPr="00DF5C23">
              <w:rPr>
                <w:noProof/>
                <w:sz w:val="18"/>
                <w:szCs w:val="18"/>
              </w:rPr>
              <w:t>1,500</w:t>
            </w:r>
          </w:p>
        </w:tc>
        <w:tc>
          <w:tcPr>
            <w:tcW w:w="567" w:type="dxa"/>
            <w:tcBorders>
              <w:right w:val="dashSmallGap" w:sz="4" w:space="0" w:color="auto"/>
            </w:tcBorders>
          </w:tcPr>
          <w:p w14:paraId="4E99F594" w14:textId="77777777" w:rsidR="0038775E" w:rsidRDefault="00877B9C" w:rsidP="002041D4">
            <w:pPr>
              <w:wordWrap w:val="0"/>
              <w:ind w:right="-29"/>
              <w:jc w:val="center"/>
              <w:rPr>
                <w:noProof/>
                <w:sz w:val="18"/>
                <w:szCs w:val="18"/>
              </w:rPr>
            </w:pPr>
            <w:r w:rsidRPr="00DF5C23">
              <w:rPr>
                <w:noProof/>
                <w:sz w:val="18"/>
                <w:szCs w:val="18"/>
              </w:rPr>
              <w:t>23</w:t>
            </w:r>
          </w:p>
        </w:tc>
        <w:tc>
          <w:tcPr>
            <w:tcW w:w="851" w:type="dxa"/>
            <w:tcBorders>
              <w:left w:val="dashSmallGap" w:sz="4" w:space="0" w:color="auto"/>
            </w:tcBorders>
          </w:tcPr>
          <w:p w14:paraId="036F0A1B" w14:textId="77777777" w:rsidR="0038775E" w:rsidRDefault="00877B9C" w:rsidP="002041D4">
            <w:pPr>
              <w:wordWrap w:val="0"/>
              <w:ind w:right="-29"/>
              <w:jc w:val="center"/>
              <w:rPr>
                <w:noProof/>
                <w:sz w:val="18"/>
                <w:szCs w:val="18"/>
              </w:rPr>
            </w:pPr>
            <w:r w:rsidRPr="00DF5C23">
              <w:rPr>
                <w:noProof/>
                <w:sz w:val="18"/>
                <w:szCs w:val="18"/>
              </w:rPr>
              <w:t>6,900</w:t>
            </w:r>
          </w:p>
        </w:tc>
      </w:tr>
      <w:tr w:rsidR="005C61BF" w:rsidRPr="00DF5C23" w14:paraId="2C3A5E16" w14:textId="77777777" w:rsidTr="009C47CC">
        <w:trPr>
          <w:gridAfter w:val="2"/>
          <w:wAfter w:w="574" w:type="dxa"/>
          <w:trHeight w:hRule="exact" w:val="847"/>
          <w:jc w:val="center"/>
        </w:trPr>
        <w:tc>
          <w:tcPr>
            <w:tcW w:w="1171" w:type="dxa"/>
          </w:tcPr>
          <w:p w14:paraId="55E37165" w14:textId="77777777" w:rsidR="0038775E" w:rsidRDefault="00877B9C" w:rsidP="002041D4">
            <w:pPr>
              <w:wordWrap w:val="0"/>
              <w:ind w:right="-29"/>
              <w:jc w:val="center"/>
              <w:rPr>
                <w:noProof/>
                <w:sz w:val="18"/>
                <w:szCs w:val="18"/>
              </w:rPr>
            </w:pPr>
            <w:r w:rsidRPr="00DF5C23">
              <w:rPr>
                <w:noProof/>
                <w:sz w:val="18"/>
              </w:rPr>
              <w:t xml:space="preserve">- </w:t>
            </w:r>
            <w:r w:rsidRPr="00DF5C23">
              <w:rPr>
                <w:noProof/>
                <w:sz w:val="18"/>
              </w:rPr>
              <w:t>出力</w:t>
            </w:r>
          </w:p>
        </w:tc>
        <w:tc>
          <w:tcPr>
            <w:tcW w:w="969" w:type="dxa"/>
          </w:tcPr>
          <w:p w14:paraId="11820364" w14:textId="77777777" w:rsidR="0038775E" w:rsidRDefault="00877B9C" w:rsidP="002041D4">
            <w:pPr>
              <w:wordWrap w:val="0"/>
              <w:ind w:right="-29"/>
              <w:jc w:val="center"/>
              <w:rPr>
                <w:noProof/>
                <w:sz w:val="18"/>
                <w:szCs w:val="18"/>
              </w:rPr>
            </w:pPr>
            <w:r w:rsidRPr="00DF5C23">
              <w:rPr>
                <w:noProof/>
                <w:sz w:val="16"/>
                <w:szCs w:val="18"/>
              </w:rPr>
              <w:t>委任</w:t>
            </w:r>
            <w:r w:rsidRPr="00DF5C23">
              <w:rPr>
                <w:noProof/>
                <w:sz w:val="18"/>
                <w:szCs w:val="18"/>
              </w:rPr>
              <w:t>行為（新製品）</w:t>
            </w:r>
          </w:p>
        </w:tc>
        <w:tc>
          <w:tcPr>
            <w:tcW w:w="700" w:type="dxa"/>
          </w:tcPr>
          <w:p w14:paraId="43C8C2AF" w14:textId="77777777" w:rsidR="0038775E" w:rsidRDefault="00877B9C" w:rsidP="002041D4">
            <w:pPr>
              <w:wordWrap w:val="0"/>
              <w:ind w:right="-29"/>
              <w:jc w:val="center"/>
              <w:rPr>
                <w:noProof/>
                <w:sz w:val="18"/>
                <w:szCs w:val="18"/>
              </w:rPr>
            </w:pPr>
            <w:r w:rsidRPr="00DF5C23">
              <w:rPr>
                <w:noProof/>
                <w:sz w:val="18"/>
                <w:szCs w:val="18"/>
              </w:rPr>
              <w:t>0,800</w:t>
            </w:r>
          </w:p>
        </w:tc>
        <w:tc>
          <w:tcPr>
            <w:tcW w:w="503" w:type="dxa"/>
            <w:tcBorders>
              <w:right w:val="dashSmallGap" w:sz="4" w:space="0" w:color="auto"/>
            </w:tcBorders>
          </w:tcPr>
          <w:p w14:paraId="07E185A0" w14:textId="77777777" w:rsidR="0038775E" w:rsidRDefault="00877B9C" w:rsidP="002041D4">
            <w:pPr>
              <w:wordWrap w:val="0"/>
              <w:ind w:right="-29"/>
              <w:jc w:val="center"/>
              <w:rPr>
                <w:noProof/>
                <w:sz w:val="18"/>
                <w:szCs w:val="18"/>
              </w:rPr>
            </w:pPr>
            <w:r w:rsidRPr="00DF5C23">
              <w:rPr>
                <w:noProof/>
                <w:sz w:val="18"/>
                <w:szCs w:val="18"/>
              </w:rPr>
              <w:t>-</w:t>
            </w:r>
          </w:p>
        </w:tc>
        <w:tc>
          <w:tcPr>
            <w:tcW w:w="720" w:type="dxa"/>
            <w:tcBorders>
              <w:left w:val="dashSmallGap" w:sz="4" w:space="0" w:color="auto"/>
            </w:tcBorders>
          </w:tcPr>
          <w:p w14:paraId="2C3A5E09" w14:textId="77777777" w:rsidR="005C61BF" w:rsidRPr="00DF5C23" w:rsidRDefault="005C61BF" w:rsidP="002041D4">
            <w:pPr>
              <w:wordWrap w:val="0"/>
              <w:ind w:right="-29"/>
              <w:jc w:val="center"/>
              <w:rPr>
                <w:noProof/>
                <w:sz w:val="18"/>
                <w:szCs w:val="18"/>
              </w:rPr>
            </w:pPr>
          </w:p>
        </w:tc>
        <w:tc>
          <w:tcPr>
            <w:tcW w:w="540" w:type="dxa"/>
            <w:tcBorders>
              <w:right w:val="dashSmallGap" w:sz="4" w:space="0" w:color="auto"/>
            </w:tcBorders>
          </w:tcPr>
          <w:p w14:paraId="71CFFAA0" w14:textId="77777777" w:rsidR="0038775E" w:rsidRDefault="00877B9C" w:rsidP="002041D4">
            <w:pPr>
              <w:wordWrap w:val="0"/>
              <w:ind w:right="-29"/>
              <w:jc w:val="center"/>
              <w:rPr>
                <w:noProof/>
                <w:sz w:val="18"/>
                <w:szCs w:val="18"/>
              </w:rPr>
            </w:pPr>
            <w:r w:rsidRPr="00DF5C23">
              <w:rPr>
                <w:noProof/>
                <w:sz w:val="18"/>
                <w:szCs w:val="18"/>
              </w:rPr>
              <w:t>-</w:t>
            </w:r>
          </w:p>
        </w:tc>
        <w:tc>
          <w:tcPr>
            <w:tcW w:w="720" w:type="dxa"/>
            <w:tcBorders>
              <w:left w:val="dashSmallGap" w:sz="4" w:space="0" w:color="auto"/>
            </w:tcBorders>
          </w:tcPr>
          <w:p w14:paraId="2C3A5E0B" w14:textId="77777777" w:rsidR="005C61BF" w:rsidRPr="00DF5C23" w:rsidRDefault="005C61BF" w:rsidP="002041D4">
            <w:pPr>
              <w:wordWrap w:val="0"/>
              <w:ind w:right="-29"/>
              <w:jc w:val="center"/>
              <w:rPr>
                <w:noProof/>
                <w:sz w:val="18"/>
                <w:szCs w:val="18"/>
              </w:rPr>
            </w:pPr>
          </w:p>
        </w:tc>
        <w:tc>
          <w:tcPr>
            <w:tcW w:w="720" w:type="dxa"/>
            <w:tcBorders>
              <w:right w:val="dashSmallGap" w:sz="4" w:space="0" w:color="auto"/>
            </w:tcBorders>
          </w:tcPr>
          <w:p w14:paraId="52CED278" w14:textId="77777777" w:rsidR="0038775E" w:rsidRDefault="00877B9C" w:rsidP="002041D4">
            <w:pPr>
              <w:wordWrap w:val="0"/>
              <w:ind w:right="-29"/>
              <w:jc w:val="center"/>
              <w:rPr>
                <w:noProof/>
                <w:sz w:val="18"/>
                <w:szCs w:val="18"/>
              </w:rPr>
            </w:pPr>
            <w:r w:rsidRPr="00DF5C23">
              <w:rPr>
                <w:noProof/>
                <w:sz w:val="18"/>
                <w:szCs w:val="18"/>
              </w:rPr>
              <w:t>4</w:t>
            </w:r>
          </w:p>
        </w:tc>
        <w:tc>
          <w:tcPr>
            <w:tcW w:w="720" w:type="dxa"/>
            <w:tcBorders>
              <w:left w:val="dashSmallGap" w:sz="4" w:space="0" w:color="auto"/>
            </w:tcBorders>
          </w:tcPr>
          <w:p w14:paraId="636D39A8" w14:textId="77777777" w:rsidR="0038775E" w:rsidRDefault="00877B9C" w:rsidP="002041D4">
            <w:pPr>
              <w:wordWrap w:val="0"/>
              <w:ind w:right="-29"/>
              <w:jc w:val="center"/>
              <w:rPr>
                <w:noProof/>
                <w:sz w:val="18"/>
                <w:szCs w:val="18"/>
              </w:rPr>
            </w:pPr>
            <w:r w:rsidRPr="00DF5C23">
              <w:rPr>
                <w:noProof/>
                <w:sz w:val="18"/>
                <w:szCs w:val="18"/>
              </w:rPr>
              <w:t>3,200</w:t>
            </w:r>
          </w:p>
        </w:tc>
        <w:tc>
          <w:tcPr>
            <w:tcW w:w="900" w:type="dxa"/>
            <w:tcBorders>
              <w:right w:val="dashSmallGap" w:sz="4" w:space="0" w:color="auto"/>
            </w:tcBorders>
          </w:tcPr>
          <w:p w14:paraId="7049C9BB" w14:textId="77777777" w:rsidR="0038775E" w:rsidRDefault="00877B9C" w:rsidP="002041D4">
            <w:pPr>
              <w:wordWrap w:val="0"/>
              <w:ind w:right="-29"/>
              <w:jc w:val="center"/>
              <w:rPr>
                <w:noProof/>
                <w:sz w:val="18"/>
                <w:szCs w:val="18"/>
              </w:rPr>
            </w:pPr>
            <w:r w:rsidRPr="00DF5C23">
              <w:rPr>
                <w:noProof/>
                <w:sz w:val="18"/>
                <w:szCs w:val="18"/>
              </w:rPr>
              <w:t>6</w:t>
            </w:r>
          </w:p>
        </w:tc>
        <w:tc>
          <w:tcPr>
            <w:tcW w:w="720" w:type="dxa"/>
            <w:gridSpan w:val="2"/>
            <w:tcBorders>
              <w:left w:val="dashSmallGap" w:sz="4" w:space="0" w:color="auto"/>
            </w:tcBorders>
          </w:tcPr>
          <w:p w14:paraId="59CCF3C2" w14:textId="77777777" w:rsidR="0038775E" w:rsidRDefault="00877B9C" w:rsidP="002041D4">
            <w:pPr>
              <w:wordWrap w:val="0"/>
              <w:ind w:right="-29"/>
              <w:jc w:val="center"/>
              <w:rPr>
                <w:noProof/>
                <w:sz w:val="18"/>
                <w:szCs w:val="18"/>
              </w:rPr>
            </w:pPr>
            <w:r w:rsidRPr="00DF5C23">
              <w:rPr>
                <w:noProof/>
                <w:sz w:val="18"/>
                <w:szCs w:val="18"/>
              </w:rPr>
              <w:t>4,800</w:t>
            </w:r>
          </w:p>
        </w:tc>
        <w:tc>
          <w:tcPr>
            <w:tcW w:w="540" w:type="dxa"/>
            <w:tcBorders>
              <w:right w:val="dashSmallGap" w:sz="4" w:space="0" w:color="auto"/>
            </w:tcBorders>
          </w:tcPr>
          <w:p w14:paraId="26B037D0" w14:textId="77777777" w:rsidR="0038775E" w:rsidRDefault="00877B9C" w:rsidP="002041D4">
            <w:pPr>
              <w:wordWrap w:val="0"/>
              <w:ind w:right="-29"/>
              <w:jc w:val="center"/>
              <w:rPr>
                <w:noProof/>
                <w:sz w:val="18"/>
                <w:szCs w:val="18"/>
              </w:rPr>
            </w:pPr>
            <w:r w:rsidRPr="00DF5C23">
              <w:rPr>
                <w:noProof/>
                <w:sz w:val="18"/>
                <w:szCs w:val="18"/>
              </w:rPr>
              <w:t>4</w:t>
            </w:r>
          </w:p>
        </w:tc>
        <w:tc>
          <w:tcPr>
            <w:tcW w:w="753" w:type="dxa"/>
            <w:tcBorders>
              <w:left w:val="dashSmallGap" w:sz="4" w:space="0" w:color="auto"/>
            </w:tcBorders>
          </w:tcPr>
          <w:p w14:paraId="5159F456" w14:textId="77777777" w:rsidR="0038775E" w:rsidRDefault="00877B9C" w:rsidP="002041D4">
            <w:pPr>
              <w:wordWrap w:val="0"/>
              <w:ind w:right="-29"/>
              <w:jc w:val="center"/>
              <w:rPr>
                <w:noProof/>
                <w:sz w:val="18"/>
                <w:szCs w:val="18"/>
              </w:rPr>
            </w:pPr>
            <w:r w:rsidRPr="00DF5C23">
              <w:rPr>
                <w:noProof/>
                <w:sz w:val="18"/>
                <w:szCs w:val="18"/>
              </w:rPr>
              <w:t>3,200</w:t>
            </w:r>
          </w:p>
        </w:tc>
        <w:tc>
          <w:tcPr>
            <w:tcW w:w="426" w:type="dxa"/>
            <w:tcBorders>
              <w:right w:val="dashSmallGap" w:sz="4" w:space="0" w:color="auto"/>
            </w:tcBorders>
          </w:tcPr>
          <w:p w14:paraId="02FF75EA" w14:textId="77777777" w:rsidR="0038775E" w:rsidRDefault="00877B9C" w:rsidP="002041D4">
            <w:pPr>
              <w:wordWrap w:val="0"/>
              <w:ind w:right="-29"/>
              <w:jc w:val="center"/>
              <w:rPr>
                <w:noProof/>
                <w:sz w:val="18"/>
                <w:szCs w:val="18"/>
              </w:rPr>
            </w:pPr>
            <w:r w:rsidRPr="00DF5C23">
              <w:rPr>
                <w:noProof/>
                <w:sz w:val="18"/>
                <w:szCs w:val="18"/>
              </w:rPr>
              <w:t>12</w:t>
            </w:r>
          </w:p>
        </w:tc>
        <w:tc>
          <w:tcPr>
            <w:tcW w:w="850" w:type="dxa"/>
            <w:tcBorders>
              <w:left w:val="dashSmallGap" w:sz="4" w:space="0" w:color="auto"/>
            </w:tcBorders>
          </w:tcPr>
          <w:p w14:paraId="1D5B505A" w14:textId="77777777" w:rsidR="0038775E" w:rsidRDefault="00877B9C" w:rsidP="002041D4">
            <w:pPr>
              <w:wordWrap w:val="0"/>
              <w:ind w:right="-29"/>
              <w:jc w:val="center"/>
              <w:rPr>
                <w:noProof/>
                <w:sz w:val="18"/>
                <w:szCs w:val="18"/>
              </w:rPr>
            </w:pPr>
            <w:r w:rsidRPr="00DF5C23">
              <w:rPr>
                <w:noProof/>
                <w:sz w:val="18"/>
                <w:szCs w:val="18"/>
              </w:rPr>
              <w:t>9,600</w:t>
            </w:r>
          </w:p>
        </w:tc>
        <w:tc>
          <w:tcPr>
            <w:tcW w:w="567" w:type="dxa"/>
            <w:tcBorders>
              <w:right w:val="dashSmallGap" w:sz="4" w:space="0" w:color="auto"/>
            </w:tcBorders>
          </w:tcPr>
          <w:p w14:paraId="532644F8" w14:textId="77777777" w:rsidR="0038775E" w:rsidRDefault="00877B9C" w:rsidP="002041D4">
            <w:pPr>
              <w:wordWrap w:val="0"/>
              <w:ind w:right="-29"/>
              <w:jc w:val="center"/>
              <w:rPr>
                <w:noProof/>
                <w:sz w:val="18"/>
                <w:szCs w:val="18"/>
              </w:rPr>
            </w:pPr>
            <w:r w:rsidRPr="00DF5C23">
              <w:rPr>
                <w:noProof/>
                <w:sz w:val="18"/>
                <w:szCs w:val="18"/>
              </w:rPr>
              <w:t>26</w:t>
            </w:r>
          </w:p>
        </w:tc>
        <w:tc>
          <w:tcPr>
            <w:tcW w:w="851" w:type="dxa"/>
            <w:tcBorders>
              <w:left w:val="dashSmallGap" w:sz="4" w:space="0" w:color="auto"/>
            </w:tcBorders>
          </w:tcPr>
          <w:p w14:paraId="7E30B861" w14:textId="77777777" w:rsidR="0038775E" w:rsidRDefault="00877B9C" w:rsidP="002041D4">
            <w:pPr>
              <w:wordWrap w:val="0"/>
              <w:ind w:right="-29"/>
              <w:jc w:val="center"/>
              <w:rPr>
                <w:noProof/>
                <w:sz w:val="18"/>
                <w:szCs w:val="18"/>
              </w:rPr>
            </w:pPr>
            <w:r w:rsidRPr="00DF5C23">
              <w:rPr>
                <w:noProof/>
                <w:sz w:val="18"/>
                <w:szCs w:val="18"/>
              </w:rPr>
              <w:t>20,800</w:t>
            </w:r>
          </w:p>
        </w:tc>
      </w:tr>
      <w:tr w:rsidR="005C61BF" w:rsidRPr="00DF5C23" w14:paraId="2C3A5E28" w14:textId="77777777" w:rsidTr="009C47CC">
        <w:trPr>
          <w:gridAfter w:val="2"/>
          <w:wAfter w:w="574" w:type="dxa"/>
          <w:trHeight w:hRule="exact" w:val="1270"/>
          <w:jc w:val="center"/>
        </w:trPr>
        <w:tc>
          <w:tcPr>
            <w:tcW w:w="1171" w:type="dxa"/>
          </w:tcPr>
          <w:p w14:paraId="2E1E5CB9" w14:textId="77777777" w:rsidR="0038775E" w:rsidRDefault="00877B9C" w:rsidP="002041D4">
            <w:pPr>
              <w:wordWrap w:val="0"/>
              <w:ind w:right="-29"/>
              <w:jc w:val="center"/>
              <w:rPr>
                <w:noProof/>
                <w:sz w:val="18"/>
                <w:szCs w:val="18"/>
              </w:rPr>
            </w:pPr>
            <w:r w:rsidRPr="00DF5C23">
              <w:rPr>
                <w:noProof/>
                <w:sz w:val="18"/>
              </w:rPr>
              <w:lastRenderedPageBreak/>
              <w:t xml:space="preserve">- </w:t>
            </w:r>
            <w:r w:rsidRPr="00DF5C23">
              <w:rPr>
                <w:noProof/>
                <w:sz w:val="18"/>
              </w:rPr>
              <w:t>出力</w:t>
            </w:r>
          </w:p>
        </w:tc>
        <w:tc>
          <w:tcPr>
            <w:tcW w:w="969" w:type="dxa"/>
          </w:tcPr>
          <w:p w14:paraId="5DD7E5DE" w14:textId="77777777" w:rsidR="0038775E" w:rsidRDefault="00877B9C" w:rsidP="002041D4">
            <w:pPr>
              <w:wordWrap w:val="0"/>
              <w:spacing w:before="0" w:after="0"/>
              <w:ind w:right="-28"/>
              <w:jc w:val="center"/>
              <w:rPr>
                <w:noProof/>
                <w:sz w:val="18"/>
                <w:szCs w:val="18"/>
                <w:lang w:eastAsia="ja-JP"/>
              </w:rPr>
            </w:pPr>
            <w:r w:rsidRPr="00DF5C23">
              <w:rPr>
                <w:noProof/>
                <w:sz w:val="18"/>
                <w:szCs w:val="18"/>
                <w:lang w:eastAsia="ja-JP"/>
              </w:rPr>
              <w:t>実施行為（市場監視、売れ残り商品）。</w:t>
            </w:r>
          </w:p>
        </w:tc>
        <w:tc>
          <w:tcPr>
            <w:tcW w:w="700" w:type="dxa"/>
          </w:tcPr>
          <w:p w14:paraId="3E9A6C7C" w14:textId="77777777" w:rsidR="0038775E" w:rsidRDefault="00877B9C" w:rsidP="002041D4">
            <w:pPr>
              <w:wordWrap w:val="0"/>
              <w:ind w:right="-29"/>
              <w:jc w:val="center"/>
              <w:rPr>
                <w:noProof/>
                <w:sz w:val="18"/>
                <w:szCs w:val="18"/>
              </w:rPr>
            </w:pPr>
            <w:r w:rsidRPr="00DF5C23">
              <w:rPr>
                <w:noProof/>
                <w:sz w:val="18"/>
                <w:szCs w:val="18"/>
              </w:rPr>
              <w:t>1,000</w:t>
            </w:r>
          </w:p>
        </w:tc>
        <w:tc>
          <w:tcPr>
            <w:tcW w:w="503" w:type="dxa"/>
          </w:tcPr>
          <w:p w14:paraId="4540AE08" w14:textId="77777777" w:rsidR="0038775E" w:rsidRDefault="00877B9C" w:rsidP="002041D4">
            <w:pPr>
              <w:wordWrap w:val="0"/>
              <w:ind w:right="-29"/>
              <w:jc w:val="center"/>
              <w:rPr>
                <w:noProof/>
                <w:sz w:val="18"/>
                <w:szCs w:val="18"/>
              </w:rPr>
            </w:pPr>
            <w:r w:rsidRPr="00DF5C23">
              <w:rPr>
                <w:noProof/>
                <w:sz w:val="18"/>
                <w:szCs w:val="18"/>
              </w:rPr>
              <w:t>-</w:t>
            </w:r>
          </w:p>
        </w:tc>
        <w:tc>
          <w:tcPr>
            <w:tcW w:w="720" w:type="dxa"/>
          </w:tcPr>
          <w:p w14:paraId="2C3A5E1B" w14:textId="77777777" w:rsidR="005C61BF" w:rsidRPr="00DF5C23" w:rsidRDefault="005C61BF" w:rsidP="002041D4">
            <w:pPr>
              <w:wordWrap w:val="0"/>
              <w:ind w:right="-29"/>
              <w:jc w:val="center"/>
              <w:rPr>
                <w:noProof/>
                <w:sz w:val="18"/>
                <w:szCs w:val="18"/>
              </w:rPr>
            </w:pPr>
          </w:p>
        </w:tc>
        <w:tc>
          <w:tcPr>
            <w:tcW w:w="540" w:type="dxa"/>
          </w:tcPr>
          <w:p w14:paraId="5D6152B4" w14:textId="77777777" w:rsidR="0038775E" w:rsidRDefault="00877B9C" w:rsidP="002041D4">
            <w:pPr>
              <w:wordWrap w:val="0"/>
              <w:ind w:right="-29"/>
              <w:jc w:val="center"/>
              <w:rPr>
                <w:noProof/>
                <w:sz w:val="18"/>
                <w:szCs w:val="18"/>
              </w:rPr>
            </w:pPr>
            <w:r w:rsidRPr="00DF5C23">
              <w:rPr>
                <w:noProof/>
                <w:sz w:val="18"/>
                <w:szCs w:val="18"/>
              </w:rPr>
              <w:t>-</w:t>
            </w:r>
          </w:p>
        </w:tc>
        <w:tc>
          <w:tcPr>
            <w:tcW w:w="720" w:type="dxa"/>
          </w:tcPr>
          <w:p w14:paraId="2C3A5E1D" w14:textId="77777777" w:rsidR="005C61BF" w:rsidRPr="00DF5C23" w:rsidRDefault="005C61BF" w:rsidP="002041D4">
            <w:pPr>
              <w:wordWrap w:val="0"/>
              <w:ind w:right="-29"/>
              <w:jc w:val="center"/>
              <w:rPr>
                <w:noProof/>
                <w:sz w:val="18"/>
                <w:szCs w:val="18"/>
              </w:rPr>
            </w:pPr>
          </w:p>
        </w:tc>
        <w:tc>
          <w:tcPr>
            <w:tcW w:w="720" w:type="dxa"/>
          </w:tcPr>
          <w:p w14:paraId="79AEAF82" w14:textId="77777777" w:rsidR="0038775E" w:rsidRDefault="00877B9C" w:rsidP="002041D4">
            <w:pPr>
              <w:wordWrap w:val="0"/>
              <w:ind w:right="-29"/>
              <w:jc w:val="center"/>
              <w:rPr>
                <w:noProof/>
                <w:sz w:val="18"/>
                <w:szCs w:val="18"/>
              </w:rPr>
            </w:pPr>
            <w:r w:rsidRPr="00DF5C23">
              <w:rPr>
                <w:noProof/>
                <w:sz w:val="18"/>
                <w:szCs w:val="18"/>
              </w:rPr>
              <w:t>1</w:t>
            </w:r>
          </w:p>
        </w:tc>
        <w:tc>
          <w:tcPr>
            <w:tcW w:w="720" w:type="dxa"/>
          </w:tcPr>
          <w:p w14:paraId="3D90128D" w14:textId="77777777" w:rsidR="0038775E" w:rsidRDefault="00877B9C" w:rsidP="002041D4">
            <w:pPr>
              <w:wordWrap w:val="0"/>
              <w:ind w:right="-29"/>
              <w:jc w:val="center"/>
              <w:rPr>
                <w:noProof/>
                <w:sz w:val="18"/>
                <w:szCs w:val="18"/>
              </w:rPr>
            </w:pPr>
            <w:r w:rsidRPr="00DF5C23">
              <w:rPr>
                <w:noProof/>
                <w:sz w:val="18"/>
                <w:szCs w:val="18"/>
              </w:rPr>
              <w:t>1,000</w:t>
            </w:r>
          </w:p>
        </w:tc>
        <w:tc>
          <w:tcPr>
            <w:tcW w:w="900" w:type="dxa"/>
          </w:tcPr>
          <w:p w14:paraId="5B247CAB" w14:textId="77777777" w:rsidR="0038775E" w:rsidRDefault="00877B9C" w:rsidP="002041D4">
            <w:pPr>
              <w:wordWrap w:val="0"/>
              <w:ind w:right="-29"/>
              <w:jc w:val="center"/>
              <w:rPr>
                <w:noProof/>
                <w:sz w:val="18"/>
                <w:szCs w:val="18"/>
              </w:rPr>
            </w:pPr>
            <w:r w:rsidRPr="00DF5C23">
              <w:rPr>
                <w:noProof/>
                <w:sz w:val="18"/>
                <w:szCs w:val="18"/>
              </w:rPr>
              <w:t>1</w:t>
            </w:r>
          </w:p>
        </w:tc>
        <w:tc>
          <w:tcPr>
            <w:tcW w:w="720" w:type="dxa"/>
            <w:gridSpan w:val="2"/>
          </w:tcPr>
          <w:p w14:paraId="21CF96F9" w14:textId="77777777" w:rsidR="0038775E" w:rsidRDefault="00877B9C" w:rsidP="002041D4">
            <w:pPr>
              <w:wordWrap w:val="0"/>
              <w:ind w:right="-29"/>
              <w:jc w:val="center"/>
              <w:rPr>
                <w:noProof/>
                <w:sz w:val="18"/>
                <w:szCs w:val="18"/>
              </w:rPr>
            </w:pPr>
            <w:r w:rsidRPr="00DF5C23">
              <w:rPr>
                <w:noProof/>
                <w:sz w:val="18"/>
                <w:szCs w:val="18"/>
              </w:rPr>
              <w:t>1,000</w:t>
            </w:r>
          </w:p>
        </w:tc>
        <w:tc>
          <w:tcPr>
            <w:tcW w:w="540" w:type="dxa"/>
          </w:tcPr>
          <w:p w14:paraId="33DF82AF" w14:textId="77777777" w:rsidR="0038775E" w:rsidRDefault="00877B9C" w:rsidP="002041D4">
            <w:pPr>
              <w:wordWrap w:val="0"/>
              <w:ind w:right="-29"/>
              <w:jc w:val="center"/>
              <w:rPr>
                <w:noProof/>
                <w:sz w:val="18"/>
                <w:szCs w:val="18"/>
              </w:rPr>
            </w:pPr>
            <w:r w:rsidRPr="00DF5C23">
              <w:rPr>
                <w:noProof/>
                <w:sz w:val="18"/>
                <w:szCs w:val="18"/>
              </w:rPr>
              <w:t>1</w:t>
            </w:r>
          </w:p>
        </w:tc>
        <w:tc>
          <w:tcPr>
            <w:tcW w:w="753" w:type="dxa"/>
          </w:tcPr>
          <w:p w14:paraId="20A53E34" w14:textId="77777777" w:rsidR="0038775E" w:rsidRDefault="00877B9C" w:rsidP="002041D4">
            <w:pPr>
              <w:wordWrap w:val="0"/>
              <w:ind w:right="-29"/>
              <w:jc w:val="center"/>
              <w:rPr>
                <w:noProof/>
                <w:sz w:val="18"/>
                <w:szCs w:val="18"/>
              </w:rPr>
            </w:pPr>
            <w:r w:rsidRPr="00DF5C23">
              <w:rPr>
                <w:noProof/>
                <w:sz w:val="18"/>
                <w:szCs w:val="18"/>
              </w:rPr>
              <w:t>1,000</w:t>
            </w:r>
          </w:p>
        </w:tc>
        <w:tc>
          <w:tcPr>
            <w:tcW w:w="426" w:type="dxa"/>
          </w:tcPr>
          <w:p w14:paraId="2C3A5E24" w14:textId="77777777" w:rsidR="005C61BF" w:rsidRPr="00DF5C23" w:rsidRDefault="005C61BF" w:rsidP="002041D4">
            <w:pPr>
              <w:wordWrap w:val="0"/>
              <w:ind w:right="-29"/>
              <w:jc w:val="center"/>
              <w:rPr>
                <w:noProof/>
                <w:sz w:val="18"/>
                <w:szCs w:val="18"/>
              </w:rPr>
            </w:pPr>
          </w:p>
        </w:tc>
        <w:tc>
          <w:tcPr>
            <w:tcW w:w="850" w:type="dxa"/>
          </w:tcPr>
          <w:p w14:paraId="2C3A5E25" w14:textId="77777777" w:rsidR="005C61BF" w:rsidRPr="00DF5C23" w:rsidRDefault="005C61BF" w:rsidP="002041D4">
            <w:pPr>
              <w:wordWrap w:val="0"/>
              <w:ind w:right="-29"/>
              <w:jc w:val="center"/>
              <w:rPr>
                <w:noProof/>
                <w:sz w:val="18"/>
                <w:szCs w:val="18"/>
              </w:rPr>
            </w:pPr>
          </w:p>
        </w:tc>
        <w:tc>
          <w:tcPr>
            <w:tcW w:w="567" w:type="dxa"/>
          </w:tcPr>
          <w:p w14:paraId="7E50276E" w14:textId="77777777" w:rsidR="0038775E" w:rsidRDefault="00877B9C" w:rsidP="002041D4">
            <w:pPr>
              <w:wordWrap w:val="0"/>
              <w:ind w:right="-29"/>
              <w:jc w:val="center"/>
              <w:rPr>
                <w:noProof/>
                <w:sz w:val="18"/>
                <w:szCs w:val="18"/>
              </w:rPr>
            </w:pPr>
            <w:r w:rsidRPr="00DF5C23">
              <w:rPr>
                <w:noProof/>
                <w:sz w:val="18"/>
                <w:szCs w:val="18"/>
              </w:rPr>
              <w:t>3</w:t>
            </w:r>
          </w:p>
        </w:tc>
        <w:tc>
          <w:tcPr>
            <w:tcW w:w="851" w:type="dxa"/>
          </w:tcPr>
          <w:p w14:paraId="64059F4B" w14:textId="77777777" w:rsidR="0038775E" w:rsidRDefault="00877B9C" w:rsidP="002041D4">
            <w:pPr>
              <w:wordWrap w:val="0"/>
              <w:ind w:right="-29"/>
              <w:jc w:val="center"/>
              <w:rPr>
                <w:noProof/>
                <w:sz w:val="18"/>
                <w:szCs w:val="18"/>
              </w:rPr>
            </w:pPr>
            <w:r w:rsidRPr="00DF5C23">
              <w:rPr>
                <w:noProof/>
                <w:sz w:val="18"/>
                <w:szCs w:val="18"/>
              </w:rPr>
              <w:t>3,000</w:t>
            </w:r>
          </w:p>
        </w:tc>
      </w:tr>
      <w:tr w:rsidR="005C61BF" w:rsidRPr="00DF5C23" w14:paraId="2C3A5E38" w14:textId="77777777" w:rsidTr="009C47CC">
        <w:trPr>
          <w:gridAfter w:val="2"/>
          <w:wAfter w:w="574" w:type="dxa"/>
          <w:trHeight w:val="77"/>
          <w:jc w:val="center"/>
        </w:trPr>
        <w:tc>
          <w:tcPr>
            <w:tcW w:w="2840" w:type="dxa"/>
            <w:gridSpan w:val="3"/>
            <w:tcBorders>
              <w:bottom w:val="single" w:sz="12" w:space="0" w:color="auto"/>
            </w:tcBorders>
            <w:vAlign w:val="center"/>
          </w:tcPr>
          <w:p w14:paraId="46BCF5A9" w14:textId="77777777" w:rsidR="0038775E" w:rsidRDefault="00877B9C" w:rsidP="002041D4">
            <w:pPr>
              <w:wordWrap w:val="0"/>
              <w:ind w:right="-29"/>
              <w:jc w:val="center"/>
              <w:rPr>
                <w:noProof/>
                <w:sz w:val="18"/>
                <w:szCs w:val="18"/>
              </w:rPr>
            </w:pPr>
            <w:r w:rsidRPr="00DF5C23">
              <w:rPr>
                <w:noProof/>
                <w:sz w:val="18"/>
              </w:rPr>
              <w:t>特定目標小計</w:t>
            </w:r>
            <w:r w:rsidRPr="00DF5C23">
              <w:rPr>
                <w:noProof/>
                <w:sz w:val="18"/>
              </w:rPr>
              <w:t xml:space="preserve"> No.1</w:t>
            </w:r>
          </w:p>
        </w:tc>
        <w:tc>
          <w:tcPr>
            <w:tcW w:w="503" w:type="dxa"/>
            <w:tcBorders>
              <w:bottom w:val="single" w:sz="12" w:space="0" w:color="auto"/>
            </w:tcBorders>
          </w:tcPr>
          <w:p w14:paraId="5A292012" w14:textId="77777777" w:rsidR="0038775E" w:rsidRDefault="00877B9C" w:rsidP="002041D4">
            <w:pPr>
              <w:wordWrap w:val="0"/>
              <w:ind w:right="-29"/>
              <w:jc w:val="center"/>
              <w:rPr>
                <w:noProof/>
                <w:sz w:val="18"/>
                <w:szCs w:val="18"/>
              </w:rPr>
            </w:pPr>
            <w:r w:rsidRPr="00DF5C23">
              <w:rPr>
                <w:noProof/>
                <w:sz w:val="18"/>
                <w:szCs w:val="18"/>
              </w:rPr>
              <w:t>-</w:t>
            </w:r>
          </w:p>
        </w:tc>
        <w:tc>
          <w:tcPr>
            <w:tcW w:w="720" w:type="dxa"/>
            <w:tcBorders>
              <w:bottom w:val="single" w:sz="12" w:space="0" w:color="auto"/>
            </w:tcBorders>
          </w:tcPr>
          <w:p w14:paraId="2C3A5E2B" w14:textId="77777777" w:rsidR="005C61BF" w:rsidRPr="00DF5C23" w:rsidRDefault="005C61BF" w:rsidP="002041D4">
            <w:pPr>
              <w:wordWrap w:val="0"/>
              <w:ind w:right="-29"/>
              <w:jc w:val="center"/>
              <w:rPr>
                <w:noProof/>
                <w:sz w:val="18"/>
                <w:szCs w:val="18"/>
              </w:rPr>
            </w:pPr>
          </w:p>
        </w:tc>
        <w:tc>
          <w:tcPr>
            <w:tcW w:w="540" w:type="dxa"/>
            <w:tcBorders>
              <w:bottom w:val="single" w:sz="12" w:space="0" w:color="auto"/>
            </w:tcBorders>
          </w:tcPr>
          <w:p w14:paraId="76C03DE9" w14:textId="77777777" w:rsidR="0038775E" w:rsidRDefault="00877B9C" w:rsidP="002041D4">
            <w:pPr>
              <w:wordWrap w:val="0"/>
              <w:ind w:right="-29"/>
              <w:jc w:val="center"/>
              <w:rPr>
                <w:noProof/>
                <w:sz w:val="18"/>
                <w:szCs w:val="18"/>
              </w:rPr>
            </w:pPr>
            <w:r w:rsidRPr="00DF5C23">
              <w:rPr>
                <w:noProof/>
                <w:sz w:val="18"/>
                <w:szCs w:val="18"/>
              </w:rPr>
              <w:t>-</w:t>
            </w:r>
          </w:p>
        </w:tc>
        <w:tc>
          <w:tcPr>
            <w:tcW w:w="720" w:type="dxa"/>
            <w:tcBorders>
              <w:bottom w:val="single" w:sz="12" w:space="0" w:color="auto"/>
            </w:tcBorders>
          </w:tcPr>
          <w:p w14:paraId="2C3A5E2D" w14:textId="77777777" w:rsidR="005C61BF" w:rsidRPr="00DF5C23" w:rsidRDefault="005C61BF" w:rsidP="002041D4">
            <w:pPr>
              <w:wordWrap w:val="0"/>
              <w:ind w:right="-29"/>
              <w:jc w:val="center"/>
              <w:rPr>
                <w:noProof/>
                <w:sz w:val="18"/>
                <w:szCs w:val="18"/>
              </w:rPr>
            </w:pPr>
          </w:p>
        </w:tc>
        <w:tc>
          <w:tcPr>
            <w:tcW w:w="720" w:type="dxa"/>
            <w:tcBorders>
              <w:bottom w:val="single" w:sz="12" w:space="0" w:color="auto"/>
            </w:tcBorders>
          </w:tcPr>
          <w:p w14:paraId="4813F8A6" w14:textId="77777777" w:rsidR="0038775E" w:rsidRDefault="00877B9C" w:rsidP="002041D4">
            <w:pPr>
              <w:wordWrap w:val="0"/>
              <w:ind w:right="-29"/>
              <w:jc w:val="center"/>
              <w:rPr>
                <w:noProof/>
                <w:sz w:val="18"/>
                <w:szCs w:val="18"/>
              </w:rPr>
            </w:pPr>
            <w:r w:rsidRPr="00DF5C23">
              <w:rPr>
                <w:noProof/>
                <w:sz w:val="18"/>
                <w:szCs w:val="18"/>
              </w:rPr>
              <w:t>12</w:t>
            </w:r>
          </w:p>
        </w:tc>
        <w:tc>
          <w:tcPr>
            <w:tcW w:w="720" w:type="dxa"/>
            <w:tcBorders>
              <w:bottom w:val="single" w:sz="12" w:space="0" w:color="auto"/>
            </w:tcBorders>
          </w:tcPr>
          <w:p w14:paraId="4136CC73" w14:textId="77777777" w:rsidR="0038775E" w:rsidRDefault="00877B9C" w:rsidP="002041D4">
            <w:pPr>
              <w:wordWrap w:val="0"/>
              <w:ind w:right="-29"/>
              <w:jc w:val="center"/>
              <w:rPr>
                <w:noProof/>
                <w:sz w:val="18"/>
                <w:szCs w:val="18"/>
              </w:rPr>
            </w:pPr>
            <w:r w:rsidRPr="00DF5C23">
              <w:rPr>
                <w:noProof/>
                <w:sz w:val="18"/>
                <w:szCs w:val="18"/>
              </w:rPr>
              <w:t>6,300</w:t>
            </w:r>
          </w:p>
        </w:tc>
        <w:tc>
          <w:tcPr>
            <w:tcW w:w="900" w:type="dxa"/>
            <w:tcBorders>
              <w:bottom w:val="single" w:sz="12" w:space="0" w:color="auto"/>
            </w:tcBorders>
          </w:tcPr>
          <w:p w14:paraId="6E4E30F1" w14:textId="77777777" w:rsidR="0038775E" w:rsidRDefault="00877B9C" w:rsidP="002041D4">
            <w:pPr>
              <w:wordWrap w:val="0"/>
              <w:ind w:right="-29"/>
              <w:jc w:val="center"/>
              <w:rPr>
                <w:noProof/>
                <w:sz w:val="18"/>
                <w:szCs w:val="18"/>
              </w:rPr>
            </w:pPr>
            <w:r w:rsidRPr="00DF5C23">
              <w:rPr>
                <w:noProof/>
                <w:sz w:val="18"/>
                <w:szCs w:val="18"/>
              </w:rPr>
              <w:t>13</w:t>
            </w:r>
          </w:p>
        </w:tc>
        <w:tc>
          <w:tcPr>
            <w:tcW w:w="720" w:type="dxa"/>
            <w:gridSpan w:val="2"/>
            <w:tcBorders>
              <w:bottom w:val="single" w:sz="12" w:space="0" w:color="auto"/>
            </w:tcBorders>
          </w:tcPr>
          <w:p w14:paraId="48B86D3C" w14:textId="77777777" w:rsidR="0038775E" w:rsidRDefault="00877B9C" w:rsidP="002041D4">
            <w:pPr>
              <w:wordWrap w:val="0"/>
              <w:ind w:right="-29"/>
              <w:jc w:val="center"/>
              <w:rPr>
                <w:noProof/>
                <w:sz w:val="18"/>
                <w:szCs w:val="18"/>
              </w:rPr>
            </w:pPr>
            <w:r w:rsidRPr="00DF5C23">
              <w:rPr>
                <w:noProof/>
                <w:sz w:val="18"/>
                <w:szCs w:val="18"/>
              </w:rPr>
              <w:t>7,600</w:t>
            </w:r>
          </w:p>
        </w:tc>
        <w:tc>
          <w:tcPr>
            <w:tcW w:w="540" w:type="dxa"/>
            <w:tcBorders>
              <w:bottom w:val="single" w:sz="12" w:space="0" w:color="auto"/>
            </w:tcBorders>
          </w:tcPr>
          <w:p w14:paraId="66436EFC" w14:textId="77777777" w:rsidR="0038775E" w:rsidRDefault="00877B9C" w:rsidP="002041D4">
            <w:pPr>
              <w:wordWrap w:val="0"/>
              <w:ind w:right="-29"/>
              <w:jc w:val="center"/>
              <w:rPr>
                <w:noProof/>
                <w:sz w:val="18"/>
                <w:szCs w:val="18"/>
              </w:rPr>
            </w:pPr>
            <w:r w:rsidRPr="00DF5C23">
              <w:rPr>
                <w:noProof/>
                <w:sz w:val="18"/>
                <w:szCs w:val="18"/>
              </w:rPr>
              <w:t>10</w:t>
            </w:r>
          </w:p>
        </w:tc>
        <w:tc>
          <w:tcPr>
            <w:tcW w:w="753" w:type="dxa"/>
            <w:tcBorders>
              <w:bottom w:val="single" w:sz="12" w:space="0" w:color="auto"/>
            </w:tcBorders>
          </w:tcPr>
          <w:p w14:paraId="4405B1BB" w14:textId="77777777" w:rsidR="0038775E" w:rsidRDefault="00877B9C" w:rsidP="002041D4">
            <w:pPr>
              <w:wordWrap w:val="0"/>
              <w:ind w:right="-29"/>
              <w:jc w:val="center"/>
              <w:rPr>
                <w:noProof/>
                <w:sz w:val="18"/>
                <w:szCs w:val="18"/>
              </w:rPr>
            </w:pPr>
            <w:r w:rsidRPr="00DF5C23">
              <w:rPr>
                <w:noProof/>
                <w:sz w:val="18"/>
                <w:szCs w:val="18"/>
              </w:rPr>
              <w:t>5,700</w:t>
            </w:r>
          </w:p>
        </w:tc>
        <w:tc>
          <w:tcPr>
            <w:tcW w:w="426" w:type="dxa"/>
            <w:tcBorders>
              <w:bottom w:val="single" w:sz="12" w:space="0" w:color="auto"/>
            </w:tcBorders>
          </w:tcPr>
          <w:p w14:paraId="29803A43" w14:textId="77777777" w:rsidR="0038775E" w:rsidRDefault="00877B9C" w:rsidP="002041D4">
            <w:pPr>
              <w:wordWrap w:val="0"/>
              <w:ind w:right="-29"/>
              <w:jc w:val="center"/>
              <w:rPr>
                <w:noProof/>
                <w:sz w:val="18"/>
                <w:szCs w:val="18"/>
              </w:rPr>
            </w:pPr>
            <w:r w:rsidRPr="00DF5C23">
              <w:rPr>
                <w:noProof/>
                <w:sz w:val="18"/>
                <w:szCs w:val="18"/>
              </w:rPr>
              <w:t>17</w:t>
            </w:r>
          </w:p>
        </w:tc>
        <w:tc>
          <w:tcPr>
            <w:tcW w:w="850" w:type="dxa"/>
            <w:tcBorders>
              <w:bottom w:val="single" w:sz="12" w:space="0" w:color="auto"/>
            </w:tcBorders>
          </w:tcPr>
          <w:p w14:paraId="3747E253" w14:textId="77777777" w:rsidR="0038775E" w:rsidRDefault="00877B9C" w:rsidP="002041D4">
            <w:pPr>
              <w:wordWrap w:val="0"/>
              <w:ind w:right="-29"/>
              <w:jc w:val="center"/>
              <w:rPr>
                <w:noProof/>
                <w:sz w:val="18"/>
                <w:szCs w:val="18"/>
              </w:rPr>
            </w:pPr>
            <w:r w:rsidRPr="00DF5C23">
              <w:rPr>
                <w:noProof/>
                <w:sz w:val="18"/>
                <w:szCs w:val="18"/>
              </w:rPr>
              <w:t>11,100</w:t>
            </w:r>
          </w:p>
        </w:tc>
        <w:tc>
          <w:tcPr>
            <w:tcW w:w="567" w:type="dxa"/>
            <w:tcBorders>
              <w:bottom w:val="single" w:sz="12" w:space="0" w:color="auto"/>
            </w:tcBorders>
          </w:tcPr>
          <w:p w14:paraId="5BC256A7" w14:textId="77777777" w:rsidR="0038775E" w:rsidRDefault="00877B9C" w:rsidP="002041D4">
            <w:pPr>
              <w:wordWrap w:val="0"/>
              <w:ind w:right="-29"/>
              <w:jc w:val="center"/>
              <w:rPr>
                <w:noProof/>
                <w:sz w:val="18"/>
                <w:szCs w:val="18"/>
              </w:rPr>
            </w:pPr>
            <w:r w:rsidRPr="00DF5C23">
              <w:rPr>
                <w:noProof/>
                <w:sz w:val="18"/>
                <w:szCs w:val="18"/>
              </w:rPr>
              <w:t>52</w:t>
            </w:r>
          </w:p>
        </w:tc>
        <w:tc>
          <w:tcPr>
            <w:tcW w:w="851" w:type="dxa"/>
            <w:tcBorders>
              <w:bottom w:val="single" w:sz="12" w:space="0" w:color="auto"/>
            </w:tcBorders>
          </w:tcPr>
          <w:p w14:paraId="49832FF7" w14:textId="77777777" w:rsidR="0038775E" w:rsidRDefault="00877B9C" w:rsidP="002041D4">
            <w:pPr>
              <w:wordWrap w:val="0"/>
              <w:ind w:right="-29"/>
              <w:jc w:val="center"/>
              <w:rPr>
                <w:noProof/>
                <w:sz w:val="18"/>
                <w:szCs w:val="18"/>
              </w:rPr>
            </w:pPr>
            <w:r w:rsidRPr="00DF5C23">
              <w:rPr>
                <w:noProof/>
                <w:sz w:val="18"/>
                <w:szCs w:val="18"/>
              </w:rPr>
              <w:t>30,700</w:t>
            </w:r>
          </w:p>
        </w:tc>
      </w:tr>
      <w:tr w:rsidR="005C61BF" w:rsidRPr="00DF5C23" w14:paraId="2C3A5E3B" w14:textId="77777777" w:rsidTr="009C47CC">
        <w:trPr>
          <w:gridAfter w:val="2"/>
          <w:wAfter w:w="574" w:type="dxa"/>
          <w:jc w:val="center"/>
        </w:trPr>
        <w:tc>
          <w:tcPr>
            <w:tcW w:w="2840" w:type="dxa"/>
            <w:gridSpan w:val="3"/>
            <w:vAlign w:val="center"/>
          </w:tcPr>
          <w:p w14:paraId="48D3F4C4" w14:textId="77777777" w:rsidR="0038775E" w:rsidRDefault="00877B9C" w:rsidP="002041D4">
            <w:pPr>
              <w:wordWrap w:val="0"/>
              <w:spacing w:before="60" w:after="60"/>
              <w:ind w:right="-29"/>
              <w:jc w:val="left"/>
              <w:rPr>
                <w:noProof/>
                <w:sz w:val="18"/>
                <w:szCs w:val="18"/>
              </w:rPr>
            </w:pPr>
            <w:r w:rsidRPr="00DF5C23">
              <w:rPr>
                <w:noProof/>
                <w:sz w:val="18"/>
              </w:rPr>
              <w:t>SPECIFIC OBJECTIVE No.2</w:t>
            </w:r>
          </w:p>
        </w:tc>
        <w:tc>
          <w:tcPr>
            <w:tcW w:w="9530" w:type="dxa"/>
            <w:gridSpan w:val="15"/>
            <w:tcBorders>
              <w:top w:val="nil"/>
              <w:left w:val="nil"/>
              <w:bottom w:val="nil"/>
              <w:right w:val="nil"/>
            </w:tcBorders>
          </w:tcPr>
          <w:p w14:paraId="0661DB79" w14:textId="77777777" w:rsidR="0038775E" w:rsidRDefault="00877B9C" w:rsidP="002041D4">
            <w:pPr>
              <w:wordWrap w:val="0"/>
              <w:spacing w:before="60" w:after="60"/>
              <w:ind w:right="-29"/>
              <w:jc w:val="left"/>
              <w:rPr>
                <w:noProof/>
                <w:sz w:val="18"/>
                <w:szCs w:val="18"/>
                <w:lang w:eastAsia="ja-JP"/>
              </w:rPr>
            </w:pPr>
            <w:r w:rsidRPr="00DF5C23">
              <w:rPr>
                <w:noProof/>
                <w:sz w:val="18"/>
                <w:szCs w:val="18"/>
                <w:lang w:eastAsia="ja-JP"/>
              </w:rPr>
              <w:t>より持続可能な製品やビジネスモデルを奨励し、価値保持を向上させる。</w:t>
            </w:r>
          </w:p>
        </w:tc>
      </w:tr>
      <w:tr w:rsidR="005C61BF" w:rsidRPr="00DF5C23" w14:paraId="2C3A5E4D" w14:textId="77777777" w:rsidTr="009C47CC">
        <w:trPr>
          <w:gridAfter w:val="2"/>
          <w:wAfter w:w="574" w:type="dxa"/>
          <w:trHeight w:hRule="exact" w:val="1100"/>
          <w:jc w:val="center"/>
        </w:trPr>
        <w:tc>
          <w:tcPr>
            <w:tcW w:w="1171" w:type="dxa"/>
          </w:tcPr>
          <w:p w14:paraId="732D6362" w14:textId="77777777" w:rsidR="0038775E" w:rsidRDefault="00877B9C" w:rsidP="002041D4">
            <w:pPr>
              <w:wordWrap w:val="0"/>
              <w:ind w:right="-29"/>
              <w:jc w:val="center"/>
              <w:rPr>
                <w:noProof/>
                <w:sz w:val="18"/>
                <w:szCs w:val="18"/>
              </w:rPr>
            </w:pPr>
            <w:r w:rsidRPr="00DF5C23">
              <w:rPr>
                <w:noProof/>
                <w:sz w:val="18"/>
              </w:rPr>
              <w:t xml:space="preserve">- </w:t>
            </w:r>
            <w:r w:rsidRPr="00DF5C23">
              <w:rPr>
                <w:noProof/>
                <w:sz w:val="18"/>
              </w:rPr>
              <w:t>出力</w:t>
            </w:r>
          </w:p>
        </w:tc>
        <w:tc>
          <w:tcPr>
            <w:tcW w:w="969" w:type="dxa"/>
          </w:tcPr>
          <w:p w14:paraId="2F4A89CF" w14:textId="77777777" w:rsidR="0038775E" w:rsidRDefault="00877B9C" w:rsidP="002041D4">
            <w:pPr>
              <w:wordWrap w:val="0"/>
              <w:ind w:right="-29"/>
              <w:jc w:val="center"/>
              <w:rPr>
                <w:noProof/>
                <w:sz w:val="18"/>
                <w:szCs w:val="18"/>
                <w:lang w:eastAsia="ja-JP"/>
              </w:rPr>
            </w:pPr>
            <w:r w:rsidRPr="00DF5C23">
              <w:rPr>
                <w:noProof/>
                <w:sz w:val="18"/>
                <w:szCs w:val="18"/>
                <w:lang w:eastAsia="ja-JP"/>
              </w:rPr>
              <w:t>サーキュラー・ビジネス・ハブへの支援</w:t>
            </w:r>
            <w:r w:rsidR="0052414F" w:rsidRPr="00DF5C23">
              <w:rPr>
                <w:rStyle w:val="afa"/>
                <w:noProof/>
                <w:sz w:val="18"/>
                <w:szCs w:val="18"/>
              </w:rPr>
              <w:footnoteReference w:id="102"/>
            </w:r>
          </w:p>
        </w:tc>
        <w:tc>
          <w:tcPr>
            <w:tcW w:w="700" w:type="dxa"/>
          </w:tcPr>
          <w:p w14:paraId="59D786EE" w14:textId="77777777" w:rsidR="0038775E" w:rsidRDefault="00877B9C" w:rsidP="002041D4">
            <w:pPr>
              <w:wordWrap w:val="0"/>
              <w:ind w:right="-29"/>
              <w:jc w:val="center"/>
              <w:rPr>
                <w:noProof/>
                <w:sz w:val="18"/>
                <w:szCs w:val="18"/>
              </w:rPr>
            </w:pPr>
            <w:r w:rsidRPr="00DF5C23">
              <w:rPr>
                <w:noProof/>
                <w:sz w:val="18"/>
                <w:szCs w:val="18"/>
              </w:rPr>
              <w:t>0,500</w:t>
            </w:r>
            <w:r w:rsidRPr="00DF5C23">
              <w:rPr>
                <w:noProof/>
                <w:sz w:val="18"/>
                <w:szCs w:val="18"/>
              </w:rPr>
              <w:t>円</w:t>
            </w:r>
            <w:r w:rsidRPr="00DF5C23">
              <w:rPr>
                <w:noProof/>
                <w:sz w:val="18"/>
                <w:szCs w:val="18"/>
              </w:rPr>
              <w:t>/</w:t>
            </w:r>
            <w:r w:rsidRPr="00DF5C23">
              <w:rPr>
                <w:noProof/>
                <w:sz w:val="18"/>
                <w:szCs w:val="18"/>
              </w:rPr>
              <w:t>年</w:t>
            </w:r>
          </w:p>
        </w:tc>
        <w:tc>
          <w:tcPr>
            <w:tcW w:w="503" w:type="dxa"/>
          </w:tcPr>
          <w:p w14:paraId="3C602F27" w14:textId="77777777" w:rsidR="0038775E" w:rsidRDefault="00877B9C" w:rsidP="002041D4">
            <w:pPr>
              <w:wordWrap w:val="0"/>
              <w:ind w:right="-29"/>
              <w:jc w:val="center"/>
              <w:rPr>
                <w:noProof/>
                <w:sz w:val="18"/>
                <w:szCs w:val="18"/>
              </w:rPr>
            </w:pPr>
            <w:r w:rsidRPr="00DF5C23">
              <w:rPr>
                <w:noProof/>
                <w:sz w:val="18"/>
                <w:szCs w:val="18"/>
              </w:rPr>
              <w:t>-</w:t>
            </w:r>
          </w:p>
        </w:tc>
        <w:tc>
          <w:tcPr>
            <w:tcW w:w="720" w:type="dxa"/>
          </w:tcPr>
          <w:p w14:paraId="50FDCB13" w14:textId="77777777" w:rsidR="0038775E" w:rsidRDefault="00877B9C" w:rsidP="002041D4">
            <w:pPr>
              <w:wordWrap w:val="0"/>
              <w:ind w:right="-29"/>
              <w:jc w:val="center"/>
              <w:rPr>
                <w:noProof/>
                <w:sz w:val="18"/>
                <w:szCs w:val="18"/>
              </w:rPr>
            </w:pPr>
            <w:r w:rsidRPr="00DF5C23">
              <w:rPr>
                <w:noProof/>
                <w:sz w:val="18"/>
                <w:szCs w:val="18"/>
              </w:rPr>
              <w:t>-</w:t>
            </w:r>
          </w:p>
        </w:tc>
        <w:tc>
          <w:tcPr>
            <w:tcW w:w="540" w:type="dxa"/>
          </w:tcPr>
          <w:p w14:paraId="336484ED" w14:textId="77777777" w:rsidR="0038775E" w:rsidRDefault="00877B9C" w:rsidP="002041D4">
            <w:pPr>
              <w:wordWrap w:val="0"/>
              <w:ind w:right="-29"/>
              <w:jc w:val="center"/>
              <w:rPr>
                <w:noProof/>
                <w:sz w:val="18"/>
                <w:szCs w:val="18"/>
              </w:rPr>
            </w:pPr>
            <w:r w:rsidRPr="00DF5C23">
              <w:rPr>
                <w:noProof/>
                <w:sz w:val="18"/>
                <w:szCs w:val="18"/>
              </w:rPr>
              <w:t>-</w:t>
            </w:r>
          </w:p>
        </w:tc>
        <w:tc>
          <w:tcPr>
            <w:tcW w:w="720" w:type="dxa"/>
          </w:tcPr>
          <w:p w14:paraId="324C3697" w14:textId="77777777" w:rsidR="0038775E" w:rsidRDefault="00877B9C" w:rsidP="002041D4">
            <w:pPr>
              <w:wordWrap w:val="0"/>
              <w:ind w:right="-29"/>
              <w:jc w:val="center"/>
              <w:rPr>
                <w:noProof/>
                <w:sz w:val="18"/>
                <w:szCs w:val="18"/>
              </w:rPr>
            </w:pPr>
            <w:r w:rsidRPr="00DF5C23">
              <w:rPr>
                <w:noProof/>
                <w:sz w:val="18"/>
                <w:szCs w:val="18"/>
              </w:rPr>
              <w:t>-</w:t>
            </w:r>
          </w:p>
        </w:tc>
        <w:tc>
          <w:tcPr>
            <w:tcW w:w="720" w:type="dxa"/>
          </w:tcPr>
          <w:p w14:paraId="30D70511" w14:textId="77777777" w:rsidR="0038775E" w:rsidRDefault="00877B9C" w:rsidP="002041D4">
            <w:pPr>
              <w:wordWrap w:val="0"/>
              <w:ind w:right="-29"/>
              <w:jc w:val="center"/>
              <w:rPr>
                <w:noProof/>
                <w:sz w:val="18"/>
                <w:szCs w:val="18"/>
              </w:rPr>
            </w:pPr>
            <w:r w:rsidRPr="00DF5C23">
              <w:rPr>
                <w:noProof/>
                <w:sz w:val="18"/>
                <w:szCs w:val="18"/>
              </w:rPr>
              <w:t>1</w:t>
            </w:r>
          </w:p>
        </w:tc>
        <w:tc>
          <w:tcPr>
            <w:tcW w:w="720" w:type="dxa"/>
          </w:tcPr>
          <w:p w14:paraId="43EA1838" w14:textId="77777777" w:rsidR="0038775E" w:rsidRDefault="00877B9C" w:rsidP="002041D4">
            <w:pPr>
              <w:wordWrap w:val="0"/>
              <w:ind w:right="-29"/>
              <w:jc w:val="center"/>
              <w:rPr>
                <w:noProof/>
                <w:sz w:val="18"/>
                <w:szCs w:val="18"/>
              </w:rPr>
            </w:pPr>
            <w:r w:rsidRPr="00DF5C23">
              <w:rPr>
                <w:noProof/>
                <w:sz w:val="18"/>
                <w:szCs w:val="18"/>
              </w:rPr>
              <w:t>0,500</w:t>
            </w:r>
          </w:p>
        </w:tc>
        <w:tc>
          <w:tcPr>
            <w:tcW w:w="900" w:type="dxa"/>
          </w:tcPr>
          <w:p w14:paraId="06AFFB48" w14:textId="77777777" w:rsidR="0038775E" w:rsidRDefault="00877B9C" w:rsidP="002041D4">
            <w:pPr>
              <w:wordWrap w:val="0"/>
              <w:ind w:right="-29"/>
              <w:jc w:val="center"/>
              <w:rPr>
                <w:noProof/>
                <w:sz w:val="18"/>
                <w:szCs w:val="18"/>
              </w:rPr>
            </w:pPr>
            <w:r w:rsidRPr="00DF5C23">
              <w:rPr>
                <w:noProof/>
                <w:sz w:val="18"/>
                <w:szCs w:val="18"/>
              </w:rPr>
              <w:t>1</w:t>
            </w:r>
          </w:p>
        </w:tc>
        <w:tc>
          <w:tcPr>
            <w:tcW w:w="720" w:type="dxa"/>
            <w:gridSpan w:val="2"/>
          </w:tcPr>
          <w:p w14:paraId="2847B1F4" w14:textId="77777777" w:rsidR="0038775E" w:rsidRDefault="00877B9C" w:rsidP="002041D4">
            <w:pPr>
              <w:wordWrap w:val="0"/>
              <w:ind w:right="-29"/>
              <w:jc w:val="center"/>
              <w:rPr>
                <w:noProof/>
                <w:sz w:val="18"/>
                <w:szCs w:val="18"/>
              </w:rPr>
            </w:pPr>
            <w:r w:rsidRPr="00DF5C23">
              <w:rPr>
                <w:noProof/>
                <w:sz w:val="18"/>
                <w:szCs w:val="18"/>
              </w:rPr>
              <w:t>0,500</w:t>
            </w:r>
          </w:p>
        </w:tc>
        <w:tc>
          <w:tcPr>
            <w:tcW w:w="540" w:type="dxa"/>
          </w:tcPr>
          <w:p w14:paraId="6182AB57" w14:textId="77777777" w:rsidR="0038775E" w:rsidRDefault="00877B9C" w:rsidP="002041D4">
            <w:pPr>
              <w:wordWrap w:val="0"/>
              <w:ind w:right="-29"/>
              <w:jc w:val="center"/>
              <w:rPr>
                <w:noProof/>
                <w:sz w:val="18"/>
                <w:szCs w:val="18"/>
              </w:rPr>
            </w:pPr>
            <w:r w:rsidRPr="00DF5C23">
              <w:rPr>
                <w:noProof/>
                <w:sz w:val="18"/>
                <w:szCs w:val="18"/>
              </w:rPr>
              <w:t>1</w:t>
            </w:r>
          </w:p>
        </w:tc>
        <w:tc>
          <w:tcPr>
            <w:tcW w:w="753" w:type="dxa"/>
          </w:tcPr>
          <w:p w14:paraId="6CF4104E" w14:textId="77777777" w:rsidR="0038775E" w:rsidRDefault="00877B9C" w:rsidP="002041D4">
            <w:pPr>
              <w:wordWrap w:val="0"/>
              <w:ind w:right="-29"/>
              <w:jc w:val="center"/>
              <w:rPr>
                <w:noProof/>
                <w:sz w:val="18"/>
                <w:szCs w:val="18"/>
              </w:rPr>
            </w:pPr>
            <w:r w:rsidRPr="00DF5C23">
              <w:rPr>
                <w:noProof/>
                <w:sz w:val="18"/>
                <w:szCs w:val="18"/>
              </w:rPr>
              <w:t>0,500</w:t>
            </w:r>
          </w:p>
        </w:tc>
        <w:tc>
          <w:tcPr>
            <w:tcW w:w="426" w:type="dxa"/>
          </w:tcPr>
          <w:p w14:paraId="6A226929" w14:textId="77777777" w:rsidR="0038775E" w:rsidRDefault="00877B9C" w:rsidP="002041D4">
            <w:pPr>
              <w:wordWrap w:val="0"/>
              <w:ind w:right="-29"/>
              <w:jc w:val="center"/>
              <w:rPr>
                <w:noProof/>
                <w:sz w:val="18"/>
                <w:szCs w:val="18"/>
              </w:rPr>
            </w:pPr>
            <w:r w:rsidRPr="00DF5C23">
              <w:rPr>
                <w:noProof/>
                <w:sz w:val="18"/>
                <w:szCs w:val="18"/>
              </w:rPr>
              <w:t>1</w:t>
            </w:r>
          </w:p>
        </w:tc>
        <w:tc>
          <w:tcPr>
            <w:tcW w:w="850" w:type="dxa"/>
          </w:tcPr>
          <w:p w14:paraId="4529283B" w14:textId="77777777" w:rsidR="0038775E" w:rsidRDefault="00877B9C" w:rsidP="002041D4">
            <w:pPr>
              <w:wordWrap w:val="0"/>
              <w:ind w:right="-29"/>
              <w:jc w:val="center"/>
              <w:rPr>
                <w:noProof/>
                <w:sz w:val="18"/>
                <w:szCs w:val="18"/>
              </w:rPr>
            </w:pPr>
            <w:r w:rsidRPr="00DF5C23">
              <w:rPr>
                <w:noProof/>
                <w:sz w:val="18"/>
                <w:szCs w:val="18"/>
              </w:rPr>
              <w:t>0,500</w:t>
            </w:r>
          </w:p>
        </w:tc>
        <w:tc>
          <w:tcPr>
            <w:tcW w:w="567" w:type="dxa"/>
          </w:tcPr>
          <w:p w14:paraId="56F92D35" w14:textId="77777777" w:rsidR="0038775E" w:rsidRDefault="00877B9C" w:rsidP="002041D4">
            <w:pPr>
              <w:wordWrap w:val="0"/>
              <w:ind w:right="-29"/>
              <w:jc w:val="center"/>
              <w:rPr>
                <w:noProof/>
                <w:sz w:val="18"/>
                <w:szCs w:val="18"/>
              </w:rPr>
            </w:pPr>
            <w:r w:rsidRPr="00DF5C23">
              <w:rPr>
                <w:noProof/>
                <w:sz w:val="18"/>
                <w:szCs w:val="18"/>
              </w:rPr>
              <w:t>4</w:t>
            </w:r>
          </w:p>
        </w:tc>
        <w:tc>
          <w:tcPr>
            <w:tcW w:w="851" w:type="dxa"/>
          </w:tcPr>
          <w:p w14:paraId="304838ED" w14:textId="77777777" w:rsidR="0038775E" w:rsidRDefault="00877B9C" w:rsidP="002041D4">
            <w:pPr>
              <w:wordWrap w:val="0"/>
              <w:ind w:right="-29"/>
              <w:jc w:val="center"/>
              <w:rPr>
                <w:noProof/>
                <w:sz w:val="18"/>
                <w:szCs w:val="18"/>
              </w:rPr>
            </w:pPr>
            <w:r w:rsidRPr="00DF5C23">
              <w:rPr>
                <w:noProof/>
                <w:sz w:val="18"/>
                <w:szCs w:val="18"/>
              </w:rPr>
              <w:t>2,000</w:t>
            </w:r>
          </w:p>
        </w:tc>
      </w:tr>
      <w:tr w:rsidR="005C61BF" w:rsidRPr="00DF5C23" w14:paraId="2C3A5E5D" w14:textId="77777777" w:rsidTr="009C47CC">
        <w:trPr>
          <w:gridAfter w:val="2"/>
          <w:wAfter w:w="574" w:type="dxa"/>
          <w:jc w:val="center"/>
        </w:trPr>
        <w:tc>
          <w:tcPr>
            <w:tcW w:w="2840" w:type="dxa"/>
            <w:gridSpan w:val="3"/>
            <w:tcBorders>
              <w:bottom w:val="single" w:sz="12" w:space="0" w:color="auto"/>
            </w:tcBorders>
            <w:vAlign w:val="center"/>
          </w:tcPr>
          <w:p w14:paraId="5DBC9A70" w14:textId="77777777" w:rsidR="0038775E" w:rsidRDefault="00877B9C" w:rsidP="002041D4">
            <w:pPr>
              <w:wordWrap w:val="0"/>
              <w:jc w:val="center"/>
              <w:rPr>
                <w:noProof/>
                <w:sz w:val="18"/>
                <w:szCs w:val="18"/>
                <w:lang w:eastAsia="ja-JP"/>
              </w:rPr>
            </w:pPr>
            <w:r w:rsidRPr="00DF5C23">
              <w:rPr>
                <w:noProof/>
                <w:sz w:val="18"/>
                <w:lang w:eastAsia="ja-JP"/>
              </w:rPr>
              <w:t>具体的な目標</w:t>
            </w:r>
            <w:r w:rsidRPr="00DF5C23">
              <w:rPr>
                <w:noProof/>
                <w:sz w:val="18"/>
                <w:lang w:eastAsia="ja-JP"/>
              </w:rPr>
              <w:t>No.2</w:t>
            </w:r>
            <w:r w:rsidRPr="00DF5C23">
              <w:rPr>
                <w:noProof/>
                <w:sz w:val="18"/>
                <w:lang w:eastAsia="ja-JP"/>
              </w:rPr>
              <w:t>に対する小計</w:t>
            </w:r>
          </w:p>
        </w:tc>
        <w:tc>
          <w:tcPr>
            <w:tcW w:w="503" w:type="dxa"/>
            <w:tcBorders>
              <w:bottom w:val="single" w:sz="12" w:space="0" w:color="auto"/>
            </w:tcBorders>
          </w:tcPr>
          <w:p w14:paraId="277D9953" w14:textId="77777777" w:rsidR="0038775E" w:rsidRDefault="00877B9C" w:rsidP="002041D4">
            <w:pPr>
              <w:wordWrap w:val="0"/>
              <w:ind w:right="-29"/>
              <w:jc w:val="center"/>
              <w:rPr>
                <w:noProof/>
                <w:sz w:val="18"/>
                <w:szCs w:val="18"/>
              </w:rPr>
            </w:pPr>
            <w:r w:rsidRPr="00DF5C23">
              <w:rPr>
                <w:noProof/>
                <w:sz w:val="18"/>
                <w:szCs w:val="18"/>
              </w:rPr>
              <w:t>-</w:t>
            </w:r>
          </w:p>
        </w:tc>
        <w:tc>
          <w:tcPr>
            <w:tcW w:w="720" w:type="dxa"/>
            <w:tcBorders>
              <w:bottom w:val="single" w:sz="12" w:space="0" w:color="auto"/>
            </w:tcBorders>
          </w:tcPr>
          <w:p w14:paraId="186FC871" w14:textId="77777777" w:rsidR="0038775E" w:rsidRDefault="00877B9C" w:rsidP="002041D4">
            <w:pPr>
              <w:wordWrap w:val="0"/>
              <w:ind w:right="-29"/>
              <w:jc w:val="center"/>
              <w:rPr>
                <w:noProof/>
                <w:sz w:val="18"/>
                <w:szCs w:val="18"/>
              </w:rPr>
            </w:pPr>
            <w:r w:rsidRPr="00DF5C23">
              <w:rPr>
                <w:noProof/>
                <w:sz w:val="18"/>
                <w:szCs w:val="18"/>
              </w:rPr>
              <w:t>-</w:t>
            </w:r>
          </w:p>
        </w:tc>
        <w:tc>
          <w:tcPr>
            <w:tcW w:w="540" w:type="dxa"/>
            <w:tcBorders>
              <w:bottom w:val="single" w:sz="12" w:space="0" w:color="auto"/>
            </w:tcBorders>
          </w:tcPr>
          <w:p w14:paraId="13694EE0" w14:textId="77777777" w:rsidR="0038775E" w:rsidRDefault="00877B9C" w:rsidP="002041D4">
            <w:pPr>
              <w:wordWrap w:val="0"/>
              <w:ind w:right="-29"/>
              <w:jc w:val="center"/>
              <w:rPr>
                <w:noProof/>
                <w:sz w:val="18"/>
                <w:szCs w:val="18"/>
              </w:rPr>
            </w:pPr>
            <w:r w:rsidRPr="00DF5C23">
              <w:rPr>
                <w:noProof/>
                <w:sz w:val="18"/>
                <w:szCs w:val="18"/>
              </w:rPr>
              <w:t>-</w:t>
            </w:r>
          </w:p>
        </w:tc>
        <w:tc>
          <w:tcPr>
            <w:tcW w:w="720" w:type="dxa"/>
            <w:tcBorders>
              <w:bottom w:val="single" w:sz="12" w:space="0" w:color="auto"/>
            </w:tcBorders>
          </w:tcPr>
          <w:p w14:paraId="4A03A737" w14:textId="77777777" w:rsidR="0038775E" w:rsidRDefault="00877B9C" w:rsidP="002041D4">
            <w:pPr>
              <w:wordWrap w:val="0"/>
              <w:ind w:right="-29"/>
              <w:jc w:val="center"/>
              <w:rPr>
                <w:noProof/>
                <w:sz w:val="18"/>
                <w:szCs w:val="18"/>
              </w:rPr>
            </w:pPr>
            <w:r w:rsidRPr="00DF5C23">
              <w:rPr>
                <w:noProof/>
                <w:sz w:val="18"/>
                <w:szCs w:val="18"/>
              </w:rPr>
              <w:t>-</w:t>
            </w:r>
          </w:p>
        </w:tc>
        <w:tc>
          <w:tcPr>
            <w:tcW w:w="720" w:type="dxa"/>
            <w:tcBorders>
              <w:bottom w:val="single" w:sz="12" w:space="0" w:color="auto"/>
            </w:tcBorders>
          </w:tcPr>
          <w:p w14:paraId="0932B988" w14:textId="77777777" w:rsidR="0038775E" w:rsidRDefault="00877B9C" w:rsidP="002041D4">
            <w:pPr>
              <w:wordWrap w:val="0"/>
              <w:ind w:right="-29"/>
              <w:jc w:val="center"/>
              <w:rPr>
                <w:noProof/>
                <w:sz w:val="18"/>
                <w:szCs w:val="18"/>
              </w:rPr>
            </w:pPr>
            <w:r w:rsidRPr="00DF5C23">
              <w:rPr>
                <w:noProof/>
                <w:sz w:val="18"/>
                <w:szCs w:val="18"/>
              </w:rPr>
              <w:t>1</w:t>
            </w:r>
          </w:p>
        </w:tc>
        <w:tc>
          <w:tcPr>
            <w:tcW w:w="720" w:type="dxa"/>
            <w:tcBorders>
              <w:bottom w:val="single" w:sz="12" w:space="0" w:color="auto"/>
            </w:tcBorders>
          </w:tcPr>
          <w:p w14:paraId="7A0453FE" w14:textId="77777777" w:rsidR="0038775E" w:rsidRDefault="00877B9C" w:rsidP="002041D4">
            <w:pPr>
              <w:wordWrap w:val="0"/>
              <w:ind w:right="-29"/>
              <w:jc w:val="center"/>
              <w:rPr>
                <w:noProof/>
                <w:sz w:val="18"/>
                <w:szCs w:val="18"/>
              </w:rPr>
            </w:pPr>
            <w:r w:rsidRPr="00DF5C23">
              <w:rPr>
                <w:noProof/>
                <w:sz w:val="18"/>
                <w:szCs w:val="18"/>
              </w:rPr>
              <w:t>0,500</w:t>
            </w:r>
          </w:p>
        </w:tc>
        <w:tc>
          <w:tcPr>
            <w:tcW w:w="929" w:type="dxa"/>
            <w:gridSpan w:val="2"/>
            <w:tcBorders>
              <w:bottom w:val="single" w:sz="12" w:space="0" w:color="auto"/>
            </w:tcBorders>
          </w:tcPr>
          <w:p w14:paraId="13174351" w14:textId="77777777" w:rsidR="0038775E" w:rsidRDefault="00877B9C" w:rsidP="002041D4">
            <w:pPr>
              <w:wordWrap w:val="0"/>
              <w:ind w:right="-29"/>
              <w:jc w:val="center"/>
              <w:rPr>
                <w:noProof/>
                <w:sz w:val="18"/>
                <w:szCs w:val="18"/>
              </w:rPr>
            </w:pPr>
            <w:r w:rsidRPr="00DF5C23">
              <w:rPr>
                <w:noProof/>
                <w:sz w:val="18"/>
                <w:szCs w:val="18"/>
              </w:rPr>
              <w:t>1</w:t>
            </w:r>
          </w:p>
        </w:tc>
        <w:tc>
          <w:tcPr>
            <w:tcW w:w="691" w:type="dxa"/>
            <w:tcBorders>
              <w:bottom w:val="single" w:sz="12" w:space="0" w:color="auto"/>
            </w:tcBorders>
          </w:tcPr>
          <w:p w14:paraId="7E7E40A1" w14:textId="77777777" w:rsidR="0038775E" w:rsidRDefault="00877B9C" w:rsidP="002041D4">
            <w:pPr>
              <w:wordWrap w:val="0"/>
              <w:ind w:right="-29"/>
              <w:jc w:val="center"/>
              <w:rPr>
                <w:noProof/>
                <w:sz w:val="18"/>
                <w:szCs w:val="18"/>
              </w:rPr>
            </w:pPr>
            <w:r w:rsidRPr="00DF5C23">
              <w:rPr>
                <w:noProof/>
                <w:sz w:val="18"/>
                <w:szCs w:val="18"/>
              </w:rPr>
              <w:t>0,500</w:t>
            </w:r>
          </w:p>
        </w:tc>
        <w:tc>
          <w:tcPr>
            <w:tcW w:w="540" w:type="dxa"/>
            <w:tcBorders>
              <w:bottom w:val="single" w:sz="12" w:space="0" w:color="auto"/>
            </w:tcBorders>
          </w:tcPr>
          <w:p w14:paraId="4C826842" w14:textId="77777777" w:rsidR="0038775E" w:rsidRDefault="00877B9C" w:rsidP="002041D4">
            <w:pPr>
              <w:wordWrap w:val="0"/>
              <w:ind w:right="-29"/>
              <w:jc w:val="center"/>
              <w:rPr>
                <w:noProof/>
                <w:sz w:val="18"/>
                <w:szCs w:val="18"/>
              </w:rPr>
            </w:pPr>
            <w:r w:rsidRPr="00DF5C23">
              <w:rPr>
                <w:noProof/>
                <w:sz w:val="18"/>
                <w:szCs w:val="18"/>
              </w:rPr>
              <w:t>1</w:t>
            </w:r>
          </w:p>
        </w:tc>
        <w:tc>
          <w:tcPr>
            <w:tcW w:w="753" w:type="dxa"/>
            <w:tcBorders>
              <w:bottom w:val="single" w:sz="12" w:space="0" w:color="auto"/>
            </w:tcBorders>
          </w:tcPr>
          <w:p w14:paraId="41E68AE9" w14:textId="77777777" w:rsidR="0038775E" w:rsidRDefault="00877B9C" w:rsidP="002041D4">
            <w:pPr>
              <w:wordWrap w:val="0"/>
              <w:ind w:right="-29"/>
              <w:jc w:val="center"/>
              <w:rPr>
                <w:noProof/>
                <w:sz w:val="18"/>
                <w:szCs w:val="18"/>
              </w:rPr>
            </w:pPr>
            <w:r w:rsidRPr="00DF5C23">
              <w:rPr>
                <w:noProof/>
                <w:sz w:val="18"/>
                <w:szCs w:val="18"/>
              </w:rPr>
              <w:t>0,500</w:t>
            </w:r>
          </w:p>
        </w:tc>
        <w:tc>
          <w:tcPr>
            <w:tcW w:w="426" w:type="dxa"/>
            <w:tcBorders>
              <w:bottom w:val="single" w:sz="12" w:space="0" w:color="auto"/>
            </w:tcBorders>
          </w:tcPr>
          <w:p w14:paraId="446BEBCE" w14:textId="77777777" w:rsidR="0038775E" w:rsidRDefault="00877B9C" w:rsidP="002041D4">
            <w:pPr>
              <w:wordWrap w:val="0"/>
              <w:ind w:right="-29"/>
              <w:jc w:val="center"/>
              <w:rPr>
                <w:noProof/>
                <w:sz w:val="18"/>
                <w:szCs w:val="18"/>
              </w:rPr>
            </w:pPr>
            <w:r w:rsidRPr="00DF5C23">
              <w:rPr>
                <w:noProof/>
                <w:sz w:val="18"/>
                <w:szCs w:val="18"/>
              </w:rPr>
              <w:t>1</w:t>
            </w:r>
          </w:p>
        </w:tc>
        <w:tc>
          <w:tcPr>
            <w:tcW w:w="850" w:type="dxa"/>
            <w:tcBorders>
              <w:bottom w:val="single" w:sz="12" w:space="0" w:color="auto"/>
            </w:tcBorders>
          </w:tcPr>
          <w:p w14:paraId="7B420B89" w14:textId="77777777" w:rsidR="0038775E" w:rsidRDefault="00877B9C" w:rsidP="002041D4">
            <w:pPr>
              <w:wordWrap w:val="0"/>
              <w:ind w:right="-29"/>
              <w:jc w:val="center"/>
              <w:rPr>
                <w:noProof/>
                <w:sz w:val="18"/>
                <w:szCs w:val="18"/>
              </w:rPr>
            </w:pPr>
            <w:r w:rsidRPr="00DF5C23">
              <w:rPr>
                <w:noProof/>
                <w:sz w:val="18"/>
                <w:szCs w:val="18"/>
              </w:rPr>
              <w:t>0,500</w:t>
            </w:r>
          </w:p>
        </w:tc>
        <w:tc>
          <w:tcPr>
            <w:tcW w:w="567" w:type="dxa"/>
            <w:tcBorders>
              <w:bottom w:val="single" w:sz="12" w:space="0" w:color="auto"/>
            </w:tcBorders>
          </w:tcPr>
          <w:p w14:paraId="2FC16E79" w14:textId="77777777" w:rsidR="0038775E" w:rsidRDefault="00877B9C" w:rsidP="002041D4">
            <w:pPr>
              <w:wordWrap w:val="0"/>
              <w:ind w:right="-29"/>
              <w:jc w:val="center"/>
              <w:rPr>
                <w:noProof/>
                <w:sz w:val="18"/>
                <w:szCs w:val="18"/>
              </w:rPr>
            </w:pPr>
            <w:r w:rsidRPr="00DF5C23">
              <w:rPr>
                <w:noProof/>
                <w:sz w:val="18"/>
                <w:szCs w:val="18"/>
              </w:rPr>
              <w:t>4</w:t>
            </w:r>
          </w:p>
        </w:tc>
        <w:tc>
          <w:tcPr>
            <w:tcW w:w="851" w:type="dxa"/>
            <w:tcBorders>
              <w:bottom w:val="single" w:sz="12" w:space="0" w:color="auto"/>
            </w:tcBorders>
          </w:tcPr>
          <w:p w14:paraId="2AB7DA6C" w14:textId="77777777" w:rsidR="0038775E" w:rsidRDefault="00877B9C" w:rsidP="002041D4">
            <w:pPr>
              <w:wordWrap w:val="0"/>
              <w:ind w:right="-29"/>
              <w:jc w:val="center"/>
              <w:rPr>
                <w:noProof/>
                <w:sz w:val="18"/>
                <w:szCs w:val="18"/>
              </w:rPr>
            </w:pPr>
            <w:r w:rsidRPr="00DF5C23">
              <w:rPr>
                <w:noProof/>
                <w:sz w:val="18"/>
                <w:szCs w:val="18"/>
              </w:rPr>
              <w:t>2,000</w:t>
            </w:r>
          </w:p>
        </w:tc>
      </w:tr>
      <w:tr w:rsidR="005C61BF" w:rsidRPr="00DF5C23" w14:paraId="2C3A5E60" w14:textId="77777777" w:rsidTr="009C47CC">
        <w:trPr>
          <w:gridAfter w:val="2"/>
          <w:wAfter w:w="574" w:type="dxa"/>
          <w:jc w:val="center"/>
        </w:trPr>
        <w:tc>
          <w:tcPr>
            <w:tcW w:w="2840" w:type="dxa"/>
            <w:gridSpan w:val="3"/>
            <w:vAlign w:val="center"/>
          </w:tcPr>
          <w:p w14:paraId="6A431921" w14:textId="77777777" w:rsidR="0038775E" w:rsidRDefault="00877B9C" w:rsidP="002041D4">
            <w:pPr>
              <w:wordWrap w:val="0"/>
              <w:spacing w:before="60" w:after="60"/>
              <w:ind w:right="-29"/>
              <w:rPr>
                <w:noProof/>
                <w:sz w:val="18"/>
                <w:szCs w:val="18"/>
              </w:rPr>
            </w:pPr>
            <w:r w:rsidRPr="00DF5C23">
              <w:rPr>
                <w:noProof/>
                <w:sz w:val="18"/>
              </w:rPr>
              <w:t>SPECIFIC OBJECTIVE No.3</w:t>
            </w:r>
          </w:p>
        </w:tc>
        <w:tc>
          <w:tcPr>
            <w:tcW w:w="9530" w:type="dxa"/>
            <w:gridSpan w:val="15"/>
            <w:tcBorders>
              <w:top w:val="nil"/>
              <w:left w:val="nil"/>
              <w:bottom w:val="nil"/>
              <w:right w:val="nil"/>
            </w:tcBorders>
          </w:tcPr>
          <w:p w14:paraId="2B27F429" w14:textId="77777777" w:rsidR="0038775E" w:rsidRDefault="00877B9C" w:rsidP="002041D4">
            <w:pPr>
              <w:wordWrap w:val="0"/>
              <w:spacing w:before="60" w:after="60"/>
              <w:ind w:right="-29"/>
              <w:jc w:val="left"/>
              <w:rPr>
                <w:noProof/>
                <w:sz w:val="18"/>
                <w:szCs w:val="18"/>
                <w:lang w:eastAsia="ja-JP"/>
              </w:rPr>
            </w:pPr>
            <w:r w:rsidRPr="00DF5C23">
              <w:rPr>
                <w:noProof/>
                <w:sz w:val="18"/>
                <w:szCs w:val="18"/>
                <w:lang w:eastAsia="ja-JP"/>
              </w:rPr>
              <w:t>持続可能な製品に関する法的枠組みの適用を改善する</w:t>
            </w:r>
          </w:p>
        </w:tc>
      </w:tr>
      <w:tr w:rsidR="005C61BF" w:rsidRPr="00DF5C23" w14:paraId="2C3A5E72" w14:textId="77777777" w:rsidTr="009C47CC">
        <w:trPr>
          <w:gridAfter w:val="2"/>
          <w:wAfter w:w="574" w:type="dxa"/>
          <w:trHeight w:hRule="exact" w:val="1311"/>
          <w:jc w:val="center"/>
        </w:trPr>
        <w:tc>
          <w:tcPr>
            <w:tcW w:w="1171" w:type="dxa"/>
          </w:tcPr>
          <w:p w14:paraId="36CE9553" w14:textId="77777777" w:rsidR="0038775E" w:rsidRDefault="00877B9C" w:rsidP="002041D4">
            <w:pPr>
              <w:wordWrap w:val="0"/>
              <w:ind w:right="-29"/>
              <w:jc w:val="center"/>
              <w:rPr>
                <w:noProof/>
                <w:sz w:val="18"/>
                <w:szCs w:val="18"/>
              </w:rPr>
            </w:pPr>
            <w:r w:rsidRPr="00DF5C23">
              <w:rPr>
                <w:noProof/>
                <w:sz w:val="18"/>
              </w:rPr>
              <w:t xml:space="preserve">- </w:t>
            </w:r>
            <w:r w:rsidRPr="00DF5C23">
              <w:rPr>
                <w:noProof/>
                <w:sz w:val="18"/>
              </w:rPr>
              <w:t>出力</w:t>
            </w:r>
          </w:p>
        </w:tc>
        <w:tc>
          <w:tcPr>
            <w:tcW w:w="969" w:type="dxa"/>
          </w:tcPr>
          <w:p w14:paraId="2E434F1F" w14:textId="77777777" w:rsidR="0038775E" w:rsidRDefault="00877B9C" w:rsidP="002041D4">
            <w:pPr>
              <w:wordWrap w:val="0"/>
              <w:ind w:right="-29"/>
              <w:jc w:val="center"/>
              <w:rPr>
                <w:noProof/>
                <w:sz w:val="18"/>
                <w:szCs w:val="18"/>
                <w:lang w:eastAsia="ja-JP"/>
              </w:rPr>
            </w:pPr>
            <w:r w:rsidRPr="00DF5C23">
              <w:rPr>
                <w:noProof/>
                <w:sz w:val="18"/>
                <w:szCs w:val="18"/>
                <w:lang w:eastAsia="ja-JP"/>
              </w:rPr>
              <w:t>市場サーベイランスを支えるプロジェクト</w:t>
            </w:r>
          </w:p>
        </w:tc>
        <w:tc>
          <w:tcPr>
            <w:tcW w:w="700" w:type="dxa"/>
          </w:tcPr>
          <w:p w14:paraId="673F140D" w14:textId="77777777" w:rsidR="0038775E" w:rsidRDefault="00877B9C" w:rsidP="002041D4">
            <w:pPr>
              <w:wordWrap w:val="0"/>
              <w:ind w:right="-29"/>
              <w:jc w:val="center"/>
              <w:rPr>
                <w:noProof/>
                <w:sz w:val="18"/>
                <w:szCs w:val="18"/>
              </w:rPr>
            </w:pPr>
            <w:r w:rsidRPr="00DF5C23">
              <w:rPr>
                <w:noProof/>
                <w:sz w:val="18"/>
                <w:szCs w:val="18"/>
              </w:rPr>
              <w:t>1,000</w:t>
            </w:r>
            <w:r w:rsidRPr="00DF5C23">
              <w:rPr>
                <w:noProof/>
                <w:sz w:val="18"/>
                <w:szCs w:val="18"/>
              </w:rPr>
              <w:t>円</w:t>
            </w:r>
            <w:r w:rsidRPr="00DF5C23">
              <w:rPr>
                <w:noProof/>
                <w:sz w:val="18"/>
                <w:szCs w:val="18"/>
              </w:rPr>
              <w:t>/1</w:t>
            </w:r>
            <w:r w:rsidRPr="00DF5C23">
              <w:rPr>
                <w:noProof/>
                <w:sz w:val="18"/>
                <w:szCs w:val="18"/>
              </w:rPr>
              <w:t>プロジェクト</w:t>
            </w:r>
          </w:p>
        </w:tc>
        <w:tc>
          <w:tcPr>
            <w:tcW w:w="503" w:type="dxa"/>
          </w:tcPr>
          <w:p w14:paraId="79F134F9" w14:textId="77777777" w:rsidR="0038775E" w:rsidRDefault="00877B9C" w:rsidP="002041D4">
            <w:pPr>
              <w:wordWrap w:val="0"/>
              <w:ind w:right="-29"/>
              <w:jc w:val="center"/>
              <w:rPr>
                <w:noProof/>
                <w:sz w:val="18"/>
                <w:szCs w:val="18"/>
              </w:rPr>
            </w:pPr>
            <w:r w:rsidRPr="00DF5C23">
              <w:rPr>
                <w:noProof/>
                <w:sz w:val="18"/>
                <w:szCs w:val="18"/>
              </w:rPr>
              <w:t>-</w:t>
            </w:r>
          </w:p>
        </w:tc>
        <w:tc>
          <w:tcPr>
            <w:tcW w:w="720" w:type="dxa"/>
          </w:tcPr>
          <w:p w14:paraId="358A3722" w14:textId="77777777" w:rsidR="0038775E" w:rsidRDefault="00877B9C" w:rsidP="002041D4">
            <w:pPr>
              <w:wordWrap w:val="0"/>
              <w:ind w:right="-29"/>
              <w:jc w:val="center"/>
              <w:rPr>
                <w:noProof/>
                <w:sz w:val="18"/>
                <w:szCs w:val="18"/>
              </w:rPr>
            </w:pPr>
            <w:r w:rsidRPr="00DF5C23">
              <w:rPr>
                <w:noProof/>
                <w:sz w:val="18"/>
                <w:szCs w:val="18"/>
              </w:rPr>
              <w:t>-</w:t>
            </w:r>
          </w:p>
        </w:tc>
        <w:tc>
          <w:tcPr>
            <w:tcW w:w="540" w:type="dxa"/>
          </w:tcPr>
          <w:p w14:paraId="1271E4CD" w14:textId="77777777" w:rsidR="0038775E" w:rsidRDefault="00877B9C" w:rsidP="002041D4">
            <w:pPr>
              <w:wordWrap w:val="0"/>
              <w:ind w:right="-29"/>
              <w:jc w:val="center"/>
              <w:rPr>
                <w:noProof/>
                <w:sz w:val="18"/>
                <w:szCs w:val="18"/>
              </w:rPr>
            </w:pPr>
            <w:r w:rsidRPr="00DF5C23">
              <w:rPr>
                <w:noProof/>
                <w:sz w:val="18"/>
                <w:szCs w:val="18"/>
              </w:rPr>
              <w:t>-</w:t>
            </w:r>
          </w:p>
        </w:tc>
        <w:tc>
          <w:tcPr>
            <w:tcW w:w="720" w:type="dxa"/>
          </w:tcPr>
          <w:p w14:paraId="366350F5" w14:textId="77777777" w:rsidR="0038775E" w:rsidRDefault="00877B9C" w:rsidP="002041D4">
            <w:pPr>
              <w:wordWrap w:val="0"/>
              <w:ind w:right="-29"/>
              <w:jc w:val="center"/>
              <w:rPr>
                <w:noProof/>
                <w:sz w:val="18"/>
                <w:szCs w:val="18"/>
              </w:rPr>
            </w:pPr>
            <w:r w:rsidRPr="00DF5C23">
              <w:rPr>
                <w:noProof/>
                <w:sz w:val="18"/>
                <w:szCs w:val="18"/>
              </w:rPr>
              <w:t>-</w:t>
            </w:r>
          </w:p>
        </w:tc>
        <w:tc>
          <w:tcPr>
            <w:tcW w:w="720" w:type="dxa"/>
          </w:tcPr>
          <w:p w14:paraId="1B25A198" w14:textId="77777777" w:rsidR="0038775E" w:rsidRDefault="00877B9C" w:rsidP="002041D4">
            <w:pPr>
              <w:wordWrap w:val="0"/>
              <w:ind w:right="-29"/>
              <w:jc w:val="center"/>
              <w:rPr>
                <w:noProof/>
                <w:sz w:val="18"/>
                <w:szCs w:val="18"/>
              </w:rPr>
            </w:pPr>
            <w:r w:rsidRPr="00DF5C23">
              <w:rPr>
                <w:noProof/>
                <w:sz w:val="18"/>
                <w:szCs w:val="18"/>
              </w:rPr>
              <w:t>3</w:t>
            </w:r>
          </w:p>
        </w:tc>
        <w:tc>
          <w:tcPr>
            <w:tcW w:w="720" w:type="dxa"/>
          </w:tcPr>
          <w:p w14:paraId="0DB50EDA" w14:textId="77777777" w:rsidR="0038775E" w:rsidRDefault="00877B9C" w:rsidP="002041D4">
            <w:pPr>
              <w:wordWrap w:val="0"/>
              <w:ind w:right="-29"/>
              <w:jc w:val="center"/>
              <w:rPr>
                <w:noProof/>
                <w:sz w:val="18"/>
                <w:szCs w:val="18"/>
              </w:rPr>
            </w:pPr>
            <w:r w:rsidRPr="00DF5C23">
              <w:rPr>
                <w:noProof/>
                <w:sz w:val="18"/>
                <w:szCs w:val="18"/>
              </w:rPr>
              <w:t>3,000</w:t>
            </w:r>
          </w:p>
        </w:tc>
        <w:tc>
          <w:tcPr>
            <w:tcW w:w="900" w:type="dxa"/>
          </w:tcPr>
          <w:p w14:paraId="7607715F" w14:textId="77777777" w:rsidR="0038775E" w:rsidRDefault="00877B9C" w:rsidP="002041D4">
            <w:pPr>
              <w:wordWrap w:val="0"/>
              <w:ind w:right="-29"/>
              <w:jc w:val="center"/>
              <w:rPr>
                <w:noProof/>
                <w:sz w:val="18"/>
                <w:szCs w:val="18"/>
              </w:rPr>
            </w:pPr>
            <w:r w:rsidRPr="00DF5C23">
              <w:rPr>
                <w:noProof/>
                <w:sz w:val="18"/>
                <w:szCs w:val="18"/>
              </w:rPr>
              <w:t>6</w:t>
            </w:r>
          </w:p>
        </w:tc>
        <w:tc>
          <w:tcPr>
            <w:tcW w:w="720" w:type="dxa"/>
            <w:gridSpan w:val="2"/>
          </w:tcPr>
          <w:p w14:paraId="169541D9" w14:textId="77777777" w:rsidR="0038775E" w:rsidRDefault="00877B9C" w:rsidP="002041D4">
            <w:pPr>
              <w:wordWrap w:val="0"/>
              <w:ind w:right="-29"/>
              <w:jc w:val="center"/>
              <w:rPr>
                <w:noProof/>
                <w:sz w:val="18"/>
                <w:szCs w:val="18"/>
              </w:rPr>
            </w:pPr>
            <w:r w:rsidRPr="00DF5C23">
              <w:rPr>
                <w:noProof/>
                <w:sz w:val="18"/>
                <w:szCs w:val="18"/>
              </w:rPr>
              <w:t>6,000</w:t>
            </w:r>
          </w:p>
        </w:tc>
        <w:tc>
          <w:tcPr>
            <w:tcW w:w="540" w:type="dxa"/>
          </w:tcPr>
          <w:p w14:paraId="770BF0E1" w14:textId="77777777" w:rsidR="0038775E" w:rsidRDefault="00877B9C" w:rsidP="002041D4">
            <w:pPr>
              <w:wordWrap w:val="0"/>
              <w:ind w:right="-29"/>
              <w:jc w:val="center"/>
              <w:rPr>
                <w:noProof/>
                <w:sz w:val="18"/>
                <w:szCs w:val="18"/>
              </w:rPr>
            </w:pPr>
            <w:r w:rsidRPr="00DF5C23">
              <w:rPr>
                <w:noProof/>
                <w:sz w:val="18"/>
                <w:szCs w:val="18"/>
              </w:rPr>
              <w:t>9</w:t>
            </w:r>
          </w:p>
        </w:tc>
        <w:tc>
          <w:tcPr>
            <w:tcW w:w="753" w:type="dxa"/>
          </w:tcPr>
          <w:p w14:paraId="2024D9C8" w14:textId="77777777" w:rsidR="0038775E" w:rsidRDefault="00877B9C" w:rsidP="002041D4">
            <w:pPr>
              <w:wordWrap w:val="0"/>
              <w:ind w:right="-29"/>
              <w:jc w:val="center"/>
              <w:rPr>
                <w:noProof/>
                <w:sz w:val="18"/>
                <w:szCs w:val="18"/>
              </w:rPr>
            </w:pPr>
            <w:r w:rsidRPr="00DF5C23">
              <w:rPr>
                <w:noProof/>
                <w:sz w:val="18"/>
                <w:szCs w:val="18"/>
              </w:rPr>
              <w:t>9,000</w:t>
            </w:r>
          </w:p>
        </w:tc>
        <w:tc>
          <w:tcPr>
            <w:tcW w:w="426" w:type="dxa"/>
          </w:tcPr>
          <w:p w14:paraId="40C392D1" w14:textId="77777777" w:rsidR="0038775E" w:rsidRDefault="00877B9C" w:rsidP="002041D4">
            <w:pPr>
              <w:wordWrap w:val="0"/>
              <w:ind w:right="-29"/>
              <w:jc w:val="center"/>
              <w:rPr>
                <w:noProof/>
                <w:sz w:val="18"/>
                <w:szCs w:val="18"/>
              </w:rPr>
            </w:pPr>
            <w:r w:rsidRPr="00DF5C23">
              <w:rPr>
                <w:noProof/>
                <w:sz w:val="18"/>
                <w:szCs w:val="18"/>
              </w:rPr>
              <w:t>9</w:t>
            </w:r>
          </w:p>
        </w:tc>
        <w:tc>
          <w:tcPr>
            <w:tcW w:w="850" w:type="dxa"/>
          </w:tcPr>
          <w:p w14:paraId="29E42881" w14:textId="77777777" w:rsidR="0038775E" w:rsidRDefault="00877B9C" w:rsidP="002041D4">
            <w:pPr>
              <w:wordWrap w:val="0"/>
              <w:ind w:right="-29"/>
              <w:jc w:val="center"/>
              <w:rPr>
                <w:noProof/>
                <w:sz w:val="18"/>
                <w:szCs w:val="18"/>
              </w:rPr>
            </w:pPr>
            <w:r w:rsidRPr="00DF5C23">
              <w:rPr>
                <w:noProof/>
                <w:sz w:val="18"/>
                <w:szCs w:val="18"/>
              </w:rPr>
              <w:t>9,000</w:t>
            </w:r>
          </w:p>
        </w:tc>
        <w:tc>
          <w:tcPr>
            <w:tcW w:w="567" w:type="dxa"/>
          </w:tcPr>
          <w:p w14:paraId="30F2A8C4" w14:textId="77777777" w:rsidR="0038775E" w:rsidRDefault="00877B9C" w:rsidP="002041D4">
            <w:pPr>
              <w:wordWrap w:val="0"/>
              <w:ind w:right="-29"/>
              <w:jc w:val="center"/>
              <w:rPr>
                <w:noProof/>
                <w:sz w:val="18"/>
                <w:szCs w:val="18"/>
              </w:rPr>
            </w:pPr>
            <w:r w:rsidRPr="00DF5C23">
              <w:rPr>
                <w:noProof/>
                <w:sz w:val="18"/>
                <w:szCs w:val="18"/>
              </w:rPr>
              <w:t>27</w:t>
            </w:r>
          </w:p>
        </w:tc>
        <w:tc>
          <w:tcPr>
            <w:tcW w:w="851" w:type="dxa"/>
          </w:tcPr>
          <w:p w14:paraId="6841411D" w14:textId="77777777" w:rsidR="0038775E" w:rsidRDefault="00877B9C" w:rsidP="002041D4">
            <w:pPr>
              <w:wordWrap w:val="0"/>
              <w:ind w:right="-29"/>
              <w:jc w:val="center"/>
              <w:rPr>
                <w:noProof/>
                <w:sz w:val="18"/>
                <w:szCs w:val="18"/>
              </w:rPr>
            </w:pPr>
            <w:r w:rsidRPr="00DF5C23">
              <w:rPr>
                <w:noProof/>
                <w:sz w:val="18"/>
                <w:szCs w:val="18"/>
              </w:rPr>
              <w:t>27,000</w:t>
            </w:r>
          </w:p>
        </w:tc>
      </w:tr>
      <w:tr w:rsidR="005C61BF" w:rsidRPr="00DF5C23" w14:paraId="2C3A5E82" w14:textId="77777777" w:rsidTr="009C47CC">
        <w:trPr>
          <w:gridAfter w:val="2"/>
          <w:wAfter w:w="574" w:type="dxa"/>
          <w:jc w:val="center"/>
        </w:trPr>
        <w:tc>
          <w:tcPr>
            <w:tcW w:w="2840" w:type="dxa"/>
            <w:gridSpan w:val="3"/>
            <w:tcBorders>
              <w:bottom w:val="single" w:sz="12" w:space="0" w:color="auto"/>
            </w:tcBorders>
            <w:vAlign w:val="center"/>
          </w:tcPr>
          <w:p w14:paraId="2A6BF48A" w14:textId="77777777" w:rsidR="0038775E" w:rsidRDefault="00877B9C" w:rsidP="002041D4">
            <w:pPr>
              <w:wordWrap w:val="0"/>
              <w:jc w:val="center"/>
              <w:rPr>
                <w:noProof/>
                <w:sz w:val="18"/>
                <w:szCs w:val="18"/>
              </w:rPr>
            </w:pPr>
            <w:r w:rsidRPr="00DF5C23">
              <w:rPr>
                <w:noProof/>
                <w:sz w:val="18"/>
              </w:rPr>
              <w:t>特定目的の小計</w:t>
            </w:r>
            <w:r w:rsidRPr="00DF5C23">
              <w:rPr>
                <w:noProof/>
                <w:sz w:val="18"/>
              </w:rPr>
              <w:t xml:space="preserve"> No.3</w:t>
            </w:r>
          </w:p>
        </w:tc>
        <w:tc>
          <w:tcPr>
            <w:tcW w:w="503" w:type="dxa"/>
            <w:tcBorders>
              <w:bottom w:val="single" w:sz="12" w:space="0" w:color="auto"/>
            </w:tcBorders>
          </w:tcPr>
          <w:p w14:paraId="0A912768" w14:textId="77777777" w:rsidR="0038775E" w:rsidRDefault="00877B9C" w:rsidP="002041D4">
            <w:pPr>
              <w:wordWrap w:val="0"/>
              <w:ind w:right="-29"/>
              <w:jc w:val="center"/>
              <w:rPr>
                <w:noProof/>
                <w:sz w:val="18"/>
                <w:szCs w:val="18"/>
              </w:rPr>
            </w:pPr>
            <w:r w:rsidRPr="00DF5C23">
              <w:rPr>
                <w:noProof/>
                <w:sz w:val="18"/>
                <w:szCs w:val="18"/>
              </w:rPr>
              <w:t>-</w:t>
            </w:r>
          </w:p>
        </w:tc>
        <w:tc>
          <w:tcPr>
            <w:tcW w:w="720" w:type="dxa"/>
            <w:tcBorders>
              <w:bottom w:val="single" w:sz="12" w:space="0" w:color="auto"/>
            </w:tcBorders>
          </w:tcPr>
          <w:p w14:paraId="7DA16904" w14:textId="77777777" w:rsidR="0038775E" w:rsidRDefault="00877B9C" w:rsidP="002041D4">
            <w:pPr>
              <w:wordWrap w:val="0"/>
              <w:ind w:right="-29"/>
              <w:jc w:val="center"/>
              <w:rPr>
                <w:noProof/>
                <w:sz w:val="18"/>
                <w:szCs w:val="18"/>
              </w:rPr>
            </w:pPr>
            <w:r w:rsidRPr="00DF5C23">
              <w:rPr>
                <w:noProof/>
                <w:sz w:val="18"/>
                <w:szCs w:val="18"/>
              </w:rPr>
              <w:t>-</w:t>
            </w:r>
          </w:p>
        </w:tc>
        <w:tc>
          <w:tcPr>
            <w:tcW w:w="540" w:type="dxa"/>
            <w:tcBorders>
              <w:bottom w:val="single" w:sz="12" w:space="0" w:color="auto"/>
            </w:tcBorders>
          </w:tcPr>
          <w:p w14:paraId="3446AD0C" w14:textId="77777777" w:rsidR="0038775E" w:rsidRDefault="00877B9C" w:rsidP="002041D4">
            <w:pPr>
              <w:wordWrap w:val="0"/>
              <w:ind w:right="-29"/>
              <w:jc w:val="center"/>
              <w:rPr>
                <w:noProof/>
                <w:sz w:val="18"/>
                <w:szCs w:val="18"/>
              </w:rPr>
            </w:pPr>
            <w:r w:rsidRPr="00DF5C23">
              <w:rPr>
                <w:noProof/>
                <w:sz w:val="18"/>
                <w:szCs w:val="18"/>
              </w:rPr>
              <w:t>-</w:t>
            </w:r>
          </w:p>
        </w:tc>
        <w:tc>
          <w:tcPr>
            <w:tcW w:w="720" w:type="dxa"/>
            <w:tcBorders>
              <w:bottom w:val="single" w:sz="12" w:space="0" w:color="auto"/>
            </w:tcBorders>
          </w:tcPr>
          <w:p w14:paraId="16698319" w14:textId="77777777" w:rsidR="0038775E" w:rsidRDefault="00877B9C" w:rsidP="002041D4">
            <w:pPr>
              <w:wordWrap w:val="0"/>
              <w:ind w:right="-29"/>
              <w:jc w:val="center"/>
              <w:rPr>
                <w:noProof/>
                <w:sz w:val="18"/>
                <w:szCs w:val="18"/>
              </w:rPr>
            </w:pPr>
            <w:r w:rsidRPr="00DF5C23">
              <w:rPr>
                <w:noProof/>
                <w:sz w:val="18"/>
                <w:szCs w:val="18"/>
              </w:rPr>
              <w:t>-</w:t>
            </w:r>
          </w:p>
        </w:tc>
        <w:tc>
          <w:tcPr>
            <w:tcW w:w="720" w:type="dxa"/>
            <w:tcBorders>
              <w:bottom w:val="single" w:sz="12" w:space="0" w:color="auto"/>
            </w:tcBorders>
          </w:tcPr>
          <w:p w14:paraId="68D71279" w14:textId="77777777" w:rsidR="0038775E" w:rsidRDefault="00877B9C" w:rsidP="002041D4">
            <w:pPr>
              <w:wordWrap w:val="0"/>
              <w:ind w:right="-29"/>
              <w:jc w:val="center"/>
              <w:rPr>
                <w:noProof/>
                <w:sz w:val="18"/>
                <w:szCs w:val="18"/>
              </w:rPr>
            </w:pPr>
            <w:r w:rsidRPr="00DF5C23">
              <w:rPr>
                <w:noProof/>
                <w:sz w:val="18"/>
                <w:szCs w:val="18"/>
              </w:rPr>
              <w:t>3</w:t>
            </w:r>
          </w:p>
        </w:tc>
        <w:tc>
          <w:tcPr>
            <w:tcW w:w="720" w:type="dxa"/>
            <w:tcBorders>
              <w:bottom w:val="single" w:sz="12" w:space="0" w:color="auto"/>
            </w:tcBorders>
          </w:tcPr>
          <w:p w14:paraId="1DEC953C" w14:textId="77777777" w:rsidR="0038775E" w:rsidRDefault="00877B9C" w:rsidP="002041D4">
            <w:pPr>
              <w:wordWrap w:val="0"/>
              <w:ind w:right="-29"/>
              <w:jc w:val="center"/>
              <w:rPr>
                <w:noProof/>
                <w:sz w:val="18"/>
                <w:szCs w:val="18"/>
              </w:rPr>
            </w:pPr>
            <w:r w:rsidRPr="00DF5C23">
              <w:rPr>
                <w:noProof/>
                <w:sz w:val="18"/>
                <w:szCs w:val="18"/>
              </w:rPr>
              <w:t>3,000</w:t>
            </w:r>
          </w:p>
        </w:tc>
        <w:tc>
          <w:tcPr>
            <w:tcW w:w="929" w:type="dxa"/>
            <w:gridSpan w:val="2"/>
            <w:tcBorders>
              <w:bottom w:val="single" w:sz="12" w:space="0" w:color="auto"/>
            </w:tcBorders>
          </w:tcPr>
          <w:p w14:paraId="1825DA25" w14:textId="77777777" w:rsidR="0038775E" w:rsidRDefault="00877B9C" w:rsidP="002041D4">
            <w:pPr>
              <w:wordWrap w:val="0"/>
              <w:ind w:right="-29"/>
              <w:jc w:val="center"/>
              <w:rPr>
                <w:noProof/>
                <w:sz w:val="18"/>
                <w:szCs w:val="18"/>
              </w:rPr>
            </w:pPr>
            <w:r w:rsidRPr="00DF5C23">
              <w:rPr>
                <w:noProof/>
                <w:sz w:val="18"/>
                <w:szCs w:val="18"/>
              </w:rPr>
              <w:t>6</w:t>
            </w:r>
          </w:p>
        </w:tc>
        <w:tc>
          <w:tcPr>
            <w:tcW w:w="691" w:type="dxa"/>
            <w:tcBorders>
              <w:bottom w:val="single" w:sz="12" w:space="0" w:color="auto"/>
            </w:tcBorders>
          </w:tcPr>
          <w:p w14:paraId="7F2E6B85" w14:textId="77777777" w:rsidR="0038775E" w:rsidRDefault="00877B9C" w:rsidP="002041D4">
            <w:pPr>
              <w:wordWrap w:val="0"/>
              <w:ind w:right="-29"/>
              <w:jc w:val="center"/>
              <w:rPr>
                <w:noProof/>
                <w:sz w:val="18"/>
                <w:szCs w:val="18"/>
              </w:rPr>
            </w:pPr>
            <w:r w:rsidRPr="00DF5C23">
              <w:rPr>
                <w:noProof/>
                <w:sz w:val="18"/>
                <w:szCs w:val="18"/>
              </w:rPr>
              <w:t>6,000</w:t>
            </w:r>
          </w:p>
        </w:tc>
        <w:tc>
          <w:tcPr>
            <w:tcW w:w="540" w:type="dxa"/>
            <w:tcBorders>
              <w:bottom w:val="single" w:sz="12" w:space="0" w:color="auto"/>
            </w:tcBorders>
          </w:tcPr>
          <w:p w14:paraId="32DFC25B" w14:textId="77777777" w:rsidR="0038775E" w:rsidRDefault="00877B9C" w:rsidP="002041D4">
            <w:pPr>
              <w:wordWrap w:val="0"/>
              <w:ind w:right="-29"/>
              <w:jc w:val="center"/>
              <w:rPr>
                <w:noProof/>
                <w:sz w:val="18"/>
                <w:szCs w:val="18"/>
              </w:rPr>
            </w:pPr>
            <w:r w:rsidRPr="00DF5C23">
              <w:rPr>
                <w:noProof/>
                <w:sz w:val="18"/>
                <w:szCs w:val="18"/>
              </w:rPr>
              <w:t>9</w:t>
            </w:r>
          </w:p>
        </w:tc>
        <w:tc>
          <w:tcPr>
            <w:tcW w:w="753" w:type="dxa"/>
            <w:tcBorders>
              <w:bottom w:val="single" w:sz="12" w:space="0" w:color="auto"/>
            </w:tcBorders>
          </w:tcPr>
          <w:p w14:paraId="4D2FEC68" w14:textId="77777777" w:rsidR="0038775E" w:rsidRDefault="00877B9C" w:rsidP="002041D4">
            <w:pPr>
              <w:wordWrap w:val="0"/>
              <w:ind w:right="-29"/>
              <w:jc w:val="center"/>
              <w:rPr>
                <w:noProof/>
                <w:sz w:val="18"/>
                <w:szCs w:val="18"/>
              </w:rPr>
            </w:pPr>
            <w:r w:rsidRPr="00DF5C23">
              <w:rPr>
                <w:noProof/>
                <w:sz w:val="18"/>
                <w:szCs w:val="18"/>
              </w:rPr>
              <w:t>9,000</w:t>
            </w:r>
          </w:p>
        </w:tc>
        <w:tc>
          <w:tcPr>
            <w:tcW w:w="426" w:type="dxa"/>
            <w:tcBorders>
              <w:bottom w:val="single" w:sz="12" w:space="0" w:color="auto"/>
            </w:tcBorders>
          </w:tcPr>
          <w:p w14:paraId="428D3955" w14:textId="77777777" w:rsidR="0038775E" w:rsidRDefault="00877B9C" w:rsidP="002041D4">
            <w:pPr>
              <w:wordWrap w:val="0"/>
              <w:ind w:right="-29"/>
              <w:jc w:val="center"/>
              <w:rPr>
                <w:noProof/>
                <w:sz w:val="18"/>
                <w:szCs w:val="18"/>
              </w:rPr>
            </w:pPr>
            <w:r w:rsidRPr="00DF5C23">
              <w:rPr>
                <w:noProof/>
                <w:sz w:val="18"/>
                <w:szCs w:val="18"/>
              </w:rPr>
              <w:t>9</w:t>
            </w:r>
          </w:p>
        </w:tc>
        <w:tc>
          <w:tcPr>
            <w:tcW w:w="850" w:type="dxa"/>
            <w:tcBorders>
              <w:bottom w:val="single" w:sz="12" w:space="0" w:color="auto"/>
            </w:tcBorders>
          </w:tcPr>
          <w:p w14:paraId="3EDD4CC4" w14:textId="77777777" w:rsidR="0038775E" w:rsidRDefault="00877B9C" w:rsidP="002041D4">
            <w:pPr>
              <w:wordWrap w:val="0"/>
              <w:ind w:right="-29"/>
              <w:jc w:val="center"/>
              <w:rPr>
                <w:noProof/>
                <w:sz w:val="18"/>
                <w:szCs w:val="18"/>
              </w:rPr>
            </w:pPr>
            <w:r w:rsidRPr="00DF5C23">
              <w:rPr>
                <w:noProof/>
                <w:sz w:val="18"/>
                <w:szCs w:val="18"/>
              </w:rPr>
              <w:t>9,000</w:t>
            </w:r>
          </w:p>
        </w:tc>
        <w:tc>
          <w:tcPr>
            <w:tcW w:w="567" w:type="dxa"/>
            <w:tcBorders>
              <w:bottom w:val="single" w:sz="12" w:space="0" w:color="auto"/>
            </w:tcBorders>
          </w:tcPr>
          <w:p w14:paraId="4AD6E1B4" w14:textId="77777777" w:rsidR="0038775E" w:rsidRDefault="00877B9C" w:rsidP="002041D4">
            <w:pPr>
              <w:wordWrap w:val="0"/>
              <w:ind w:right="-29"/>
              <w:jc w:val="center"/>
              <w:rPr>
                <w:noProof/>
                <w:sz w:val="18"/>
                <w:szCs w:val="18"/>
              </w:rPr>
            </w:pPr>
            <w:r w:rsidRPr="00DF5C23">
              <w:rPr>
                <w:noProof/>
                <w:sz w:val="18"/>
                <w:szCs w:val="18"/>
              </w:rPr>
              <w:t>27</w:t>
            </w:r>
          </w:p>
        </w:tc>
        <w:tc>
          <w:tcPr>
            <w:tcW w:w="851" w:type="dxa"/>
            <w:tcBorders>
              <w:bottom w:val="single" w:sz="12" w:space="0" w:color="auto"/>
            </w:tcBorders>
          </w:tcPr>
          <w:p w14:paraId="309DA2D0" w14:textId="77777777" w:rsidR="0038775E" w:rsidRDefault="00877B9C" w:rsidP="002041D4">
            <w:pPr>
              <w:wordWrap w:val="0"/>
              <w:ind w:right="-29"/>
              <w:jc w:val="center"/>
              <w:rPr>
                <w:noProof/>
                <w:sz w:val="18"/>
                <w:szCs w:val="18"/>
              </w:rPr>
            </w:pPr>
            <w:r w:rsidRPr="00DF5C23">
              <w:rPr>
                <w:noProof/>
                <w:sz w:val="18"/>
                <w:szCs w:val="18"/>
              </w:rPr>
              <w:t>27,000</w:t>
            </w:r>
          </w:p>
        </w:tc>
      </w:tr>
      <w:tr w:rsidR="005C61BF" w:rsidRPr="00DF5C23" w14:paraId="2C3A5E92" w14:textId="77777777" w:rsidTr="009C47CC">
        <w:trPr>
          <w:gridAfter w:val="2"/>
          <w:wAfter w:w="574" w:type="dxa"/>
          <w:jc w:val="center"/>
        </w:trPr>
        <w:tc>
          <w:tcPr>
            <w:tcW w:w="2840" w:type="dxa"/>
            <w:gridSpan w:val="3"/>
            <w:tcBorders>
              <w:top w:val="single" w:sz="12" w:space="0" w:color="auto"/>
              <w:left w:val="single" w:sz="12" w:space="0" w:color="auto"/>
              <w:bottom w:val="single" w:sz="12" w:space="0" w:color="auto"/>
            </w:tcBorders>
            <w:vAlign w:val="center"/>
          </w:tcPr>
          <w:p w14:paraId="2A7BD909" w14:textId="77777777" w:rsidR="0038775E" w:rsidRDefault="00877B9C" w:rsidP="002041D4">
            <w:pPr>
              <w:wordWrap w:val="0"/>
              <w:ind w:right="-29"/>
              <w:jc w:val="center"/>
              <w:rPr>
                <w:noProof/>
                <w:sz w:val="18"/>
                <w:szCs w:val="18"/>
              </w:rPr>
            </w:pPr>
            <w:r w:rsidRPr="00DF5C23">
              <w:rPr>
                <w:b/>
                <w:noProof/>
                <w:sz w:val="18"/>
              </w:rPr>
              <w:t>TOTALS</w:t>
            </w:r>
          </w:p>
        </w:tc>
        <w:tc>
          <w:tcPr>
            <w:tcW w:w="503" w:type="dxa"/>
            <w:tcBorders>
              <w:top w:val="single" w:sz="12" w:space="0" w:color="auto"/>
              <w:bottom w:val="single" w:sz="12" w:space="0" w:color="auto"/>
            </w:tcBorders>
          </w:tcPr>
          <w:p w14:paraId="6C41EF15" w14:textId="77777777" w:rsidR="0038775E" w:rsidRDefault="00877B9C" w:rsidP="002041D4">
            <w:pPr>
              <w:wordWrap w:val="0"/>
              <w:spacing w:before="180" w:after="180"/>
              <w:ind w:right="-29"/>
              <w:jc w:val="center"/>
              <w:rPr>
                <w:noProof/>
                <w:sz w:val="18"/>
                <w:szCs w:val="18"/>
              </w:rPr>
            </w:pPr>
            <w:r w:rsidRPr="00DF5C23">
              <w:rPr>
                <w:noProof/>
                <w:sz w:val="18"/>
                <w:szCs w:val="18"/>
              </w:rPr>
              <w:t>-</w:t>
            </w:r>
          </w:p>
        </w:tc>
        <w:tc>
          <w:tcPr>
            <w:tcW w:w="720" w:type="dxa"/>
            <w:tcBorders>
              <w:top w:val="single" w:sz="12" w:space="0" w:color="auto"/>
              <w:bottom w:val="single" w:sz="12" w:space="0" w:color="auto"/>
            </w:tcBorders>
          </w:tcPr>
          <w:p w14:paraId="387DD70A" w14:textId="77777777" w:rsidR="0038775E" w:rsidRDefault="00877B9C" w:rsidP="002041D4">
            <w:pPr>
              <w:wordWrap w:val="0"/>
              <w:spacing w:before="180" w:after="180"/>
              <w:ind w:right="-29"/>
              <w:jc w:val="center"/>
              <w:rPr>
                <w:noProof/>
                <w:sz w:val="18"/>
                <w:szCs w:val="18"/>
              </w:rPr>
            </w:pPr>
            <w:r w:rsidRPr="00DF5C23">
              <w:rPr>
                <w:noProof/>
                <w:sz w:val="18"/>
                <w:szCs w:val="18"/>
              </w:rPr>
              <w:t>-</w:t>
            </w:r>
          </w:p>
        </w:tc>
        <w:tc>
          <w:tcPr>
            <w:tcW w:w="540" w:type="dxa"/>
            <w:tcBorders>
              <w:top w:val="single" w:sz="12" w:space="0" w:color="auto"/>
              <w:bottom w:val="single" w:sz="12" w:space="0" w:color="auto"/>
            </w:tcBorders>
          </w:tcPr>
          <w:p w14:paraId="4EAF6F60" w14:textId="77777777" w:rsidR="0038775E" w:rsidRDefault="00877B9C" w:rsidP="002041D4">
            <w:pPr>
              <w:wordWrap w:val="0"/>
              <w:spacing w:before="180" w:after="180"/>
              <w:ind w:right="-29"/>
              <w:jc w:val="center"/>
              <w:rPr>
                <w:noProof/>
                <w:sz w:val="18"/>
                <w:szCs w:val="18"/>
              </w:rPr>
            </w:pPr>
            <w:r w:rsidRPr="00DF5C23">
              <w:rPr>
                <w:noProof/>
                <w:sz w:val="18"/>
                <w:szCs w:val="18"/>
              </w:rPr>
              <w:t>-</w:t>
            </w:r>
          </w:p>
        </w:tc>
        <w:tc>
          <w:tcPr>
            <w:tcW w:w="720" w:type="dxa"/>
            <w:tcBorders>
              <w:top w:val="single" w:sz="12" w:space="0" w:color="auto"/>
              <w:bottom w:val="single" w:sz="12" w:space="0" w:color="auto"/>
            </w:tcBorders>
          </w:tcPr>
          <w:p w14:paraId="3B50A06C" w14:textId="77777777" w:rsidR="0038775E" w:rsidRDefault="00877B9C" w:rsidP="002041D4">
            <w:pPr>
              <w:wordWrap w:val="0"/>
              <w:spacing w:before="180" w:after="180"/>
              <w:ind w:right="-29"/>
              <w:jc w:val="center"/>
              <w:rPr>
                <w:noProof/>
                <w:sz w:val="18"/>
                <w:szCs w:val="18"/>
              </w:rPr>
            </w:pPr>
            <w:r w:rsidRPr="00DF5C23">
              <w:rPr>
                <w:noProof/>
                <w:sz w:val="18"/>
                <w:szCs w:val="18"/>
              </w:rPr>
              <w:t>-</w:t>
            </w:r>
          </w:p>
        </w:tc>
        <w:tc>
          <w:tcPr>
            <w:tcW w:w="720" w:type="dxa"/>
            <w:tcBorders>
              <w:top w:val="single" w:sz="12" w:space="0" w:color="auto"/>
              <w:bottom w:val="single" w:sz="12" w:space="0" w:color="auto"/>
            </w:tcBorders>
          </w:tcPr>
          <w:p w14:paraId="1F273451" w14:textId="77777777" w:rsidR="0038775E" w:rsidRDefault="00877B9C" w:rsidP="002041D4">
            <w:pPr>
              <w:wordWrap w:val="0"/>
              <w:spacing w:before="180" w:after="180"/>
              <w:ind w:right="-29"/>
              <w:jc w:val="center"/>
              <w:rPr>
                <w:noProof/>
                <w:sz w:val="18"/>
                <w:szCs w:val="18"/>
              </w:rPr>
            </w:pPr>
            <w:r w:rsidRPr="00DF5C23">
              <w:rPr>
                <w:noProof/>
                <w:sz w:val="18"/>
                <w:szCs w:val="18"/>
              </w:rPr>
              <w:t>16</w:t>
            </w:r>
          </w:p>
        </w:tc>
        <w:tc>
          <w:tcPr>
            <w:tcW w:w="720" w:type="dxa"/>
            <w:tcBorders>
              <w:top w:val="single" w:sz="12" w:space="0" w:color="auto"/>
              <w:bottom w:val="single" w:sz="12" w:space="0" w:color="auto"/>
            </w:tcBorders>
          </w:tcPr>
          <w:p w14:paraId="3E0EBC2D" w14:textId="77777777" w:rsidR="0038775E" w:rsidRDefault="00877B9C" w:rsidP="002041D4">
            <w:pPr>
              <w:wordWrap w:val="0"/>
              <w:spacing w:before="180" w:after="180"/>
              <w:ind w:right="-29"/>
              <w:jc w:val="center"/>
              <w:rPr>
                <w:noProof/>
                <w:sz w:val="18"/>
                <w:szCs w:val="18"/>
              </w:rPr>
            </w:pPr>
            <w:r w:rsidRPr="00DF5C23">
              <w:rPr>
                <w:noProof/>
                <w:sz w:val="18"/>
                <w:szCs w:val="18"/>
              </w:rPr>
              <w:t>9,800</w:t>
            </w:r>
          </w:p>
        </w:tc>
        <w:tc>
          <w:tcPr>
            <w:tcW w:w="900" w:type="dxa"/>
            <w:tcBorders>
              <w:top w:val="single" w:sz="12" w:space="0" w:color="auto"/>
              <w:bottom w:val="single" w:sz="12" w:space="0" w:color="auto"/>
            </w:tcBorders>
          </w:tcPr>
          <w:p w14:paraId="5655DF64" w14:textId="77777777" w:rsidR="0038775E" w:rsidRDefault="00877B9C" w:rsidP="002041D4">
            <w:pPr>
              <w:wordWrap w:val="0"/>
              <w:spacing w:before="180" w:after="180"/>
              <w:ind w:right="-29"/>
              <w:jc w:val="center"/>
              <w:rPr>
                <w:noProof/>
                <w:sz w:val="18"/>
                <w:szCs w:val="18"/>
              </w:rPr>
            </w:pPr>
            <w:r w:rsidRPr="00DF5C23">
              <w:rPr>
                <w:noProof/>
                <w:sz w:val="18"/>
                <w:szCs w:val="18"/>
              </w:rPr>
              <w:t>20</w:t>
            </w:r>
          </w:p>
        </w:tc>
        <w:tc>
          <w:tcPr>
            <w:tcW w:w="720" w:type="dxa"/>
            <w:gridSpan w:val="2"/>
            <w:tcBorders>
              <w:top w:val="single" w:sz="12" w:space="0" w:color="auto"/>
              <w:bottom w:val="single" w:sz="12" w:space="0" w:color="auto"/>
            </w:tcBorders>
          </w:tcPr>
          <w:p w14:paraId="3767DF63" w14:textId="77777777" w:rsidR="0038775E" w:rsidRDefault="00877B9C" w:rsidP="002041D4">
            <w:pPr>
              <w:wordWrap w:val="0"/>
              <w:spacing w:before="180" w:after="180"/>
              <w:ind w:right="-29"/>
              <w:jc w:val="center"/>
              <w:rPr>
                <w:noProof/>
                <w:sz w:val="18"/>
                <w:szCs w:val="18"/>
              </w:rPr>
            </w:pPr>
            <w:r w:rsidRPr="00DF5C23">
              <w:rPr>
                <w:noProof/>
                <w:sz w:val="18"/>
                <w:szCs w:val="18"/>
              </w:rPr>
              <w:t>14,100</w:t>
            </w:r>
          </w:p>
        </w:tc>
        <w:tc>
          <w:tcPr>
            <w:tcW w:w="540" w:type="dxa"/>
            <w:tcBorders>
              <w:top w:val="single" w:sz="12" w:space="0" w:color="auto"/>
              <w:bottom w:val="single" w:sz="12" w:space="0" w:color="auto"/>
            </w:tcBorders>
          </w:tcPr>
          <w:p w14:paraId="26F1AD90" w14:textId="77777777" w:rsidR="0038775E" w:rsidRDefault="00877B9C" w:rsidP="002041D4">
            <w:pPr>
              <w:wordWrap w:val="0"/>
              <w:spacing w:before="180" w:after="180"/>
              <w:ind w:right="-29"/>
              <w:jc w:val="center"/>
              <w:rPr>
                <w:noProof/>
                <w:sz w:val="18"/>
                <w:szCs w:val="18"/>
              </w:rPr>
            </w:pPr>
            <w:r w:rsidRPr="00DF5C23">
              <w:rPr>
                <w:noProof/>
                <w:sz w:val="18"/>
                <w:szCs w:val="18"/>
              </w:rPr>
              <w:t>20</w:t>
            </w:r>
          </w:p>
        </w:tc>
        <w:tc>
          <w:tcPr>
            <w:tcW w:w="753" w:type="dxa"/>
            <w:tcBorders>
              <w:top w:val="single" w:sz="12" w:space="0" w:color="auto"/>
              <w:bottom w:val="single" w:sz="12" w:space="0" w:color="auto"/>
            </w:tcBorders>
          </w:tcPr>
          <w:p w14:paraId="209C2390" w14:textId="77777777" w:rsidR="0038775E" w:rsidRDefault="00877B9C" w:rsidP="002041D4">
            <w:pPr>
              <w:wordWrap w:val="0"/>
              <w:spacing w:before="180" w:after="180"/>
              <w:ind w:right="-29"/>
              <w:jc w:val="center"/>
              <w:rPr>
                <w:noProof/>
                <w:sz w:val="18"/>
                <w:szCs w:val="18"/>
              </w:rPr>
            </w:pPr>
            <w:r w:rsidRPr="00DF5C23">
              <w:rPr>
                <w:noProof/>
                <w:sz w:val="18"/>
                <w:szCs w:val="18"/>
              </w:rPr>
              <w:t>15,200</w:t>
            </w:r>
          </w:p>
        </w:tc>
        <w:tc>
          <w:tcPr>
            <w:tcW w:w="426" w:type="dxa"/>
            <w:tcBorders>
              <w:top w:val="single" w:sz="12" w:space="0" w:color="auto"/>
              <w:bottom w:val="single" w:sz="12" w:space="0" w:color="auto"/>
            </w:tcBorders>
          </w:tcPr>
          <w:p w14:paraId="210D1246" w14:textId="77777777" w:rsidR="0038775E" w:rsidRDefault="00877B9C" w:rsidP="002041D4">
            <w:pPr>
              <w:wordWrap w:val="0"/>
              <w:spacing w:before="180" w:after="180"/>
              <w:ind w:right="-29"/>
              <w:jc w:val="center"/>
              <w:rPr>
                <w:noProof/>
                <w:sz w:val="18"/>
                <w:szCs w:val="18"/>
              </w:rPr>
            </w:pPr>
            <w:r w:rsidRPr="00DF5C23">
              <w:rPr>
                <w:noProof/>
                <w:sz w:val="18"/>
                <w:szCs w:val="18"/>
              </w:rPr>
              <w:t>27</w:t>
            </w:r>
          </w:p>
        </w:tc>
        <w:tc>
          <w:tcPr>
            <w:tcW w:w="850" w:type="dxa"/>
            <w:tcBorders>
              <w:top w:val="single" w:sz="12" w:space="0" w:color="auto"/>
              <w:bottom w:val="single" w:sz="12" w:space="0" w:color="auto"/>
            </w:tcBorders>
          </w:tcPr>
          <w:p w14:paraId="0D82BB6F" w14:textId="77777777" w:rsidR="0038775E" w:rsidRDefault="00877B9C" w:rsidP="002041D4">
            <w:pPr>
              <w:wordWrap w:val="0"/>
              <w:spacing w:before="180" w:after="180"/>
              <w:ind w:right="-29"/>
              <w:jc w:val="center"/>
              <w:rPr>
                <w:noProof/>
                <w:sz w:val="18"/>
                <w:szCs w:val="18"/>
              </w:rPr>
            </w:pPr>
            <w:r w:rsidRPr="00DF5C23">
              <w:rPr>
                <w:noProof/>
                <w:sz w:val="18"/>
                <w:szCs w:val="18"/>
              </w:rPr>
              <w:t>20,600</w:t>
            </w:r>
          </w:p>
        </w:tc>
        <w:tc>
          <w:tcPr>
            <w:tcW w:w="567" w:type="dxa"/>
            <w:tcBorders>
              <w:top w:val="single" w:sz="12" w:space="0" w:color="auto"/>
              <w:bottom w:val="single" w:sz="12" w:space="0" w:color="auto"/>
            </w:tcBorders>
          </w:tcPr>
          <w:p w14:paraId="6B5D470C" w14:textId="77777777" w:rsidR="0038775E" w:rsidRDefault="00877B9C" w:rsidP="002041D4">
            <w:pPr>
              <w:wordWrap w:val="0"/>
              <w:spacing w:before="180" w:after="180"/>
              <w:ind w:right="-29"/>
              <w:jc w:val="center"/>
              <w:rPr>
                <w:noProof/>
                <w:sz w:val="18"/>
                <w:szCs w:val="18"/>
              </w:rPr>
            </w:pPr>
            <w:r w:rsidRPr="00DF5C23">
              <w:rPr>
                <w:noProof/>
                <w:sz w:val="18"/>
                <w:szCs w:val="18"/>
              </w:rPr>
              <w:t>83</w:t>
            </w:r>
          </w:p>
        </w:tc>
        <w:tc>
          <w:tcPr>
            <w:tcW w:w="851" w:type="dxa"/>
            <w:tcBorders>
              <w:top w:val="single" w:sz="12" w:space="0" w:color="auto"/>
              <w:bottom w:val="single" w:sz="12" w:space="0" w:color="auto"/>
            </w:tcBorders>
          </w:tcPr>
          <w:p w14:paraId="747B7A43" w14:textId="77777777" w:rsidR="0038775E" w:rsidRDefault="00877B9C" w:rsidP="002041D4">
            <w:pPr>
              <w:wordWrap w:val="0"/>
              <w:spacing w:before="180" w:after="180"/>
              <w:ind w:right="-29"/>
              <w:jc w:val="center"/>
              <w:rPr>
                <w:noProof/>
                <w:sz w:val="18"/>
                <w:szCs w:val="18"/>
              </w:rPr>
            </w:pPr>
            <w:r w:rsidRPr="00DF5C23">
              <w:rPr>
                <w:noProof/>
                <w:sz w:val="18"/>
                <w:szCs w:val="18"/>
              </w:rPr>
              <w:t>59,700</w:t>
            </w:r>
          </w:p>
        </w:tc>
      </w:tr>
    </w:tbl>
    <w:p w14:paraId="2C3A5E93" w14:textId="77777777" w:rsidR="00BF1765" w:rsidRPr="00DF5C23" w:rsidRDefault="00BF1765" w:rsidP="002041D4">
      <w:pPr>
        <w:wordWrap w:val="0"/>
        <w:rPr>
          <w:rFonts w:eastAsia="Calibri"/>
          <w:noProof/>
        </w:rPr>
        <w:sectPr w:rsidR="00BF1765" w:rsidRPr="00DF5C23" w:rsidSect="008B42B0">
          <w:headerReference w:type="default" r:id="rId16"/>
          <w:footerReference w:type="default" r:id="rId17"/>
          <w:headerReference w:type="first" r:id="rId18"/>
          <w:footerReference w:type="first" r:id="rId19"/>
          <w:pgSz w:w="16840" w:h="11907" w:orient="landscape" w:code="9"/>
          <w:pgMar w:top="1134" w:right="1418" w:bottom="567" w:left="1418" w:header="709" w:footer="709" w:gutter="0"/>
          <w:cols w:space="708"/>
          <w:docGrid w:linePitch="360"/>
        </w:sectPr>
      </w:pPr>
    </w:p>
    <w:p w14:paraId="0080FC94" w14:textId="77777777" w:rsidR="0038775E" w:rsidRDefault="00877B9C" w:rsidP="002041D4">
      <w:pPr>
        <w:pStyle w:val="ManualHeading3"/>
        <w:wordWrap w:val="0"/>
        <w:rPr>
          <w:bCs/>
          <w:noProof/>
          <w:szCs w:val="24"/>
          <w:lang w:eastAsia="ja-JP"/>
        </w:rPr>
      </w:pPr>
      <w:bookmarkStart w:id="59" w:name="_Toc514938055"/>
      <w:bookmarkStart w:id="60" w:name="_Toc520485054"/>
      <w:r w:rsidRPr="004F5E59">
        <w:rPr>
          <w:lang w:eastAsia="ja-JP"/>
        </w:rPr>
        <w:lastRenderedPageBreak/>
        <w:t>3.2.3.</w:t>
      </w:r>
      <w:r w:rsidRPr="004F5E59">
        <w:rPr>
          <w:lang w:eastAsia="ja-JP"/>
        </w:rPr>
        <w:tab/>
      </w:r>
      <w:r w:rsidR="003102BB" w:rsidRPr="00DF5C23">
        <w:rPr>
          <w:noProof/>
          <w:lang w:eastAsia="ja-JP"/>
        </w:rPr>
        <w:t>行政処分への影響試算の概要</w:t>
      </w:r>
      <w:r w:rsidR="003102BB" w:rsidRPr="00DF5C23">
        <w:rPr>
          <w:noProof/>
          <w:lang w:eastAsia="ja-JP"/>
        </w:rPr>
        <w:t xml:space="preserve"> </w:t>
      </w:r>
      <w:bookmarkEnd w:id="59"/>
      <w:bookmarkEnd w:id="60"/>
    </w:p>
    <w:p w14:paraId="6F665B68" w14:textId="77777777" w:rsidR="0038775E" w:rsidRDefault="00877B9C" w:rsidP="002041D4">
      <w:pPr>
        <w:pStyle w:val="Bullet1"/>
        <w:wordWrap w:val="0"/>
        <w:rPr>
          <w:noProof/>
          <w:lang w:eastAsia="de-DE"/>
        </w:rPr>
      </w:pPr>
      <w:r w:rsidRPr="00DF5C23">
        <w:rPr>
          <w:noProof/>
          <w:lang w:eastAsia="de-DE"/>
        </w:rPr>
        <w:sym w:font="Wingdings" w:char="F0A8"/>
      </w:r>
      <w:r w:rsidRPr="00DF5C23">
        <w:rPr>
          <w:noProof/>
          <w:lang w:eastAsia="de-DE"/>
        </w:rPr>
        <w:tab/>
      </w:r>
      <w:r w:rsidRPr="00DF5C23">
        <w:rPr>
          <w:noProof/>
          <w:lang w:eastAsia="de-DE"/>
        </w:rPr>
        <w:t>提案</w:t>
      </w:r>
      <w:r w:rsidRPr="00DF5C23">
        <w:rPr>
          <w:noProof/>
          <w:lang w:eastAsia="de-DE"/>
        </w:rPr>
        <w:t>/</w:t>
      </w:r>
      <w:r w:rsidRPr="00DF5C23">
        <w:rPr>
          <w:noProof/>
          <w:lang w:eastAsia="de-DE"/>
        </w:rPr>
        <w:t>イニシアチブは、管理的性質の充当を必要としない。</w:t>
      </w:r>
      <w:r w:rsidRPr="00DF5C23">
        <w:rPr>
          <w:noProof/>
          <w:lang w:eastAsia="de-DE"/>
        </w:rPr>
        <w:t xml:space="preserve"> </w:t>
      </w:r>
    </w:p>
    <w:p w14:paraId="44CD93FA" w14:textId="056FC286" w:rsidR="0038775E" w:rsidRDefault="00877B9C" w:rsidP="002041D4">
      <w:pPr>
        <w:pStyle w:val="Bullet1"/>
        <w:wordWrap w:val="0"/>
        <w:rPr>
          <w:noProof/>
          <w:lang w:eastAsia="de-DE"/>
        </w:rPr>
      </w:pPr>
      <w:r w:rsidRPr="00DF5C23">
        <w:rPr>
          <w:noProof/>
          <w:lang w:eastAsia="de-DE"/>
        </w:rPr>
        <w:sym w:font="Wingdings" w:char="F0FE"/>
      </w:r>
      <w:r w:rsidRPr="00DF5C23">
        <w:rPr>
          <w:noProof/>
          <w:lang w:eastAsia="de-DE"/>
        </w:rPr>
        <w:tab/>
      </w:r>
      <w:r w:rsidRPr="00DF5C23">
        <w:rPr>
          <w:noProof/>
          <w:lang w:eastAsia="de-DE"/>
        </w:rPr>
        <w:t>この提案は、以下のように、管理的な性質の充当を必要とするもの</w:t>
      </w:r>
      <w:r w:rsidR="002041D4">
        <w:rPr>
          <w:noProof/>
          <w:lang w:eastAsia="de-DE"/>
        </w:rPr>
        <w:t>である</w:t>
      </w:r>
      <w:r w:rsidRPr="00DF5C23">
        <w:rPr>
          <w:noProof/>
          <w:lang w:eastAsia="de-DE"/>
        </w:rPr>
        <w:t>：</w:t>
      </w:r>
    </w:p>
    <w:p w14:paraId="1DB2B21E" w14:textId="77777777" w:rsidR="0038775E" w:rsidRDefault="00877B9C" w:rsidP="002041D4">
      <w:pPr>
        <w:wordWrap w:val="0"/>
        <w:jc w:val="right"/>
        <w:rPr>
          <w:rFonts w:eastAsia="Calibri"/>
          <w:noProof/>
          <w:sz w:val="20"/>
          <w:lang w:eastAsia="ja-JP"/>
        </w:rPr>
      </w:pPr>
      <w:r w:rsidRPr="00DF5C23">
        <w:rPr>
          <w:rFonts w:eastAsia="Calibri"/>
          <w:noProof/>
          <w:sz w:val="20"/>
          <w:lang w:eastAsia="ja-JP"/>
        </w:rPr>
        <w:t>百万ユーロ（小数点以下</w:t>
      </w:r>
      <w:r w:rsidRPr="00DF5C23">
        <w:rPr>
          <w:rFonts w:eastAsia="Calibri"/>
          <w:noProof/>
          <w:sz w:val="20"/>
          <w:lang w:eastAsia="ja-JP"/>
        </w:rPr>
        <w:t>3</w:t>
      </w:r>
      <w:r w:rsidRPr="00DF5C23">
        <w:rPr>
          <w:rFonts w:eastAsia="Calibri"/>
          <w:noProof/>
          <w:sz w:val="20"/>
          <w:lang w:eastAsia="ja-JP"/>
        </w:rPr>
        <w:t>桁まで）</w:t>
      </w:r>
    </w:p>
    <w:tbl>
      <w:tblPr>
        <w:tblW w:w="954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tblGrid>
      <w:tr w:rsidR="00BF1765" w:rsidRPr="00DF5C23" w14:paraId="2C3A5EA0" w14:textId="77777777" w:rsidTr="00743354">
        <w:trPr>
          <w:trHeight w:val="585"/>
        </w:trPr>
        <w:tc>
          <w:tcPr>
            <w:tcW w:w="1980" w:type="dxa"/>
          </w:tcPr>
          <w:p w14:paraId="2C3A5E98" w14:textId="77777777" w:rsidR="00BF1765" w:rsidRPr="00DF5C23" w:rsidRDefault="00BF1765" w:rsidP="002041D4">
            <w:pPr>
              <w:wordWrap w:val="0"/>
              <w:spacing w:before="60" w:after="60" w:line="200" w:lineRule="exact"/>
              <w:rPr>
                <w:rFonts w:eastAsia="Calibri"/>
                <w:noProof/>
                <w:sz w:val="16"/>
                <w:szCs w:val="16"/>
                <w:lang w:eastAsia="ja-JP"/>
              </w:rPr>
            </w:pPr>
          </w:p>
        </w:tc>
        <w:tc>
          <w:tcPr>
            <w:tcW w:w="1080" w:type="dxa"/>
            <w:vAlign w:val="center"/>
          </w:tcPr>
          <w:p w14:paraId="6B67E9A2" w14:textId="77777777" w:rsidR="0038775E" w:rsidRDefault="00877B9C" w:rsidP="002041D4">
            <w:pPr>
              <w:wordWrap w:val="0"/>
              <w:spacing w:before="60" w:after="60" w:line="200" w:lineRule="exact"/>
              <w:jc w:val="center"/>
              <w:rPr>
                <w:rFonts w:eastAsia="Calibri"/>
                <w:noProof/>
                <w:sz w:val="16"/>
                <w:szCs w:val="16"/>
              </w:rPr>
            </w:pPr>
            <w:r w:rsidRPr="00DF5C23">
              <w:rPr>
                <w:rFonts w:eastAsia="Calibri"/>
                <w:noProof/>
                <w:sz w:val="20"/>
                <w:szCs w:val="20"/>
              </w:rPr>
              <w:t>年</w:t>
            </w:r>
            <w:r w:rsidRPr="00DF5C23">
              <w:rPr>
                <w:rFonts w:eastAsia="Calibri"/>
                <w:noProof/>
                <w:sz w:val="22"/>
              </w:rPr>
              <w:br/>
            </w:r>
            <w:r w:rsidRPr="00DF5C23">
              <w:rPr>
                <w:rFonts w:eastAsia="Calibri"/>
                <w:b/>
                <w:bCs/>
                <w:noProof/>
                <w:sz w:val="20"/>
                <w:szCs w:val="20"/>
              </w:rPr>
              <w:t>2022</w:t>
            </w:r>
          </w:p>
        </w:tc>
        <w:tc>
          <w:tcPr>
            <w:tcW w:w="1080" w:type="dxa"/>
            <w:vAlign w:val="center"/>
          </w:tcPr>
          <w:p w14:paraId="0C7AE9A9" w14:textId="77777777" w:rsidR="0038775E" w:rsidRDefault="00877B9C" w:rsidP="002041D4">
            <w:pPr>
              <w:wordWrap w:val="0"/>
              <w:spacing w:before="60" w:after="60" w:line="200" w:lineRule="exact"/>
              <w:jc w:val="center"/>
              <w:rPr>
                <w:rFonts w:eastAsia="Calibri"/>
                <w:noProof/>
                <w:sz w:val="16"/>
                <w:szCs w:val="16"/>
              </w:rPr>
            </w:pPr>
            <w:r w:rsidRPr="00DF5C23">
              <w:rPr>
                <w:rFonts w:eastAsia="Calibri"/>
                <w:noProof/>
                <w:sz w:val="20"/>
              </w:rPr>
              <w:t>年</w:t>
            </w:r>
            <w:r w:rsidRPr="00DF5C23">
              <w:rPr>
                <w:rFonts w:eastAsia="Calibri"/>
                <w:noProof/>
                <w:sz w:val="22"/>
              </w:rPr>
              <w:br/>
            </w:r>
            <w:r w:rsidRPr="00DF5C23">
              <w:rPr>
                <w:rFonts w:eastAsia="Calibri"/>
                <w:b/>
                <w:noProof/>
                <w:sz w:val="20"/>
              </w:rPr>
              <w:t>2023</w:t>
            </w:r>
          </w:p>
        </w:tc>
        <w:tc>
          <w:tcPr>
            <w:tcW w:w="1080" w:type="dxa"/>
            <w:vAlign w:val="center"/>
          </w:tcPr>
          <w:p w14:paraId="6262AAF8" w14:textId="77777777" w:rsidR="0038775E" w:rsidRDefault="00877B9C" w:rsidP="002041D4">
            <w:pPr>
              <w:wordWrap w:val="0"/>
              <w:spacing w:before="60" w:after="60" w:line="200" w:lineRule="exact"/>
              <w:jc w:val="center"/>
              <w:rPr>
                <w:rFonts w:eastAsia="Calibri"/>
                <w:noProof/>
                <w:sz w:val="16"/>
                <w:szCs w:val="16"/>
              </w:rPr>
            </w:pPr>
            <w:r w:rsidRPr="00DF5C23">
              <w:rPr>
                <w:rFonts w:eastAsia="Calibri"/>
                <w:noProof/>
                <w:sz w:val="20"/>
              </w:rPr>
              <w:t>年</w:t>
            </w:r>
            <w:r w:rsidRPr="00DF5C23">
              <w:rPr>
                <w:rFonts w:eastAsia="Calibri"/>
                <w:noProof/>
                <w:sz w:val="22"/>
              </w:rPr>
              <w:br/>
            </w:r>
            <w:r w:rsidRPr="00DF5C23">
              <w:rPr>
                <w:rFonts w:eastAsia="Calibri"/>
                <w:b/>
                <w:noProof/>
                <w:sz w:val="20"/>
              </w:rPr>
              <w:t>2024</w:t>
            </w:r>
          </w:p>
        </w:tc>
        <w:tc>
          <w:tcPr>
            <w:tcW w:w="1080" w:type="dxa"/>
            <w:vAlign w:val="center"/>
          </w:tcPr>
          <w:p w14:paraId="7E45DD3B" w14:textId="77777777" w:rsidR="0038775E" w:rsidRDefault="00877B9C" w:rsidP="002041D4">
            <w:pPr>
              <w:wordWrap w:val="0"/>
              <w:spacing w:before="60" w:after="60" w:line="200" w:lineRule="exact"/>
              <w:jc w:val="center"/>
              <w:rPr>
                <w:rFonts w:eastAsia="Calibri"/>
                <w:noProof/>
                <w:sz w:val="16"/>
                <w:szCs w:val="16"/>
              </w:rPr>
            </w:pPr>
            <w:r w:rsidRPr="00DF5C23">
              <w:rPr>
                <w:rFonts w:eastAsia="Calibri"/>
                <w:noProof/>
                <w:sz w:val="20"/>
              </w:rPr>
              <w:t>年</w:t>
            </w:r>
            <w:r w:rsidRPr="00DF5C23">
              <w:rPr>
                <w:rFonts w:eastAsia="Calibri"/>
                <w:noProof/>
                <w:sz w:val="22"/>
              </w:rPr>
              <w:br/>
            </w:r>
            <w:r w:rsidRPr="00DF5C23">
              <w:rPr>
                <w:rFonts w:eastAsia="Calibri"/>
                <w:b/>
                <w:noProof/>
                <w:sz w:val="20"/>
              </w:rPr>
              <w:t>2025</w:t>
            </w:r>
          </w:p>
        </w:tc>
        <w:tc>
          <w:tcPr>
            <w:tcW w:w="1080" w:type="dxa"/>
            <w:vAlign w:val="center"/>
          </w:tcPr>
          <w:p w14:paraId="59452B46" w14:textId="77777777" w:rsidR="0038775E" w:rsidRDefault="00877B9C" w:rsidP="002041D4">
            <w:pPr>
              <w:wordWrap w:val="0"/>
              <w:spacing w:line="200" w:lineRule="exact"/>
              <w:jc w:val="center"/>
              <w:rPr>
                <w:rFonts w:eastAsia="Calibri"/>
                <w:b/>
                <w:noProof/>
                <w:sz w:val="16"/>
                <w:szCs w:val="16"/>
              </w:rPr>
            </w:pPr>
            <w:r w:rsidRPr="00DF5C23">
              <w:rPr>
                <w:rFonts w:eastAsia="Calibri"/>
                <w:noProof/>
                <w:sz w:val="20"/>
              </w:rPr>
              <w:t>年</w:t>
            </w:r>
            <w:r w:rsidRPr="00DF5C23">
              <w:rPr>
                <w:rFonts w:eastAsia="Calibri"/>
                <w:noProof/>
                <w:sz w:val="22"/>
              </w:rPr>
              <w:br/>
            </w:r>
            <w:r w:rsidRPr="00DF5C23">
              <w:rPr>
                <w:rFonts w:eastAsia="Calibri"/>
                <w:b/>
                <w:noProof/>
                <w:sz w:val="20"/>
              </w:rPr>
              <w:t>2026</w:t>
            </w:r>
          </w:p>
        </w:tc>
        <w:tc>
          <w:tcPr>
            <w:tcW w:w="1080" w:type="dxa"/>
            <w:vAlign w:val="center"/>
          </w:tcPr>
          <w:p w14:paraId="4D9A0C99" w14:textId="77777777" w:rsidR="0038775E" w:rsidRDefault="00877B9C" w:rsidP="002041D4">
            <w:pPr>
              <w:wordWrap w:val="0"/>
              <w:spacing w:line="200" w:lineRule="exact"/>
              <w:jc w:val="center"/>
              <w:rPr>
                <w:rFonts w:eastAsia="Calibri"/>
                <w:b/>
                <w:noProof/>
                <w:sz w:val="16"/>
                <w:szCs w:val="16"/>
              </w:rPr>
            </w:pPr>
            <w:r w:rsidRPr="00DF5C23">
              <w:rPr>
                <w:rFonts w:eastAsia="Calibri"/>
                <w:noProof/>
                <w:sz w:val="20"/>
              </w:rPr>
              <w:t>年</w:t>
            </w:r>
            <w:r w:rsidRPr="00DF5C23">
              <w:rPr>
                <w:rFonts w:eastAsia="Calibri"/>
                <w:noProof/>
                <w:sz w:val="22"/>
              </w:rPr>
              <w:br/>
            </w:r>
            <w:r w:rsidRPr="00DF5C23">
              <w:rPr>
                <w:rFonts w:eastAsia="Calibri"/>
                <w:b/>
                <w:noProof/>
                <w:sz w:val="20"/>
              </w:rPr>
              <w:t xml:space="preserve">2027 </w:t>
            </w:r>
          </w:p>
        </w:tc>
        <w:tc>
          <w:tcPr>
            <w:tcW w:w="1080" w:type="dxa"/>
            <w:vAlign w:val="center"/>
          </w:tcPr>
          <w:p w14:paraId="29E22033" w14:textId="77777777" w:rsidR="0038775E" w:rsidRDefault="00877B9C" w:rsidP="002041D4">
            <w:pPr>
              <w:wordWrap w:val="0"/>
              <w:spacing w:before="60" w:after="60" w:line="200" w:lineRule="exact"/>
              <w:jc w:val="center"/>
              <w:rPr>
                <w:rFonts w:eastAsia="Calibri"/>
                <w:b/>
                <w:noProof/>
                <w:sz w:val="16"/>
                <w:szCs w:val="16"/>
              </w:rPr>
            </w:pPr>
            <w:r w:rsidRPr="00DF5C23">
              <w:rPr>
                <w:rFonts w:eastAsia="Calibri"/>
                <w:b/>
                <w:noProof/>
                <w:sz w:val="16"/>
              </w:rPr>
              <w:t>TOTAL</w:t>
            </w:r>
          </w:p>
        </w:tc>
      </w:tr>
    </w:tbl>
    <w:p w14:paraId="2C3A5EA1" w14:textId="77777777" w:rsidR="00BF1765" w:rsidRPr="00DF5C23" w:rsidRDefault="00BF1765" w:rsidP="002041D4">
      <w:pPr>
        <w:wordWrap w:val="0"/>
        <w:spacing w:line="200" w:lineRule="exact"/>
        <w:rPr>
          <w:rFonts w:eastAsia="Calibri"/>
          <w:noProof/>
          <w:sz w:val="16"/>
          <w:szCs w:val="16"/>
        </w:rPr>
      </w:pPr>
    </w:p>
    <w:tbl>
      <w:tblPr>
        <w:tblW w:w="954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tblGrid>
      <w:tr w:rsidR="00BF1765" w:rsidRPr="00DF5C23" w14:paraId="2C3A5EAA" w14:textId="77777777" w:rsidTr="00743354">
        <w:trPr>
          <w:trHeight w:val="585"/>
        </w:trPr>
        <w:tc>
          <w:tcPr>
            <w:tcW w:w="1980" w:type="dxa"/>
            <w:shd w:val="clear" w:color="auto" w:fill="CCCCCC"/>
            <w:vAlign w:val="center"/>
          </w:tcPr>
          <w:p w14:paraId="62FA1D77" w14:textId="77777777" w:rsidR="0038775E" w:rsidRDefault="00877B9C" w:rsidP="002041D4">
            <w:pPr>
              <w:wordWrap w:val="0"/>
              <w:spacing w:before="60" w:after="60" w:line="200" w:lineRule="exact"/>
              <w:jc w:val="center"/>
              <w:rPr>
                <w:rFonts w:eastAsia="Calibri"/>
                <w:b/>
                <w:noProof/>
                <w:sz w:val="16"/>
                <w:szCs w:val="16"/>
                <w:lang w:eastAsia="ja-JP"/>
              </w:rPr>
            </w:pPr>
            <w:r w:rsidRPr="00DF5C23">
              <w:rPr>
                <w:rFonts w:eastAsia="Calibri"/>
                <w:b/>
                <w:noProof/>
                <w:sz w:val="16"/>
                <w:lang w:eastAsia="ja-JP"/>
              </w:rPr>
              <w:t>ヘディング</w:t>
            </w:r>
            <w:r w:rsidRPr="00DF5C23">
              <w:rPr>
                <w:rFonts w:eastAsia="Calibri"/>
                <w:b/>
                <w:noProof/>
                <w:sz w:val="16"/>
                <w:lang w:eastAsia="ja-JP"/>
              </w:rPr>
              <w:t>7</w:t>
            </w:r>
            <w:r w:rsidRPr="00DF5C23">
              <w:rPr>
                <w:rFonts w:eastAsia="Calibri"/>
                <w:noProof/>
                <w:sz w:val="22"/>
                <w:lang w:eastAsia="ja-JP"/>
              </w:rPr>
              <w:br/>
            </w:r>
            <w:r w:rsidRPr="00DF5C23">
              <w:rPr>
                <w:rFonts w:eastAsia="Calibri"/>
                <w:b/>
                <w:noProof/>
                <w:sz w:val="16"/>
                <w:lang w:eastAsia="ja-JP"/>
              </w:rPr>
              <w:t>多年間財政枠の</w:t>
            </w:r>
          </w:p>
        </w:tc>
        <w:tc>
          <w:tcPr>
            <w:tcW w:w="1080" w:type="dxa"/>
            <w:vAlign w:val="center"/>
          </w:tcPr>
          <w:p w14:paraId="2C3A5EA3" w14:textId="77777777" w:rsidR="00BF1765" w:rsidRPr="00DF5C23" w:rsidRDefault="00BF1765" w:rsidP="002041D4">
            <w:pPr>
              <w:wordWrap w:val="0"/>
              <w:spacing w:before="60" w:after="60" w:line="200" w:lineRule="exact"/>
              <w:jc w:val="right"/>
              <w:rPr>
                <w:rFonts w:eastAsia="Calibri"/>
                <w:noProof/>
                <w:sz w:val="16"/>
                <w:szCs w:val="16"/>
                <w:lang w:eastAsia="ja-JP"/>
              </w:rPr>
            </w:pPr>
          </w:p>
        </w:tc>
        <w:tc>
          <w:tcPr>
            <w:tcW w:w="1080" w:type="dxa"/>
            <w:vAlign w:val="center"/>
          </w:tcPr>
          <w:p w14:paraId="2C3A5EA4" w14:textId="77777777" w:rsidR="00BF1765" w:rsidRPr="00DF5C23" w:rsidRDefault="00BF1765" w:rsidP="002041D4">
            <w:pPr>
              <w:wordWrap w:val="0"/>
              <w:spacing w:before="60" w:after="60" w:line="200" w:lineRule="exact"/>
              <w:jc w:val="right"/>
              <w:rPr>
                <w:rFonts w:eastAsia="Calibri"/>
                <w:noProof/>
                <w:sz w:val="16"/>
                <w:szCs w:val="16"/>
                <w:lang w:eastAsia="ja-JP"/>
              </w:rPr>
            </w:pPr>
          </w:p>
        </w:tc>
        <w:tc>
          <w:tcPr>
            <w:tcW w:w="1080" w:type="dxa"/>
            <w:vAlign w:val="center"/>
          </w:tcPr>
          <w:p w14:paraId="2C3A5EA5" w14:textId="77777777" w:rsidR="00BF1765" w:rsidRPr="00DF5C23" w:rsidRDefault="00BF1765" w:rsidP="002041D4">
            <w:pPr>
              <w:wordWrap w:val="0"/>
              <w:spacing w:before="60" w:after="60" w:line="200" w:lineRule="exact"/>
              <w:jc w:val="right"/>
              <w:rPr>
                <w:rFonts w:eastAsia="Calibri"/>
                <w:noProof/>
                <w:sz w:val="16"/>
                <w:szCs w:val="16"/>
                <w:lang w:eastAsia="ja-JP"/>
              </w:rPr>
            </w:pPr>
          </w:p>
        </w:tc>
        <w:tc>
          <w:tcPr>
            <w:tcW w:w="1080" w:type="dxa"/>
            <w:vAlign w:val="center"/>
          </w:tcPr>
          <w:p w14:paraId="2C3A5EA6" w14:textId="77777777" w:rsidR="00BF1765" w:rsidRPr="00DF5C23" w:rsidRDefault="00BF1765" w:rsidP="002041D4">
            <w:pPr>
              <w:wordWrap w:val="0"/>
              <w:spacing w:before="60" w:after="60" w:line="200" w:lineRule="exact"/>
              <w:jc w:val="right"/>
              <w:rPr>
                <w:rFonts w:eastAsia="Calibri"/>
                <w:noProof/>
                <w:sz w:val="16"/>
                <w:szCs w:val="16"/>
                <w:lang w:eastAsia="ja-JP"/>
              </w:rPr>
            </w:pPr>
          </w:p>
        </w:tc>
        <w:tc>
          <w:tcPr>
            <w:tcW w:w="1080" w:type="dxa"/>
            <w:vAlign w:val="center"/>
          </w:tcPr>
          <w:p w14:paraId="2C3A5EA7" w14:textId="77777777" w:rsidR="00BF1765" w:rsidRPr="00DF5C23" w:rsidRDefault="00BF1765" w:rsidP="002041D4">
            <w:pPr>
              <w:wordWrap w:val="0"/>
              <w:spacing w:before="60" w:after="60" w:line="200" w:lineRule="exact"/>
              <w:jc w:val="right"/>
              <w:rPr>
                <w:rFonts w:eastAsia="Calibri"/>
                <w:noProof/>
                <w:sz w:val="16"/>
                <w:szCs w:val="16"/>
                <w:lang w:eastAsia="ja-JP"/>
              </w:rPr>
            </w:pPr>
          </w:p>
        </w:tc>
        <w:tc>
          <w:tcPr>
            <w:tcW w:w="1080" w:type="dxa"/>
            <w:vAlign w:val="center"/>
          </w:tcPr>
          <w:p w14:paraId="2C3A5EA8" w14:textId="77777777" w:rsidR="00BF1765" w:rsidRPr="00DF5C23" w:rsidRDefault="00BF1765" w:rsidP="002041D4">
            <w:pPr>
              <w:wordWrap w:val="0"/>
              <w:spacing w:before="60" w:after="60" w:line="200" w:lineRule="exact"/>
              <w:jc w:val="right"/>
              <w:rPr>
                <w:rFonts w:eastAsia="Calibri"/>
                <w:noProof/>
                <w:sz w:val="16"/>
                <w:szCs w:val="16"/>
                <w:lang w:eastAsia="ja-JP"/>
              </w:rPr>
            </w:pPr>
          </w:p>
        </w:tc>
        <w:tc>
          <w:tcPr>
            <w:tcW w:w="1080" w:type="dxa"/>
            <w:vAlign w:val="center"/>
          </w:tcPr>
          <w:p w14:paraId="2C3A5EA9" w14:textId="77777777" w:rsidR="00BF1765" w:rsidRPr="00DF5C23" w:rsidRDefault="00BF1765" w:rsidP="002041D4">
            <w:pPr>
              <w:wordWrap w:val="0"/>
              <w:spacing w:before="60" w:after="60" w:line="200" w:lineRule="exact"/>
              <w:jc w:val="right"/>
              <w:rPr>
                <w:rFonts w:eastAsia="Calibri"/>
                <w:b/>
                <w:noProof/>
                <w:sz w:val="16"/>
                <w:szCs w:val="16"/>
                <w:lang w:eastAsia="ja-JP"/>
              </w:rPr>
            </w:pPr>
          </w:p>
        </w:tc>
      </w:tr>
      <w:tr w:rsidR="005C61BF" w:rsidRPr="00DF5C23" w14:paraId="2C3A5EB3" w14:textId="77777777" w:rsidTr="00EC0E40">
        <w:trPr>
          <w:trHeight w:val="585"/>
        </w:trPr>
        <w:tc>
          <w:tcPr>
            <w:tcW w:w="1980" w:type="dxa"/>
            <w:vAlign w:val="center"/>
          </w:tcPr>
          <w:p w14:paraId="30494F60" w14:textId="77777777" w:rsidR="0038775E" w:rsidRDefault="00877B9C" w:rsidP="002041D4">
            <w:pPr>
              <w:wordWrap w:val="0"/>
              <w:spacing w:before="60" w:after="60" w:line="200" w:lineRule="exact"/>
              <w:ind w:left="72"/>
              <w:jc w:val="left"/>
              <w:rPr>
                <w:rFonts w:eastAsia="Calibri"/>
                <w:noProof/>
                <w:sz w:val="16"/>
                <w:szCs w:val="16"/>
              </w:rPr>
            </w:pPr>
            <w:r w:rsidRPr="00DF5C23">
              <w:rPr>
                <w:rFonts w:eastAsia="Calibri"/>
                <w:noProof/>
                <w:sz w:val="16"/>
              </w:rPr>
              <w:t>人的資源</w:t>
            </w:r>
            <w:r w:rsidRPr="00DF5C23">
              <w:rPr>
                <w:rFonts w:eastAsia="Calibri"/>
                <w:noProof/>
                <w:sz w:val="16"/>
              </w:rPr>
              <w:t xml:space="preserve"> </w:t>
            </w:r>
          </w:p>
        </w:tc>
        <w:tc>
          <w:tcPr>
            <w:tcW w:w="1080" w:type="dxa"/>
            <w:vAlign w:val="center"/>
          </w:tcPr>
          <w:p w14:paraId="0776D3FF" w14:textId="77777777" w:rsidR="0038775E" w:rsidRDefault="00877B9C" w:rsidP="002041D4">
            <w:pPr>
              <w:wordWrap w:val="0"/>
              <w:spacing w:before="60" w:after="60" w:line="200" w:lineRule="exact"/>
              <w:jc w:val="right"/>
              <w:rPr>
                <w:rFonts w:eastAsia="Calibri"/>
                <w:noProof/>
                <w:sz w:val="16"/>
                <w:szCs w:val="16"/>
              </w:rPr>
            </w:pPr>
            <w:r w:rsidRPr="00DF5C23">
              <w:rPr>
                <w:noProof/>
                <w:color w:val="000000"/>
                <w:sz w:val="20"/>
                <w:szCs w:val="20"/>
              </w:rPr>
              <w:t>1,766</w:t>
            </w:r>
          </w:p>
        </w:tc>
        <w:tc>
          <w:tcPr>
            <w:tcW w:w="1080" w:type="dxa"/>
            <w:vAlign w:val="center"/>
          </w:tcPr>
          <w:p w14:paraId="74AF8100" w14:textId="77777777" w:rsidR="0038775E" w:rsidRDefault="00877B9C" w:rsidP="002041D4">
            <w:pPr>
              <w:wordWrap w:val="0"/>
              <w:spacing w:before="60" w:after="60" w:line="200" w:lineRule="exact"/>
              <w:jc w:val="right"/>
              <w:rPr>
                <w:rFonts w:eastAsia="Calibri"/>
                <w:noProof/>
                <w:sz w:val="16"/>
                <w:szCs w:val="16"/>
              </w:rPr>
            </w:pPr>
            <w:r w:rsidRPr="00DF5C23">
              <w:rPr>
                <w:noProof/>
                <w:color w:val="000000"/>
                <w:sz w:val="20"/>
                <w:szCs w:val="20"/>
              </w:rPr>
              <w:t>5,801</w:t>
            </w:r>
          </w:p>
        </w:tc>
        <w:tc>
          <w:tcPr>
            <w:tcW w:w="1080" w:type="dxa"/>
            <w:vAlign w:val="center"/>
          </w:tcPr>
          <w:p w14:paraId="0BF4D304" w14:textId="77777777" w:rsidR="0038775E" w:rsidRDefault="00877B9C" w:rsidP="002041D4">
            <w:pPr>
              <w:wordWrap w:val="0"/>
              <w:spacing w:before="60" w:after="60" w:line="200" w:lineRule="exact"/>
              <w:jc w:val="right"/>
              <w:rPr>
                <w:rFonts w:eastAsia="Calibri"/>
                <w:noProof/>
                <w:sz w:val="16"/>
                <w:szCs w:val="16"/>
              </w:rPr>
            </w:pPr>
            <w:r w:rsidRPr="00DF5C23">
              <w:rPr>
                <w:noProof/>
                <w:color w:val="000000"/>
                <w:sz w:val="20"/>
                <w:szCs w:val="20"/>
              </w:rPr>
              <w:t>7,080</w:t>
            </w:r>
          </w:p>
        </w:tc>
        <w:tc>
          <w:tcPr>
            <w:tcW w:w="1080" w:type="dxa"/>
            <w:vAlign w:val="center"/>
          </w:tcPr>
          <w:p w14:paraId="4A4FF73A" w14:textId="77777777" w:rsidR="0038775E" w:rsidRDefault="00877B9C" w:rsidP="002041D4">
            <w:pPr>
              <w:wordWrap w:val="0"/>
              <w:spacing w:before="60" w:after="60" w:line="200" w:lineRule="exact"/>
              <w:jc w:val="right"/>
              <w:rPr>
                <w:rFonts w:eastAsia="Calibri"/>
                <w:noProof/>
                <w:sz w:val="16"/>
                <w:szCs w:val="16"/>
              </w:rPr>
            </w:pPr>
            <w:r w:rsidRPr="00DF5C23">
              <w:rPr>
                <w:noProof/>
                <w:color w:val="000000"/>
                <w:sz w:val="20"/>
                <w:szCs w:val="20"/>
              </w:rPr>
              <w:t>7,368</w:t>
            </w:r>
          </w:p>
        </w:tc>
        <w:tc>
          <w:tcPr>
            <w:tcW w:w="1080" w:type="dxa"/>
            <w:vAlign w:val="center"/>
          </w:tcPr>
          <w:p w14:paraId="78CC3D70" w14:textId="77777777" w:rsidR="0038775E" w:rsidRDefault="00877B9C" w:rsidP="002041D4">
            <w:pPr>
              <w:wordWrap w:val="0"/>
              <w:spacing w:before="60" w:after="60" w:line="200" w:lineRule="exact"/>
              <w:jc w:val="right"/>
              <w:rPr>
                <w:rFonts w:eastAsia="Calibri"/>
                <w:noProof/>
                <w:sz w:val="16"/>
                <w:szCs w:val="16"/>
              </w:rPr>
            </w:pPr>
            <w:r w:rsidRPr="00DF5C23">
              <w:rPr>
                <w:noProof/>
                <w:color w:val="000000"/>
                <w:sz w:val="20"/>
                <w:szCs w:val="20"/>
              </w:rPr>
              <w:t>7,597</w:t>
            </w:r>
          </w:p>
        </w:tc>
        <w:tc>
          <w:tcPr>
            <w:tcW w:w="1080" w:type="dxa"/>
            <w:vAlign w:val="center"/>
          </w:tcPr>
          <w:p w14:paraId="4E5DFBEE" w14:textId="77777777" w:rsidR="0038775E" w:rsidRDefault="00877B9C" w:rsidP="002041D4">
            <w:pPr>
              <w:wordWrap w:val="0"/>
              <w:spacing w:before="60" w:after="60" w:line="200" w:lineRule="exact"/>
              <w:jc w:val="right"/>
              <w:rPr>
                <w:rFonts w:eastAsia="Calibri"/>
                <w:noProof/>
                <w:sz w:val="16"/>
                <w:szCs w:val="16"/>
              </w:rPr>
            </w:pPr>
            <w:r w:rsidRPr="00DF5C23">
              <w:rPr>
                <w:noProof/>
                <w:color w:val="000000"/>
                <w:sz w:val="20"/>
                <w:szCs w:val="20"/>
              </w:rPr>
              <w:t>7,839</w:t>
            </w:r>
          </w:p>
        </w:tc>
        <w:tc>
          <w:tcPr>
            <w:tcW w:w="1080" w:type="dxa"/>
            <w:vAlign w:val="bottom"/>
          </w:tcPr>
          <w:p w14:paraId="0696B840" w14:textId="77777777" w:rsidR="0038775E" w:rsidRDefault="00877B9C" w:rsidP="002041D4">
            <w:pPr>
              <w:wordWrap w:val="0"/>
              <w:spacing w:before="60" w:after="60" w:line="200" w:lineRule="exact"/>
              <w:jc w:val="right"/>
              <w:rPr>
                <w:rFonts w:eastAsia="Calibri"/>
                <w:b/>
                <w:noProof/>
                <w:sz w:val="16"/>
                <w:szCs w:val="16"/>
              </w:rPr>
            </w:pPr>
            <w:r w:rsidRPr="00DF5C23">
              <w:rPr>
                <w:rFonts w:ascii="Calibri" w:hAnsi="Calibri" w:cs="Calibri"/>
                <w:noProof/>
                <w:color w:val="000000"/>
                <w:sz w:val="22"/>
              </w:rPr>
              <w:t>37,451</w:t>
            </w:r>
          </w:p>
        </w:tc>
      </w:tr>
      <w:tr w:rsidR="005C61BF" w:rsidRPr="00DF5C23" w14:paraId="2C3A5EBC" w14:textId="77777777" w:rsidTr="00743354">
        <w:trPr>
          <w:trHeight w:val="585"/>
        </w:trPr>
        <w:tc>
          <w:tcPr>
            <w:tcW w:w="1980" w:type="dxa"/>
            <w:vAlign w:val="center"/>
          </w:tcPr>
          <w:p w14:paraId="5F271A1B" w14:textId="77777777" w:rsidR="0038775E" w:rsidRDefault="00877B9C" w:rsidP="002041D4">
            <w:pPr>
              <w:wordWrap w:val="0"/>
              <w:spacing w:before="60" w:after="60" w:line="200" w:lineRule="exact"/>
              <w:ind w:left="72"/>
              <w:jc w:val="left"/>
              <w:rPr>
                <w:rFonts w:eastAsia="Calibri"/>
                <w:noProof/>
                <w:sz w:val="16"/>
                <w:szCs w:val="16"/>
              </w:rPr>
            </w:pPr>
            <w:r w:rsidRPr="00DF5C23">
              <w:rPr>
                <w:rFonts w:eastAsia="Calibri"/>
                <w:noProof/>
                <w:sz w:val="16"/>
              </w:rPr>
              <w:t>その他管理部門費</w:t>
            </w:r>
            <w:r w:rsidRPr="00DF5C23">
              <w:rPr>
                <w:rFonts w:eastAsia="Calibri"/>
                <w:noProof/>
                <w:sz w:val="16"/>
              </w:rPr>
              <w:t xml:space="preserve"> </w:t>
            </w:r>
          </w:p>
        </w:tc>
        <w:tc>
          <w:tcPr>
            <w:tcW w:w="1080" w:type="dxa"/>
            <w:vAlign w:val="center"/>
          </w:tcPr>
          <w:p w14:paraId="7A217A1D" w14:textId="77777777" w:rsidR="0038775E" w:rsidRDefault="00877B9C" w:rsidP="002041D4">
            <w:pPr>
              <w:wordWrap w:val="0"/>
              <w:spacing w:before="60" w:after="60" w:line="200" w:lineRule="exact"/>
              <w:jc w:val="right"/>
              <w:rPr>
                <w:rFonts w:eastAsia="Calibri"/>
                <w:noProof/>
                <w:sz w:val="16"/>
                <w:szCs w:val="16"/>
              </w:rPr>
            </w:pPr>
            <w:r w:rsidRPr="00DF5C23">
              <w:rPr>
                <w:noProof/>
                <w:color w:val="000000"/>
                <w:sz w:val="20"/>
                <w:szCs w:val="20"/>
              </w:rPr>
              <w:t>0,015</w:t>
            </w:r>
          </w:p>
        </w:tc>
        <w:tc>
          <w:tcPr>
            <w:tcW w:w="1080" w:type="dxa"/>
            <w:vAlign w:val="center"/>
          </w:tcPr>
          <w:p w14:paraId="7156917C" w14:textId="77777777" w:rsidR="0038775E" w:rsidRDefault="00877B9C" w:rsidP="002041D4">
            <w:pPr>
              <w:wordWrap w:val="0"/>
              <w:spacing w:before="60" w:after="60" w:line="200" w:lineRule="exact"/>
              <w:jc w:val="right"/>
              <w:rPr>
                <w:rFonts w:eastAsia="Calibri"/>
                <w:noProof/>
                <w:sz w:val="16"/>
                <w:szCs w:val="16"/>
              </w:rPr>
            </w:pPr>
            <w:r w:rsidRPr="00DF5C23">
              <w:rPr>
                <w:noProof/>
                <w:color w:val="000000"/>
                <w:sz w:val="20"/>
                <w:szCs w:val="20"/>
              </w:rPr>
              <w:t>0,015</w:t>
            </w:r>
          </w:p>
        </w:tc>
        <w:tc>
          <w:tcPr>
            <w:tcW w:w="1080" w:type="dxa"/>
            <w:vAlign w:val="center"/>
          </w:tcPr>
          <w:p w14:paraId="21183211" w14:textId="77777777" w:rsidR="0038775E" w:rsidRDefault="00877B9C" w:rsidP="002041D4">
            <w:pPr>
              <w:wordWrap w:val="0"/>
              <w:spacing w:before="60" w:after="60" w:line="200" w:lineRule="exact"/>
              <w:jc w:val="right"/>
              <w:rPr>
                <w:rFonts w:eastAsia="Calibri"/>
                <w:noProof/>
                <w:sz w:val="16"/>
                <w:szCs w:val="16"/>
              </w:rPr>
            </w:pPr>
            <w:r w:rsidRPr="00DF5C23">
              <w:rPr>
                <w:noProof/>
                <w:color w:val="000000"/>
                <w:sz w:val="20"/>
                <w:szCs w:val="20"/>
              </w:rPr>
              <w:t>0,290</w:t>
            </w:r>
          </w:p>
        </w:tc>
        <w:tc>
          <w:tcPr>
            <w:tcW w:w="1080" w:type="dxa"/>
            <w:vAlign w:val="center"/>
          </w:tcPr>
          <w:p w14:paraId="38457EEF" w14:textId="77777777" w:rsidR="0038775E" w:rsidRDefault="00877B9C" w:rsidP="002041D4">
            <w:pPr>
              <w:wordWrap w:val="0"/>
              <w:spacing w:before="60" w:after="60" w:line="200" w:lineRule="exact"/>
              <w:jc w:val="right"/>
              <w:rPr>
                <w:rFonts w:eastAsia="Calibri"/>
                <w:noProof/>
                <w:sz w:val="16"/>
                <w:szCs w:val="16"/>
              </w:rPr>
            </w:pPr>
            <w:r w:rsidRPr="00DF5C23">
              <w:rPr>
                <w:noProof/>
                <w:color w:val="000000"/>
                <w:sz w:val="20"/>
                <w:szCs w:val="20"/>
              </w:rPr>
              <w:t>0,290</w:t>
            </w:r>
          </w:p>
        </w:tc>
        <w:tc>
          <w:tcPr>
            <w:tcW w:w="1080" w:type="dxa"/>
            <w:vAlign w:val="center"/>
          </w:tcPr>
          <w:p w14:paraId="5D23589C" w14:textId="77777777" w:rsidR="0038775E" w:rsidRDefault="00877B9C" w:rsidP="002041D4">
            <w:pPr>
              <w:wordWrap w:val="0"/>
              <w:spacing w:before="60" w:after="60" w:line="200" w:lineRule="exact"/>
              <w:jc w:val="right"/>
              <w:rPr>
                <w:rFonts w:eastAsia="Calibri"/>
                <w:noProof/>
                <w:sz w:val="16"/>
                <w:szCs w:val="16"/>
              </w:rPr>
            </w:pPr>
            <w:r w:rsidRPr="00DF5C23">
              <w:rPr>
                <w:noProof/>
                <w:color w:val="000000"/>
                <w:sz w:val="20"/>
                <w:szCs w:val="20"/>
              </w:rPr>
              <w:t>0,290</w:t>
            </w:r>
          </w:p>
        </w:tc>
        <w:tc>
          <w:tcPr>
            <w:tcW w:w="1080" w:type="dxa"/>
            <w:vAlign w:val="center"/>
          </w:tcPr>
          <w:p w14:paraId="300B44F2" w14:textId="77777777" w:rsidR="0038775E" w:rsidRDefault="00877B9C" w:rsidP="002041D4">
            <w:pPr>
              <w:wordWrap w:val="0"/>
              <w:spacing w:before="60" w:after="60" w:line="200" w:lineRule="exact"/>
              <w:jc w:val="right"/>
              <w:rPr>
                <w:rFonts w:eastAsia="Calibri"/>
                <w:noProof/>
                <w:sz w:val="16"/>
                <w:szCs w:val="16"/>
              </w:rPr>
            </w:pPr>
            <w:r w:rsidRPr="00DF5C23">
              <w:rPr>
                <w:noProof/>
                <w:color w:val="000000"/>
                <w:sz w:val="20"/>
                <w:szCs w:val="20"/>
              </w:rPr>
              <w:t>0,270</w:t>
            </w:r>
          </w:p>
        </w:tc>
        <w:tc>
          <w:tcPr>
            <w:tcW w:w="1080" w:type="dxa"/>
            <w:vAlign w:val="center"/>
          </w:tcPr>
          <w:p w14:paraId="3B60BD73" w14:textId="77777777" w:rsidR="0038775E" w:rsidRDefault="00877B9C" w:rsidP="002041D4">
            <w:pPr>
              <w:wordWrap w:val="0"/>
              <w:spacing w:before="60" w:after="60" w:line="200" w:lineRule="exact"/>
              <w:jc w:val="right"/>
              <w:rPr>
                <w:rFonts w:eastAsia="Calibri"/>
                <w:b/>
                <w:noProof/>
                <w:sz w:val="16"/>
                <w:szCs w:val="16"/>
              </w:rPr>
            </w:pPr>
            <w:r w:rsidRPr="00DF5C23">
              <w:rPr>
                <w:rFonts w:ascii="Calibri" w:hAnsi="Calibri" w:cs="Calibri"/>
                <w:noProof/>
                <w:color w:val="000000"/>
                <w:sz w:val="22"/>
              </w:rPr>
              <w:t>1,170</w:t>
            </w:r>
          </w:p>
        </w:tc>
      </w:tr>
      <w:tr w:rsidR="005C61BF" w:rsidRPr="00DF5C23" w14:paraId="2C3A5EC5" w14:textId="77777777" w:rsidTr="00EC0E40">
        <w:trPr>
          <w:trHeight w:val="585"/>
        </w:trPr>
        <w:tc>
          <w:tcPr>
            <w:tcW w:w="1980" w:type="dxa"/>
            <w:shd w:val="clear" w:color="auto" w:fill="CCCCCC"/>
            <w:vAlign w:val="center"/>
          </w:tcPr>
          <w:p w14:paraId="0950ADD6" w14:textId="77777777" w:rsidR="0038775E" w:rsidRDefault="00877B9C" w:rsidP="002041D4">
            <w:pPr>
              <w:wordWrap w:val="0"/>
              <w:spacing w:before="60" w:after="60" w:line="200" w:lineRule="exact"/>
              <w:jc w:val="center"/>
              <w:rPr>
                <w:rFonts w:eastAsia="Calibri"/>
                <w:b/>
                <w:noProof/>
                <w:sz w:val="16"/>
                <w:szCs w:val="16"/>
              </w:rPr>
            </w:pPr>
            <w:r w:rsidRPr="00DF5C23">
              <w:rPr>
                <w:rFonts w:eastAsia="Calibri"/>
                <w:b/>
                <w:noProof/>
                <w:sz w:val="16"/>
              </w:rPr>
              <w:t>小計</w:t>
            </w:r>
            <w:r w:rsidRPr="00DF5C23">
              <w:rPr>
                <w:rFonts w:eastAsia="Calibri"/>
                <w:b/>
                <w:noProof/>
                <w:sz w:val="16"/>
              </w:rPr>
              <w:t xml:space="preserve"> HEADING 7</w:t>
            </w:r>
            <w:r w:rsidRPr="00DF5C23">
              <w:rPr>
                <w:rFonts w:eastAsia="Calibri"/>
                <w:noProof/>
                <w:sz w:val="22"/>
              </w:rPr>
              <w:br/>
            </w:r>
            <w:r w:rsidRPr="00DF5C23">
              <w:rPr>
                <w:rFonts w:eastAsia="Calibri"/>
                <w:b/>
                <w:noProof/>
                <w:sz w:val="16"/>
              </w:rPr>
              <w:t>多年間財政枠の</w:t>
            </w:r>
            <w:r w:rsidRPr="00DF5C23">
              <w:rPr>
                <w:rFonts w:eastAsia="Calibri"/>
                <w:b/>
                <w:noProof/>
                <w:sz w:val="16"/>
              </w:rPr>
              <w:t xml:space="preserve"> </w:t>
            </w:r>
          </w:p>
        </w:tc>
        <w:tc>
          <w:tcPr>
            <w:tcW w:w="1080" w:type="dxa"/>
            <w:vAlign w:val="center"/>
          </w:tcPr>
          <w:p w14:paraId="7729A209" w14:textId="77777777" w:rsidR="0038775E" w:rsidRDefault="00877B9C" w:rsidP="002041D4">
            <w:pPr>
              <w:wordWrap w:val="0"/>
              <w:spacing w:before="60" w:after="60" w:line="200" w:lineRule="exact"/>
              <w:jc w:val="right"/>
              <w:rPr>
                <w:rFonts w:eastAsia="Calibri"/>
                <w:noProof/>
                <w:sz w:val="16"/>
                <w:szCs w:val="16"/>
              </w:rPr>
            </w:pPr>
            <w:r w:rsidRPr="00DF5C23">
              <w:rPr>
                <w:noProof/>
                <w:color w:val="000000"/>
                <w:sz w:val="20"/>
                <w:szCs w:val="20"/>
              </w:rPr>
              <w:t>1,781</w:t>
            </w:r>
          </w:p>
        </w:tc>
        <w:tc>
          <w:tcPr>
            <w:tcW w:w="1080" w:type="dxa"/>
            <w:vAlign w:val="center"/>
          </w:tcPr>
          <w:p w14:paraId="133A356C" w14:textId="77777777" w:rsidR="0038775E" w:rsidRDefault="00877B9C" w:rsidP="002041D4">
            <w:pPr>
              <w:wordWrap w:val="0"/>
              <w:spacing w:before="60" w:after="60" w:line="200" w:lineRule="exact"/>
              <w:jc w:val="right"/>
              <w:rPr>
                <w:rFonts w:eastAsia="Calibri"/>
                <w:noProof/>
                <w:sz w:val="16"/>
                <w:szCs w:val="16"/>
              </w:rPr>
            </w:pPr>
            <w:r w:rsidRPr="00DF5C23">
              <w:rPr>
                <w:noProof/>
                <w:color w:val="000000"/>
                <w:sz w:val="20"/>
                <w:szCs w:val="20"/>
              </w:rPr>
              <w:t>5,816</w:t>
            </w:r>
          </w:p>
        </w:tc>
        <w:tc>
          <w:tcPr>
            <w:tcW w:w="1080" w:type="dxa"/>
            <w:vAlign w:val="center"/>
          </w:tcPr>
          <w:p w14:paraId="3B203758" w14:textId="77777777" w:rsidR="0038775E" w:rsidRDefault="00877B9C" w:rsidP="002041D4">
            <w:pPr>
              <w:wordWrap w:val="0"/>
              <w:spacing w:before="60" w:after="60" w:line="200" w:lineRule="exact"/>
              <w:jc w:val="right"/>
              <w:rPr>
                <w:rFonts w:eastAsia="Calibri"/>
                <w:noProof/>
                <w:sz w:val="16"/>
                <w:szCs w:val="16"/>
              </w:rPr>
            </w:pPr>
            <w:r w:rsidRPr="00DF5C23">
              <w:rPr>
                <w:noProof/>
                <w:color w:val="000000"/>
                <w:sz w:val="20"/>
                <w:szCs w:val="20"/>
              </w:rPr>
              <w:t>7,370</w:t>
            </w:r>
          </w:p>
        </w:tc>
        <w:tc>
          <w:tcPr>
            <w:tcW w:w="1080" w:type="dxa"/>
            <w:vAlign w:val="center"/>
          </w:tcPr>
          <w:p w14:paraId="5DF7ECE7" w14:textId="77777777" w:rsidR="0038775E" w:rsidRDefault="00877B9C" w:rsidP="002041D4">
            <w:pPr>
              <w:wordWrap w:val="0"/>
              <w:spacing w:before="60" w:after="60" w:line="200" w:lineRule="exact"/>
              <w:jc w:val="right"/>
              <w:rPr>
                <w:rFonts w:eastAsia="Calibri"/>
                <w:noProof/>
                <w:sz w:val="16"/>
                <w:szCs w:val="16"/>
              </w:rPr>
            </w:pPr>
            <w:r w:rsidRPr="00DF5C23">
              <w:rPr>
                <w:noProof/>
                <w:color w:val="000000"/>
                <w:sz w:val="20"/>
                <w:szCs w:val="20"/>
              </w:rPr>
              <w:t>7,658</w:t>
            </w:r>
          </w:p>
        </w:tc>
        <w:tc>
          <w:tcPr>
            <w:tcW w:w="1080" w:type="dxa"/>
            <w:vAlign w:val="center"/>
          </w:tcPr>
          <w:p w14:paraId="0B485421" w14:textId="77777777" w:rsidR="0038775E" w:rsidRDefault="00877B9C" w:rsidP="002041D4">
            <w:pPr>
              <w:wordWrap w:val="0"/>
              <w:spacing w:before="60" w:after="60" w:line="200" w:lineRule="exact"/>
              <w:jc w:val="right"/>
              <w:rPr>
                <w:rFonts w:eastAsia="Calibri"/>
                <w:noProof/>
                <w:sz w:val="16"/>
                <w:szCs w:val="16"/>
              </w:rPr>
            </w:pPr>
            <w:r w:rsidRPr="00DF5C23">
              <w:rPr>
                <w:noProof/>
                <w:color w:val="000000"/>
                <w:sz w:val="20"/>
                <w:szCs w:val="20"/>
              </w:rPr>
              <w:t>7,887</w:t>
            </w:r>
          </w:p>
        </w:tc>
        <w:tc>
          <w:tcPr>
            <w:tcW w:w="1080" w:type="dxa"/>
            <w:vAlign w:val="center"/>
          </w:tcPr>
          <w:p w14:paraId="70D03347" w14:textId="77777777" w:rsidR="0038775E" w:rsidRDefault="00877B9C" w:rsidP="002041D4">
            <w:pPr>
              <w:wordWrap w:val="0"/>
              <w:spacing w:before="60" w:after="60" w:line="200" w:lineRule="exact"/>
              <w:jc w:val="right"/>
              <w:rPr>
                <w:rFonts w:eastAsia="Calibri"/>
                <w:noProof/>
                <w:sz w:val="16"/>
                <w:szCs w:val="16"/>
              </w:rPr>
            </w:pPr>
            <w:r w:rsidRPr="00DF5C23">
              <w:rPr>
                <w:noProof/>
                <w:color w:val="000000"/>
                <w:sz w:val="20"/>
                <w:szCs w:val="20"/>
              </w:rPr>
              <w:t>8,109</w:t>
            </w:r>
          </w:p>
        </w:tc>
        <w:tc>
          <w:tcPr>
            <w:tcW w:w="1080" w:type="dxa"/>
            <w:vAlign w:val="bottom"/>
          </w:tcPr>
          <w:p w14:paraId="7E4C1AF5" w14:textId="77777777" w:rsidR="0038775E" w:rsidRDefault="00877B9C" w:rsidP="002041D4">
            <w:pPr>
              <w:wordWrap w:val="0"/>
              <w:spacing w:before="60" w:after="60" w:line="200" w:lineRule="exact"/>
              <w:jc w:val="right"/>
              <w:rPr>
                <w:rFonts w:eastAsia="Calibri"/>
                <w:b/>
                <w:noProof/>
                <w:sz w:val="16"/>
                <w:szCs w:val="16"/>
              </w:rPr>
            </w:pPr>
            <w:r w:rsidRPr="00DF5C23">
              <w:rPr>
                <w:rFonts w:ascii="Calibri" w:hAnsi="Calibri" w:cs="Calibri"/>
                <w:noProof/>
                <w:color w:val="000000"/>
                <w:sz w:val="22"/>
              </w:rPr>
              <w:t>38,621</w:t>
            </w:r>
          </w:p>
        </w:tc>
      </w:tr>
    </w:tbl>
    <w:p w14:paraId="2C3A5EC6" w14:textId="77777777" w:rsidR="00BF1765" w:rsidRPr="00DF5C23" w:rsidRDefault="00BF1765" w:rsidP="002041D4">
      <w:pPr>
        <w:wordWrap w:val="0"/>
        <w:spacing w:line="200" w:lineRule="exact"/>
        <w:rPr>
          <w:rFonts w:eastAsia="Calibri"/>
          <w:noProof/>
          <w:sz w:val="16"/>
          <w:szCs w:val="16"/>
        </w:rPr>
      </w:pPr>
    </w:p>
    <w:tbl>
      <w:tblPr>
        <w:tblW w:w="954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tblGrid>
      <w:tr w:rsidR="00BF1765" w:rsidRPr="00DF5C23" w14:paraId="2C3A5ED0" w14:textId="77777777" w:rsidTr="00743354">
        <w:trPr>
          <w:trHeight w:val="585"/>
        </w:trPr>
        <w:tc>
          <w:tcPr>
            <w:tcW w:w="1980" w:type="dxa"/>
            <w:shd w:val="clear" w:color="auto" w:fill="CCCCCC"/>
            <w:vAlign w:val="center"/>
          </w:tcPr>
          <w:p w14:paraId="48B3260F" w14:textId="77777777" w:rsidR="0038775E" w:rsidRDefault="00877B9C" w:rsidP="002041D4">
            <w:pPr>
              <w:wordWrap w:val="0"/>
              <w:spacing w:before="60" w:after="60" w:line="200" w:lineRule="exact"/>
              <w:jc w:val="center"/>
              <w:rPr>
                <w:rFonts w:eastAsia="Calibri"/>
                <w:noProof/>
                <w:sz w:val="16"/>
                <w:szCs w:val="16"/>
              </w:rPr>
            </w:pPr>
            <w:r w:rsidRPr="00DF5C23">
              <w:rPr>
                <w:rFonts w:eastAsia="Calibri"/>
                <w:b/>
                <w:bCs/>
                <w:noProof/>
                <w:sz w:val="16"/>
                <w:szCs w:val="16"/>
              </w:rPr>
              <w:t>外側</w:t>
            </w:r>
            <w:r w:rsidRPr="00DF5C23">
              <w:rPr>
                <w:rFonts w:eastAsia="Calibri"/>
                <w:b/>
                <w:bCs/>
                <w:noProof/>
                <w:sz w:val="16"/>
                <w:szCs w:val="16"/>
              </w:rPr>
              <w:t xml:space="preserve"> HEADING 7 </w:t>
            </w:r>
            <w:r w:rsidR="008B78E1" w:rsidRPr="00DF5C23">
              <w:rPr>
                <w:rStyle w:val="afa"/>
                <w:rFonts w:eastAsia="Calibri"/>
                <w:b/>
                <w:bCs/>
                <w:noProof/>
                <w:sz w:val="16"/>
                <w:szCs w:val="16"/>
              </w:rPr>
              <w:footnoteReference w:id="103"/>
            </w:r>
            <w:r w:rsidRPr="00DF5C23">
              <w:rPr>
                <w:rFonts w:eastAsia="Calibri"/>
                <w:noProof/>
                <w:sz w:val="22"/>
              </w:rPr>
              <w:br/>
            </w:r>
            <w:r w:rsidRPr="00DF5C23">
              <w:rPr>
                <w:rFonts w:eastAsia="Calibri"/>
                <w:b/>
                <w:bCs/>
                <w:noProof/>
                <w:sz w:val="16"/>
                <w:szCs w:val="16"/>
              </w:rPr>
              <w:t>多年間財政枠の</w:t>
            </w:r>
            <w:r w:rsidRPr="00DF5C23">
              <w:rPr>
                <w:rFonts w:eastAsia="Calibri"/>
                <w:b/>
                <w:bCs/>
                <w:noProof/>
                <w:sz w:val="16"/>
                <w:szCs w:val="16"/>
              </w:rPr>
              <w:t xml:space="preserve"> </w:t>
            </w:r>
          </w:p>
          <w:p w14:paraId="2C3A5EC8" w14:textId="77777777" w:rsidR="00BF1765" w:rsidRPr="00DF5C23" w:rsidRDefault="00BF1765" w:rsidP="002041D4">
            <w:pPr>
              <w:wordWrap w:val="0"/>
              <w:spacing w:before="0" w:after="0" w:line="200" w:lineRule="exact"/>
              <w:jc w:val="center"/>
              <w:rPr>
                <w:rFonts w:eastAsia="Calibri"/>
                <w:b/>
                <w:noProof/>
                <w:sz w:val="16"/>
                <w:szCs w:val="16"/>
              </w:rPr>
            </w:pPr>
          </w:p>
        </w:tc>
        <w:tc>
          <w:tcPr>
            <w:tcW w:w="1080" w:type="dxa"/>
            <w:vAlign w:val="center"/>
          </w:tcPr>
          <w:p w14:paraId="2C3A5EC9" w14:textId="77777777" w:rsidR="00BF1765" w:rsidRPr="00DF5C23" w:rsidRDefault="00BF1765" w:rsidP="002041D4">
            <w:pPr>
              <w:wordWrap w:val="0"/>
              <w:spacing w:before="60" w:after="60" w:line="200" w:lineRule="exact"/>
              <w:jc w:val="right"/>
              <w:rPr>
                <w:rFonts w:eastAsia="Calibri"/>
                <w:noProof/>
                <w:sz w:val="16"/>
                <w:szCs w:val="16"/>
              </w:rPr>
            </w:pPr>
          </w:p>
        </w:tc>
        <w:tc>
          <w:tcPr>
            <w:tcW w:w="1080" w:type="dxa"/>
            <w:vAlign w:val="center"/>
          </w:tcPr>
          <w:p w14:paraId="2C3A5ECA" w14:textId="77777777" w:rsidR="00BF1765" w:rsidRPr="00DF5C23" w:rsidRDefault="00BF1765" w:rsidP="002041D4">
            <w:pPr>
              <w:wordWrap w:val="0"/>
              <w:spacing w:before="60" w:after="60" w:line="200" w:lineRule="exact"/>
              <w:jc w:val="right"/>
              <w:rPr>
                <w:rFonts w:eastAsia="Calibri"/>
                <w:noProof/>
                <w:sz w:val="16"/>
                <w:szCs w:val="16"/>
              </w:rPr>
            </w:pPr>
          </w:p>
        </w:tc>
        <w:tc>
          <w:tcPr>
            <w:tcW w:w="1080" w:type="dxa"/>
            <w:vAlign w:val="center"/>
          </w:tcPr>
          <w:p w14:paraId="2C3A5ECB" w14:textId="77777777" w:rsidR="00BF1765" w:rsidRPr="00DF5C23" w:rsidRDefault="00BF1765" w:rsidP="002041D4">
            <w:pPr>
              <w:wordWrap w:val="0"/>
              <w:spacing w:before="60" w:after="60" w:line="200" w:lineRule="exact"/>
              <w:jc w:val="right"/>
              <w:rPr>
                <w:rFonts w:eastAsia="Calibri"/>
                <w:noProof/>
                <w:sz w:val="16"/>
                <w:szCs w:val="16"/>
              </w:rPr>
            </w:pPr>
          </w:p>
        </w:tc>
        <w:tc>
          <w:tcPr>
            <w:tcW w:w="1080" w:type="dxa"/>
            <w:vAlign w:val="center"/>
          </w:tcPr>
          <w:p w14:paraId="2C3A5ECC" w14:textId="77777777" w:rsidR="00BF1765" w:rsidRPr="00DF5C23" w:rsidRDefault="00BF1765" w:rsidP="002041D4">
            <w:pPr>
              <w:wordWrap w:val="0"/>
              <w:spacing w:before="60" w:after="60" w:line="200" w:lineRule="exact"/>
              <w:jc w:val="right"/>
              <w:rPr>
                <w:rFonts w:eastAsia="Calibri"/>
                <w:noProof/>
                <w:sz w:val="16"/>
                <w:szCs w:val="16"/>
              </w:rPr>
            </w:pPr>
          </w:p>
        </w:tc>
        <w:tc>
          <w:tcPr>
            <w:tcW w:w="1080" w:type="dxa"/>
            <w:vAlign w:val="center"/>
          </w:tcPr>
          <w:p w14:paraId="2C3A5ECD" w14:textId="77777777" w:rsidR="00BF1765" w:rsidRPr="00DF5C23" w:rsidRDefault="00BF1765" w:rsidP="002041D4">
            <w:pPr>
              <w:wordWrap w:val="0"/>
              <w:spacing w:before="60" w:after="60" w:line="200" w:lineRule="exact"/>
              <w:jc w:val="right"/>
              <w:rPr>
                <w:rFonts w:eastAsia="Calibri"/>
                <w:noProof/>
                <w:sz w:val="16"/>
                <w:szCs w:val="16"/>
              </w:rPr>
            </w:pPr>
          </w:p>
        </w:tc>
        <w:tc>
          <w:tcPr>
            <w:tcW w:w="1080" w:type="dxa"/>
            <w:vAlign w:val="center"/>
          </w:tcPr>
          <w:p w14:paraId="2C3A5ECE" w14:textId="77777777" w:rsidR="00BF1765" w:rsidRPr="00DF5C23" w:rsidRDefault="00BF1765" w:rsidP="002041D4">
            <w:pPr>
              <w:wordWrap w:val="0"/>
              <w:spacing w:before="60" w:after="60" w:line="200" w:lineRule="exact"/>
              <w:jc w:val="right"/>
              <w:rPr>
                <w:rFonts w:eastAsia="Calibri"/>
                <w:noProof/>
                <w:sz w:val="16"/>
                <w:szCs w:val="16"/>
              </w:rPr>
            </w:pPr>
          </w:p>
        </w:tc>
        <w:tc>
          <w:tcPr>
            <w:tcW w:w="1080" w:type="dxa"/>
            <w:vAlign w:val="center"/>
          </w:tcPr>
          <w:p w14:paraId="2C3A5ECF" w14:textId="77777777" w:rsidR="00BF1765" w:rsidRPr="00DF5C23" w:rsidRDefault="00BF1765" w:rsidP="002041D4">
            <w:pPr>
              <w:wordWrap w:val="0"/>
              <w:spacing w:before="60" w:after="60" w:line="200" w:lineRule="exact"/>
              <w:jc w:val="right"/>
              <w:rPr>
                <w:rFonts w:eastAsia="Calibri"/>
                <w:b/>
                <w:noProof/>
                <w:sz w:val="16"/>
                <w:szCs w:val="16"/>
              </w:rPr>
            </w:pPr>
          </w:p>
        </w:tc>
      </w:tr>
      <w:tr w:rsidR="00BF1765" w:rsidRPr="00DF5C23" w14:paraId="2C3A5ED9" w14:textId="77777777" w:rsidTr="00743354">
        <w:trPr>
          <w:trHeight w:val="585"/>
        </w:trPr>
        <w:tc>
          <w:tcPr>
            <w:tcW w:w="1980" w:type="dxa"/>
            <w:vAlign w:val="center"/>
          </w:tcPr>
          <w:p w14:paraId="5FEC88F3" w14:textId="77777777" w:rsidR="0038775E" w:rsidRDefault="00877B9C" w:rsidP="002041D4">
            <w:pPr>
              <w:wordWrap w:val="0"/>
              <w:spacing w:before="60" w:after="60" w:line="200" w:lineRule="exact"/>
              <w:ind w:left="72"/>
              <w:jc w:val="left"/>
              <w:rPr>
                <w:rFonts w:eastAsia="Calibri"/>
                <w:noProof/>
                <w:sz w:val="16"/>
                <w:szCs w:val="16"/>
              </w:rPr>
            </w:pPr>
            <w:r w:rsidRPr="00DF5C23">
              <w:rPr>
                <w:rFonts w:eastAsia="Calibri"/>
                <w:noProof/>
                <w:sz w:val="16"/>
              </w:rPr>
              <w:t>人的資源</w:t>
            </w:r>
            <w:r w:rsidRPr="00DF5C23">
              <w:rPr>
                <w:rFonts w:eastAsia="Calibri"/>
                <w:noProof/>
                <w:sz w:val="16"/>
              </w:rPr>
              <w:t xml:space="preserve"> </w:t>
            </w:r>
          </w:p>
        </w:tc>
        <w:tc>
          <w:tcPr>
            <w:tcW w:w="1080" w:type="dxa"/>
            <w:vAlign w:val="center"/>
          </w:tcPr>
          <w:p w14:paraId="2C3A5ED2" w14:textId="77777777" w:rsidR="00BF1765" w:rsidRPr="00DF5C23" w:rsidRDefault="00BF1765" w:rsidP="002041D4">
            <w:pPr>
              <w:wordWrap w:val="0"/>
              <w:spacing w:before="60" w:after="60" w:line="200" w:lineRule="exact"/>
              <w:jc w:val="right"/>
              <w:rPr>
                <w:rFonts w:eastAsia="Calibri"/>
                <w:noProof/>
                <w:sz w:val="16"/>
                <w:szCs w:val="16"/>
              </w:rPr>
            </w:pPr>
          </w:p>
        </w:tc>
        <w:tc>
          <w:tcPr>
            <w:tcW w:w="1080" w:type="dxa"/>
            <w:vAlign w:val="center"/>
          </w:tcPr>
          <w:p w14:paraId="2C3A5ED3" w14:textId="77777777" w:rsidR="00BF1765" w:rsidRPr="00DF5C23" w:rsidRDefault="00BF1765" w:rsidP="002041D4">
            <w:pPr>
              <w:wordWrap w:val="0"/>
              <w:spacing w:before="60" w:after="60" w:line="200" w:lineRule="exact"/>
              <w:jc w:val="right"/>
              <w:rPr>
                <w:rFonts w:eastAsia="Calibri"/>
                <w:noProof/>
                <w:sz w:val="16"/>
                <w:szCs w:val="16"/>
              </w:rPr>
            </w:pPr>
          </w:p>
        </w:tc>
        <w:tc>
          <w:tcPr>
            <w:tcW w:w="1080" w:type="dxa"/>
            <w:vAlign w:val="center"/>
          </w:tcPr>
          <w:p w14:paraId="2C3A5ED4" w14:textId="77777777" w:rsidR="00BF1765" w:rsidRPr="00DF5C23" w:rsidRDefault="00BF1765" w:rsidP="002041D4">
            <w:pPr>
              <w:wordWrap w:val="0"/>
              <w:spacing w:before="60" w:after="60" w:line="200" w:lineRule="exact"/>
              <w:jc w:val="right"/>
              <w:rPr>
                <w:rFonts w:eastAsia="Calibri"/>
                <w:noProof/>
                <w:sz w:val="16"/>
                <w:szCs w:val="16"/>
              </w:rPr>
            </w:pPr>
          </w:p>
        </w:tc>
        <w:tc>
          <w:tcPr>
            <w:tcW w:w="1080" w:type="dxa"/>
            <w:vAlign w:val="center"/>
          </w:tcPr>
          <w:p w14:paraId="2C3A5ED5" w14:textId="77777777" w:rsidR="00BF1765" w:rsidRPr="00DF5C23" w:rsidRDefault="00BF1765" w:rsidP="002041D4">
            <w:pPr>
              <w:wordWrap w:val="0"/>
              <w:spacing w:before="60" w:after="60" w:line="200" w:lineRule="exact"/>
              <w:jc w:val="right"/>
              <w:rPr>
                <w:rFonts w:eastAsia="Calibri"/>
                <w:noProof/>
                <w:sz w:val="16"/>
                <w:szCs w:val="16"/>
              </w:rPr>
            </w:pPr>
          </w:p>
        </w:tc>
        <w:tc>
          <w:tcPr>
            <w:tcW w:w="1080" w:type="dxa"/>
            <w:vAlign w:val="center"/>
          </w:tcPr>
          <w:p w14:paraId="2C3A5ED6" w14:textId="77777777" w:rsidR="00BF1765" w:rsidRPr="00DF5C23" w:rsidRDefault="00BF1765" w:rsidP="002041D4">
            <w:pPr>
              <w:wordWrap w:val="0"/>
              <w:spacing w:before="60" w:after="60" w:line="200" w:lineRule="exact"/>
              <w:jc w:val="right"/>
              <w:rPr>
                <w:rFonts w:eastAsia="Calibri"/>
                <w:noProof/>
                <w:sz w:val="16"/>
                <w:szCs w:val="16"/>
              </w:rPr>
            </w:pPr>
          </w:p>
        </w:tc>
        <w:tc>
          <w:tcPr>
            <w:tcW w:w="1080" w:type="dxa"/>
            <w:vAlign w:val="center"/>
          </w:tcPr>
          <w:p w14:paraId="2C3A5ED7" w14:textId="77777777" w:rsidR="00BF1765" w:rsidRPr="00DF5C23" w:rsidRDefault="00BF1765" w:rsidP="002041D4">
            <w:pPr>
              <w:wordWrap w:val="0"/>
              <w:spacing w:before="60" w:after="60" w:line="200" w:lineRule="exact"/>
              <w:jc w:val="right"/>
              <w:rPr>
                <w:rFonts w:eastAsia="Calibri"/>
                <w:noProof/>
                <w:sz w:val="16"/>
                <w:szCs w:val="16"/>
              </w:rPr>
            </w:pPr>
          </w:p>
        </w:tc>
        <w:tc>
          <w:tcPr>
            <w:tcW w:w="1080" w:type="dxa"/>
            <w:vAlign w:val="center"/>
          </w:tcPr>
          <w:p w14:paraId="2C3A5ED8" w14:textId="77777777" w:rsidR="00BF1765" w:rsidRPr="00DF5C23" w:rsidRDefault="00BF1765" w:rsidP="002041D4">
            <w:pPr>
              <w:wordWrap w:val="0"/>
              <w:spacing w:before="60" w:after="60" w:line="200" w:lineRule="exact"/>
              <w:jc w:val="right"/>
              <w:rPr>
                <w:rFonts w:eastAsia="Calibri"/>
                <w:b/>
                <w:noProof/>
                <w:sz w:val="16"/>
                <w:szCs w:val="16"/>
              </w:rPr>
            </w:pPr>
          </w:p>
        </w:tc>
      </w:tr>
      <w:tr w:rsidR="00BF1765" w:rsidRPr="00DF5C23" w14:paraId="2C3A5EE2" w14:textId="77777777" w:rsidTr="00743354">
        <w:trPr>
          <w:trHeight w:val="585"/>
        </w:trPr>
        <w:tc>
          <w:tcPr>
            <w:tcW w:w="1980" w:type="dxa"/>
            <w:vAlign w:val="center"/>
          </w:tcPr>
          <w:p w14:paraId="104EB303" w14:textId="77777777" w:rsidR="0038775E" w:rsidRDefault="00877B9C" w:rsidP="002041D4">
            <w:pPr>
              <w:wordWrap w:val="0"/>
              <w:spacing w:before="60" w:after="60" w:line="200" w:lineRule="exact"/>
              <w:ind w:left="72"/>
              <w:jc w:val="left"/>
              <w:rPr>
                <w:rFonts w:eastAsia="Calibri"/>
                <w:noProof/>
                <w:sz w:val="16"/>
                <w:szCs w:val="16"/>
                <w:lang w:eastAsia="ja-JP"/>
              </w:rPr>
            </w:pPr>
            <w:r w:rsidRPr="00DF5C23">
              <w:rPr>
                <w:rFonts w:eastAsia="Calibri"/>
                <w:noProof/>
                <w:sz w:val="16"/>
                <w:lang w:eastAsia="ja-JP"/>
              </w:rPr>
              <w:t>その他の支出</w:t>
            </w:r>
            <w:r w:rsidRPr="00DF5C23">
              <w:rPr>
                <w:rFonts w:eastAsia="Calibri"/>
                <w:noProof/>
                <w:sz w:val="16"/>
                <w:lang w:eastAsia="ja-JP"/>
              </w:rPr>
              <w:t xml:space="preserve"> </w:t>
            </w:r>
            <w:r w:rsidRPr="00DF5C23">
              <w:rPr>
                <w:rFonts w:eastAsia="Calibri"/>
                <w:noProof/>
                <w:sz w:val="22"/>
                <w:lang w:eastAsia="ja-JP"/>
              </w:rPr>
              <w:br/>
            </w:r>
            <w:r w:rsidRPr="00DF5C23">
              <w:rPr>
                <w:rFonts w:eastAsia="Calibri"/>
                <w:noProof/>
                <w:sz w:val="16"/>
                <w:lang w:eastAsia="ja-JP"/>
              </w:rPr>
              <w:t>ぎょうせいしゅ</w:t>
            </w:r>
          </w:p>
        </w:tc>
        <w:tc>
          <w:tcPr>
            <w:tcW w:w="1080" w:type="dxa"/>
            <w:vAlign w:val="center"/>
          </w:tcPr>
          <w:p w14:paraId="2C3A5EDB" w14:textId="77777777" w:rsidR="00BF1765" w:rsidRPr="00DF5C23" w:rsidRDefault="00BF1765" w:rsidP="002041D4">
            <w:pPr>
              <w:wordWrap w:val="0"/>
              <w:spacing w:before="60" w:after="60" w:line="200" w:lineRule="exact"/>
              <w:jc w:val="right"/>
              <w:rPr>
                <w:rFonts w:eastAsia="Calibri"/>
                <w:noProof/>
                <w:sz w:val="16"/>
                <w:szCs w:val="16"/>
                <w:lang w:eastAsia="ja-JP"/>
              </w:rPr>
            </w:pPr>
          </w:p>
        </w:tc>
        <w:tc>
          <w:tcPr>
            <w:tcW w:w="1080" w:type="dxa"/>
            <w:vAlign w:val="center"/>
          </w:tcPr>
          <w:p w14:paraId="2C3A5EDC" w14:textId="77777777" w:rsidR="00BF1765" w:rsidRPr="00DF5C23" w:rsidRDefault="00BF1765" w:rsidP="002041D4">
            <w:pPr>
              <w:wordWrap w:val="0"/>
              <w:spacing w:before="60" w:after="60" w:line="200" w:lineRule="exact"/>
              <w:jc w:val="right"/>
              <w:rPr>
                <w:rFonts w:eastAsia="Calibri"/>
                <w:noProof/>
                <w:sz w:val="16"/>
                <w:szCs w:val="16"/>
                <w:lang w:eastAsia="ja-JP"/>
              </w:rPr>
            </w:pPr>
          </w:p>
        </w:tc>
        <w:tc>
          <w:tcPr>
            <w:tcW w:w="1080" w:type="dxa"/>
            <w:vAlign w:val="center"/>
          </w:tcPr>
          <w:p w14:paraId="2C3A5EDD" w14:textId="77777777" w:rsidR="00BF1765" w:rsidRPr="00DF5C23" w:rsidRDefault="00BF1765" w:rsidP="002041D4">
            <w:pPr>
              <w:wordWrap w:val="0"/>
              <w:spacing w:before="60" w:after="60" w:line="200" w:lineRule="exact"/>
              <w:jc w:val="right"/>
              <w:rPr>
                <w:rFonts w:eastAsia="Calibri"/>
                <w:noProof/>
                <w:sz w:val="16"/>
                <w:szCs w:val="16"/>
                <w:lang w:eastAsia="ja-JP"/>
              </w:rPr>
            </w:pPr>
          </w:p>
        </w:tc>
        <w:tc>
          <w:tcPr>
            <w:tcW w:w="1080" w:type="dxa"/>
            <w:vAlign w:val="center"/>
          </w:tcPr>
          <w:p w14:paraId="2C3A5EDE" w14:textId="77777777" w:rsidR="00BF1765" w:rsidRPr="00DF5C23" w:rsidRDefault="00BF1765" w:rsidP="002041D4">
            <w:pPr>
              <w:wordWrap w:val="0"/>
              <w:spacing w:before="60" w:after="60" w:line="200" w:lineRule="exact"/>
              <w:jc w:val="right"/>
              <w:rPr>
                <w:rFonts w:eastAsia="Calibri"/>
                <w:noProof/>
                <w:sz w:val="16"/>
                <w:szCs w:val="16"/>
                <w:lang w:eastAsia="ja-JP"/>
              </w:rPr>
            </w:pPr>
          </w:p>
        </w:tc>
        <w:tc>
          <w:tcPr>
            <w:tcW w:w="1080" w:type="dxa"/>
            <w:vAlign w:val="center"/>
          </w:tcPr>
          <w:p w14:paraId="2C3A5EDF" w14:textId="77777777" w:rsidR="00BF1765" w:rsidRPr="00DF5C23" w:rsidRDefault="00BF1765" w:rsidP="002041D4">
            <w:pPr>
              <w:wordWrap w:val="0"/>
              <w:spacing w:before="60" w:after="60" w:line="200" w:lineRule="exact"/>
              <w:jc w:val="right"/>
              <w:rPr>
                <w:rFonts w:eastAsia="Calibri"/>
                <w:noProof/>
                <w:sz w:val="16"/>
                <w:szCs w:val="16"/>
                <w:lang w:eastAsia="ja-JP"/>
              </w:rPr>
            </w:pPr>
          </w:p>
        </w:tc>
        <w:tc>
          <w:tcPr>
            <w:tcW w:w="1080" w:type="dxa"/>
            <w:vAlign w:val="center"/>
          </w:tcPr>
          <w:p w14:paraId="2C3A5EE0" w14:textId="77777777" w:rsidR="00BF1765" w:rsidRPr="00DF5C23" w:rsidRDefault="00BF1765" w:rsidP="002041D4">
            <w:pPr>
              <w:wordWrap w:val="0"/>
              <w:spacing w:before="60" w:after="60" w:line="200" w:lineRule="exact"/>
              <w:jc w:val="right"/>
              <w:rPr>
                <w:rFonts w:eastAsia="Calibri"/>
                <w:noProof/>
                <w:sz w:val="16"/>
                <w:szCs w:val="16"/>
                <w:lang w:eastAsia="ja-JP"/>
              </w:rPr>
            </w:pPr>
          </w:p>
        </w:tc>
        <w:tc>
          <w:tcPr>
            <w:tcW w:w="1080" w:type="dxa"/>
            <w:vAlign w:val="center"/>
          </w:tcPr>
          <w:p w14:paraId="2C3A5EE1" w14:textId="77777777" w:rsidR="00BF1765" w:rsidRPr="00DF5C23" w:rsidRDefault="00BF1765" w:rsidP="002041D4">
            <w:pPr>
              <w:wordWrap w:val="0"/>
              <w:spacing w:before="60" w:after="60" w:line="200" w:lineRule="exact"/>
              <w:jc w:val="right"/>
              <w:rPr>
                <w:rFonts w:eastAsia="Calibri"/>
                <w:b/>
                <w:noProof/>
                <w:sz w:val="16"/>
                <w:szCs w:val="16"/>
                <w:lang w:eastAsia="ja-JP"/>
              </w:rPr>
            </w:pPr>
          </w:p>
        </w:tc>
      </w:tr>
      <w:tr w:rsidR="00BF1765" w:rsidRPr="00DF5C23" w14:paraId="2C3A5EEB" w14:textId="77777777" w:rsidTr="00743354">
        <w:trPr>
          <w:trHeight w:val="585"/>
        </w:trPr>
        <w:tc>
          <w:tcPr>
            <w:tcW w:w="1980" w:type="dxa"/>
            <w:shd w:val="clear" w:color="auto" w:fill="CCCCCC"/>
            <w:vAlign w:val="center"/>
          </w:tcPr>
          <w:p w14:paraId="363640AC" w14:textId="77777777" w:rsidR="0038775E" w:rsidRDefault="00877B9C" w:rsidP="002041D4">
            <w:pPr>
              <w:wordWrap w:val="0"/>
              <w:spacing w:before="60" w:after="60" w:line="200" w:lineRule="exact"/>
              <w:jc w:val="center"/>
              <w:rPr>
                <w:rFonts w:eastAsia="Calibri"/>
                <w:b/>
                <w:noProof/>
                <w:sz w:val="16"/>
                <w:szCs w:val="16"/>
                <w:lang w:eastAsia="ja-JP"/>
              </w:rPr>
            </w:pPr>
            <w:r w:rsidRPr="00DF5C23">
              <w:rPr>
                <w:rFonts w:eastAsia="Calibri"/>
                <w:b/>
                <w:noProof/>
                <w:sz w:val="16"/>
                <w:lang w:eastAsia="ja-JP"/>
              </w:rPr>
              <w:t>小計</w:t>
            </w:r>
            <w:r w:rsidRPr="00DF5C23">
              <w:rPr>
                <w:rFonts w:eastAsia="Calibri"/>
                <w:b/>
                <w:noProof/>
                <w:sz w:val="16"/>
                <w:lang w:eastAsia="ja-JP"/>
              </w:rPr>
              <w:t xml:space="preserve"> </w:t>
            </w:r>
            <w:r w:rsidRPr="00DF5C23">
              <w:rPr>
                <w:rFonts w:eastAsia="Calibri"/>
                <w:noProof/>
                <w:sz w:val="22"/>
                <w:lang w:eastAsia="ja-JP"/>
              </w:rPr>
              <w:br/>
            </w:r>
            <w:r w:rsidRPr="00DF5C23">
              <w:rPr>
                <w:rFonts w:eastAsia="Calibri"/>
                <w:b/>
                <w:noProof/>
                <w:sz w:val="16"/>
                <w:lang w:eastAsia="ja-JP"/>
              </w:rPr>
              <w:t>アウトサイドヘディング</w:t>
            </w:r>
            <w:r w:rsidRPr="00DF5C23">
              <w:rPr>
                <w:rFonts w:eastAsia="Calibri"/>
                <w:b/>
                <w:noProof/>
                <w:sz w:val="16"/>
                <w:lang w:eastAsia="ja-JP"/>
              </w:rPr>
              <w:t>7</w:t>
            </w:r>
            <w:r w:rsidRPr="00DF5C23">
              <w:rPr>
                <w:rFonts w:eastAsia="Calibri"/>
                <w:noProof/>
                <w:sz w:val="22"/>
                <w:lang w:eastAsia="ja-JP"/>
              </w:rPr>
              <w:br/>
            </w:r>
            <w:r w:rsidRPr="00DF5C23">
              <w:rPr>
                <w:rFonts w:eastAsia="Calibri"/>
                <w:b/>
                <w:noProof/>
                <w:sz w:val="16"/>
                <w:lang w:eastAsia="ja-JP"/>
              </w:rPr>
              <w:t>多年間財政枠の</w:t>
            </w:r>
            <w:r w:rsidRPr="00DF5C23">
              <w:rPr>
                <w:rFonts w:eastAsia="Calibri"/>
                <w:b/>
                <w:noProof/>
                <w:sz w:val="16"/>
                <w:lang w:eastAsia="ja-JP"/>
              </w:rPr>
              <w:t xml:space="preserve"> </w:t>
            </w:r>
          </w:p>
        </w:tc>
        <w:tc>
          <w:tcPr>
            <w:tcW w:w="1080" w:type="dxa"/>
            <w:vAlign w:val="center"/>
          </w:tcPr>
          <w:p w14:paraId="2C3A5EE4" w14:textId="77777777" w:rsidR="00BF1765" w:rsidRPr="00DF5C23" w:rsidRDefault="00BF1765" w:rsidP="002041D4">
            <w:pPr>
              <w:wordWrap w:val="0"/>
              <w:spacing w:before="60" w:after="60" w:line="200" w:lineRule="exact"/>
              <w:jc w:val="right"/>
              <w:rPr>
                <w:rFonts w:eastAsia="Calibri"/>
                <w:noProof/>
                <w:sz w:val="16"/>
                <w:szCs w:val="16"/>
                <w:lang w:eastAsia="ja-JP"/>
              </w:rPr>
            </w:pPr>
          </w:p>
        </w:tc>
        <w:tc>
          <w:tcPr>
            <w:tcW w:w="1080" w:type="dxa"/>
            <w:vAlign w:val="center"/>
          </w:tcPr>
          <w:p w14:paraId="2C3A5EE5" w14:textId="77777777" w:rsidR="00BF1765" w:rsidRPr="00DF5C23" w:rsidRDefault="00BF1765" w:rsidP="002041D4">
            <w:pPr>
              <w:wordWrap w:val="0"/>
              <w:spacing w:before="60" w:after="60" w:line="200" w:lineRule="exact"/>
              <w:jc w:val="right"/>
              <w:rPr>
                <w:rFonts w:eastAsia="Calibri"/>
                <w:noProof/>
                <w:sz w:val="16"/>
                <w:szCs w:val="16"/>
                <w:lang w:eastAsia="ja-JP"/>
              </w:rPr>
            </w:pPr>
          </w:p>
        </w:tc>
        <w:tc>
          <w:tcPr>
            <w:tcW w:w="1080" w:type="dxa"/>
            <w:vAlign w:val="center"/>
          </w:tcPr>
          <w:p w14:paraId="2C3A5EE6" w14:textId="77777777" w:rsidR="00BF1765" w:rsidRPr="00DF5C23" w:rsidRDefault="00BF1765" w:rsidP="002041D4">
            <w:pPr>
              <w:wordWrap w:val="0"/>
              <w:spacing w:before="60" w:after="60" w:line="200" w:lineRule="exact"/>
              <w:jc w:val="right"/>
              <w:rPr>
                <w:rFonts w:eastAsia="Calibri"/>
                <w:noProof/>
                <w:sz w:val="16"/>
                <w:szCs w:val="16"/>
                <w:lang w:eastAsia="ja-JP"/>
              </w:rPr>
            </w:pPr>
          </w:p>
        </w:tc>
        <w:tc>
          <w:tcPr>
            <w:tcW w:w="1080" w:type="dxa"/>
            <w:vAlign w:val="center"/>
          </w:tcPr>
          <w:p w14:paraId="2C3A5EE7" w14:textId="77777777" w:rsidR="00BF1765" w:rsidRPr="00DF5C23" w:rsidRDefault="00BF1765" w:rsidP="002041D4">
            <w:pPr>
              <w:wordWrap w:val="0"/>
              <w:spacing w:before="60" w:after="60" w:line="200" w:lineRule="exact"/>
              <w:jc w:val="right"/>
              <w:rPr>
                <w:rFonts w:eastAsia="Calibri"/>
                <w:noProof/>
                <w:sz w:val="16"/>
                <w:szCs w:val="16"/>
                <w:lang w:eastAsia="ja-JP"/>
              </w:rPr>
            </w:pPr>
          </w:p>
        </w:tc>
        <w:tc>
          <w:tcPr>
            <w:tcW w:w="1080" w:type="dxa"/>
            <w:vAlign w:val="center"/>
          </w:tcPr>
          <w:p w14:paraId="2C3A5EE8" w14:textId="77777777" w:rsidR="00BF1765" w:rsidRPr="00DF5C23" w:rsidRDefault="00BF1765" w:rsidP="002041D4">
            <w:pPr>
              <w:wordWrap w:val="0"/>
              <w:spacing w:before="60" w:after="60" w:line="200" w:lineRule="exact"/>
              <w:jc w:val="right"/>
              <w:rPr>
                <w:rFonts w:eastAsia="Calibri"/>
                <w:noProof/>
                <w:sz w:val="16"/>
                <w:szCs w:val="16"/>
                <w:lang w:eastAsia="ja-JP"/>
              </w:rPr>
            </w:pPr>
          </w:p>
        </w:tc>
        <w:tc>
          <w:tcPr>
            <w:tcW w:w="1080" w:type="dxa"/>
            <w:vAlign w:val="center"/>
          </w:tcPr>
          <w:p w14:paraId="2C3A5EE9" w14:textId="77777777" w:rsidR="00BF1765" w:rsidRPr="00DF5C23" w:rsidRDefault="00BF1765" w:rsidP="002041D4">
            <w:pPr>
              <w:wordWrap w:val="0"/>
              <w:spacing w:before="60" w:after="60" w:line="200" w:lineRule="exact"/>
              <w:jc w:val="right"/>
              <w:rPr>
                <w:rFonts w:eastAsia="Calibri"/>
                <w:noProof/>
                <w:sz w:val="16"/>
                <w:szCs w:val="16"/>
                <w:lang w:eastAsia="ja-JP"/>
              </w:rPr>
            </w:pPr>
          </w:p>
        </w:tc>
        <w:tc>
          <w:tcPr>
            <w:tcW w:w="1080" w:type="dxa"/>
            <w:vAlign w:val="center"/>
          </w:tcPr>
          <w:p w14:paraId="2C3A5EEA" w14:textId="77777777" w:rsidR="00BF1765" w:rsidRPr="00DF5C23" w:rsidRDefault="00BF1765" w:rsidP="002041D4">
            <w:pPr>
              <w:wordWrap w:val="0"/>
              <w:spacing w:before="60" w:after="60" w:line="200" w:lineRule="exact"/>
              <w:jc w:val="right"/>
              <w:rPr>
                <w:rFonts w:eastAsia="Calibri"/>
                <w:b/>
                <w:noProof/>
                <w:sz w:val="16"/>
                <w:szCs w:val="16"/>
                <w:lang w:eastAsia="ja-JP"/>
              </w:rPr>
            </w:pPr>
          </w:p>
        </w:tc>
      </w:tr>
    </w:tbl>
    <w:p w14:paraId="2C3A5EEC" w14:textId="77777777" w:rsidR="00BF1765" w:rsidRPr="00DF5C23" w:rsidRDefault="00BF1765" w:rsidP="002041D4">
      <w:pPr>
        <w:wordWrap w:val="0"/>
        <w:spacing w:line="200" w:lineRule="exact"/>
        <w:rPr>
          <w:rFonts w:eastAsia="Calibri"/>
          <w:noProof/>
          <w:sz w:val="16"/>
          <w:szCs w:val="16"/>
          <w:lang w:eastAsia="ja-JP"/>
        </w:rPr>
      </w:pPr>
    </w:p>
    <w:tbl>
      <w:tblPr>
        <w:tblW w:w="954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tblGrid>
      <w:tr w:rsidR="005C61BF" w:rsidRPr="00DF5C23" w14:paraId="2C3A5EF5" w14:textId="77777777" w:rsidTr="00EC0E40">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14:paraId="5A5BE45E" w14:textId="77777777" w:rsidR="0038775E" w:rsidRDefault="00877B9C" w:rsidP="002041D4">
            <w:pPr>
              <w:wordWrap w:val="0"/>
              <w:spacing w:before="60" w:after="60" w:line="200" w:lineRule="exact"/>
              <w:jc w:val="center"/>
              <w:rPr>
                <w:rFonts w:eastAsia="Calibri"/>
                <w:noProof/>
                <w:sz w:val="16"/>
                <w:szCs w:val="16"/>
              </w:rPr>
            </w:pPr>
            <w:r w:rsidRPr="00DF5C23">
              <w:rPr>
                <w:rFonts w:eastAsia="Calibri"/>
                <w:b/>
                <w:noProof/>
                <w:sz w:val="16"/>
              </w:rPr>
              <w:t>TOTAL</w:t>
            </w:r>
          </w:p>
        </w:tc>
        <w:tc>
          <w:tcPr>
            <w:tcW w:w="1080" w:type="dxa"/>
            <w:tcBorders>
              <w:top w:val="single" w:sz="12" w:space="0" w:color="auto"/>
              <w:left w:val="single" w:sz="2" w:space="0" w:color="auto"/>
              <w:bottom w:val="single" w:sz="12" w:space="0" w:color="auto"/>
              <w:right w:val="single" w:sz="2" w:space="0" w:color="auto"/>
            </w:tcBorders>
            <w:vAlign w:val="center"/>
          </w:tcPr>
          <w:p w14:paraId="1254DAD8" w14:textId="77777777" w:rsidR="0038775E" w:rsidRDefault="00877B9C" w:rsidP="002041D4">
            <w:pPr>
              <w:wordWrap w:val="0"/>
              <w:spacing w:before="60" w:after="60" w:line="200" w:lineRule="exact"/>
              <w:jc w:val="right"/>
              <w:rPr>
                <w:rFonts w:eastAsia="Calibri"/>
                <w:b/>
                <w:noProof/>
                <w:sz w:val="16"/>
                <w:szCs w:val="16"/>
              </w:rPr>
            </w:pPr>
            <w:r w:rsidRPr="00DF5C23">
              <w:rPr>
                <w:noProof/>
                <w:color w:val="000000"/>
                <w:sz w:val="20"/>
                <w:szCs w:val="20"/>
              </w:rPr>
              <w:t>1,781</w:t>
            </w:r>
          </w:p>
        </w:tc>
        <w:tc>
          <w:tcPr>
            <w:tcW w:w="1080" w:type="dxa"/>
            <w:tcBorders>
              <w:top w:val="single" w:sz="12" w:space="0" w:color="auto"/>
              <w:left w:val="single" w:sz="2" w:space="0" w:color="auto"/>
              <w:bottom w:val="single" w:sz="12" w:space="0" w:color="auto"/>
              <w:right w:val="single" w:sz="2" w:space="0" w:color="auto"/>
            </w:tcBorders>
            <w:vAlign w:val="center"/>
          </w:tcPr>
          <w:p w14:paraId="5C5C4B23" w14:textId="77777777" w:rsidR="0038775E" w:rsidRDefault="00877B9C" w:rsidP="002041D4">
            <w:pPr>
              <w:wordWrap w:val="0"/>
              <w:spacing w:before="60" w:after="60" w:line="200" w:lineRule="exact"/>
              <w:jc w:val="right"/>
              <w:rPr>
                <w:rFonts w:eastAsia="Calibri"/>
                <w:b/>
                <w:noProof/>
                <w:sz w:val="16"/>
                <w:szCs w:val="16"/>
              </w:rPr>
            </w:pPr>
            <w:r w:rsidRPr="00DF5C23">
              <w:rPr>
                <w:noProof/>
                <w:color w:val="000000"/>
                <w:sz w:val="20"/>
                <w:szCs w:val="20"/>
              </w:rPr>
              <w:t>5,816</w:t>
            </w:r>
          </w:p>
        </w:tc>
        <w:tc>
          <w:tcPr>
            <w:tcW w:w="1080" w:type="dxa"/>
            <w:tcBorders>
              <w:top w:val="single" w:sz="12" w:space="0" w:color="auto"/>
              <w:left w:val="single" w:sz="2" w:space="0" w:color="auto"/>
              <w:bottom w:val="single" w:sz="12" w:space="0" w:color="auto"/>
              <w:right w:val="single" w:sz="2" w:space="0" w:color="auto"/>
            </w:tcBorders>
            <w:vAlign w:val="center"/>
          </w:tcPr>
          <w:p w14:paraId="5BBB602B" w14:textId="77777777" w:rsidR="0038775E" w:rsidRDefault="00877B9C" w:rsidP="002041D4">
            <w:pPr>
              <w:wordWrap w:val="0"/>
              <w:spacing w:before="60" w:after="60" w:line="200" w:lineRule="exact"/>
              <w:jc w:val="right"/>
              <w:rPr>
                <w:rFonts w:eastAsia="Calibri"/>
                <w:b/>
                <w:noProof/>
                <w:sz w:val="16"/>
                <w:szCs w:val="16"/>
              </w:rPr>
            </w:pPr>
            <w:r w:rsidRPr="00DF5C23">
              <w:rPr>
                <w:noProof/>
                <w:color w:val="000000"/>
                <w:sz w:val="20"/>
                <w:szCs w:val="20"/>
              </w:rPr>
              <w:t>7,370</w:t>
            </w:r>
          </w:p>
        </w:tc>
        <w:tc>
          <w:tcPr>
            <w:tcW w:w="1080" w:type="dxa"/>
            <w:tcBorders>
              <w:top w:val="single" w:sz="12" w:space="0" w:color="auto"/>
              <w:left w:val="single" w:sz="2" w:space="0" w:color="auto"/>
              <w:bottom w:val="single" w:sz="12" w:space="0" w:color="auto"/>
              <w:right w:val="single" w:sz="2" w:space="0" w:color="auto"/>
            </w:tcBorders>
            <w:vAlign w:val="center"/>
          </w:tcPr>
          <w:p w14:paraId="3E654563" w14:textId="77777777" w:rsidR="0038775E" w:rsidRDefault="00877B9C" w:rsidP="002041D4">
            <w:pPr>
              <w:wordWrap w:val="0"/>
              <w:spacing w:before="60" w:after="60" w:line="200" w:lineRule="exact"/>
              <w:jc w:val="right"/>
              <w:rPr>
                <w:rFonts w:eastAsia="Calibri"/>
                <w:b/>
                <w:noProof/>
                <w:sz w:val="16"/>
                <w:szCs w:val="16"/>
              </w:rPr>
            </w:pPr>
            <w:r w:rsidRPr="00DF5C23">
              <w:rPr>
                <w:noProof/>
                <w:color w:val="000000"/>
                <w:sz w:val="20"/>
                <w:szCs w:val="20"/>
              </w:rPr>
              <w:t>7,658</w:t>
            </w:r>
          </w:p>
        </w:tc>
        <w:tc>
          <w:tcPr>
            <w:tcW w:w="1080" w:type="dxa"/>
            <w:tcBorders>
              <w:top w:val="single" w:sz="12" w:space="0" w:color="auto"/>
              <w:left w:val="single" w:sz="2" w:space="0" w:color="auto"/>
              <w:bottom w:val="single" w:sz="12" w:space="0" w:color="auto"/>
              <w:right w:val="single" w:sz="2" w:space="0" w:color="auto"/>
            </w:tcBorders>
            <w:vAlign w:val="center"/>
          </w:tcPr>
          <w:p w14:paraId="4E23B2CB" w14:textId="77777777" w:rsidR="0038775E" w:rsidRDefault="00877B9C" w:rsidP="002041D4">
            <w:pPr>
              <w:wordWrap w:val="0"/>
              <w:spacing w:before="60" w:after="60" w:line="200" w:lineRule="exact"/>
              <w:jc w:val="right"/>
              <w:rPr>
                <w:rFonts w:eastAsia="Calibri"/>
                <w:b/>
                <w:noProof/>
                <w:sz w:val="16"/>
                <w:szCs w:val="16"/>
              </w:rPr>
            </w:pPr>
            <w:r w:rsidRPr="00DF5C23">
              <w:rPr>
                <w:noProof/>
                <w:color w:val="000000"/>
                <w:sz w:val="20"/>
                <w:szCs w:val="20"/>
              </w:rPr>
              <w:t>7,887</w:t>
            </w:r>
          </w:p>
        </w:tc>
        <w:tc>
          <w:tcPr>
            <w:tcW w:w="1080" w:type="dxa"/>
            <w:tcBorders>
              <w:top w:val="single" w:sz="12" w:space="0" w:color="auto"/>
              <w:left w:val="single" w:sz="2" w:space="0" w:color="auto"/>
              <w:bottom w:val="single" w:sz="12" w:space="0" w:color="auto"/>
              <w:right w:val="single" w:sz="2" w:space="0" w:color="auto"/>
            </w:tcBorders>
            <w:vAlign w:val="center"/>
          </w:tcPr>
          <w:p w14:paraId="4A8EE8B1" w14:textId="77777777" w:rsidR="0038775E" w:rsidRDefault="00877B9C" w:rsidP="002041D4">
            <w:pPr>
              <w:wordWrap w:val="0"/>
              <w:spacing w:before="60" w:after="60" w:line="200" w:lineRule="exact"/>
              <w:jc w:val="right"/>
              <w:rPr>
                <w:rFonts w:eastAsia="Calibri"/>
                <w:b/>
                <w:noProof/>
                <w:sz w:val="16"/>
                <w:szCs w:val="16"/>
              </w:rPr>
            </w:pPr>
            <w:r w:rsidRPr="00DF5C23">
              <w:rPr>
                <w:noProof/>
                <w:color w:val="000000"/>
                <w:sz w:val="20"/>
                <w:szCs w:val="20"/>
              </w:rPr>
              <w:t>8,109</w:t>
            </w:r>
          </w:p>
        </w:tc>
        <w:tc>
          <w:tcPr>
            <w:tcW w:w="1080" w:type="dxa"/>
            <w:tcBorders>
              <w:top w:val="single" w:sz="12" w:space="0" w:color="auto"/>
              <w:left w:val="single" w:sz="2" w:space="0" w:color="auto"/>
              <w:bottom w:val="single" w:sz="12" w:space="0" w:color="auto"/>
              <w:right w:val="single" w:sz="12" w:space="0" w:color="auto"/>
            </w:tcBorders>
            <w:vAlign w:val="bottom"/>
          </w:tcPr>
          <w:p w14:paraId="6781AB0F" w14:textId="77777777" w:rsidR="0038775E" w:rsidRDefault="00877B9C" w:rsidP="002041D4">
            <w:pPr>
              <w:wordWrap w:val="0"/>
              <w:spacing w:before="60" w:after="60" w:line="200" w:lineRule="exact"/>
              <w:jc w:val="right"/>
              <w:rPr>
                <w:rFonts w:eastAsia="Calibri"/>
                <w:b/>
                <w:noProof/>
                <w:sz w:val="16"/>
                <w:szCs w:val="16"/>
              </w:rPr>
            </w:pPr>
            <w:r w:rsidRPr="00DF5C23">
              <w:rPr>
                <w:rFonts w:ascii="Calibri" w:hAnsi="Calibri" w:cs="Calibri"/>
                <w:noProof/>
                <w:color w:val="000000"/>
                <w:sz w:val="22"/>
              </w:rPr>
              <w:t>38,621</w:t>
            </w:r>
          </w:p>
        </w:tc>
      </w:tr>
    </w:tbl>
    <w:p w14:paraId="748C59B4" w14:textId="15373022" w:rsidR="0038775E" w:rsidRDefault="00877B9C" w:rsidP="002041D4">
      <w:pPr>
        <w:wordWrap w:val="0"/>
        <w:rPr>
          <w:rFonts w:eastAsia="Calibri"/>
          <w:noProof/>
          <w:sz w:val="18"/>
          <w:lang w:eastAsia="ja-JP"/>
        </w:rPr>
      </w:pPr>
      <w:r w:rsidRPr="00DF5C23">
        <w:rPr>
          <w:rFonts w:eastAsia="Calibri"/>
          <w:noProof/>
          <w:sz w:val="18"/>
          <w:lang w:eastAsia="ja-JP"/>
        </w:rPr>
        <w:t>人的資源およびその他の管理的性質の支出に必要な充当金は、既にアクションの管理に割り当てられている、および／または</w:t>
      </w:r>
      <w:r w:rsidRPr="00DF5C23">
        <w:rPr>
          <w:rFonts w:eastAsia="Calibri"/>
          <w:noProof/>
          <w:sz w:val="18"/>
          <w:lang w:eastAsia="ja-JP"/>
        </w:rPr>
        <w:t>DG</w:t>
      </w:r>
      <w:r w:rsidRPr="00DF5C23">
        <w:rPr>
          <w:rFonts w:eastAsia="Calibri"/>
          <w:noProof/>
          <w:sz w:val="18"/>
          <w:lang w:eastAsia="ja-JP"/>
        </w:rPr>
        <w:t>内で再配置された</w:t>
      </w:r>
      <w:r w:rsidRPr="00DF5C23">
        <w:rPr>
          <w:rFonts w:eastAsia="Calibri"/>
          <w:noProof/>
          <w:sz w:val="18"/>
          <w:lang w:eastAsia="ja-JP"/>
        </w:rPr>
        <w:t>DG</w:t>
      </w:r>
      <w:r w:rsidRPr="00DF5C23">
        <w:rPr>
          <w:rFonts w:eastAsia="Calibri"/>
          <w:noProof/>
          <w:sz w:val="18"/>
          <w:lang w:eastAsia="ja-JP"/>
        </w:rPr>
        <w:t>からの充当金と、必要に応じて、年次配分手続きに基づき、予算の制約に照らして管理</w:t>
      </w:r>
      <w:r w:rsidRPr="00DF5C23">
        <w:rPr>
          <w:rFonts w:eastAsia="Calibri"/>
          <w:noProof/>
          <w:sz w:val="18"/>
          <w:lang w:eastAsia="ja-JP"/>
        </w:rPr>
        <w:t>DG</w:t>
      </w:r>
      <w:r w:rsidRPr="00DF5C23">
        <w:rPr>
          <w:rFonts w:eastAsia="Calibri"/>
          <w:noProof/>
          <w:sz w:val="18"/>
          <w:lang w:eastAsia="ja-JP"/>
        </w:rPr>
        <w:t>に付与される追加配分とで賄わ</w:t>
      </w:r>
      <w:r w:rsidR="002041D4">
        <w:rPr>
          <w:rFonts w:ascii="ＭＳ 明朝" w:eastAsia="ＭＳ 明朝" w:hAnsi="ＭＳ 明朝" w:cs="ＭＳ 明朝" w:hint="eastAsia"/>
          <w:noProof/>
          <w:sz w:val="18"/>
          <w:lang w:eastAsia="ja-JP"/>
        </w:rPr>
        <w:t>れる</w:t>
      </w:r>
      <w:r w:rsidRPr="00DF5C23">
        <w:rPr>
          <w:rFonts w:eastAsia="Calibri"/>
          <w:noProof/>
          <w:sz w:val="18"/>
          <w:lang w:eastAsia="ja-JP"/>
        </w:rPr>
        <w:t>。</w:t>
      </w:r>
    </w:p>
    <w:p w14:paraId="2C3A5EF7" w14:textId="77777777" w:rsidR="00BF1765" w:rsidRPr="00DF5C23" w:rsidRDefault="00BF1765" w:rsidP="002041D4">
      <w:pPr>
        <w:wordWrap w:val="0"/>
        <w:rPr>
          <w:rFonts w:eastAsia="Calibri"/>
          <w:noProof/>
          <w:sz w:val="18"/>
          <w:lang w:eastAsia="ja-JP"/>
        </w:rPr>
        <w:sectPr w:rsidR="00BF1765" w:rsidRPr="00DF5C23" w:rsidSect="008B42B0">
          <w:headerReference w:type="default" r:id="rId20"/>
          <w:footerReference w:type="default" r:id="rId21"/>
          <w:headerReference w:type="first" r:id="rId22"/>
          <w:footerReference w:type="first" r:id="rId23"/>
          <w:pgSz w:w="11907" w:h="16840"/>
          <w:pgMar w:top="1134" w:right="1418" w:bottom="1134" w:left="1418" w:header="709" w:footer="709" w:gutter="0"/>
          <w:cols w:space="708"/>
          <w:docGrid w:linePitch="360"/>
        </w:sectPr>
      </w:pPr>
      <w:r w:rsidRPr="00DF5C23">
        <w:rPr>
          <w:rFonts w:eastAsia="Calibri"/>
          <w:noProof/>
          <w:sz w:val="18"/>
          <w:lang w:eastAsia="ja-JP"/>
        </w:rPr>
        <w:t xml:space="preserve"> </w:t>
      </w:r>
    </w:p>
    <w:p w14:paraId="7C664023" w14:textId="77777777" w:rsidR="0038775E" w:rsidRDefault="00877B9C" w:rsidP="002041D4">
      <w:pPr>
        <w:pStyle w:val="ManualHeading4"/>
        <w:wordWrap w:val="0"/>
        <w:rPr>
          <w:bCs/>
          <w:noProof/>
          <w:szCs w:val="24"/>
          <w:lang w:eastAsia="ja-JP"/>
        </w:rPr>
      </w:pPr>
      <w:r w:rsidRPr="004F5E59">
        <w:rPr>
          <w:lang w:eastAsia="ja-JP"/>
        </w:rPr>
        <w:lastRenderedPageBreak/>
        <w:t>3.2.3.1.</w:t>
      </w:r>
      <w:r w:rsidRPr="004F5E59">
        <w:rPr>
          <w:lang w:eastAsia="ja-JP"/>
        </w:rPr>
        <w:tab/>
      </w:r>
      <w:r w:rsidR="003102BB" w:rsidRPr="00DF5C23">
        <w:rPr>
          <w:noProof/>
          <w:lang w:eastAsia="ja-JP"/>
        </w:rPr>
        <w:t>人的資源の必要量の見積もり</w:t>
      </w:r>
      <w:r w:rsidR="003102BB" w:rsidRPr="00DF5C23">
        <w:rPr>
          <w:noProof/>
          <w:lang w:eastAsia="ja-JP"/>
        </w:rPr>
        <w:t xml:space="preserve"> </w:t>
      </w:r>
    </w:p>
    <w:p w14:paraId="79B785A8" w14:textId="77777777" w:rsidR="0038775E" w:rsidRDefault="00877B9C" w:rsidP="002041D4">
      <w:pPr>
        <w:pStyle w:val="Bullet1"/>
        <w:wordWrap w:val="0"/>
        <w:rPr>
          <w:noProof/>
          <w:lang w:eastAsia="de-DE"/>
        </w:rPr>
      </w:pPr>
      <w:r w:rsidRPr="00DF5C23">
        <w:rPr>
          <w:noProof/>
          <w:lang w:eastAsia="de-DE"/>
        </w:rPr>
        <w:sym w:font="Wingdings" w:char="F0A8"/>
      </w:r>
      <w:r w:rsidRPr="00DF5C23">
        <w:rPr>
          <w:noProof/>
          <w:lang w:eastAsia="de-DE"/>
        </w:rPr>
        <w:tab/>
      </w:r>
      <w:r w:rsidRPr="00DF5C23">
        <w:rPr>
          <w:noProof/>
          <w:lang w:eastAsia="de-DE"/>
        </w:rPr>
        <w:t>この提案</w:t>
      </w:r>
      <w:r w:rsidRPr="00DF5C23">
        <w:rPr>
          <w:noProof/>
          <w:lang w:eastAsia="de-DE"/>
        </w:rPr>
        <w:t>/</w:t>
      </w:r>
      <w:r w:rsidRPr="00DF5C23">
        <w:rPr>
          <w:noProof/>
          <w:lang w:eastAsia="de-DE"/>
        </w:rPr>
        <w:t>イニシアティブは、人的資源の使用を必要としない。</w:t>
      </w:r>
      <w:r w:rsidRPr="00DF5C23">
        <w:rPr>
          <w:noProof/>
          <w:lang w:eastAsia="de-DE"/>
        </w:rPr>
        <w:t xml:space="preserve"> </w:t>
      </w:r>
    </w:p>
    <w:p w14:paraId="108F837B" w14:textId="5A9333F5" w:rsidR="0038775E" w:rsidRDefault="00877B9C" w:rsidP="002041D4">
      <w:pPr>
        <w:pStyle w:val="Bullet1"/>
        <w:wordWrap w:val="0"/>
        <w:rPr>
          <w:noProof/>
          <w:lang w:eastAsia="de-DE"/>
        </w:rPr>
      </w:pPr>
      <w:r w:rsidRPr="00DF5C23">
        <w:rPr>
          <w:noProof/>
          <w:lang w:eastAsia="de-DE"/>
        </w:rPr>
        <w:sym w:font="Wingdings" w:char="F0FE"/>
      </w:r>
      <w:r w:rsidRPr="00DF5C23">
        <w:rPr>
          <w:noProof/>
          <w:lang w:eastAsia="de-DE"/>
        </w:rPr>
        <w:tab/>
      </w:r>
      <w:r w:rsidRPr="00DF5C23">
        <w:rPr>
          <w:noProof/>
          <w:lang w:eastAsia="de-DE"/>
        </w:rPr>
        <w:t>本提案・取り組みでは、以下に説明するように人的資源の活用が必要</w:t>
      </w:r>
      <w:r w:rsidR="002041D4">
        <w:rPr>
          <w:noProof/>
          <w:lang w:eastAsia="de-DE"/>
        </w:rPr>
        <w:t>である</w:t>
      </w:r>
      <w:r w:rsidRPr="00DF5C23">
        <w:rPr>
          <w:noProof/>
          <w:lang w:eastAsia="de-DE"/>
        </w:rPr>
        <w:t>：</w:t>
      </w:r>
    </w:p>
    <w:p w14:paraId="6CB3CC7D" w14:textId="77777777" w:rsidR="0038775E" w:rsidRDefault="00877B9C" w:rsidP="002041D4">
      <w:pPr>
        <w:wordWrap w:val="0"/>
        <w:spacing w:after="60"/>
        <w:jc w:val="right"/>
        <w:rPr>
          <w:rFonts w:eastAsia="Calibri"/>
          <w:i/>
          <w:noProof/>
          <w:sz w:val="20"/>
          <w:lang w:eastAsia="ja-JP"/>
        </w:rPr>
      </w:pPr>
      <w:r w:rsidRPr="00DF5C23">
        <w:rPr>
          <w:rFonts w:eastAsia="Calibri"/>
          <w:i/>
          <w:noProof/>
          <w:sz w:val="20"/>
          <w:lang w:eastAsia="ja-JP"/>
        </w:rPr>
        <w:t>見積もりはフルタイム換算単位で表示すること</w:t>
      </w:r>
    </w:p>
    <w:tbl>
      <w:tblPr>
        <w:tblW w:w="947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4"/>
        <w:gridCol w:w="2353"/>
        <w:gridCol w:w="2355"/>
        <w:gridCol w:w="726"/>
        <w:gridCol w:w="726"/>
        <w:gridCol w:w="726"/>
        <w:gridCol w:w="726"/>
        <w:gridCol w:w="726"/>
        <w:gridCol w:w="1046"/>
        <w:gridCol w:w="81"/>
      </w:tblGrid>
      <w:tr w:rsidR="00BF1765" w:rsidRPr="00DF5C23" w14:paraId="2C3A5F03" w14:textId="77777777" w:rsidTr="00401706">
        <w:trPr>
          <w:gridBefore w:val="1"/>
          <w:gridAfter w:val="1"/>
          <w:wBefore w:w="15" w:type="dxa"/>
          <w:wAfter w:w="82" w:type="dxa"/>
          <w:trHeight w:val="289"/>
          <w:jc w:val="center"/>
        </w:trPr>
        <w:tc>
          <w:tcPr>
            <w:tcW w:w="4754" w:type="dxa"/>
            <w:gridSpan w:val="2"/>
            <w:shd w:val="clear" w:color="auto" w:fill="auto"/>
          </w:tcPr>
          <w:p w14:paraId="2C3A5EFC" w14:textId="77777777" w:rsidR="00BF1765" w:rsidRPr="00DF5C23" w:rsidRDefault="00BF1765" w:rsidP="002041D4">
            <w:pPr>
              <w:wordWrap w:val="0"/>
              <w:spacing w:before="40" w:after="40"/>
              <w:jc w:val="center"/>
              <w:rPr>
                <w:rFonts w:eastAsia="Calibri"/>
                <w:i/>
                <w:noProof/>
                <w:sz w:val="16"/>
                <w:szCs w:val="16"/>
                <w:lang w:eastAsia="ja-JP"/>
              </w:rPr>
            </w:pPr>
          </w:p>
        </w:tc>
        <w:tc>
          <w:tcPr>
            <w:tcW w:w="731" w:type="dxa"/>
            <w:shd w:val="clear" w:color="auto" w:fill="auto"/>
            <w:vAlign w:val="center"/>
          </w:tcPr>
          <w:p w14:paraId="48B8CA33" w14:textId="77777777" w:rsidR="0038775E" w:rsidRDefault="00877B9C" w:rsidP="002041D4">
            <w:pPr>
              <w:wordWrap w:val="0"/>
              <w:spacing w:before="20" w:after="20"/>
              <w:jc w:val="center"/>
              <w:rPr>
                <w:rFonts w:eastAsia="Calibri"/>
                <w:noProof/>
                <w:sz w:val="16"/>
                <w:szCs w:val="16"/>
              </w:rPr>
            </w:pPr>
            <w:r w:rsidRPr="00DF5C23">
              <w:rPr>
                <w:rFonts w:eastAsia="Calibri"/>
                <w:noProof/>
                <w:sz w:val="20"/>
                <w:szCs w:val="20"/>
              </w:rPr>
              <w:t>年</w:t>
            </w:r>
            <w:r w:rsidRPr="00DF5C23">
              <w:rPr>
                <w:rFonts w:eastAsia="Calibri"/>
                <w:noProof/>
                <w:sz w:val="22"/>
              </w:rPr>
              <w:br/>
            </w:r>
            <w:r w:rsidRPr="00DF5C23">
              <w:rPr>
                <w:rFonts w:eastAsia="Calibri"/>
                <w:b/>
                <w:bCs/>
                <w:noProof/>
                <w:sz w:val="20"/>
                <w:szCs w:val="20"/>
              </w:rPr>
              <w:t>2022</w:t>
            </w:r>
          </w:p>
        </w:tc>
        <w:tc>
          <w:tcPr>
            <w:tcW w:w="731" w:type="dxa"/>
            <w:shd w:val="clear" w:color="auto" w:fill="auto"/>
            <w:vAlign w:val="center"/>
          </w:tcPr>
          <w:p w14:paraId="7431EADA" w14:textId="77777777" w:rsidR="0038775E" w:rsidRDefault="00877B9C" w:rsidP="002041D4">
            <w:pPr>
              <w:wordWrap w:val="0"/>
              <w:spacing w:before="20" w:after="20"/>
              <w:jc w:val="center"/>
              <w:rPr>
                <w:rFonts w:eastAsia="Calibri"/>
                <w:noProof/>
                <w:sz w:val="16"/>
                <w:szCs w:val="16"/>
              </w:rPr>
            </w:pPr>
            <w:r w:rsidRPr="00DF5C23">
              <w:rPr>
                <w:rFonts w:eastAsia="Calibri"/>
                <w:noProof/>
                <w:sz w:val="20"/>
              </w:rPr>
              <w:t>年</w:t>
            </w:r>
            <w:r w:rsidRPr="00DF5C23">
              <w:rPr>
                <w:rFonts w:eastAsia="Calibri"/>
                <w:noProof/>
                <w:sz w:val="22"/>
              </w:rPr>
              <w:br/>
            </w:r>
            <w:r w:rsidRPr="00DF5C23">
              <w:rPr>
                <w:rFonts w:eastAsia="Calibri"/>
                <w:b/>
                <w:noProof/>
                <w:sz w:val="20"/>
              </w:rPr>
              <w:t>2023</w:t>
            </w:r>
          </w:p>
        </w:tc>
        <w:tc>
          <w:tcPr>
            <w:tcW w:w="731" w:type="dxa"/>
            <w:shd w:val="clear" w:color="auto" w:fill="auto"/>
            <w:vAlign w:val="center"/>
          </w:tcPr>
          <w:p w14:paraId="3A0BB5B7" w14:textId="77777777" w:rsidR="0038775E" w:rsidRDefault="00877B9C" w:rsidP="002041D4">
            <w:pPr>
              <w:wordWrap w:val="0"/>
              <w:spacing w:before="20" w:after="20"/>
              <w:jc w:val="center"/>
              <w:rPr>
                <w:rFonts w:eastAsia="Calibri"/>
                <w:noProof/>
                <w:sz w:val="16"/>
                <w:szCs w:val="16"/>
              </w:rPr>
            </w:pPr>
            <w:r w:rsidRPr="00DF5C23">
              <w:rPr>
                <w:rFonts w:eastAsia="Calibri"/>
                <w:noProof/>
                <w:sz w:val="20"/>
              </w:rPr>
              <w:t>年</w:t>
            </w:r>
            <w:r w:rsidRPr="00DF5C23">
              <w:rPr>
                <w:rFonts w:eastAsia="Calibri"/>
                <w:noProof/>
                <w:sz w:val="22"/>
              </w:rPr>
              <w:br/>
            </w:r>
            <w:r w:rsidRPr="00DF5C23">
              <w:rPr>
                <w:rFonts w:eastAsia="Calibri"/>
                <w:b/>
                <w:noProof/>
                <w:sz w:val="20"/>
              </w:rPr>
              <w:t>2024</w:t>
            </w:r>
          </w:p>
        </w:tc>
        <w:tc>
          <w:tcPr>
            <w:tcW w:w="731" w:type="dxa"/>
            <w:shd w:val="clear" w:color="auto" w:fill="auto"/>
            <w:vAlign w:val="center"/>
          </w:tcPr>
          <w:p w14:paraId="6E470585" w14:textId="77777777" w:rsidR="0038775E" w:rsidRDefault="00877B9C" w:rsidP="002041D4">
            <w:pPr>
              <w:wordWrap w:val="0"/>
              <w:spacing w:before="20" w:after="20"/>
              <w:jc w:val="center"/>
              <w:rPr>
                <w:rFonts w:eastAsia="Calibri"/>
                <w:noProof/>
                <w:sz w:val="16"/>
                <w:szCs w:val="16"/>
              </w:rPr>
            </w:pPr>
            <w:r w:rsidRPr="00DF5C23">
              <w:rPr>
                <w:rFonts w:eastAsia="Calibri"/>
                <w:noProof/>
                <w:sz w:val="20"/>
              </w:rPr>
              <w:t>年</w:t>
            </w:r>
            <w:r w:rsidRPr="00DF5C23">
              <w:rPr>
                <w:rFonts w:eastAsia="Calibri"/>
                <w:noProof/>
                <w:sz w:val="22"/>
              </w:rPr>
              <w:br/>
            </w:r>
            <w:r w:rsidRPr="00DF5C23">
              <w:rPr>
                <w:rFonts w:eastAsia="Calibri"/>
                <w:b/>
                <w:noProof/>
                <w:sz w:val="20"/>
              </w:rPr>
              <w:t>2025</w:t>
            </w:r>
          </w:p>
        </w:tc>
        <w:tc>
          <w:tcPr>
            <w:tcW w:w="731" w:type="dxa"/>
            <w:shd w:val="clear" w:color="auto" w:fill="auto"/>
            <w:vAlign w:val="center"/>
          </w:tcPr>
          <w:p w14:paraId="35ABA991" w14:textId="77777777" w:rsidR="0038775E" w:rsidRDefault="00877B9C" w:rsidP="002041D4">
            <w:pPr>
              <w:wordWrap w:val="0"/>
              <w:jc w:val="center"/>
              <w:rPr>
                <w:rFonts w:eastAsia="Calibri"/>
                <w:b/>
                <w:noProof/>
                <w:sz w:val="16"/>
                <w:szCs w:val="16"/>
              </w:rPr>
            </w:pPr>
            <w:r w:rsidRPr="00DF5C23">
              <w:rPr>
                <w:rFonts w:eastAsia="Calibri"/>
                <w:noProof/>
                <w:sz w:val="20"/>
              </w:rPr>
              <w:t>年</w:t>
            </w:r>
            <w:r w:rsidRPr="00DF5C23">
              <w:rPr>
                <w:rFonts w:eastAsia="Calibri"/>
                <w:noProof/>
                <w:sz w:val="22"/>
              </w:rPr>
              <w:br/>
            </w:r>
            <w:r w:rsidRPr="00DF5C23">
              <w:rPr>
                <w:rFonts w:eastAsia="Calibri"/>
                <w:b/>
                <w:noProof/>
                <w:sz w:val="20"/>
              </w:rPr>
              <w:t>2026</w:t>
            </w:r>
          </w:p>
        </w:tc>
        <w:tc>
          <w:tcPr>
            <w:tcW w:w="1055" w:type="dxa"/>
            <w:shd w:val="clear" w:color="auto" w:fill="auto"/>
            <w:vAlign w:val="center"/>
          </w:tcPr>
          <w:p w14:paraId="1594E909" w14:textId="77777777" w:rsidR="0038775E" w:rsidRDefault="00877B9C" w:rsidP="002041D4">
            <w:pPr>
              <w:wordWrap w:val="0"/>
              <w:jc w:val="center"/>
              <w:rPr>
                <w:rFonts w:eastAsia="Calibri"/>
                <w:b/>
                <w:noProof/>
                <w:sz w:val="16"/>
                <w:szCs w:val="16"/>
              </w:rPr>
            </w:pPr>
            <w:r w:rsidRPr="00DF5C23">
              <w:rPr>
                <w:rFonts w:eastAsia="Calibri"/>
                <w:noProof/>
                <w:sz w:val="20"/>
              </w:rPr>
              <w:t>年</w:t>
            </w:r>
            <w:r w:rsidRPr="00DF5C23">
              <w:rPr>
                <w:rFonts w:eastAsia="Calibri"/>
                <w:noProof/>
                <w:sz w:val="22"/>
              </w:rPr>
              <w:br/>
            </w:r>
            <w:r w:rsidRPr="00DF5C23">
              <w:rPr>
                <w:rFonts w:eastAsia="Calibri"/>
                <w:b/>
                <w:noProof/>
                <w:sz w:val="20"/>
              </w:rPr>
              <w:t>2027</w:t>
            </w:r>
            <w:r w:rsidRPr="00DF5C23">
              <w:rPr>
                <w:rFonts w:eastAsia="Calibri"/>
                <w:b/>
                <w:noProof/>
                <w:sz w:val="20"/>
              </w:rPr>
              <w:t>年以降</w:t>
            </w:r>
          </w:p>
        </w:tc>
      </w:tr>
      <w:tr w:rsidR="00BF1765" w:rsidRPr="00DF5C23" w14:paraId="2C3A5F05" w14:textId="77777777" w:rsidTr="00401706">
        <w:trPr>
          <w:gridBefore w:val="1"/>
          <w:gridAfter w:val="1"/>
          <w:wBefore w:w="15" w:type="dxa"/>
          <w:wAfter w:w="82" w:type="dxa"/>
          <w:trHeight w:val="289"/>
          <w:jc w:val="center"/>
        </w:trPr>
        <w:tc>
          <w:tcPr>
            <w:tcW w:w="9464" w:type="dxa"/>
            <w:gridSpan w:val="8"/>
            <w:shd w:val="clear" w:color="auto" w:fill="auto"/>
          </w:tcPr>
          <w:p w14:paraId="0CBCAB15" w14:textId="77777777" w:rsidR="0038775E" w:rsidRDefault="00877B9C" w:rsidP="002041D4">
            <w:pPr>
              <w:wordWrap w:val="0"/>
              <w:jc w:val="left"/>
              <w:rPr>
                <w:rFonts w:eastAsia="Calibri"/>
                <w:noProof/>
                <w:sz w:val="16"/>
                <w:szCs w:val="16"/>
                <w:lang w:eastAsia="ja-JP"/>
              </w:rPr>
            </w:pPr>
            <w:r w:rsidRPr="00DF5C23">
              <w:rPr>
                <w:rFonts w:eastAsia="Calibri"/>
                <w:b/>
                <w:noProof/>
                <w:sz w:val="16"/>
              </w:rPr>
              <w:sym w:font="Wingdings" w:char="F09F"/>
            </w:r>
            <w:r w:rsidRPr="00DF5C23">
              <w:rPr>
                <w:rFonts w:eastAsia="Calibri"/>
                <w:b/>
                <w:noProof/>
                <w:sz w:val="16"/>
                <w:lang w:eastAsia="ja-JP"/>
              </w:rPr>
              <w:t xml:space="preserve"> </w:t>
            </w:r>
            <w:r w:rsidRPr="00DF5C23">
              <w:rPr>
                <w:rFonts w:eastAsia="Calibri"/>
                <w:b/>
                <w:noProof/>
                <w:sz w:val="16"/>
                <w:lang w:eastAsia="ja-JP"/>
              </w:rPr>
              <w:t>設置計画ポスト（職員・臨時職員）</w:t>
            </w:r>
          </w:p>
        </w:tc>
      </w:tr>
      <w:tr w:rsidR="005C61BF" w:rsidRPr="00DF5C23" w14:paraId="2C3A5F0D" w14:textId="77777777" w:rsidTr="00401706">
        <w:trPr>
          <w:gridBefore w:val="1"/>
          <w:gridAfter w:val="1"/>
          <w:wBefore w:w="15" w:type="dxa"/>
          <w:wAfter w:w="82" w:type="dxa"/>
          <w:trHeight w:val="289"/>
          <w:jc w:val="center"/>
        </w:trPr>
        <w:tc>
          <w:tcPr>
            <w:tcW w:w="4754" w:type="dxa"/>
            <w:gridSpan w:val="2"/>
            <w:shd w:val="clear" w:color="auto" w:fill="auto"/>
            <w:vAlign w:val="center"/>
          </w:tcPr>
          <w:p w14:paraId="3CFBE992" w14:textId="77777777" w:rsidR="0038775E" w:rsidRDefault="00877B9C" w:rsidP="002041D4">
            <w:pPr>
              <w:wordWrap w:val="0"/>
              <w:spacing w:beforeLines="20" w:before="48" w:afterLines="20" w:after="48"/>
              <w:ind w:left="134"/>
              <w:jc w:val="left"/>
              <w:rPr>
                <w:rFonts w:eastAsia="Calibri"/>
                <w:b/>
                <w:noProof/>
                <w:sz w:val="16"/>
                <w:szCs w:val="16"/>
                <w:lang w:eastAsia="ja-JP"/>
              </w:rPr>
            </w:pPr>
            <w:r w:rsidRPr="00DF5C23">
              <w:rPr>
                <w:rFonts w:eastAsia="Calibri"/>
                <w:noProof/>
                <w:sz w:val="16"/>
                <w:lang w:eastAsia="ja-JP"/>
              </w:rPr>
              <w:t>20 01 02 01</w:t>
            </w:r>
            <w:r w:rsidRPr="00DF5C23">
              <w:rPr>
                <w:rFonts w:eastAsia="Calibri"/>
                <w:noProof/>
                <w:sz w:val="16"/>
                <w:lang w:eastAsia="ja-JP"/>
              </w:rPr>
              <w:t>（本部および委員会の代表事務所）</w:t>
            </w:r>
          </w:p>
        </w:tc>
        <w:tc>
          <w:tcPr>
            <w:tcW w:w="731" w:type="dxa"/>
            <w:shd w:val="clear" w:color="auto" w:fill="auto"/>
            <w:vAlign w:val="bottom"/>
          </w:tcPr>
          <w:p w14:paraId="273C4E92" w14:textId="77777777" w:rsidR="0038775E" w:rsidRDefault="00877B9C" w:rsidP="002041D4">
            <w:pPr>
              <w:wordWrap w:val="0"/>
              <w:spacing w:beforeLines="20" w:before="48" w:afterLines="20" w:after="48"/>
              <w:jc w:val="center"/>
              <w:rPr>
                <w:rFonts w:eastAsia="Calibri"/>
                <w:noProof/>
                <w:sz w:val="16"/>
                <w:szCs w:val="16"/>
              </w:rPr>
            </w:pPr>
            <w:r w:rsidRPr="00DF5C23">
              <w:rPr>
                <w:rFonts w:ascii="Calibri" w:hAnsi="Calibri" w:cs="Calibri"/>
                <w:noProof/>
                <w:color w:val="000000"/>
                <w:sz w:val="22"/>
              </w:rPr>
              <w:t>8</w:t>
            </w:r>
          </w:p>
        </w:tc>
        <w:tc>
          <w:tcPr>
            <w:tcW w:w="731" w:type="dxa"/>
            <w:shd w:val="clear" w:color="auto" w:fill="auto"/>
            <w:vAlign w:val="bottom"/>
          </w:tcPr>
          <w:p w14:paraId="4F9F0A49" w14:textId="77777777" w:rsidR="0038775E" w:rsidRDefault="00EC252F" w:rsidP="002041D4">
            <w:pPr>
              <w:wordWrap w:val="0"/>
              <w:spacing w:beforeLines="20" w:before="48" w:afterLines="20" w:after="48"/>
              <w:jc w:val="center"/>
              <w:rPr>
                <w:rFonts w:eastAsia="Calibri"/>
                <w:noProof/>
                <w:sz w:val="16"/>
                <w:szCs w:val="16"/>
              </w:rPr>
            </w:pPr>
            <w:r w:rsidRPr="00DF5C23">
              <w:rPr>
                <w:rFonts w:ascii="Calibri" w:hAnsi="Calibri" w:cs="Calibri"/>
                <w:noProof/>
                <w:color w:val="000000"/>
                <w:sz w:val="22"/>
              </w:rPr>
              <w:t>28</w:t>
            </w:r>
            <w:r w:rsidR="00877B9C" w:rsidRPr="00DF5C23">
              <w:rPr>
                <w:rFonts w:ascii="Calibri" w:hAnsi="Calibri" w:cs="Calibri"/>
                <w:noProof/>
                <w:color w:val="000000"/>
                <w:sz w:val="22"/>
              </w:rPr>
              <w:t>,5</w:t>
            </w:r>
          </w:p>
        </w:tc>
        <w:tc>
          <w:tcPr>
            <w:tcW w:w="731" w:type="dxa"/>
            <w:shd w:val="clear" w:color="auto" w:fill="auto"/>
            <w:vAlign w:val="bottom"/>
          </w:tcPr>
          <w:p w14:paraId="235A64CB" w14:textId="77777777" w:rsidR="0038775E" w:rsidRDefault="00EC252F" w:rsidP="002041D4">
            <w:pPr>
              <w:wordWrap w:val="0"/>
              <w:spacing w:beforeLines="20" w:before="48" w:afterLines="20" w:after="48"/>
              <w:jc w:val="center"/>
              <w:rPr>
                <w:rFonts w:eastAsia="Calibri"/>
                <w:noProof/>
                <w:sz w:val="16"/>
                <w:szCs w:val="16"/>
              </w:rPr>
            </w:pPr>
            <w:r w:rsidRPr="00DF5C23">
              <w:rPr>
                <w:rFonts w:ascii="Calibri" w:hAnsi="Calibri" w:cs="Calibri"/>
                <w:noProof/>
                <w:color w:val="000000"/>
                <w:sz w:val="22"/>
              </w:rPr>
              <w:t>38</w:t>
            </w:r>
          </w:p>
        </w:tc>
        <w:tc>
          <w:tcPr>
            <w:tcW w:w="731" w:type="dxa"/>
            <w:shd w:val="clear" w:color="auto" w:fill="auto"/>
            <w:vAlign w:val="bottom"/>
          </w:tcPr>
          <w:p w14:paraId="5DD98427" w14:textId="77777777" w:rsidR="0038775E" w:rsidRDefault="00EC252F" w:rsidP="002041D4">
            <w:pPr>
              <w:wordWrap w:val="0"/>
              <w:spacing w:beforeLines="20" w:before="48" w:afterLines="20" w:after="48"/>
              <w:jc w:val="center"/>
              <w:rPr>
                <w:rFonts w:eastAsia="Calibri"/>
                <w:noProof/>
                <w:sz w:val="16"/>
                <w:szCs w:val="16"/>
              </w:rPr>
            </w:pPr>
            <w:r w:rsidRPr="00DF5C23">
              <w:rPr>
                <w:rFonts w:ascii="Calibri" w:hAnsi="Calibri" w:cs="Calibri"/>
                <w:noProof/>
                <w:color w:val="000000"/>
                <w:sz w:val="22"/>
              </w:rPr>
              <w:t>42</w:t>
            </w:r>
          </w:p>
        </w:tc>
        <w:tc>
          <w:tcPr>
            <w:tcW w:w="731" w:type="dxa"/>
            <w:shd w:val="clear" w:color="auto" w:fill="auto"/>
            <w:vAlign w:val="bottom"/>
          </w:tcPr>
          <w:p w14:paraId="7CAFC626" w14:textId="77777777" w:rsidR="0038775E" w:rsidRDefault="00EC252F" w:rsidP="002041D4">
            <w:pPr>
              <w:wordWrap w:val="0"/>
              <w:spacing w:beforeLines="20" w:before="48" w:afterLines="20" w:after="48"/>
              <w:jc w:val="center"/>
              <w:rPr>
                <w:rFonts w:eastAsia="Calibri"/>
                <w:noProof/>
                <w:sz w:val="16"/>
                <w:szCs w:val="16"/>
              </w:rPr>
            </w:pPr>
            <w:r w:rsidRPr="00DF5C23">
              <w:rPr>
                <w:rFonts w:ascii="Calibri" w:hAnsi="Calibri" w:cs="Calibri"/>
                <w:noProof/>
                <w:color w:val="000000"/>
                <w:sz w:val="22"/>
              </w:rPr>
              <w:t>44</w:t>
            </w:r>
          </w:p>
        </w:tc>
        <w:tc>
          <w:tcPr>
            <w:tcW w:w="1055" w:type="dxa"/>
            <w:shd w:val="clear" w:color="auto" w:fill="auto"/>
            <w:vAlign w:val="bottom"/>
          </w:tcPr>
          <w:p w14:paraId="7E5194EA" w14:textId="77777777" w:rsidR="0038775E" w:rsidRDefault="00877B9C" w:rsidP="002041D4">
            <w:pPr>
              <w:wordWrap w:val="0"/>
              <w:spacing w:beforeLines="20" w:before="48" w:afterLines="20" w:after="48"/>
              <w:jc w:val="center"/>
              <w:rPr>
                <w:rFonts w:eastAsia="Calibri"/>
                <w:noProof/>
                <w:sz w:val="16"/>
                <w:szCs w:val="16"/>
              </w:rPr>
            </w:pPr>
            <w:r w:rsidRPr="00DF5C23">
              <w:rPr>
                <w:rFonts w:ascii="Calibri" w:hAnsi="Calibri" w:cs="Calibri"/>
                <w:noProof/>
                <w:color w:val="000000"/>
                <w:sz w:val="22"/>
              </w:rPr>
              <w:t>45</w:t>
            </w:r>
          </w:p>
        </w:tc>
      </w:tr>
      <w:tr w:rsidR="00292785" w:rsidRPr="00DF5C23" w14:paraId="2C3A5F15" w14:textId="77777777" w:rsidTr="00401706">
        <w:trPr>
          <w:gridAfter w:val="1"/>
          <w:wAfter w:w="82" w:type="dxa"/>
          <w:trHeight w:val="289"/>
          <w:jc w:val="center"/>
        </w:trPr>
        <w:tc>
          <w:tcPr>
            <w:tcW w:w="4769" w:type="dxa"/>
            <w:gridSpan w:val="3"/>
            <w:shd w:val="clear" w:color="auto" w:fill="auto"/>
            <w:vAlign w:val="center"/>
          </w:tcPr>
          <w:p w14:paraId="1ACAD19E" w14:textId="77777777" w:rsidR="0038775E" w:rsidRDefault="00877B9C" w:rsidP="002041D4">
            <w:pPr>
              <w:wordWrap w:val="0"/>
              <w:spacing w:beforeLines="20" w:before="48" w:afterLines="20" w:after="48"/>
              <w:ind w:left="134"/>
              <w:jc w:val="right"/>
              <w:rPr>
                <w:rFonts w:eastAsia="Calibri"/>
                <w:noProof/>
                <w:sz w:val="16"/>
                <w:szCs w:val="16"/>
              </w:rPr>
            </w:pPr>
            <w:r w:rsidRPr="00DF5C23">
              <w:rPr>
                <w:rFonts w:eastAsia="Calibri"/>
                <w:noProof/>
                <w:sz w:val="16"/>
                <w:szCs w:val="16"/>
              </w:rPr>
              <w:t>DG GROW</w:t>
            </w:r>
            <w:r w:rsidRPr="00DF5C23">
              <w:rPr>
                <w:rFonts w:eastAsia="Calibri"/>
                <w:noProof/>
                <w:sz w:val="16"/>
                <w:szCs w:val="16"/>
              </w:rPr>
              <w:t>を含む</w:t>
            </w:r>
          </w:p>
        </w:tc>
        <w:tc>
          <w:tcPr>
            <w:tcW w:w="731" w:type="dxa"/>
            <w:shd w:val="clear" w:color="auto" w:fill="auto"/>
            <w:vAlign w:val="bottom"/>
          </w:tcPr>
          <w:p w14:paraId="71D85092" w14:textId="77777777" w:rsidR="0038775E" w:rsidRDefault="00877B9C" w:rsidP="002041D4">
            <w:pPr>
              <w:wordWrap w:val="0"/>
              <w:spacing w:beforeLines="20" w:before="48" w:afterLines="20" w:after="48"/>
              <w:jc w:val="center"/>
              <w:rPr>
                <w:rFonts w:ascii="Calibri" w:hAnsi="Calibri" w:cs="Calibri"/>
                <w:noProof/>
                <w:color w:val="000000"/>
                <w:sz w:val="22"/>
              </w:rPr>
            </w:pPr>
            <w:r w:rsidRPr="00DF5C23">
              <w:rPr>
                <w:rFonts w:ascii="Calibri" w:hAnsi="Calibri" w:cs="Calibri"/>
                <w:noProof/>
                <w:color w:val="000000"/>
                <w:sz w:val="22"/>
              </w:rPr>
              <w:t>0</w:t>
            </w:r>
          </w:p>
        </w:tc>
        <w:tc>
          <w:tcPr>
            <w:tcW w:w="731" w:type="dxa"/>
            <w:shd w:val="clear" w:color="auto" w:fill="auto"/>
            <w:vAlign w:val="bottom"/>
          </w:tcPr>
          <w:p w14:paraId="1297D765" w14:textId="77777777" w:rsidR="0038775E" w:rsidRDefault="00877B9C" w:rsidP="002041D4">
            <w:pPr>
              <w:wordWrap w:val="0"/>
              <w:spacing w:beforeLines="20" w:before="48" w:afterLines="20" w:after="48"/>
              <w:jc w:val="center"/>
              <w:rPr>
                <w:rFonts w:ascii="Calibri" w:hAnsi="Calibri" w:cs="Calibri"/>
                <w:noProof/>
                <w:color w:val="000000"/>
                <w:sz w:val="22"/>
              </w:rPr>
            </w:pPr>
            <w:r w:rsidRPr="00DF5C23">
              <w:rPr>
                <w:rFonts w:ascii="Calibri" w:hAnsi="Calibri" w:cs="Calibri"/>
                <w:noProof/>
                <w:color w:val="000000"/>
                <w:sz w:val="22"/>
              </w:rPr>
              <w:t>7</w:t>
            </w:r>
          </w:p>
        </w:tc>
        <w:tc>
          <w:tcPr>
            <w:tcW w:w="731" w:type="dxa"/>
            <w:shd w:val="clear" w:color="auto" w:fill="auto"/>
            <w:vAlign w:val="bottom"/>
          </w:tcPr>
          <w:p w14:paraId="662EF5F6" w14:textId="77777777" w:rsidR="0038775E" w:rsidRDefault="00877B9C" w:rsidP="002041D4">
            <w:pPr>
              <w:wordWrap w:val="0"/>
              <w:spacing w:beforeLines="20" w:before="48" w:afterLines="20" w:after="48"/>
              <w:jc w:val="center"/>
              <w:rPr>
                <w:rFonts w:ascii="Calibri" w:hAnsi="Calibri" w:cs="Calibri"/>
                <w:noProof/>
                <w:color w:val="000000"/>
                <w:sz w:val="22"/>
              </w:rPr>
            </w:pPr>
            <w:r w:rsidRPr="00DF5C23">
              <w:rPr>
                <w:rFonts w:ascii="Calibri" w:hAnsi="Calibri" w:cs="Calibri"/>
                <w:noProof/>
                <w:color w:val="000000"/>
                <w:sz w:val="22"/>
              </w:rPr>
              <w:t>11</w:t>
            </w:r>
          </w:p>
        </w:tc>
        <w:tc>
          <w:tcPr>
            <w:tcW w:w="731" w:type="dxa"/>
            <w:shd w:val="clear" w:color="auto" w:fill="auto"/>
            <w:vAlign w:val="bottom"/>
          </w:tcPr>
          <w:p w14:paraId="329EC804" w14:textId="77777777" w:rsidR="0038775E" w:rsidRDefault="00877B9C" w:rsidP="002041D4">
            <w:pPr>
              <w:wordWrap w:val="0"/>
              <w:spacing w:beforeLines="20" w:before="48" w:afterLines="20" w:after="48"/>
              <w:jc w:val="center"/>
              <w:rPr>
                <w:rFonts w:ascii="Calibri" w:hAnsi="Calibri" w:cs="Calibri"/>
                <w:noProof/>
                <w:color w:val="000000"/>
                <w:sz w:val="22"/>
              </w:rPr>
            </w:pPr>
            <w:r w:rsidRPr="00DF5C23">
              <w:rPr>
                <w:rFonts w:ascii="Calibri" w:hAnsi="Calibri" w:cs="Calibri"/>
                <w:noProof/>
                <w:color w:val="000000"/>
                <w:sz w:val="22"/>
              </w:rPr>
              <w:t>13</w:t>
            </w:r>
          </w:p>
        </w:tc>
        <w:tc>
          <w:tcPr>
            <w:tcW w:w="731" w:type="dxa"/>
            <w:shd w:val="clear" w:color="auto" w:fill="auto"/>
            <w:vAlign w:val="bottom"/>
          </w:tcPr>
          <w:p w14:paraId="106C1FA4" w14:textId="77777777" w:rsidR="0038775E" w:rsidRDefault="00877B9C" w:rsidP="002041D4">
            <w:pPr>
              <w:wordWrap w:val="0"/>
              <w:spacing w:beforeLines="20" w:before="48" w:afterLines="20" w:after="48"/>
              <w:jc w:val="center"/>
              <w:rPr>
                <w:rFonts w:ascii="Calibri" w:hAnsi="Calibri" w:cs="Calibri"/>
                <w:noProof/>
                <w:color w:val="000000"/>
                <w:sz w:val="22"/>
              </w:rPr>
            </w:pPr>
            <w:r w:rsidRPr="00DF5C23">
              <w:rPr>
                <w:rFonts w:ascii="Calibri" w:hAnsi="Calibri" w:cs="Calibri"/>
                <w:noProof/>
                <w:color w:val="000000"/>
                <w:sz w:val="22"/>
              </w:rPr>
              <w:t>14</w:t>
            </w:r>
          </w:p>
        </w:tc>
        <w:tc>
          <w:tcPr>
            <w:tcW w:w="1055" w:type="dxa"/>
            <w:shd w:val="clear" w:color="auto" w:fill="auto"/>
            <w:vAlign w:val="bottom"/>
          </w:tcPr>
          <w:p w14:paraId="1F06966B" w14:textId="77777777" w:rsidR="0038775E" w:rsidRDefault="00877B9C" w:rsidP="002041D4">
            <w:pPr>
              <w:wordWrap w:val="0"/>
              <w:spacing w:beforeLines="20" w:before="48" w:afterLines="20" w:after="48"/>
              <w:jc w:val="center"/>
              <w:rPr>
                <w:rFonts w:ascii="Calibri" w:hAnsi="Calibri" w:cs="Calibri"/>
                <w:noProof/>
                <w:color w:val="000000"/>
                <w:sz w:val="22"/>
              </w:rPr>
            </w:pPr>
            <w:r w:rsidRPr="00DF5C23">
              <w:rPr>
                <w:rFonts w:ascii="Calibri" w:hAnsi="Calibri" w:cs="Calibri"/>
                <w:noProof/>
                <w:color w:val="000000"/>
                <w:sz w:val="22"/>
              </w:rPr>
              <w:t>15</w:t>
            </w:r>
          </w:p>
        </w:tc>
      </w:tr>
      <w:tr w:rsidR="00292785" w:rsidRPr="00DF5C23" w14:paraId="2C3A5F1D" w14:textId="77777777" w:rsidTr="00401706">
        <w:trPr>
          <w:gridAfter w:val="1"/>
          <w:wAfter w:w="82" w:type="dxa"/>
          <w:trHeight w:val="289"/>
          <w:jc w:val="center"/>
        </w:trPr>
        <w:tc>
          <w:tcPr>
            <w:tcW w:w="4769" w:type="dxa"/>
            <w:gridSpan w:val="3"/>
            <w:shd w:val="clear" w:color="auto" w:fill="auto"/>
            <w:vAlign w:val="center"/>
          </w:tcPr>
          <w:p w14:paraId="5AC5576B" w14:textId="77777777" w:rsidR="0038775E" w:rsidRDefault="00877B9C" w:rsidP="002041D4">
            <w:pPr>
              <w:wordWrap w:val="0"/>
              <w:spacing w:beforeLines="20" w:before="48" w:afterLines="20" w:after="48"/>
              <w:ind w:left="134"/>
              <w:jc w:val="right"/>
              <w:rPr>
                <w:rFonts w:eastAsia="Calibri"/>
                <w:noProof/>
                <w:sz w:val="16"/>
                <w:szCs w:val="16"/>
              </w:rPr>
            </w:pPr>
            <w:r w:rsidRPr="00DF5C23">
              <w:rPr>
                <w:rFonts w:eastAsia="Calibri"/>
                <w:noProof/>
                <w:sz w:val="16"/>
                <w:szCs w:val="16"/>
              </w:rPr>
              <w:t>DG ENV</w:t>
            </w:r>
          </w:p>
        </w:tc>
        <w:tc>
          <w:tcPr>
            <w:tcW w:w="731" w:type="dxa"/>
            <w:shd w:val="clear" w:color="auto" w:fill="auto"/>
            <w:vAlign w:val="bottom"/>
          </w:tcPr>
          <w:p w14:paraId="5FB787D3" w14:textId="77777777" w:rsidR="0038775E" w:rsidRDefault="00877B9C" w:rsidP="002041D4">
            <w:pPr>
              <w:wordWrap w:val="0"/>
              <w:spacing w:beforeLines="20" w:before="48" w:afterLines="20" w:after="48"/>
              <w:jc w:val="center"/>
              <w:rPr>
                <w:rFonts w:ascii="Calibri" w:hAnsi="Calibri" w:cs="Calibri"/>
                <w:noProof/>
                <w:color w:val="000000"/>
                <w:sz w:val="22"/>
              </w:rPr>
            </w:pPr>
            <w:r w:rsidRPr="00DF5C23">
              <w:rPr>
                <w:rFonts w:ascii="Calibri" w:hAnsi="Calibri" w:cs="Calibri"/>
                <w:noProof/>
                <w:color w:val="000000"/>
                <w:sz w:val="22"/>
              </w:rPr>
              <w:t>4</w:t>
            </w:r>
          </w:p>
        </w:tc>
        <w:tc>
          <w:tcPr>
            <w:tcW w:w="731" w:type="dxa"/>
            <w:shd w:val="clear" w:color="auto" w:fill="auto"/>
            <w:vAlign w:val="bottom"/>
          </w:tcPr>
          <w:p w14:paraId="1EE28F55" w14:textId="77777777" w:rsidR="0038775E" w:rsidRDefault="00877B9C" w:rsidP="002041D4">
            <w:pPr>
              <w:wordWrap w:val="0"/>
              <w:spacing w:beforeLines="20" w:before="48" w:afterLines="20" w:after="48"/>
              <w:jc w:val="center"/>
              <w:rPr>
                <w:rFonts w:ascii="Calibri" w:hAnsi="Calibri" w:cs="Calibri"/>
                <w:noProof/>
                <w:color w:val="000000"/>
                <w:sz w:val="22"/>
              </w:rPr>
            </w:pPr>
            <w:r w:rsidRPr="00DF5C23">
              <w:rPr>
                <w:rFonts w:ascii="Calibri" w:hAnsi="Calibri" w:cs="Calibri"/>
                <w:noProof/>
                <w:color w:val="000000"/>
                <w:sz w:val="22"/>
              </w:rPr>
              <w:t>9</w:t>
            </w:r>
          </w:p>
        </w:tc>
        <w:tc>
          <w:tcPr>
            <w:tcW w:w="731" w:type="dxa"/>
            <w:shd w:val="clear" w:color="auto" w:fill="auto"/>
            <w:vAlign w:val="bottom"/>
          </w:tcPr>
          <w:p w14:paraId="74A17602" w14:textId="77777777" w:rsidR="0038775E" w:rsidRDefault="00877B9C" w:rsidP="002041D4">
            <w:pPr>
              <w:wordWrap w:val="0"/>
              <w:spacing w:beforeLines="20" w:before="48" w:afterLines="20" w:after="48"/>
              <w:jc w:val="center"/>
              <w:rPr>
                <w:rFonts w:ascii="Calibri" w:hAnsi="Calibri" w:cs="Calibri"/>
                <w:noProof/>
                <w:color w:val="000000"/>
                <w:sz w:val="22"/>
              </w:rPr>
            </w:pPr>
            <w:r w:rsidRPr="00DF5C23">
              <w:rPr>
                <w:rFonts w:ascii="Calibri" w:hAnsi="Calibri" w:cs="Calibri"/>
                <w:noProof/>
                <w:color w:val="000000"/>
                <w:sz w:val="22"/>
              </w:rPr>
              <w:t>12</w:t>
            </w:r>
          </w:p>
        </w:tc>
        <w:tc>
          <w:tcPr>
            <w:tcW w:w="731" w:type="dxa"/>
            <w:shd w:val="clear" w:color="auto" w:fill="auto"/>
            <w:vAlign w:val="bottom"/>
          </w:tcPr>
          <w:p w14:paraId="71392B87" w14:textId="77777777" w:rsidR="0038775E" w:rsidRDefault="00877B9C" w:rsidP="002041D4">
            <w:pPr>
              <w:wordWrap w:val="0"/>
              <w:spacing w:beforeLines="20" w:before="48" w:afterLines="20" w:after="48"/>
              <w:jc w:val="center"/>
              <w:rPr>
                <w:rFonts w:ascii="Calibri" w:hAnsi="Calibri" w:cs="Calibri"/>
                <w:noProof/>
                <w:color w:val="000000"/>
                <w:sz w:val="22"/>
              </w:rPr>
            </w:pPr>
            <w:r w:rsidRPr="00DF5C23">
              <w:rPr>
                <w:rFonts w:ascii="Calibri" w:hAnsi="Calibri" w:cs="Calibri"/>
                <w:noProof/>
                <w:color w:val="000000"/>
                <w:sz w:val="22"/>
              </w:rPr>
              <w:t>14</w:t>
            </w:r>
          </w:p>
        </w:tc>
        <w:tc>
          <w:tcPr>
            <w:tcW w:w="731" w:type="dxa"/>
            <w:shd w:val="clear" w:color="auto" w:fill="auto"/>
            <w:vAlign w:val="bottom"/>
          </w:tcPr>
          <w:p w14:paraId="3947BD2D" w14:textId="77777777" w:rsidR="0038775E" w:rsidRDefault="00877B9C" w:rsidP="002041D4">
            <w:pPr>
              <w:wordWrap w:val="0"/>
              <w:spacing w:beforeLines="20" w:before="48" w:afterLines="20" w:after="48"/>
              <w:jc w:val="center"/>
              <w:rPr>
                <w:rFonts w:ascii="Calibri" w:hAnsi="Calibri" w:cs="Calibri"/>
                <w:noProof/>
                <w:color w:val="000000"/>
                <w:sz w:val="22"/>
              </w:rPr>
            </w:pPr>
            <w:r w:rsidRPr="00DF5C23">
              <w:rPr>
                <w:rFonts w:ascii="Calibri" w:hAnsi="Calibri" w:cs="Calibri"/>
                <w:noProof/>
                <w:color w:val="000000"/>
                <w:sz w:val="22"/>
              </w:rPr>
              <w:t>15</w:t>
            </w:r>
          </w:p>
        </w:tc>
        <w:tc>
          <w:tcPr>
            <w:tcW w:w="1055" w:type="dxa"/>
            <w:shd w:val="clear" w:color="auto" w:fill="auto"/>
            <w:vAlign w:val="bottom"/>
          </w:tcPr>
          <w:p w14:paraId="103126D1" w14:textId="77777777" w:rsidR="0038775E" w:rsidRDefault="00877B9C" w:rsidP="002041D4">
            <w:pPr>
              <w:wordWrap w:val="0"/>
              <w:spacing w:beforeLines="20" w:before="48" w:afterLines="20" w:after="48"/>
              <w:jc w:val="center"/>
              <w:rPr>
                <w:rFonts w:ascii="Calibri" w:hAnsi="Calibri" w:cs="Calibri"/>
                <w:noProof/>
                <w:color w:val="000000"/>
                <w:sz w:val="22"/>
              </w:rPr>
            </w:pPr>
            <w:r w:rsidRPr="00DF5C23">
              <w:rPr>
                <w:rFonts w:ascii="Calibri" w:hAnsi="Calibri" w:cs="Calibri"/>
                <w:noProof/>
                <w:color w:val="000000"/>
                <w:sz w:val="22"/>
              </w:rPr>
              <w:t>15</w:t>
            </w:r>
          </w:p>
        </w:tc>
      </w:tr>
      <w:tr w:rsidR="00292785" w:rsidRPr="00DF5C23" w14:paraId="2C3A5F25" w14:textId="77777777" w:rsidTr="00401706">
        <w:trPr>
          <w:gridAfter w:val="1"/>
          <w:wAfter w:w="82" w:type="dxa"/>
          <w:trHeight w:val="289"/>
          <w:jc w:val="center"/>
        </w:trPr>
        <w:tc>
          <w:tcPr>
            <w:tcW w:w="4769" w:type="dxa"/>
            <w:gridSpan w:val="3"/>
            <w:shd w:val="clear" w:color="auto" w:fill="auto"/>
            <w:vAlign w:val="center"/>
          </w:tcPr>
          <w:p w14:paraId="48AACDA2" w14:textId="77777777" w:rsidR="0038775E" w:rsidRDefault="00877B9C" w:rsidP="002041D4">
            <w:pPr>
              <w:wordWrap w:val="0"/>
              <w:spacing w:beforeLines="20" w:before="48" w:afterLines="20" w:after="48"/>
              <w:ind w:left="134"/>
              <w:jc w:val="right"/>
              <w:rPr>
                <w:rFonts w:eastAsia="Calibri"/>
                <w:noProof/>
                <w:sz w:val="16"/>
                <w:szCs w:val="16"/>
              </w:rPr>
            </w:pPr>
            <w:r w:rsidRPr="00DF5C23">
              <w:rPr>
                <w:rFonts w:eastAsia="Calibri"/>
                <w:noProof/>
                <w:sz w:val="16"/>
                <w:szCs w:val="16"/>
              </w:rPr>
              <w:t>DG ENER</w:t>
            </w:r>
          </w:p>
        </w:tc>
        <w:tc>
          <w:tcPr>
            <w:tcW w:w="731" w:type="dxa"/>
            <w:shd w:val="clear" w:color="auto" w:fill="auto"/>
            <w:vAlign w:val="bottom"/>
          </w:tcPr>
          <w:p w14:paraId="5B9F920C" w14:textId="77777777" w:rsidR="0038775E" w:rsidRDefault="00877B9C" w:rsidP="002041D4">
            <w:pPr>
              <w:wordWrap w:val="0"/>
              <w:spacing w:beforeLines="20" w:before="48" w:afterLines="20" w:after="48"/>
              <w:jc w:val="center"/>
              <w:rPr>
                <w:rFonts w:ascii="Calibri" w:hAnsi="Calibri" w:cs="Calibri"/>
                <w:noProof/>
                <w:color w:val="000000"/>
                <w:sz w:val="22"/>
              </w:rPr>
            </w:pPr>
            <w:r w:rsidRPr="00DF5C23">
              <w:rPr>
                <w:rFonts w:ascii="Calibri" w:hAnsi="Calibri" w:cs="Calibri"/>
                <w:noProof/>
                <w:color w:val="000000"/>
                <w:sz w:val="22"/>
              </w:rPr>
              <w:t>4</w:t>
            </w:r>
          </w:p>
        </w:tc>
        <w:tc>
          <w:tcPr>
            <w:tcW w:w="731" w:type="dxa"/>
            <w:shd w:val="clear" w:color="auto" w:fill="auto"/>
            <w:vAlign w:val="bottom"/>
          </w:tcPr>
          <w:p w14:paraId="13B2BA2B" w14:textId="77777777" w:rsidR="0038775E" w:rsidRDefault="00877B9C" w:rsidP="002041D4">
            <w:pPr>
              <w:wordWrap w:val="0"/>
              <w:spacing w:beforeLines="20" w:before="48" w:afterLines="20" w:after="48"/>
              <w:jc w:val="center"/>
              <w:rPr>
                <w:rFonts w:ascii="Calibri" w:hAnsi="Calibri" w:cs="Calibri"/>
                <w:noProof/>
                <w:color w:val="000000"/>
                <w:sz w:val="22"/>
              </w:rPr>
            </w:pPr>
            <w:r w:rsidRPr="00DF5C23">
              <w:rPr>
                <w:rFonts w:ascii="Calibri" w:hAnsi="Calibri" w:cs="Calibri"/>
                <w:noProof/>
                <w:color w:val="000000"/>
                <w:sz w:val="22"/>
              </w:rPr>
              <w:t>11</w:t>
            </w:r>
          </w:p>
        </w:tc>
        <w:tc>
          <w:tcPr>
            <w:tcW w:w="731" w:type="dxa"/>
            <w:shd w:val="clear" w:color="auto" w:fill="auto"/>
            <w:vAlign w:val="bottom"/>
          </w:tcPr>
          <w:p w14:paraId="4A9CB500" w14:textId="77777777" w:rsidR="0038775E" w:rsidRDefault="00877B9C" w:rsidP="002041D4">
            <w:pPr>
              <w:wordWrap w:val="0"/>
              <w:spacing w:beforeLines="20" w:before="48" w:afterLines="20" w:after="48"/>
              <w:jc w:val="center"/>
              <w:rPr>
                <w:rFonts w:ascii="Calibri" w:hAnsi="Calibri" w:cs="Calibri"/>
                <w:noProof/>
                <w:color w:val="000000"/>
                <w:sz w:val="22"/>
              </w:rPr>
            </w:pPr>
            <w:r w:rsidRPr="00DF5C23">
              <w:rPr>
                <w:rFonts w:ascii="Calibri" w:hAnsi="Calibri" w:cs="Calibri"/>
                <w:noProof/>
                <w:color w:val="000000"/>
                <w:sz w:val="22"/>
              </w:rPr>
              <w:t>13</w:t>
            </w:r>
          </w:p>
        </w:tc>
        <w:tc>
          <w:tcPr>
            <w:tcW w:w="731" w:type="dxa"/>
            <w:shd w:val="clear" w:color="auto" w:fill="auto"/>
            <w:vAlign w:val="bottom"/>
          </w:tcPr>
          <w:p w14:paraId="78D88F5F" w14:textId="77777777" w:rsidR="0038775E" w:rsidRDefault="00877B9C" w:rsidP="002041D4">
            <w:pPr>
              <w:wordWrap w:val="0"/>
              <w:spacing w:beforeLines="20" w:before="48" w:afterLines="20" w:after="48"/>
              <w:jc w:val="center"/>
              <w:rPr>
                <w:rFonts w:ascii="Calibri" w:hAnsi="Calibri" w:cs="Calibri"/>
                <w:noProof/>
                <w:color w:val="000000"/>
                <w:sz w:val="22"/>
              </w:rPr>
            </w:pPr>
            <w:r w:rsidRPr="00DF5C23">
              <w:rPr>
                <w:rFonts w:ascii="Calibri" w:hAnsi="Calibri" w:cs="Calibri"/>
                <w:noProof/>
                <w:color w:val="000000"/>
                <w:sz w:val="22"/>
              </w:rPr>
              <w:t>13</w:t>
            </w:r>
          </w:p>
        </w:tc>
        <w:tc>
          <w:tcPr>
            <w:tcW w:w="731" w:type="dxa"/>
            <w:shd w:val="clear" w:color="auto" w:fill="auto"/>
            <w:vAlign w:val="bottom"/>
          </w:tcPr>
          <w:p w14:paraId="27012F91" w14:textId="77777777" w:rsidR="0038775E" w:rsidRDefault="00877B9C" w:rsidP="002041D4">
            <w:pPr>
              <w:wordWrap w:val="0"/>
              <w:spacing w:beforeLines="20" w:before="48" w:afterLines="20" w:after="48"/>
              <w:jc w:val="center"/>
              <w:rPr>
                <w:rFonts w:ascii="Calibri" w:hAnsi="Calibri" w:cs="Calibri"/>
                <w:noProof/>
                <w:color w:val="000000"/>
                <w:sz w:val="22"/>
              </w:rPr>
            </w:pPr>
            <w:r w:rsidRPr="00DF5C23">
              <w:rPr>
                <w:rFonts w:ascii="Calibri" w:hAnsi="Calibri" w:cs="Calibri"/>
                <w:noProof/>
                <w:color w:val="000000"/>
                <w:sz w:val="22"/>
              </w:rPr>
              <w:t>13</w:t>
            </w:r>
          </w:p>
        </w:tc>
        <w:tc>
          <w:tcPr>
            <w:tcW w:w="1055" w:type="dxa"/>
            <w:shd w:val="clear" w:color="auto" w:fill="auto"/>
            <w:vAlign w:val="bottom"/>
          </w:tcPr>
          <w:p w14:paraId="738A917C" w14:textId="77777777" w:rsidR="0038775E" w:rsidRDefault="00877B9C" w:rsidP="002041D4">
            <w:pPr>
              <w:wordWrap w:val="0"/>
              <w:spacing w:beforeLines="20" w:before="48" w:afterLines="20" w:after="48"/>
              <w:jc w:val="center"/>
              <w:rPr>
                <w:rFonts w:ascii="Calibri" w:hAnsi="Calibri" w:cs="Calibri"/>
                <w:noProof/>
                <w:color w:val="000000"/>
                <w:sz w:val="22"/>
              </w:rPr>
            </w:pPr>
            <w:r w:rsidRPr="00DF5C23">
              <w:rPr>
                <w:rFonts w:ascii="Calibri" w:hAnsi="Calibri" w:cs="Calibri"/>
                <w:noProof/>
                <w:color w:val="000000"/>
                <w:sz w:val="22"/>
              </w:rPr>
              <w:t>13</w:t>
            </w:r>
          </w:p>
        </w:tc>
      </w:tr>
      <w:tr w:rsidR="00292785" w:rsidRPr="00DF5C23" w14:paraId="2C3A5F2D" w14:textId="77777777" w:rsidTr="00401706">
        <w:trPr>
          <w:gridAfter w:val="1"/>
          <w:wAfter w:w="82" w:type="dxa"/>
          <w:trHeight w:val="289"/>
          <w:jc w:val="center"/>
        </w:trPr>
        <w:tc>
          <w:tcPr>
            <w:tcW w:w="4769" w:type="dxa"/>
            <w:gridSpan w:val="3"/>
            <w:shd w:val="clear" w:color="auto" w:fill="auto"/>
            <w:vAlign w:val="center"/>
          </w:tcPr>
          <w:p w14:paraId="25FC2AA6" w14:textId="77777777" w:rsidR="0038775E" w:rsidRDefault="00877B9C" w:rsidP="002041D4">
            <w:pPr>
              <w:wordWrap w:val="0"/>
              <w:spacing w:beforeLines="20" w:before="48" w:afterLines="20" w:after="48"/>
              <w:ind w:left="134"/>
              <w:jc w:val="right"/>
              <w:rPr>
                <w:rFonts w:eastAsia="Calibri"/>
                <w:noProof/>
                <w:sz w:val="16"/>
                <w:szCs w:val="16"/>
              </w:rPr>
            </w:pPr>
            <w:r w:rsidRPr="00DF5C23">
              <w:rPr>
                <w:rFonts w:eastAsia="Calibri"/>
                <w:noProof/>
                <w:sz w:val="16"/>
                <w:szCs w:val="16"/>
              </w:rPr>
              <w:t>DG TAXUD</w:t>
            </w:r>
          </w:p>
        </w:tc>
        <w:tc>
          <w:tcPr>
            <w:tcW w:w="731" w:type="dxa"/>
            <w:shd w:val="clear" w:color="auto" w:fill="auto"/>
            <w:vAlign w:val="bottom"/>
          </w:tcPr>
          <w:p w14:paraId="55FCEBA9" w14:textId="77777777" w:rsidR="0038775E" w:rsidRDefault="00877B9C" w:rsidP="002041D4">
            <w:pPr>
              <w:wordWrap w:val="0"/>
              <w:spacing w:beforeLines="20" w:before="48" w:afterLines="20" w:after="48"/>
              <w:jc w:val="center"/>
              <w:rPr>
                <w:rFonts w:ascii="Calibri" w:hAnsi="Calibri" w:cs="Calibri"/>
                <w:noProof/>
                <w:color w:val="000000"/>
                <w:sz w:val="22"/>
              </w:rPr>
            </w:pPr>
            <w:r w:rsidRPr="00DF5C23">
              <w:rPr>
                <w:rFonts w:ascii="Calibri" w:hAnsi="Calibri" w:cs="Calibri"/>
                <w:noProof/>
                <w:color w:val="000000"/>
                <w:sz w:val="22"/>
              </w:rPr>
              <w:t>0</w:t>
            </w:r>
          </w:p>
        </w:tc>
        <w:tc>
          <w:tcPr>
            <w:tcW w:w="731" w:type="dxa"/>
            <w:shd w:val="clear" w:color="auto" w:fill="auto"/>
            <w:vAlign w:val="bottom"/>
          </w:tcPr>
          <w:p w14:paraId="62E98590" w14:textId="77777777" w:rsidR="0038775E" w:rsidRDefault="00877B9C" w:rsidP="002041D4">
            <w:pPr>
              <w:wordWrap w:val="0"/>
              <w:spacing w:beforeLines="20" w:before="48" w:afterLines="20" w:after="48"/>
              <w:jc w:val="center"/>
              <w:rPr>
                <w:rFonts w:ascii="Calibri" w:hAnsi="Calibri" w:cs="Calibri"/>
                <w:noProof/>
                <w:color w:val="000000"/>
                <w:sz w:val="22"/>
              </w:rPr>
            </w:pPr>
            <w:r w:rsidRPr="00DF5C23">
              <w:rPr>
                <w:rFonts w:ascii="Calibri" w:hAnsi="Calibri" w:cs="Calibri"/>
                <w:noProof/>
                <w:color w:val="000000"/>
                <w:sz w:val="22"/>
              </w:rPr>
              <w:t>1,5</w:t>
            </w:r>
          </w:p>
        </w:tc>
        <w:tc>
          <w:tcPr>
            <w:tcW w:w="731" w:type="dxa"/>
            <w:shd w:val="clear" w:color="auto" w:fill="auto"/>
            <w:vAlign w:val="bottom"/>
          </w:tcPr>
          <w:p w14:paraId="33B5D6FB" w14:textId="77777777" w:rsidR="0038775E" w:rsidRDefault="00877B9C" w:rsidP="002041D4">
            <w:pPr>
              <w:wordWrap w:val="0"/>
              <w:spacing w:beforeLines="20" w:before="48" w:afterLines="20" w:after="48"/>
              <w:jc w:val="center"/>
              <w:rPr>
                <w:rFonts w:ascii="Calibri" w:hAnsi="Calibri" w:cs="Calibri"/>
                <w:noProof/>
                <w:color w:val="000000"/>
                <w:sz w:val="22"/>
              </w:rPr>
            </w:pPr>
            <w:r w:rsidRPr="00DF5C23">
              <w:rPr>
                <w:rFonts w:ascii="Calibri" w:hAnsi="Calibri" w:cs="Calibri"/>
                <w:noProof/>
                <w:color w:val="000000"/>
                <w:sz w:val="22"/>
              </w:rPr>
              <w:t>2</w:t>
            </w:r>
          </w:p>
        </w:tc>
        <w:tc>
          <w:tcPr>
            <w:tcW w:w="731" w:type="dxa"/>
            <w:shd w:val="clear" w:color="auto" w:fill="auto"/>
            <w:vAlign w:val="bottom"/>
          </w:tcPr>
          <w:p w14:paraId="620523B6" w14:textId="77777777" w:rsidR="0038775E" w:rsidRDefault="00877B9C" w:rsidP="002041D4">
            <w:pPr>
              <w:wordWrap w:val="0"/>
              <w:spacing w:beforeLines="20" w:before="48" w:afterLines="20" w:after="48"/>
              <w:jc w:val="center"/>
              <w:rPr>
                <w:rFonts w:ascii="Calibri" w:hAnsi="Calibri" w:cs="Calibri"/>
                <w:noProof/>
                <w:color w:val="000000"/>
                <w:sz w:val="22"/>
              </w:rPr>
            </w:pPr>
            <w:r w:rsidRPr="00DF5C23">
              <w:rPr>
                <w:rFonts w:ascii="Calibri" w:hAnsi="Calibri" w:cs="Calibri"/>
                <w:noProof/>
                <w:color w:val="000000"/>
                <w:sz w:val="22"/>
              </w:rPr>
              <w:t>2</w:t>
            </w:r>
          </w:p>
        </w:tc>
        <w:tc>
          <w:tcPr>
            <w:tcW w:w="731" w:type="dxa"/>
            <w:shd w:val="clear" w:color="auto" w:fill="auto"/>
            <w:vAlign w:val="bottom"/>
          </w:tcPr>
          <w:p w14:paraId="7A37F6B9" w14:textId="77777777" w:rsidR="0038775E" w:rsidRDefault="00877B9C" w:rsidP="002041D4">
            <w:pPr>
              <w:wordWrap w:val="0"/>
              <w:spacing w:beforeLines="20" w:before="48" w:afterLines="20" w:after="48"/>
              <w:jc w:val="center"/>
              <w:rPr>
                <w:rFonts w:ascii="Calibri" w:hAnsi="Calibri" w:cs="Calibri"/>
                <w:noProof/>
                <w:color w:val="000000"/>
                <w:sz w:val="22"/>
              </w:rPr>
            </w:pPr>
            <w:r w:rsidRPr="00DF5C23">
              <w:rPr>
                <w:rFonts w:ascii="Calibri" w:hAnsi="Calibri" w:cs="Calibri"/>
                <w:noProof/>
                <w:color w:val="000000"/>
                <w:sz w:val="22"/>
              </w:rPr>
              <w:t>2</w:t>
            </w:r>
          </w:p>
        </w:tc>
        <w:tc>
          <w:tcPr>
            <w:tcW w:w="1055" w:type="dxa"/>
            <w:shd w:val="clear" w:color="auto" w:fill="auto"/>
            <w:vAlign w:val="bottom"/>
          </w:tcPr>
          <w:p w14:paraId="50010FD7" w14:textId="77777777" w:rsidR="0038775E" w:rsidRDefault="00877B9C" w:rsidP="002041D4">
            <w:pPr>
              <w:wordWrap w:val="0"/>
              <w:spacing w:beforeLines="20" w:before="48" w:afterLines="20" w:after="48"/>
              <w:jc w:val="center"/>
              <w:rPr>
                <w:rFonts w:ascii="Calibri" w:hAnsi="Calibri" w:cs="Calibri"/>
                <w:noProof/>
                <w:color w:val="000000"/>
                <w:sz w:val="22"/>
              </w:rPr>
            </w:pPr>
            <w:r w:rsidRPr="00DF5C23">
              <w:rPr>
                <w:rFonts w:ascii="Calibri" w:hAnsi="Calibri" w:cs="Calibri"/>
                <w:noProof/>
                <w:color w:val="000000"/>
                <w:sz w:val="22"/>
              </w:rPr>
              <w:t>2</w:t>
            </w:r>
          </w:p>
        </w:tc>
      </w:tr>
      <w:tr w:rsidR="00BF1765" w:rsidRPr="00DF5C23" w14:paraId="2C3A5F35" w14:textId="77777777" w:rsidTr="00401706">
        <w:trPr>
          <w:gridBefore w:val="1"/>
          <w:gridAfter w:val="1"/>
          <w:wBefore w:w="15" w:type="dxa"/>
          <w:wAfter w:w="82" w:type="dxa"/>
          <w:trHeight w:val="289"/>
          <w:jc w:val="center"/>
        </w:trPr>
        <w:tc>
          <w:tcPr>
            <w:tcW w:w="4754" w:type="dxa"/>
            <w:gridSpan w:val="2"/>
            <w:shd w:val="clear" w:color="auto" w:fill="auto"/>
            <w:vAlign w:val="center"/>
          </w:tcPr>
          <w:p w14:paraId="53C99607" w14:textId="77777777" w:rsidR="0038775E" w:rsidRDefault="00877B9C" w:rsidP="002041D4">
            <w:pPr>
              <w:wordWrap w:val="0"/>
              <w:spacing w:beforeLines="20" w:before="48" w:afterLines="20" w:after="48"/>
              <w:ind w:left="134"/>
              <w:jc w:val="left"/>
              <w:rPr>
                <w:rFonts w:eastAsia="Calibri"/>
                <w:noProof/>
                <w:sz w:val="16"/>
              </w:rPr>
            </w:pPr>
            <w:r w:rsidRPr="00DF5C23">
              <w:rPr>
                <w:rFonts w:eastAsia="Calibri"/>
                <w:noProof/>
                <w:sz w:val="16"/>
              </w:rPr>
              <w:t>20 01 02 03 (</w:t>
            </w:r>
            <w:r w:rsidRPr="00DF5C23">
              <w:rPr>
                <w:rFonts w:eastAsia="Calibri"/>
                <w:noProof/>
                <w:sz w:val="16"/>
              </w:rPr>
              <w:t>代表者</w:t>
            </w:r>
            <w:r w:rsidRPr="00DF5C23">
              <w:rPr>
                <w:rFonts w:eastAsia="Calibri"/>
                <w:noProof/>
                <w:sz w:val="16"/>
              </w:rPr>
              <w:t>)</w:t>
            </w:r>
          </w:p>
        </w:tc>
        <w:tc>
          <w:tcPr>
            <w:tcW w:w="731" w:type="dxa"/>
            <w:shd w:val="clear" w:color="auto" w:fill="auto"/>
            <w:vAlign w:val="center"/>
          </w:tcPr>
          <w:p w14:paraId="2C3A5F2F" w14:textId="77777777" w:rsidR="00BF1765" w:rsidRPr="00DF5C23" w:rsidRDefault="00BF1765" w:rsidP="002041D4">
            <w:pPr>
              <w:wordWrap w:val="0"/>
              <w:spacing w:beforeLines="20" w:before="48" w:afterLines="20" w:after="48"/>
              <w:jc w:val="center"/>
              <w:rPr>
                <w:rFonts w:eastAsia="Calibri"/>
                <w:noProof/>
                <w:sz w:val="16"/>
                <w:szCs w:val="16"/>
              </w:rPr>
            </w:pPr>
          </w:p>
        </w:tc>
        <w:tc>
          <w:tcPr>
            <w:tcW w:w="731" w:type="dxa"/>
            <w:shd w:val="clear" w:color="auto" w:fill="auto"/>
            <w:vAlign w:val="center"/>
          </w:tcPr>
          <w:p w14:paraId="2C3A5F30" w14:textId="77777777" w:rsidR="00BF1765" w:rsidRPr="00DF5C23" w:rsidRDefault="00BF1765" w:rsidP="002041D4">
            <w:pPr>
              <w:wordWrap w:val="0"/>
              <w:spacing w:beforeLines="20" w:before="48" w:afterLines="20" w:after="48"/>
              <w:jc w:val="center"/>
              <w:rPr>
                <w:rFonts w:eastAsia="Calibri"/>
                <w:noProof/>
                <w:sz w:val="16"/>
                <w:szCs w:val="16"/>
              </w:rPr>
            </w:pPr>
          </w:p>
        </w:tc>
        <w:tc>
          <w:tcPr>
            <w:tcW w:w="731" w:type="dxa"/>
            <w:shd w:val="clear" w:color="auto" w:fill="auto"/>
            <w:vAlign w:val="center"/>
          </w:tcPr>
          <w:p w14:paraId="2C3A5F31" w14:textId="77777777" w:rsidR="00BF1765" w:rsidRPr="00DF5C23" w:rsidRDefault="00BF1765" w:rsidP="002041D4">
            <w:pPr>
              <w:wordWrap w:val="0"/>
              <w:spacing w:beforeLines="20" w:before="48" w:afterLines="20" w:after="48"/>
              <w:jc w:val="center"/>
              <w:rPr>
                <w:rFonts w:eastAsia="Calibri"/>
                <w:noProof/>
                <w:sz w:val="16"/>
                <w:szCs w:val="16"/>
              </w:rPr>
            </w:pPr>
          </w:p>
        </w:tc>
        <w:tc>
          <w:tcPr>
            <w:tcW w:w="731" w:type="dxa"/>
            <w:shd w:val="clear" w:color="auto" w:fill="auto"/>
            <w:vAlign w:val="center"/>
          </w:tcPr>
          <w:p w14:paraId="2C3A5F32" w14:textId="77777777" w:rsidR="00BF1765" w:rsidRPr="00DF5C23" w:rsidRDefault="00BF1765" w:rsidP="002041D4">
            <w:pPr>
              <w:wordWrap w:val="0"/>
              <w:spacing w:beforeLines="20" w:before="48" w:afterLines="20" w:after="48"/>
              <w:jc w:val="center"/>
              <w:rPr>
                <w:rFonts w:eastAsia="Calibri"/>
                <w:noProof/>
                <w:sz w:val="16"/>
                <w:szCs w:val="16"/>
              </w:rPr>
            </w:pPr>
          </w:p>
        </w:tc>
        <w:tc>
          <w:tcPr>
            <w:tcW w:w="731" w:type="dxa"/>
            <w:shd w:val="clear" w:color="auto" w:fill="auto"/>
            <w:vAlign w:val="center"/>
          </w:tcPr>
          <w:p w14:paraId="2C3A5F33" w14:textId="77777777" w:rsidR="00BF1765" w:rsidRPr="00DF5C23" w:rsidRDefault="00BF1765" w:rsidP="002041D4">
            <w:pPr>
              <w:wordWrap w:val="0"/>
              <w:spacing w:beforeLines="20" w:before="48" w:afterLines="20" w:after="48"/>
              <w:jc w:val="center"/>
              <w:rPr>
                <w:rFonts w:eastAsia="Calibri"/>
                <w:noProof/>
                <w:sz w:val="16"/>
                <w:szCs w:val="16"/>
              </w:rPr>
            </w:pPr>
          </w:p>
        </w:tc>
        <w:tc>
          <w:tcPr>
            <w:tcW w:w="1055" w:type="dxa"/>
            <w:shd w:val="clear" w:color="auto" w:fill="auto"/>
            <w:vAlign w:val="center"/>
          </w:tcPr>
          <w:p w14:paraId="2C3A5F34" w14:textId="77777777" w:rsidR="00BF1765" w:rsidRPr="00DF5C23" w:rsidRDefault="00BF1765" w:rsidP="002041D4">
            <w:pPr>
              <w:wordWrap w:val="0"/>
              <w:spacing w:beforeLines="20" w:before="48" w:afterLines="20" w:after="48"/>
              <w:jc w:val="center"/>
              <w:rPr>
                <w:rFonts w:eastAsia="Calibri"/>
                <w:noProof/>
                <w:sz w:val="16"/>
                <w:szCs w:val="16"/>
              </w:rPr>
            </w:pPr>
          </w:p>
        </w:tc>
      </w:tr>
      <w:tr w:rsidR="00BF1765" w:rsidRPr="00DF5C23" w14:paraId="2C3A5F3D" w14:textId="77777777" w:rsidTr="00401706">
        <w:trPr>
          <w:gridBefore w:val="1"/>
          <w:gridAfter w:val="1"/>
          <w:wBefore w:w="15" w:type="dxa"/>
          <w:wAfter w:w="82" w:type="dxa"/>
          <w:trHeight w:val="289"/>
          <w:jc w:val="center"/>
        </w:trPr>
        <w:tc>
          <w:tcPr>
            <w:tcW w:w="4754" w:type="dxa"/>
            <w:gridSpan w:val="2"/>
            <w:shd w:val="clear" w:color="auto" w:fill="auto"/>
            <w:vAlign w:val="center"/>
          </w:tcPr>
          <w:p w14:paraId="778D6C19" w14:textId="77777777" w:rsidR="0038775E" w:rsidRDefault="00877B9C" w:rsidP="002041D4">
            <w:pPr>
              <w:wordWrap w:val="0"/>
              <w:spacing w:beforeLines="20" w:before="48" w:afterLines="20" w:after="48"/>
              <w:ind w:left="134"/>
              <w:jc w:val="left"/>
              <w:rPr>
                <w:rFonts w:eastAsia="Calibri"/>
                <w:noProof/>
                <w:sz w:val="16"/>
                <w:szCs w:val="16"/>
              </w:rPr>
            </w:pPr>
            <w:r w:rsidRPr="00DF5C23">
              <w:rPr>
                <w:rFonts w:eastAsia="Calibri"/>
                <w:noProof/>
                <w:sz w:val="16"/>
              </w:rPr>
              <w:t>01 01 01 01</w:t>
            </w:r>
            <w:r w:rsidRPr="00DF5C23">
              <w:rPr>
                <w:rFonts w:eastAsia="Calibri"/>
                <w:noProof/>
                <w:sz w:val="16"/>
              </w:rPr>
              <w:t>（間接的な研究）</w:t>
            </w:r>
          </w:p>
        </w:tc>
        <w:tc>
          <w:tcPr>
            <w:tcW w:w="731" w:type="dxa"/>
            <w:shd w:val="clear" w:color="auto" w:fill="auto"/>
            <w:vAlign w:val="center"/>
          </w:tcPr>
          <w:p w14:paraId="2C3A5F37" w14:textId="77777777" w:rsidR="00BF1765" w:rsidRPr="00DF5C23" w:rsidRDefault="00BF1765" w:rsidP="002041D4">
            <w:pPr>
              <w:wordWrap w:val="0"/>
              <w:spacing w:beforeLines="20" w:before="48" w:afterLines="20" w:after="48"/>
              <w:jc w:val="center"/>
              <w:rPr>
                <w:rFonts w:eastAsia="Calibri"/>
                <w:noProof/>
                <w:sz w:val="16"/>
                <w:szCs w:val="16"/>
              </w:rPr>
            </w:pPr>
          </w:p>
        </w:tc>
        <w:tc>
          <w:tcPr>
            <w:tcW w:w="731" w:type="dxa"/>
            <w:shd w:val="clear" w:color="auto" w:fill="auto"/>
            <w:vAlign w:val="center"/>
          </w:tcPr>
          <w:p w14:paraId="2C3A5F38" w14:textId="77777777" w:rsidR="00BF1765" w:rsidRPr="00DF5C23" w:rsidRDefault="00BF1765" w:rsidP="002041D4">
            <w:pPr>
              <w:wordWrap w:val="0"/>
              <w:spacing w:beforeLines="20" w:before="48" w:afterLines="20" w:after="48"/>
              <w:jc w:val="center"/>
              <w:rPr>
                <w:rFonts w:eastAsia="Calibri"/>
                <w:noProof/>
                <w:sz w:val="16"/>
                <w:szCs w:val="16"/>
              </w:rPr>
            </w:pPr>
          </w:p>
        </w:tc>
        <w:tc>
          <w:tcPr>
            <w:tcW w:w="731" w:type="dxa"/>
            <w:shd w:val="clear" w:color="auto" w:fill="auto"/>
            <w:vAlign w:val="center"/>
          </w:tcPr>
          <w:p w14:paraId="2C3A5F39" w14:textId="77777777" w:rsidR="00BF1765" w:rsidRPr="00DF5C23" w:rsidRDefault="00BF1765" w:rsidP="002041D4">
            <w:pPr>
              <w:wordWrap w:val="0"/>
              <w:spacing w:beforeLines="20" w:before="48" w:afterLines="20" w:after="48"/>
              <w:jc w:val="center"/>
              <w:rPr>
                <w:rFonts w:eastAsia="Calibri"/>
                <w:noProof/>
                <w:sz w:val="16"/>
                <w:szCs w:val="16"/>
              </w:rPr>
            </w:pPr>
          </w:p>
        </w:tc>
        <w:tc>
          <w:tcPr>
            <w:tcW w:w="731" w:type="dxa"/>
            <w:shd w:val="clear" w:color="auto" w:fill="auto"/>
            <w:vAlign w:val="center"/>
          </w:tcPr>
          <w:p w14:paraId="2C3A5F3A" w14:textId="77777777" w:rsidR="00BF1765" w:rsidRPr="00DF5C23" w:rsidRDefault="00BF1765" w:rsidP="002041D4">
            <w:pPr>
              <w:wordWrap w:val="0"/>
              <w:spacing w:beforeLines="20" w:before="48" w:afterLines="20" w:after="48"/>
              <w:jc w:val="center"/>
              <w:rPr>
                <w:rFonts w:eastAsia="Calibri"/>
                <w:noProof/>
                <w:sz w:val="16"/>
                <w:szCs w:val="16"/>
              </w:rPr>
            </w:pPr>
          </w:p>
        </w:tc>
        <w:tc>
          <w:tcPr>
            <w:tcW w:w="731" w:type="dxa"/>
            <w:shd w:val="clear" w:color="auto" w:fill="auto"/>
            <w:vAlign w:val="center"/>
          </w:tcPr>
          <w:p w14:paraId="2C3A5F3B" w14:textId="77777777" w:rsidR="00BF1765" w:rsidRPr="00DF5C23" w:rsidRDefault="00BF1765" w:rsidP="002041D4">
            <w:pPr>
              <w:wordWrap w:val="0"/>
              <w:spacing w:beforeLines="20" w:before="48" w:afterLines="20" w:after="48"/>
              <w:jc w:val="center"/>
              <w:rPr>
                <w:rFonts w:eastAsia="Calibri"/>
                <w:noProof/>
                <w:sz w:val="16"/>
                <w:szCs w:val="16"/>
              </w:rPr>
            </w:pPr>
          </w:p>
        </w:tc>
        <w:tc>
          <w:tcPr>
            <w:tcW w:w="1055" w:type="dxa"/>
            <w:shd w:val="clear" w:color="auto" w:fill="auto"/>
            <w:vAlign w:val="center"/>
          </w:tcPr>
          <w:p w14:paraId="2C3A5F3C" w14:textId="77777777" w:rsidR="00BF1765" w:rsidRPr="00DF5C23" w:rsidRDefault="00BF1765" w:rsidP="002041D4">
            <w:pPr>
              <w:wordWrap w:val="0"/>
              <w:spacing w:beforeLines="20" w:before="48" w:afterLines="20" w:after="48"/>
              <w:jc w:val="center"/>
              <w:rPr>
                <w:rFonts w:eastAsia="Calibri"/>
                <w:noProof/>
                <w:sz w:val="16"/>
                <w:szCs w:val="16"/>
              </w:rPr>
            </w:pPr>
          </w:p>
        </w:tc>
      </w:tr>
      <w:tr w:rsidR="00BF1765" w:rsidRPr="00DF5C23" w14:paraId="2C3A5F45" w14:textId="77777777" w:rsidTr="00401706">
        <w:trPr>
          <w:gridBefore w:val="1"/>
          <w:gridAfter w:val="1"/>
          <w:wBefore w:w="15" w:type="dxa"/>
          <w:wAfter w:w="82" w:type="dxa"/>
          <w:trHeight w:val="289"/>
          <w:jc w:val="center"/>
        </w:trPr>
        <w:tc>
          <w:tcPr>
            <w:tcW w:w="4754" w:type="dxa"/>
            <w:gridSpan w:val="2"/>
            <w:shd w:val="clear" w:color="auto" w:fill="auto"/>
            <w:vAlign w:val="center"/>
          </w:tcPr>
          <w:p w14:paraId="0778E7F5" w14:textId="77777777" w:rsidR="0038775E" w:rsidRDefault="00877B9C" w:rsidP="002041D4">
            <w:pPr>
              <w:wordWrap w:val="0"/>
              <w:spacing w:beforeLines="20" w:before="48" w:afterLines="20" w:after="48"/>
              <w:ind w:left="134"/>
              <w:jc w:val="left"/>
              <w:rPr>
                <w:rFonts w:eastAsia="Calibri"/>
                <w:noProof/>
                <w:sz w:val="16"/>
                <w:szCs w:val="16"/>
              </w:rPr>
            </w:pPr>
            <w:r w:rsidRPr="00DF5C23">
              <w:rPr>
                <w:rFonts w:eastAsia="Calibri"/>
                <w:noProof/>
                <w:sz w:val="16"/>
              </w:rPr>
              <w:t xml:space="preserve"> 01 01 01 11 </w:t>
            </w:r>
            <w:r w:rsidRPr="00DF5C23">
              <w:rPr>
                <w:rFonts w:eastAsia="Calibri"/>
                <w:noProof/>
                <w:sz w:val="16"/>
              </w:rPr>
              <w:t>（直接研究）</w:t>
            </w:r>
          </w:p>
        </w:tc>
        <w:tc>
          <w:tcPr>
            <w:tcW w:w="731" w:type="dxa"/>
            <w:shd w:val="clear" w:color="auto" w:fill="auto"/>
            <w:vAlign w:val="center"/>
          </w:tcPr>
          <w:p w14:paraId="2C3A5F3F" w14:textId="77777777" w:rsidR="00BF1765" w:rsidRPr="00DF5C23" w:rsidRDefault="00BF1765" w:rsidP="002041D4">
            <w:pPr>
              <w:wordWrap w:val="0"/>
              <w:spacing w:beforeLines="20" w:before="48" w:afterLines="20" w:after="48"/>
              <w:jc w:val="center"/>
              <w:rPr>
                <w:rFonts w:eastAsia="Calibri"/>
                <w:noProof/>
                <w:sz w:val="16"/>
                <w:szCs w:val="16"/>
              </w:rPr>
            </w:pPr>
          </w:p>
        </w:tc>
        <w:tc>
          <w:tcPr>
            <w:tcW w:w="731" w:type="dxa"/>
            <w:shd w:val="clear" w:color="auto" w:fill="auto"/>
            <w:vAlign w:val="center"/>
          </w:tcPr>
          <w:p w14:paraId="2C3A5F40" w14:textId="77777777" w:rsidR="00BF1765" w:rsidRPr="00DF5C23" w:rsidRDefault="00BF1765" w:rsidP="002041D4">
            <w:pPr>
              <w:wordWrap w:val="0"/>
              <w:spacing w:beforeLines="20" w:before="48" w:afterLines="20" w:after="48"/>
              <w:jc w:val="center"/>
              <w:rPr>
                <w:rFonts w:eastAsia="Calibri"/>
                <w:noProof/>
                <w:sz w:val="16"/>
                <w:szCs w:val="16"/>
              </w:rPr>
            </w:pPr>
          </w:p>
        </w:tc>
        <w:tc>
          <w:tcPr>
            <w:tcW w:w="731" w:type="dxa"/>
            <w:shd w:val="clear" w:color="auto" w:fill="auto"/>
            <w:vAlign w:val="center"/>
          </w:tcPr>
          <w:p w14:paraId="2C3A5F41" w14:textId="77777777" w:rsidR="00BF1765" w:rsidRPr="00DF5C23" w:rsidRDefault="00BF1765" w:rsidP="002041D4">
            <w:pPr>
              <w:wordWrap w:val="0"/>
              <w:spacing w:beforeLines="20" w:before="48" w:afterLines="20" w:after="48"/>
              <w:jc w:val="center"/>
              <w:rPr>
                <w:rFonts w:eastAsia="Calibri"/>
                <w:noProof/>
                <w:sz w:val="16"/>
                <w:szCs w:val="16"/>
              </w:rPr>
            </w:pPr>
          </w:p>
        </w:tc>
        <w:tc>
          <w:tcPr>
            <w:tcW w:w="731" w:type="dxa"/>
            <w:shd w:val="clear" w:color="auto" w:fill="auto"/>
            <w:vAlign w:val="center"/>
          </w:tcPr>
          <w:p w14:paraId="2C3A5F42" w14:textId="77777777" w:rsidR="00BF1765" w:rsidRPr="00DF5C23" w:rsidRDefault="00BF1765" w:rsidP="002041D4">
            <w:pPr>
              <w:wordWrap w:val="0"/>
              <w:spacing w:beforeLines="20" w:before="48" w:afterLines="20" w:after="48"/>
              <w:jc w:val="center"/>
              <w:rPr>
                <w:rFonts w:eastAsia="Calibri"/>
                <w:noProof/>
                <w:sz w:val="16"/>
                <w:szCs w:val="16"/>
              </w:rPr>
            </w:pPr>
          </w:p>
        </w:tc>
        <w:tc>
          <w:tcPr>
            <w:tcW w:w="731" w:type="dxa"/>
            <w:shd w:val="clear" w:color="auto" w:fill="auto"/>
            <w:vAlign w:val="center"/>
          </w:tcPr>
          <w:p w14:paraId="2C3A5F43" w14:textId="77777777" w:rsidR="00BF1765" w:rsidRPr="00DF5C23" w:rsidRDefault="00BF1765" w:rsidP="002041D4">
            <w:pPr>
              <w:wordWrap w:val="0"/>
              <w:spacing w:beforeLines="20" w:before="48" w:afterLines="20" w:after="48"/>
              <w:jc w:val="center"/>
              <w:rPr>
                <w:rFonts w:eastAsia="Calibri"/>
                <w:noProof/>
                <w:sz w:val="16"/>
                <w:szCs w:val="16"/>
              </w:rPr>
            </w:pPr>
          </w:p>
        </w:tc>
        <w:tc>
          <w:tcPr>
            <w:tcW w:w="1055" w:type="dxa"/>
            <w:shd w:val="clear" w:color="auto" w:fill="auto"/>
            <w:vAlign w:val="center"/>
          </w:tcPr>
          <w:p w14:paraId="2C3A5F44" w14:textId="77777777" w:rsidR="00BF1765" w:rsidRPr="00DF5C23" w:rsidRDefault="00BF1765" w:rsidP="002041D4">
            <w:pPr>
              <w:wordWrap w:val="0"/>
              <w:spacing w:beforeLines="20" w:before="48" w:afterLines="20" w:after="48"/>
              <w:jc w:val="center"/>
              <w:rPr>
                <w:rFonts w:eastAsia="Calibri"/>
                <w:noProof/>
                <w:sz w:val="16"/>
                <w:szCs w:val="16"/>
              </w:rPr>
            </w:pPr>
          </w:p>
        </w:tc>
      </w:tr>
      <w:tr w:rsidR="00BF1765" w:rsidRPr="00DF5C23" w14:paraId="2C3A5F4D" w14:textId="77777777" w:rsidTr="00401706">
        <w:trPr>
          <w:gridBefore w:val="1"/>
          <w:gridAfter w:val="1"/>
          <w:wBefore w:w="15" w:type="dxa"/>
          <w:wAfter w:w="82" w:type="dxa"/>
          <w:trHeight w:val="289"/>
          <w:jc w:val="center"/>
        </w:trPr>
        <w:tc>
          <w:tcPr>
            <w:tcW w:w="4754" w:type="dxa"/>
            <w:gridSpan w:val="2"/>
            <w:shd w:val="clear" w:color="auto" w:fill="auto"/>
            <w:vAlign w:val="center"/>
          </w:tcPr>
          <w:p w14:paraId="446752A2" w14:textId="77777777" w:rsidR="0038775E" w:rsidRDefault="00877B9C" w:rsidP="002041D4">
            <w:pPr>
              <w:wordWrap w:val="0"/>
              <w:spacing w:beforeLines="20" w:before="48" w:afterLines="20" w:after="48"/>
              <w:ind w:left="134"/>
              <w:jc w:val="left"/>
              <w:rPr>
                <w:rFonts w:eastAsia="Calibri"/>
                <w:noProof/>
                <w:sz w:val="16"/>
                <w:lang w:eastAsia="ja-JP"/>
              </w:rPr>
            </w:pPr>
            <w:r w:rsidRPr="00DF5C23">
              <w:rPr>
                <w:rFonts w:eastAsia="Calibri"/>
                <w:noProof/>
                <w:sz w:val="16"/>
                <w:lang w:eastAsia="ja-JP"/>
              </w:rPr>
              <w:t>その他の予算枠（具体的に）</w:t>
            </w:r>
          </w:p>
        </w:tc>
        <w:tc>
          <w:tcPr>
            <w:tcW w:w="731" w:type="dxa"/>
            <w:shd w:val="clear" w:color="auto" w:fill="auto"/>
            <w:vAlign w:val="center"/>
          </w:tcPr>
          <w:p w14:paraId="2C3A5F47" w14:textId="77777777" w:rsidR="00BF1765" w:rsidRPr="00DF5C23" w:rsidRDefault="00BF1765" w:rsidP="002041D4">
            <w:pPr>
              <w:wordWrap w:val="0"/>
              <w:spacing w:beforeLines="20" w:before="48" w:afterLines="20" w:after="48"/>
              <w:jc w:val="center"/>
              <w:rPr>
                <w:rFonts w:eastAsia="Calibri"/>
                <w:noProof/>
                <w:sz w:val="16"/>
                <w:szCs w:val="16"/>
                <w:lang w:eastAsia="ja-JP"/>
              </w:rPr>
            </w:pPr>
          </w:p>
        </w:tc>
        <w:tc>
          <w:tcPr>
            <w:tcW w:w="731" w:type="dxa"/>
            <w:shd w:val="clear" w:color="auto" w:fill="auto"/>
            <w:vAlign w:val="center"/>
          </w:tcPr>
          <w:p w14:paraId="2C3A5F48" w14:textId="77777777" w:rsidR="00BF1765" w:rsidRPr="00DF5C23" w:rsidRDefault="00BF1765" w:rsidP="002041D4">
            <w:pPr>
              <w:wordWrap w:val="0"/>
              <w:spacing w:beforeLines="20" w:before="48" w:afterLines="20" w:after="48"/>
              <w:jc w:val="center"/>
              <w:rPr>
                <w:rFonts w:eastAsia="Calibri"/>
                <w:noProof/>
                <w:sz w:val="16"/>
                <w:szCs w:val="16"/>
                <w:lang w:eastAsia="ja-JP"/>
              </w:rPr>
            </w:pPr>
          </w:p>
        </w:tc>
        <w:tc>
          <w:tcPr>
            <w:tcW w:w="731" w:type="dxa"/>
            <w:shd w:val="clear" w:color="auto" w:fill="auto"/>
            <w:vAlign w:val="center"/>
          </w:tcPr>
          <w:p w14:paraId="2C3A5F49" w14:textId="77777777" w:rsidR="00BF1765" w:rsidRPr="00DF5C23" w:rsidRDefault="00BF1765" w:rsidP="002041D4">
            <w:pPr>
              <w:wordWrap w:val="0"/>
              <w:spacing w:beforeLines="20" w:before="48" w:afterLines="20" w:after="48"/>
              <w:jc w:val="center"/>
              <w:rPr>
                <w:rFonts w:eastAsia="Calibri"/>
                <w:noProof/>
                <w:sz w:val="16"/>
                <w:szCs w:val="16"/>
                <w:lang w:eastAsia="ja-JP"/>
              </w:rPr>
            </w:pPr>
          </w:p>
        </w:tc>
        <w:tc>
          <w:tcPr>
            <w:tcW w:w="731" w:type="dxa"/>
            <w:shd w:val="clear" w:color="auto" w:fill="auto"/>
            <w:vAlign w:val="center"/>
          </w:tcPr>
          <w:p w14:paraId="2C3A5F4A" w14:textId="77777777" w:rsidR="00BF1765" w:rsidRPr="00DF5C23" w:rsidRDefault="00BF1765" w:rsidP="002041D4">
            <w:pPr>
              <w:wordWrap w:val="0"/>
              <w:spacing w:beforeLines="20" w:before="48" w:afterLines="20" w:after="48"/>
              <w:jc w:val="center"/>
              <w:rPr>
                <w:rFonts w:eastAsia="Calibri"/>
                <w:noProof/>
                <w:sz w:val="16"/>
                <w:szCs w:val="16"/>
                <w:lang w:eastAsia="ja-JP"/>
              </w:rPr>
            </w:pPr>
          </w:p>
        </w:tc>
        <w:tc>
          <w:tcPr>
            <w:tcW w:w="731" w:type="dxa"/>
            <w:shd w:val="clear" w:color="auto" w:fill="auto"/>
            <w:vAlign w:val="center"/>
          </w:tcPr>
          <w:p w14:paraId="2C3A5F4B" w14:textId="77777777" w:rsidR="00BF1765" w:rsidRPr="00DF5C23" w:rsidRDefault="00BF1765" w:rsidP="002041D4">
            <w:pPr>
              <w:wordWrap w:val="0"/>
              <w:spacing w:beforeLines="20" w:before="48" w:afterLines="20" w:after="48"/>
              <w:jc w:val="center"/>
              <w:rPr>
                <w:rFonts w:eastAsia="Calibri"/>
                <w:noProof/>
                <w:sz w:val="16"/>
                <w:szCs w:val="16"/>
                <w:lang w:eastAsia="ja-JP"/>
              </w:rPr>
            </w:pPr>
          </w:p>
        </w:tc>
        <w:tc>
          <w:tcPr>
            <w:tcW w:w="1055" w:type="dxa"/>
            <w:shd w:val="clear" w:color="auto" w:fill="auto"/>
            <w:vAlign w:val="center"/>
          </w:tcPr>
          <w:p w14:paraId="2C3A5F4C" w14:textId="77777777" w:rsidR="00BF1765" w:rsidRPr="00DF5C23" w:rsidRDefault="00BF1765" w:rsidP="002041D4">
            <w:pPr>
              <w:wordWrap w:val="0"/>
              <w:spacing w:beforeLines="20" w:before="48" w:afterLines="20" w:after="48"/>
              <w:jc w:val="center"/>
              <w:rPr>
                <w:rFonts w:eastAsia="Calibri"/>
                <w:noProof/>
                <w:sz w:val="16"/>
                <w:szCs w:val="16"/>
                <w:lang w:eastAsia="ja-JP"/>
              </w:rPr>
            </w:pPr>
          </w:p>
        </w:tc>
      </w:tr>
      <w:tr w:rsidR="00BF1765" w:rsidRPr="00DF5C23" w14:paraId="2C3A5F50" w14:textId="77777777" w:rsidTr="00401706">
        <w:trPr>
          <w:gridAfter w:val="1"/>
          <w:wAfter w:w="82" w:type="dxa"/>
          <w:trHeight w:val="248"/>
          <w:jc w:val="center"/>
        </w:trPr>
        <w:tc>
          <w:tcPr>
            <w:tcW w:w="9479" w:type="dxa"/>
            <w:gridSpan w:val="9"/>
            <w:shd w:val="clear" w:color="auto" w:fill="auto"/>
            <w:vAlign w:val="center"/>
          </w:tcPr>
          <w:p w14:paraId="4AD9E645" w14:textId="77777777" w:rsidR="0038775E" w:rsidRDefault="00877B9C" w:rsidP="002041D4">
            <w:pPr>
              <w:wordWrap w:val="0"/>
              <w:spacing w:before="60" w:after="60"/>
              <w:jc w:val="left"/>
              <w:rPr>
                <w:rFonts w:eastAsia="Calibri"/>
                <w:b/>
                <w:noProof/>
                <w:sz w:val="16"/>
                <w:szCs w:val="16"/>
              </w:rPr>
            </w:pPr>
            <w:r w:rsidRPr="00DF5C23">
              <w:rPr>
                <w:rFonts w:eastAsia="Calibri"/>
                <w:b/>
                <w:noProof/>
                <w:sz w:val="16"/>
              </w:rPr>
              <w:sym w:font="Wingdings" w:char="F09F"/>
            </w:r>
            <w:r w:rsidRPr="00DF5C23">
              <w:rPr>
                <w:rFonts w:eastAsia="Calibri"/>
                <w:b/>
                <w:bCs/>
                <w:noProof/>
                <w:sz w:val="16"/>
                <w:szCs w:val="16"/>
              </w:rPr>
              <w:t xml:space="preserve"> </w:t>
            </w:r>
            <w:r w:rsidRPr="00DF5C23">
              <w:rPr>
                <w:rFonts w:eastAsia="Calibri"/>
                <w:b/>
                <w:bCs/>
                <w:noProof/>
                <w:sz w:val="16"/>
                <w:szCs w:val="16"/>
              </w:rPr>
              <w:t>外部スタッフ（単位：</w:t>
            </w:r>
            <w:r w:rsidRPr="00DF5C23">
              <w:rPr>
                <w:rFonts w:eastAsia="Calibri"/>
                <w:b/>
                <w:bCs/>
                <w:noProof/>
                <w:sz w:val="16"/>
                <w:szCs w:val="16"/>
              </w:rPr>
              <w:t>Full Time Equivalent unit: FTE</w:t>
            </w:r>
            <w:r w:rsidRPr="00DF5C23">
              <w:rPr>
                <w:rFonts w:eastAsia="Calibri"/>
                <w:b/>
                <w:bCs/>
                <w:noProof/>
                <w:sz w:val="16"/>
                <w:szCs w:val="16"/>
              </w:rPr>
              <w:t>）</w:t>
            </w:r>
            <w:r w:rsidRPr="00DF5C23">
              <w:rPr>
                <w:rFonts w:eastAsia="Calibri"/>
                <w:b/>
                <w:bCs/>
                <w:noProof/>
                <w:sz w:val="16"/>
                <w:szCs w:val="16"/>
              </w:rPr>
              <w:t xml:space="preserve"> </w:t>
            </w:r>
            <w:r w:rsidR="008B78E1" w:rsidRPr="00DF5C23">
              <w:rPr>
                <w:rStyle w:val="afa"/>
                <w:rFonts w:eastAsia="Calibri"/>
                <w:b/>
                <w:bCs/>
                <w:noProof/>
                <w:sz w:val="16"/>
                <w:szCs w:val="16"/>
              </w:rPr>
              <w:footnoteReference w:id="104"/>
            </w:r>
          </w:p>
          <w:p w14:paraId="2C3A5F4F" w14:textId="77777777" w:rsidR="00BF1765" w:rsidRPr="00DF5C23" w:rsidRDefault="00BF1765" w:rsidP="002041D4">
            <w:pPr>
              <w:wordWrap w:val="0"/>
              <w:spacing w:before="0" w:after="0"/>
              <w:jc w:val="left"/>
              <w:rPr>
                <w:rFonts w:eastAsia="Calibri"/>
                <w:noProof/>
                <w:sz w:val="16"/>
                <w:szCs w:val="16"/>
              </w:rPr>
            </w:pPr>
          </w:p>
        </w:tc>
      </w:tr>
      <w:tr w:rsidR="005C61BF" w:rsidRPr="00DF5C23" w14:paraId="2C3A5F58" w14:textId="77777777" w:rsidTr="00401706">
        <w:trPr>
          <w:gridBefore w:val="1"/>
          <w:gridAfter w:val="1"/>
          <w:wBefore w:w="15" w:type="dxa"/>
          <w:wAfter w:w="82" w:type="dxa"/>
          <w:trHeight w:val="289"/>
          <w:jc w:val="center"/>
        </w:trPr>
        <w:tc>
          <w:tcPr>
            <w:tcW w:w="4754" w:type="dxa"/>
            <w:gridSpan w:val="2"/>
            <w:shd w:val="clear" w:color="auto" w:fill="auto"/>
            <w:vAlign w:val="center"/>
          </w:tcPr>
          <w:p w14:paraId="2207174D" w14:textId="77777777" w:rsidR="0038775E" w:rsidRDefault="00877B9C" w:rsidP="002041D4">
            <w:pPr>
              <w:wordWrap w:val="0"/>
              <w:spacing w:beforeLines="20" w:before="48" w:afterLines="20" w:after="48"/>
              <w:ind w:left="136"/>
              <w:jc w:val="left"/>
              <w:rPr>
                <w:rFonts w:eastAsia="Calibri"/>
                <w:b/>
                <w:noProof/>
                <w:sz w:val="16"/>
                <w:szCs w:val="16"/>
                <w:lang w:eastAsia="ja-JP"/>
              </w:rPr>
            </w:pPr>
            <w:r w:rsidRPr="00DF5C23">
              <w:rPr>
                <w:rFonts w:eastAsia="Calibri"/>
                <w:noProof/>
                <w:sz w:val="16"/>
                <w:lang w:eastAsia="ja-JP"/>
              </w:rPr>
              <w:t>20 02 01</w:t>
            </w:r>
            <w:r w:rsidRPr="00DF5C23">
              <w:rPr>
                <w:rFonts w:eastAsia="Calibri"/>
                <w:noProof/>
                <w:sz w:val="16"/>
                <w:lang w:eastAsia="ja-JP"/>
              </w:rPr>
              <w:t>（「グローバルエンベロープ」より</w:t>
            </w:r>
            <w:r w:rsidRPr="00DF5C23">
              <w:rPr>
                <w:rFonts w:eastAsia="Calibri"/>
                <w:noProof/>
                <w:sz w:val="16"/>
                <w:lang w:eastAsia="ja-JP"/>
              </w:rPr>
              <w:t>AC</w:t>
            </w:r>
            <w:r w:rsidRPr="00DF5C23">
              <w:rPr>
                <w:rFonts w:eastAsia="Calibri"/>
                <w:noProof/>
                <w:sz w:val="16"/>
                <w:lang w:eastAsia="ja-JP"/>
              </w:rPr>
              <w:t>、</w:t>
            </w:r>
            <w:r w:rsidRPr="00DF5C23">
              <w:rPr>
                <w:rFonts w:eastAsia="Calibri"/>
                <w:noProof/>
                <w:sz w:val="16"/>
                <w:lang w:eastAsia="ja-JP"/>
              </w:rPr>
              <w:t>END</w:t>
            </w:r>
            <w:r w:rsidRPr="00DF5C23">
              <w:rPr>
                <w:rFonts w:eastAsia="Calibri"/>
                <w:noProof/>
                <w:sz w:val="16"/>
                <w:lang w:eastAsia="ja-JP"/>
              </w:rPr>
              <w:t>、</w:t>
            </w:r>
            <w:r w:rsidRPr="00DF5C23">
              <w:rPr>
                <w:rFonts w:eastAsia="Calibri"/>
                <w:noProof/>
                <w:sz w:val="16"/>
                <w:lang w:eastAsia="ja-JP"/>
              </w:rPr>
              <w:t>INT</w:t>
            </w:r>
            <w:r w:rsidRPr="00DF5C23">
              <w:rPr>
                <w:rFonts w:eastAsia="Calibri"/>
                <w:noProof/>
                <w:sz w:val="16"/>
                <w:lang w:eastAsia="ja-JP"/>
              </w:rPr>
              <w:t>）</w:t>
            </w:r>
          </w:p>
        </w:tc>
        <w:tc>
          <w:tcPr>
            <w:tcW w:w="731" w:type="dxa"/>
            <w:shd w:val="clear" w:color="auto" w:fill="auto"/>
            <w:vAlign w:val="bottom"/>
          </w:tcPr>
          <w:p w14:paraId="05159D19" w14:textId="77777777" w:rsidR="0038775E" w:rsidRDefault="00877B9C" w:rsidP="002041D4">
            <w:pPr>
              <w:wordWrap w:val="0"/>
              <w:spacing w:beforeLines="20" w:before="48" w:afterLines="20" w:after="48"/>
              <w:jc w:val="center"/>
              <w:rPr>
                <w:rFonts w:ascii="Calibri" w:eastAsia="Calibri" w:hAnsi="Calibri" w:cs="Calibri"/>
                <w:noProof/>
                <w:color w:val="000000"/>
                <w:sz w:val="22"/>
              </w:rPr>
            </w:pPr>
            <w:r w:rsidRPr="00DF5C23">
              <w:rPr>
                <w:rFonts w:ascii="Calibri" w:hAnsi="Calibri" w:cs="Calibri"/>
                <w:noProof/>
                <w:color w:val="000000"/>
                <w:sz w:val="22"/>
              </w:rPr>
              <w:t>6</w:t>
            </w:r>
          </w:p>
        </w:tc>
        <w:tc>
          <w:tcPr>
            <w:tcW w:w="731" w:type="dxa"/>
            <w:shd w:val="clear" w:color="auto" w:fill="auto"/>
            <w:vAlign w:val="bottom"/>
          </w:tcPr>
          <w:p w14:paraId="29387D6F" w14:textId="77777777" w:rsidR="0038775E" w:rsidRDefault="00EC252F" w:rsidP="002041D4">
            <w:pPr>
              <w:wordWrap w:val="0"/>
              <w:spacing w:beforeLines="20" w:before="48" w:afterLines="20" w:after="48"/>
              <w:jc w:val="center"/>
              <w:rPr>
                <w:rFonts w:ascii="Calibri" w:eastAsia="Calibri" w:hAnsi="Calibri" w:cs="Calibri"/>
                <w:noProof/>
                <w:color w:val="000000"/>
                <w:sz w:val="22"/>
              </w:rPr>
            </w:pPr>
            <w:r w:rsidRPr="00DF5C23">
              <w:rPr>
                <w:rFonts w:ascii="Calibri" w:hAnsi="Calibri" w:cs="Calibri"/>
                <w:noProof/>
                <w:color w:val="000000"/>
                <w:sz w:val="22"/>
              </w:rPr>
              <w:t>15</w:t>
            </w:r>
            <w:r w:rsidR="00877B9C" w:rsidRPr="00DF5C23">
              <w:rPr>
                <w:rFonts w:ascii="Calibri" w:hAnsi="Calibri" w:cs="Calibri"/>
                <w:noProof/>
                <w:color w:val="000000"/>
                <w:sz w:val="22"/>
              </w:rPr>
              <w:t>,5</w:t>
            </w:r>
          </w:p>
        </w:tc>
        <w:tc>
          <w:tcPr>
            <w:tcW w:w="731" w:type="dxa"/>
            <w:shd w:val="clear" w:color="auto" w:fill="auto"/>
            <w:vAlign w:val="bottom"/>
          </w:tcPr>
          <w:p w14:paraId="7730CB63" w14:textId="77777777" w:rsidR="0038775E" w:rsidRDefault="00EC252F" w:rsidP="002041D4">
            <w:pPr>
              <w:wordWrap w:val="0"/>
              <w:spacing w:beforeLines="20" w:before="48" w:afterLines="20" w:after="48"/>
              <w:jc w:val="center"/>
              <w:rPr>
                <w:rFonts w:ascii="Calibri" w:eastAsia="Calibri" w:hAnsi="Calibri" w:cs="Calibri"/>
                <w:noProof/>
                <w:color w:val="000000"/>
                <w:sz w:val="22"/>
              </w:rPr>
            </w:pPr>
            <w:r w:rsidRPr="00DF5C23">
              <w:rPr>
                <w:rFonts w:ascii="Calibri" w:hAnsi="Calibri" w:cs="Calibri"/>
                <w:noProof/>
                <w:color w:val="000000"/>
                <w:sz w:val="22"/>
              </w:rPr>
              <w:t>13</w:t>
            </w:r>
            <w:r w:rsidR="00877B9C" w:rsidRPr="00DF5C23">
              <w:rPr>
                <w:rFonts w:ascii="Calibri" w:hAnsi="Calibri" w:cs="Calibri"/>
                <w:noProof/>
                <w:color w:val="000000"/>
                <w:sz w:val="22"/>
              </w:rPr>
              <w:t>,0</w:t>
            </w:r>
          </w:p>
        </w:tc>
        <w:tc>
          <w:tcPr>
            <w:tcW w:w="731" w:type="dxa"/>
            <w:shd w:val="clear" w:color="auto" w:fill="auto"/>
            <w:vAlign w:val="bottom"/>
          </w:tcPr>
          <w:p w14:paraId="25F77A6B" w14:textId="77777777" w:rsidR="0038775E" w:rsidRDefault="00877B9C" w:rsidP="002041D4">
            <w:pPr>
              <w:wordWrap w:val="0"/>
              <w:spacing w:beforeLines="20" w:before="48" w:afterLines="20" w:after="48"/>
              <w:jc w:val="center"/>
              <w:rPr>
                <w:rFonts w:ascii="Calibri" w:eastAsia="Calibri" w:hAnsi="Calibri" w:cs="Calibri"/>
                <w:noProof/>
                <w:color w:val="000000"/>
                <w:sz w:val="22"/>
              </w:rPr>
            </w:pPr>
            <w:r w:rsidRPr="00DF5C23">
              <w:rPr>
                <w:rFonts w:ascii="Calibri" w:hAnsi="Calibri" w:cs="Calibri"/>
                <w:noProof/>
                <w:color w:val="000000"/>
                <w:sz w:val="22"/>
              </w:rPr>
              <w:t>9</w:t>
            </w:r>
            <w:r w:rsidR="005C61BF" w:rsidRPr="00DF5C23">
              <w:rPr>
                <w:rFonts w:ascii="Calibri" w:hAnsi="Calibri" w:cs="Calibri"/>
                <w:noProof/>
                <w:color w:val="000000"/>
                <w:sz w:val="22"/>
              </w:rPr>
              <w:t>,0</w:t>
            </w:r>
          </w:p>
        </w:tc>
        <w:tc>
          <w:tcPr>
            <w:tcW w:w="731" w:type="dxa"/>
            <w:shd w:val="clear" w:color="auto" w:fill="auto"/>
            <w:vAlign w:val="bottom"/>
          </w:tcPr>
          <w:p w14:paraId="2220329D" w14:textId="77777777" w:rsidR="0038775E" w:rsidRDefault="00877B9C" w:rsidP="002041D4">
            <w:pPr>
              <w:wordWrap w:val="0"/>
              <w:spacing w:beforeLines="20" w:before="48" w:afterLines="20" w:after="48"/>
              <w:jc w:val="center"/>
              <w:rPr>
                <w:rFonts w:ascii="Calibri" w:eastAsia="Calibri" w:hAnsi="Calibri" w:cs="Calibri"/>
                <w:noProof/>
                <w:color w:val="000000"/>
                <w:sz w:val="22"/>
              </w:rPr>
            </w:pPr>
            <w:r w:rsidRPr="00DF5C23">
              <w:rPr>
                <w:rFonts w:ascii="Calibri" w:hAnsi="Calibri" w:cs="Calibri"/>
                <w:noProof/>
                <w:color w:val="000000"/>
                <w:sz w:val="22"/>
              </w:rPr>
              <w:t>8</w:t>
            </w:r>
            <w:r w:rsidR="005C61BF" w:rsidRPr="00DF5C23">
              <w:rPr>
                <w:rFonts w:ascii="Calibri" w:hAnsi="Calibri" w:cs="Calibri"/>
                <w:noProof/>
                <w:color w:val="000000"/>
                <w:sz w:val="22"/>
              </w:rPr>
              <w:t>,0</w:t>
            </w:r>
          </w:p>
        </w:tc>
        <w:tc>
          <w:tcPr>
            <w:tcW w:w="1055" w:type="dxa"/>
            <w:shd w:val="clear" w:color="auto" w:fill="auto"/>
            <w:vAlign w:val="bottom"/>
          </w:tcPr>
          <w:p w14:paraId="48427F69" w14:textId="77777777" w:rsidR="0038775E" w:rsidRDefault="00877B9C" w:rsidP="002041D4">
            <w:pPr>
              <w:wordWrap w:val="0"/>
              <w:spacing w:beforeLines="20" w:before="48" w:afterLines="20" w:after="48"/>
              <w:jc w:val="center"/>
              <w:rPr>
                <w:rFonts w:ascii="Calibri" w:eastAsia="Calibri" w:hAnsi="Calibri" w:cs="Calibri"/>
                <w:noProof/>
                <w:color w:val="000000"/>
                <w:sz w:val="22"/>
              </w:rPr>
            </w:pPr>
            <w:r w:rsidRPr="00DF5C23">
              <w:rPr>
                <w:rFonts w:ascii="Calibri" w:hAnsi="Calibri" w:cs="Calibri"/>
                <w:noProof/>
                <w:color w:val="000000"/>
                <w:sz w:val="22"/>
              </w:rPr>
              <w:t>9,0</w:t>
            </w:r>
          </w:p>
        </w:tc>
      </w:tr>
      <w:tr w:rsidR="00EC252F" w:rsidRPr="00DF5C23" w14:paraId="2C3A5F60" w14:textId="77777777" w:rsidTr="00401706">
        <w:trPr>
          <w:gridAfter w:val="1"/>
          <w:wAfter w:w="82" w:type="dxa"/>
          <w:trHeight w:val="289"/>
          <w:jc w:val="center"/>
        </w:trPr>
        <w:tc>
          <w:tcPr>
            <w:tcW w:w="4769" w:type="dxa"/>
            <w:gridSpan w:val="3"/>
            <w:shd w:val="clear" w:color="auto" w:fill="auto"/>
            <w:vAlign w:val="center"/>
          </w:tcPr>
          <w:p w14:paraId="3A1EB8D6" w14:textId="77777777" w:rsidR="0038775E" w:rsidRDefault="00877B9C" w:rsidP="002041D4">
            <w:pPr>
              <w:wordWrap w:val="0"/>
              <w:spacing w:beforeLines="20" w:before="48" w:afterLines="20" w:after="48"/>
              <w:ind w:left="136"/>
              <w:jc w:val="right"/>
              <w:rPr>
                <w:rFonts w:eastAsia="Calibri"/>
                <w:noProof/>
                <w:sz w:val="16"/>
                <w:szCs w:val="16"/>
              </w:rPr>
            </w:pPr>
            <w:r w:rsidRPr="00DF5C23">
              <w:rPr>
                <w:rFonts w:eastAsia="Calibri"/>
                <w:noProof/>
                <w:sz w:val="16"/>
                <w:szCs w:val="16"/>
              </w:rPr>
              <w:t>DG GROW</w:t>
            </w:r>
            <w:r w:rsidRPr="00DF5C23">
              <w:rPr>
                <w:rFonts w:eastAsia="Calibri"/>
                <w:noProof/>
                <w:sz w:val="16"/>
                <w:szCs w:val="16"/>
              </w:rPr>
              <w:t>を含む</w:t>
            </w:r>
          </w:p>
        </w:tc>
        <w:tc>
          <w:tcPr>
            <w:tcW w:w="731" w:type="dxa"/>
            <w:shd w:val="clear" w:color="auto" w:fill="auto"/>
            <w:vAlign w:val="bottom"/>
          </w:tcPr>
          <w:p w14:paraId="47A5AD7A" w14:textId="77777777" w:rsidR="0038775E" w:rsidRDefault="00877B9C" w:rsidP="002041D4">
            <w:pPr>
              <w:wordWrap w:val="0"/>
              <w:spacing w:beforeLines="20" w:before="48" w:afterLines="20" w:after="48"/>
              <w:jc w:val="center"/>
              <w:rPr>
                <w:rFonts w:ascii="Calibri" w:hAnsi="Calibri" w:cs="Calibri"/>
                <w:noProof/>
                <w:color w:val="000000"/>
                <w:sz w:val="22"/>
              </w:rPr>
            </w:pPr>
            <w:r w:rsidRPr="00DF5C23">
              <w:rPr>
                <w:rFonts w:ascii="Calibri" w:hAnsi="Calibri" w:cs="Calibri"/>
                <w:noProof/>
                <w:color w:val="000000"/>
                <w:sz w:val="22"/>
              </w:rPr>
              <w:t>4,5</w:t>
            </w:r>
          </w:p>
        </w:tc>
        <w:tc>
          <w:tcPr>
            <w:tcW w:w="731" w:type="dxa"/>
            <w:shd w:val="clear" w:color="auto" w:fill="auto"/>
            <w:vAlign w:val="bottom"/>
          </w:tcPr>
          <w:p w14:paraId="39FD02F4" w14:textId="77777777" w:rsidR="0038775E" w:rsidRDefault="00877B9C" w:rsidP="002041D4">
            <w:pPr>
              <w:wordWrap w:val="0"/>
              <w:spacing w:beforeLines="20" w:before="48" w:afterLines="20" w:after="48"/>
              <w:jc w:val="center"/>
              <w:rPr>
                <w:rFonts w:ascii="Calibri" w:hAnsi="Calibri" w:cs="Calibri"/>
                <w:noProof/>
                <w:color w:val="000000"/>
                <w:sz w:val="22"/>
              </w:rPr>
            </w:pPr>
            <w:r w:rsidRPr="00DF5C23">
              <w:rPr>
                <w:rFonts w:ascii="Calibri" w:hAnsi="Calibri" w:cs="Calibri"/>
                <w:noProof/>
                <w:color w:val="000000"/>
                <w:sz w:val="22"/>
              </w:rPr>
              <w:t>7,5</w:t>
            </w:r>
          </w:p>
        </w:tc>
        <w:tc>
          <w:tcPr>
            <w:tcW w:w="731" w:type="dxa"/>
            <w:shd w:val="clear" w:color="auto" w:fill="auto"/>
            <w:vAlign w:val="bottom"/>
          </w:tcPr>
          <w:p w14:paraId="3A67181E" w14:textId="77777777" w:rsidR="0038775E" w:rsidRDefault="00877B9C" w:rsidP="002041D4">
            <w:pPr>
              <w:wordWrap w:val="0"/>
              <w:spacing w:beforeLines="20" w:before="48" w:afterLines="20" w:after="48"/>
              <w:jc w:val="center"/>
              <w:rPr>
                <w:rFonts w:ascii="Calibri" w:hAnsi="Calibri" w:cs="Calibri"/>
                <w:noProof/>
                <w:color w:val="000000"/>
                <w:sz w:val="22"/>
              </w:rPr>
            </w:pPr>
            <w:r w:rsidRPr="00DF5C23">
              <w:rPr>
                <w:rFonts w:ascii="Calibri" w:hAnsi="Calibri" w:cs="Calibri"/>
                <w:noProof/>
                <w:color w:val="000000"/>
                <w:sz w:val="22"/>
              </w:rPr>
              <w:t>7</w:t>
            </w:r>
          </w:p>
        </w:tc>
        <w:tc>
          <w:tcPr>
            <w:tcW w:w="731" w:type="dxa"/>
            <w:shd w:val="clear" w:color="auto" w:fill="auto"/>
            <w:vAlign w:val="bottom"/>
          </w:tcPr>
          <w:p w14:paraId="201509B2" w14:textId="77777777" w:rsidR="0038775E" w:rsidRDefault="00877B9C" w:rsidP="002041D4">
            <w:pPr>
              <w:wordWrap w:val="0"/>
              <w:spacing w:beforeLines="20" w:before="48" w:afterLines="20" w:after="48"/>
              <w:jc w:val="center"/>
              <w:rPr>
                <w:rFonts w:ascii="Calibri" w:hAnsi="Calibri" w:cs="Calibri"/>
                <w:noProof/>
                <w:color w:val="000000"/>
                <w:sz w:val="22"/>
              </w:rPr>
            </w:pPr>
            <w:r w:rsidRPr="00DF5C23">
              <w:rPr>
                <w:rFonts w:ascii="Calibri" w:hAnsi="Calibri" w:cs="Calibri"/>
                <w:noProof/>
                <w:color w:val="000000"/>
                <w:sz w:val="22"/>
              </w:rPr>
              <w:t>5</w:t>
            </w:r>
          </w:p>
        </w:tc>
        <w:tc>
          <w:tcPr>
            <w:tcW w:w="731" w:type="dxa"/>
            <w:shd w:val="clear" w:color="auto" w:fill="auto"/>
            <w:vAlign w:val="bottom"/>
          </w:tcPr>
          <w:p w14:paraId="6221C07D" w14:textId="77777777" w:rsidR="0038775E" w:rsidRDefault="00877B9C" w:rsidP="002041D4">
            <w:pPr>
              <w:wordWrap w:val="0"/>
              <w:spacing w:beforeLines="20" w:before="48" w:afterLines="20" w:after="48"/>
              <w:jc w:val="center"/>
              <w:rPr>
                <w:rFonts w:ascii="Calibri" w:hAnsi="Calibri" w:cs="Calibri"/>
                <w:noProof/>
                <w:color w:val="000000"/>
                <w:sz w:val="22"/>
              </w:rPr>
            </w:pPr>
            <w:r w:rsidRPr="00DF5C23">
              <w:rPr>
                <w:rFonts w:ascii="Calibri" w:hAnsi="Calibri" w:cs="Calibri"/>
                <w:noProof/>
                <w:color w:val="000000"/>
                <w:sz w:val="22"/>
              </w:rPr>
              <w:t>4</w:t>
            </w:r>
          </w:p>
        </w:tc>
        <w:tc>
          <w:tcPr>
            <w:tcW w:w="1055" w:type="dxa"/>
            <w:shd w:val="clear" w:color="auto" w:fill="auto"/>
            <w:vAlign w:val="bottom"/>
          </w:tcPr>
          <w:p w14:paraId="43E2588C" w14:textId="77777777" w:rsidR="0038775E" w:rsidRDefault="00877B9C" w:rsidP="002041D4">
            <w:pPr>
              <w:wordWrap w:val="0"/>
              <w:spacing w:beforeLines="20" w:before="48" w:afterLines="20" w:after="48"/>
              <w:jc w:val="center"/>
              <w:rPr>
                <w:rFonts w:ascii="Calibri" w:hAnsi="Calibri" w:cs="Calibri"/>
                <w:noProof/>
                <w:color w:val="000000"/>
                <w:sz w:val="22"/>
              </w:rPr>
            </w:pPr>
            <w:r w:rsidRPr="00DF5C23">
              <w:rPr>
                <w:rFonts w:ascii="Calibri" w:hAnsi="Calibri" w:cs="Calibri"/>
                <w:noProof/>
                <w:color w:val="000000"/>
                <w:sz w:val="22"/>
              </w:rPr>
              <w:t>3,5</w:t>
            </w:r>
          </w:p>
        </w:tc>
      </w:tr>
      <w:tr w:rsidR="00EC252F" w:rsidRPr="00DF5C23" w14:paraId="2C3A5F68" w14:textId="77777777" w:rsidTr="00401706">
        <w:trPr>
          <w:gridAfter w:val="1"/>
          <w:wAfter w:w="82" w:type="dxa"/>
          <w:trHeight w:val="289"/>
          <w:jc w:val="center"/>
        </w:trPr>
        <w:tc>
          <w:tcPr>
            <w:tcW w:w="4769" w:type="dxa"/>
            <w:gridSpan w:val="3"/>
            <w:shd w:val="clear" w:color="auto" w:fill="auto"/>
            <w:vAlign w:val="center"/>
          </w:tcPr>
          <w:p w14:paraId="5D6BC43B" w14:textId="77777777" w:rsidR="0038775E" w:rsidRDefault="00877B9C" w:rsidP="002041D4">
            <w:pPr>
              <w:wordWrap w:val="0"/>
              <w:spacing w:beforeLines="20" w:before="48" w:afterLines="20" w:after="48"/>
              <w:ind w:left="136"/>
              <w:jc w:val="right"/>
              <w:rPr>
                <w:rFonts w:eastAsia="Calibri"/>
                <w:noProof/>
                <w:sz w:val="16"/>
                <w:szCs w:val="16"/>
              </w:rPr>
            </w:pPr>
            <w:r w:rsidRPr="00DF5C23">
              <w:rPr>
                <w:rFonts w:eastAsia="Calibri"/>
                <w:noProof/>
                <w:sz w:val="16"/>
                <w:szCs w:val="16"/>
              </w:rPr>
              <w:t>DG ENV</w:t>
            </w:r>
          </w:p>
        </w:tc>
        <w:tc>
          <w:tcPr>
            <w:tcW w:w="731" w:type="dxa"/>
            <w:shd w:val="clear" w:color="auto" w:fill="auto"/>
            <w:vAlign w:val="bottom"/>
          </w:tcPr>
          <w:p w14:paraId="0A53EF51" w14:textId="77777777" w:rsidR="0038775E" w:rsidRDefault="00877B9C" w:rsidP="002041D4">
            <w:pPr>
              <w:wordWrap w:val="0"/>
              <w:spacing w:beforeLines="20" w:before="48" w:afterLines="20" w:after="48"/>
              <w:jc w:val="center"/>
              <w:rPr>
                <w:rFonts w:ascii="Calibri" w:hAnsi="Calibri" w:cs="Calibri"/>
                <w:noProof/>
                <w:color w:val="000000"/>
                <w:sz w:val="22"/>
              </w:rPr>
            </w:pPr>
            <w:r w:rsidRPr="00DF5C23">
              <w:rPr>
                <w:rFonts w:ascii="Calibri" w:hAnsi="Calibri" w:cs="Calibri"/>
                <w:noProof/>
                <w:color w:val="000000"/>
                <w:sz w:val="22"/>
              </w:rPr>
              <w:t>0,5</w:t>
            </w:r>
          </w:p>
        </w:tc>
        <w:tc>
          <w:tcPr>
            <w:tcW w:w="731" w:type="dxa"/>
            <w:shd w:val="clear" w:color="auto" w:fill="auto"/>
            <w:vAlign w:val="bottom"/>
          </w:tcPr>
          <w:p w14:paraId="5110AEC5" w14:textId="77777777" w:rsidR="0038775E" w:rsidRDefault="00877B9C" w:rsidP="002041D4">
            <w:pPr>
              <w:wordWrap w:val="0"/>
              <w:spacing w:beforeLines="20" w:before="48" w:afterLines="20" w:after="48"/>
              <w:jc w:val="center"/>
              <w:rPr>
                <w:rFonts w:ascii="Calibri" w:hAnsi="Calibri" w:cs="Calibri"/>
                <w:noProof/>
                <w:color w:val="000000"/>
                <w:sz w:val="22"/>
              </w:rPr>
            </w:pPr>
            <w:r w:rsidRPr="00DF5C23">
              <w:rPr>
                <w:rFonts w:ascii="Calibri" w:hAnsi="Calibri" w:cs="Calibri"/>
                <w:noProof/>
                <w:color w:val="000000"/>
                <w:sz w:val="22"/>
              </w:rPr>
              <w:t>4</w:t>
            </w:r>
          </w:p>
        </w:tc>
        <w:tc>
          <w:tcPr>
            <w:tcW w:w="731" w:type="dxa"/>
            <w:shd w:val="clear" w:color="auto" w:fill="auto"/>
            <w:vAlign w:val="bottom"/>
          </w:tcPr>
          <w:p w14:paraId="080DAC30" w14:textId="77777777" w:rsidR="0038775E" w:rsidRDefault="00877B9C" w:rsidP="002041D4">
            <w:pPr>
              <w:wordWrap w:val="0"/>
              <w:spacing w:beforeLines="20" w:before="48" w:afterLines="20" w:after="48"/>
              <w:jc w:val="center"/>
              <w:rPr>
                <w:rFonts w:ascii="Calibri" w:hAnsi="Calibri" w:cs="Calibri"/>
                <w:noProof/>
                <w:color w:val="000000"/>
                <w:sz w:val="22"/>
              </w:rPr>
            </w:pPr>
            <w:r w:rsidRPr="00DF5C23">
              <w:rPr>
                <w:rFonts w:ascii="Calibri" w:hAnsi="Calibri" w:cs="Calibri"/>
                <w:noProof/>
                <w:color w:val="000000"/>
                <w:sz w:val="22"/>
              </w:rPr>
              <w:t>4</w:t>
            </w:r>
          </w:p>
        </w:tc>
        <w:tc>
          <w:tcPr>
            <w:tcW w:w="731" w:type="dxa"/>
            <w:shd w:val="clear" w:color="auto" w:fill="auto"/>
            <w:vAlign w:val="bottom"/>
          </w:tcPr>
          <w:p w14:paraId="0F936124" w14:textId="77777777" w:rsidR="0038775E" w:rsidRDefault="00877B9C" w:rsidP="002041D4">
            <w:pPr>
              <w:wordWrap w:val="0"/>
              <w:spacing w:beforeLines="20" w:before="48" w:afterLines="20" w:after="48"/>
              <w:jc w:val="center"/>
              <w:rPr>
                <w:rFonts w:ascii="Calibri" w:hAnsi="Calibri" w:cs="Calibri"/>
                <w:noProof/>
                <w:color w:val="000000"/>
                <w:sz w:val="22"/>
              </w:rPr>
            </w:pPr>
            <w:r w:rsidRPr="00DF5C23">
              <w:rPr>
                <w:rFonts w:ascii="Calibri" w:hAnsi="Calibri" w:cs="Calibri"/>
                <w:noProof/>
                <w:color w:val="000000"/>
                <w:sz w:val="22"/>
              </w:rPr>
              <w:t>2</w:t>
            </w:r>
          </w:p>
        </w:tc>
        <w:tc>
          <w:tcPr>
            <w:tcW w:w="731" w:type="dxa"/>
            <w:shd w:val="clear" w:color="auto" w:fill="auto"/>
            <w:vAlign w:val="bottom"/>
          </w:tcPr>
          <w:p w14:paraId="2402624B" w14:textId="77777777" w:rsidR="0038775E" w:rsidRDefault="00877B9C" w:rsidP="002041D4">
            <w:pPr>
              <w:wordWrap w:val="0"/>
              <w:spacing w:beforeLines="20" w:before="48" w:afterLines="20" w:after="48"/>
              <w:jc w:val="center"/>
              <w:rPr>
                <w:rFonts w:ascii="Calibri" w:hAnsi="Calibri" w:cs="Calibri"/>
                <w:noProof/>
                <w:color w:val="000000"/>
                <w:sz w:val="22"/>
              </w:rPr>
            </w:pPr>
            <w:r w:rsidRPr="00DF5C23">
              <w:rPr>
                <w:rFonts w:ascii="Calibri" w:hAnsi="Calibri" w:cs="Calibri"/>
                <w:noProof/>
                <w:color w:val="000000"/>
                <w:sz w:val="22"/>
              </w:rPr>
              <w:t>2</w:t>
            </w:r>
          </w:p>
        </w:tc>
        <w:tc>
          <w:tcPr>
            <w:tcW w:w="1055" w:type="dxa"/>
            <w:shd w:val="clear" w:color="auto" w:fill="auto"/>
            <w:vAlign w:val="bottom"/>
          </w:tcPr>
          <w:p w14:paraId="0A81A447" w14:textId="77777777" w:rsidR="0038775E" w:rsidRDefault="00877B9C" w:rsidP="002041D4">
            <w:pPr>
              <w:wordWrap w:val="0"/>
              <w:spacing w:beforeLines="20" w:before="48" w:afterLines="20" w:after="48"/>
              <w:jc w:val="center"/>
              <w:rPr>
                <w:rFonts w:ascii="Calibri" w:hAnsi="Calibri" w:cs="Calibri"/>
                <w:noProof/>
                <w:color w:val="000000"/>
                <w:sz w:val="22"/>
              </w:rPr>
            </w:pPr>
            <w:r w:rsidRPr="00DF5C23">
              <w:rPr>
                <w:rFonts w:ascii="Calibri" w:hAnsi="Calibri" w:cs="Calibri"/>
                <w:noProof/>
                <w:color w:val="000000"/>
                <w:sz w:val="22"/>
              </w:rPr>
              <w:t>3,5</w:t>
            </w:r>
          </w:p>
        </w:tc>
      </w:tr>
      <w:tr w:rsidR="00EC252F" w:rsidRPr="00DF5C23" w14:paraId="2C3A5F70" w14:textId="77777777" w:rsidTr="00401706">
        <w:trPr>
          <w:gridAfter w:val="1"/>
          <w:wAfter w:w="82" w:type="dxa"/>
          <w:trHeight w:val="289"/>
          <w:jc w:val="center"/>
        </w:trPr>
        <w:tc>
          <w:tcPr>
            <w:tcW w:w="4769" w:type="dxa"/>
            <w:gridSpan w:val="3"/>
            <w:shd w:val="clear" w:color="auto" w:fill="auto"/>
            <w:vAlign w:val="center"/>
          </w:tcPr>
          <w:p w14:paraId="2A87E0C8" w14:textId="77777777" w:rsidR="0038775E" w:rsidRDefault="00877B9C" w:rsidP="002041D4">
            <w:pPr>
              <w:wordWrap w:val="0"/>
              <w:spacing w:beforeLines="20" w:before="48" w:afterLines="20" w:after="48"/>
              <w:ind w:left="136"/>
              <w:jc w:val="right"/>
              <w:rPr>
                <w:rFonts w:eastAsia="Calibri"/>
                <w:noProof/>
                <w:sz w:val="16"/>
                <w:szCs w:val="16"/>
              </w:rPr>
            </w:pPr>
            <w:r w:rsidRPr="00DF5C23">
              <w:rPr>
                <w:rFonts w:eastAsia="Calibri"/>
                <w:noProof/>
                <w:sz w:val="16"/>
                <w:szCs w:val="16"/>
              </w:rPr>
              <w:t>DG ENER</w:t>
            </w:r>
          </w:p>
        </w:tc>
        <w:tc>
          <w:tcPr>
            <w:tcW w:w="731" w:type="dxa"/>
            <w:shd w:val="clear" w:color="auto" w:fill="auto"/>
            <w:vAlign w:val="bottom"/>
          </w:tcPr>
          <w:p w14:paraId="39C719D8" w14:textId="77777777" w:rsidR="0038775E" w:rsidRDefault="00877B9C" w:rsidP="002041D4">
            <w:pPr>
              <w:wordWrap w:val="0"/>
              <w:spacing w:beforeLines="20" w:before="48" w:afterLines="20" w:after="48"/>
              <w:jc w:val="center"/>
              <w:rPr>
                <w:rFonts w:ascii="Calibri" w:hAnsi="Calibri" w:cs="Calibri"/>
                <w:noProof/>
                <w:color w:val="000000"/>
                <w:sz w:val="22"/>
              </w:rPr>
            </w:pPr>
            <w:r w:rsidRPr="00DF5C23">
              <w:rPr>
                <w:rFonts w:ascii="Calibri" w:hAnsi="Calibri" w:cs="Calibri"/>
                <w:noProof/>
                <w:color w:val="000000"/>
                <w:sz w:val="22"/>
              </w:rPr>
              <w:t>1</w:t>
            </w:r>
          </w:p>
        </w:tc>
        <w:tc>
          <w:tcPr>
            <w:tcW w:w="731" w:type="dxa"/>
            <w:shd w:val="clear" w:color="auto" w:fill="auto"/>
            <w:vAlign w:val="bottom"/>
          </w:tcPr>
          <w:p w14:paraId="26374E5C" w14:textId="77777777" w:rsidR="0038775E" w:rsidRDefault="00877B9C" w:rsidP="002041D4">
            <w:pPr>
              <w:wordWrap w:val="0"/>
              <w:spacing w:beforeLines="20" w:before="48" w:afterLines="20" w:after="48"/>
              <w:jc w:val="center"/>
              <w:rPr>
                <w:rFonts w:ascii="Calibri" w:hAnsi="Calibri" w:cs="Calibri"/>
                <w:noProof/>
                <w:color w:val="000000"/>
                <w:sz w:val="22"/>
              </w:rPr>
            </w:pPr>
            <w:r w:rsidRPr="00DF5C23">
              <w:rPr>
                <w:rFonts w:ascii="Calibri" w:hAnsi="Calibri" w:cs="Calibri"/>
                <w:noProof/>
                <w:color w:val="000000"/>
                <w:sz w:val="22"/>
              </w:rPr>
              <w:t>4</w:t>
            </w:r>
          </w:p>
        </w:tc>
        <w:tc>
          <w:tcPr>
            <w:tcW w:w="731" w:type="dxa"/>
            <w:shd w:val="clear" w:color="auto" w:fill="auto"/>
            <w:vAlign w:val="bottom"/>
          </w:tcPr>
          <w:p w14:paraId="32C5DF90" w14:textId="77777777" w:rsidR="0038775E" w:rsidRDefault="00877B9C" w:rsidP="002041D4">
            <w:pPr>
              <w:wordWrap w:val="0"/>
              <w:spacing w:beforeLines="20" w:before="48" w:afterLines="20" w:after="48"/>
              <w:jc w:val="center"/>
              <w:rPr>
                <w:rFonts w:ascii="Calibri" w:hAnsi="Calibri" w:cs="Calibri"/>
                <w:noProof/>
                <w:color w:val="000000"/>
                <w:sz w:val="22"/>
              </w:rPr>
            </w:pPr>
            <w:r w:rsidRPr="00DF5C23">
              <w:rPr>
                <w:rFonts w:ascii="Calibri" w:hAnsi="Calibri" w:cs="Calibri"/>
                <w:noProof/>
                <w:color w:val="000000"/>
                <w:sz w:val="22"/>
              </w:rPr>
              <w:t>2</w:t>
            </w:r>
          </w:p>
        </w:tc>
        <w:tc>
          <w:tcPr>
            <w:tcW w:w="731" w:type="dxa"/>
            <w:shd w:val="clear" w:color="auto" w:fill="auto"/>
            <w:vAlign w:val="bottom"/>
          </w:tcPr>
          <w:p w14:paraId="6C1E5D5E" w14:textId="77777777" w:rsidR="0038775E" w:rsidRDefault="00877B9C" w:rsidP="002041D4">
            <w:pPr>
              <w:wordWrap w:val="0"/>
              <w:spacing w:beforeLines="20" w:before="48" w:afterLines="20" w:after="48"/>
              <w:jc w:val="center"/>
              <w:rPr>
                <w:rFonts w:ascii="Calibri" w:hAnsi="Calibri" w:cs="Calibri"/>
                <w:noProof/>
                <w:color w:val="000000"/>
                <w:sz w:val="22"/>
              </w:rPr>
            </w:pPr>
            <w:r w:rsidRPr="00DF5C23">
              <w:rPr>
                <w:rFonts w:ascii="Calibri" w:hAnsi="Calibri" w:cs="Calibri"/>
                <w:noProof/>
                <w:color w:val="000000"/>
                <w:sz w:val="22"/>
              </w:rPr>
              <w:t>2</w:t>
            </w:r>
          </w:p>
        </w:tc>
        <w:tc>
          <w:tcPr>
            <w:tcW w:w="731" w:type="dxa"/>
            <w:shd w:val="clear" w:color="auto" w:fill="auto"/>
            <w:vAlign w:val="bottom"/>
          </w:tcPr>
          <w:p w14:paraId="63F0D8FB" w14:textId="77777777" w:rsidR="0038775E" w:rsidRDefault="00877B9C" w:rsidP="002041D4">
            <w:pPr>
              <w:wordWrap w:val="0"/>
              <w:spacing w:beforeLines="20" w:before="48" w:afterLines="20" w:after="48"/>
              <w:jc w:val="center"/>
              <w:rPr>
                <w:rFonts w:ascii="Calibri" w:hAnsi="Calibri" w:cs="Calibri"/>
                <w:noProof/>
                <w:color w:val="000000"/>
                <w:sz w:val="22"/>
              </w:rPr>
            </w:pPr>
            <w:r w:rsidRPr="00DF5C23">
              <w:rPr>
                <w:rFonts w:ascii="Calibri" w:hAnsi="Calibri" w:cs="Calibri"/>
                <w:noProof/>
                <w:color w:val="000000"/>
                <w:sz w:val="22"/>
              </w:rPr>
              <w:t>2</w:t>
            </w:r>
          </w:p>
        </w:tc>
        <w:tc>
          <w:tcPr>
            <w:tcW w:w="1055" w:type="dxa"/>
            <w:shd w:val="clear" w:color="auto" w:fill="auto"/>
            <w:vAlign w:val="bottom"/>
          </w:tcPr>
          <w:p w14:paraId="29C0FC83" w14:textId="77777777" w:rsidR="0038775E" w:rsidRDefault="00877B9C" w:rsidP="002041D4">
            <w:pPr>
              <w:wordWrap w:val="0"/>
              <w:spacing w:beforeLines="20" w:before="48" w:afterLines="20" w:after="48"/>
              <w:jc w:val="center"/>
              <w:rPr>
                <w:rFonts w:ascii="Calibri" w:hAnsi="Calibri" w:cs="Calibri"/>
                <w:noProof/>
                <w:color w:val="000000"/>
                <w:sz w:val="22"/>
              </w:rPr>
            </w:pPr>
            <w:r w:rsidRPr="00DF5C23">
              <w:rPr>
                <w:rFonts w:ascii="Calibri" w:hAnsi="Calibri" w:cs="Calibri"/>
                <w:noProof/>
                <w:color w:val="000000"/>
                <w:sz w:val="22"/>
              </w:rPr>
              <w:t>2</w:t>
            </w:r>
          </w:p>
        </w:tc>
      </w:tr>
      <w:tr w:rsidR="00BF1765" w:rsidRPr="00DF5C23" w14:paraId="2C3A5F78" w14:textId="77777777" w:rsidTr="00401706">
        <w:trPr>
          <w:gridBefore w:val="1"/>
          <w:gridAfter w:val="1"/>
          <w:wBefore w:w="15" w:type="dxa"/>
          <w:wAfter w:w="82" w:type="dxa"/>
          <w:trHeight w:val="289"/>
          <w:jc w:val="center"/>
        </w:trPr>
        <w:tc>
          <w:tcPr>
            <w:tcW w:w="4754" w:type="dxa"/>
            <w:gridSpan w:val="2"/>
            <w:shd w:val="clear" w:color="auto" w:fill="auto"/>
            <w:vAlign w:val="center"/>
          </w:tcPr>
          <w:p w14:paraId="6BA3F392" w14:textId="77777777" w:rsidR="0038775E" w:rsidRDefault="00877B9C" w:rsidP="002041D4">
            <w:pPr>
              <w:wordWrap w:val="0"/>
              <w:spacing w:beforeLines="20" w:before="48" w:afterLines="20" w:after="48"/>
              <w:ind w:left="136"/>
              <w:jc w:val="left"/>
              <w:rPr>
                <w:rFonts w:eastAsia="Calibri"/>
                <w:noProof/>
                <w:sz w:val="16"/>
              </w:rPr>
            </w:pPr>
            <w:r w:rsidRPr="00DF5C23">
              <w:rPr>
                <w:rFonts w:eastAsia="Calibri"/>
                <w:noProof/>
                <w:sz w:val="16"/>
              </w:rPr>
              <w:t>20 02 03</w:t>
            </w:r>
            <w:r w:rsidRPr="00DF5C23">
              <w:rPr>
                <w:rFonts w:eastAsia="Calibri"/>
                <w:noProof/>
                <w:sz w:val="16"/>
              </w:rPr>
              <w:t>（代表で</w:t>
            </w:r>
            <w:r w:rsidRPr="00DF5C23">
              <w:rPr>
                <w:rFonts w:eastAsia="Calibri"/>
                <w:noProof/>
                <w:sz w:val="16"/>
              </w:rPr>
              <w:t>AC</w:t>
            </w:r>
            <w:r w:rsidRPr="00DF5C23">
              <w:rPr>
                <w:rFonts w:eastAsia="Calibri"/>
                <w:noProof/>
                <w:sz w:val="16"/>
              </w:rPr>
              <w:t>、</w:t>
            </w:r>
            <w:r w:rsidRPr="00DF5C23">
              <w:rPr>
                <w:rFonts w:eastAsia="Calibri"/>
                <w:noProof/>
                <w:sz w:val="16"/>
              </w:rPr>
              <w:t>AL</w:t>
            </w:r>
            <w:r w:rsidRPr="00DF5C23">
              <w:rPr>
                <w:rFonts w:eastAsia="Calibri"/>
                <w:noProof/>
                <w:sz w:val="16"/>
              </w:rPr>
              <w:t>、</w:t>
            </w:r>
            <w:r w:rsidRPr="00DF5C23">
              <w:rPr>
                <w:rFonts w:eastAsia="Calibri"/>
                <w:noProof/>
                <w:sz w:val="16"/>
              </w:rPr>
              <w:t>END</w:t>
            </w:r>
            <w:r w:rsidRPr="00DF5C23">
              <w:rPr>
                <w:rFonts w:eastAsia="Calibri"/>
                <w:noProof/>
                <w:sz w:val="16"/>
              </w:rPr>
              <w:t>、</w:t>
            </w:r>
            <w:r w:rsidRPr="00DF5C23">
              <w:rPr>
                <w:rFonts w:eastAsia="Calibri"/>
                <w:noProof/>
                <w:sz w:val="16"/>
              </w:rPr>
              <w:t>INT</w:t>
            </w:r>
            <w:r w:rsidRPr="00DF5C23">
              <w:rPr>
                <w:rFonts w:eastAsia="Calibri"/>
                <w:noProof/>
                <w:sz w:val="16"/>
              </w:rPr>
              <w:t>、</w:t>
            </w:r>
            <w:r w:rsidRPr="00DF5C23">
              <w:rPr>
                <w:rFonts w:eastAsia="Calibri"/>
                <w:noProof/>
                <w:sz w:val="16"/>
              </w:rPr>
              <w:t>JPD</w:t>
            </w:r>
            <w:r w:rsidRPr="00DF5C23">
              <w:rPr>
                <w:rFonts w:eastAsia="Calibri"/>
                <w:noProof/>
                <w:sz w:val="16"/>
              </w:rPr>
              <w:t>）。</w:t>
            </w:r>
          </w:p>
        </w:tc>
        <w:tc>
          <w:tcPr>
            <w:tcW w:w="731" w:type="dxa"/>
            <w:shd w:val="clear" w:color="auto" w:fill="auto"/>
            <w:vAlign w:val="center"/>
          </w:tcPr>
          <w:p w14:paraId="2C3A5F72" w14:textId="77777777" w:rsidR="00BF1765" w:rsidRPr="00DF5C23" w:rsidRDefault="00BF1765" w:rsidP="002041D4">
            <w:pPr>
              <w:wordWrap w:val="0"/>
              <w:spacing w:beforeLines="20" w:before="48" w:afterLines="20" w:after="48"/>
              <w:jc w:val="center"/>
              <w:rPr>
                <w:rFonts w:eastAsia="Calibri"/>
                <w:noProof/>
                <w:sz w:val="16"/>
                <w:szCs w:val="16"/>
              </w:rPr>
            </w:pPr>
          </w:p>
        </w:tc>
        <w:tc>
          <w:tcPr>
            <w:tcW w:w="731" w:type="dxa"/>
            <w:shd w:val="clear" w:color="auto" w:fill="auto"/>
            <w:vAlign w:val="center"/>
          </w:tcPr>
          <w:p w14:paraId="2C3A5F73" w14:textId="77777777" w:rsidR="00BF1765" w:rsidRPr="00DF5C23" w:rsidRDefault="00BF1765" w:rsidP="002041D4">
            <w:pPr>
              <w:wordWrap w:val="0"/>
              <w:spacing w:beforeLines="20" w:before="48" w:afterLines="20" w:after="48"/>
              <w:jc w:val="center"/>
              <w:rPr>
                <w:rFonts w:eastAsia="Calibri"/>
                <w:noProof/>
                <w:sz w:val="16"/>
                <w:szCs w:val="16"/>
              </w:rPr>
            </w:pPr>
          </w:p>
        </w:tc>
        <w:tc>
          <w:tcPr>
            <w:tcW w:w="731" w:type="dxa"/>
            <w:shd w:val="clear" w:color="auto" w:fill="auto"/>
            <w:vAlign w:val="center"/>
          </w:tcPr>
          <w:p w14:paraId="2C3A5F74" w14:textId="77777777" w:rsidR="00BF1765" w:rsidRPr="00DF5C23" w:rsidRDefault="00BF1765" w:rsidP="002041D4">
            <w:pPr>
              <w:wordWrap w:val="0"/>
              <w:spacing w:beforeLines="20" w:before="48" w:afterLines="20" w:after="48"/>
              <w:jc w:val="center"/>
              <w:rPr>
                <w:rFonts w:eastAsia="Calibri"/>
                <w:noProof/>
                <w:sz w:val="16"/>
                <w:szCs w:val="16"/>
              </w:rPr>
            </w:pPr>
          </w:p>
        </w:tc>
        <w:tc>
          <w:tcPr>
            <w:tcW w:w="731" w:type="dxa"/>
            <w:shd w:val="clear" w:color="auto" w:fill="auto"/>
            <w:vAlign w:val="center"/>
          </w:tcPr>
          <w:p w14:paraId="2C3A5F75" w14:textId="77777777" w:rsidR="00BF1765" w:rsidRPr="00DF5C23" w:rsidRDefault="00BF1765" w:rsidP="002041D4">
            <w:pPr>
              <w:wordWrap w:val="0"/>
              <w:spacing w:beforeLines="20" w:before="48" w:afterLines="20" w:after="48"/>
              <w:jc w:val="center"/>
              <w:rPr>
                <w:rFonts w:eastAsia="Calibri"/>
                <w:noProof/>
                <w:sz w:val="16"/>
                <w:szCs w:val="16"/>
              </w:rPr>
            </w:pPr>
          </w:p>
        </w:tc>
        <w:tc>
          <w:tcPr>
            <w:tcW w:w="731" w:type="dxa"/>
            <w:shd w:val="clear" w:color="auto" w:fill="auto"/>
            <w:vAlign w:val="center"/>
          </w:tcPr>
          <w:p w14:paraId="2C3A5F76" w14:textId="77777777" w:rsidR="00BF1765" w:rsidRPr="00DF5C23" w:rsidRDefault="00BF1765" w:rsidP="002041D4">
            <w:pPr>
              <w:wordWrap w:val="0"/>
              <w:spacing w:beforeLines="20" w:before="48" w:afterLines="20" w:after="48"/>
              <w:jc w:val="center"/>
              <w:rPr>
                <w:rFonts w:eastAsia="Calibri"/>
                <w:noProof/>
                <w:sz w:val="16"/>
                <w:szCs w:val="16"/>
              </w:rPr>
            </w:pPr>
          </w:p>
        </w:tc>
        <w:tc>
          <w:tcPr>
            <w:tcW w:w="1055" w:type="dxa"/>
            <w:shd w:val="clear" w:color="auto" w:fill="auto"/>
            <w:vAlign w:val="center"/>
          </w:tcPr>
          <w:p w14:paraId="2C3A5F77" w14:textId="77777777" w:rsidR="00BF1765" w:rsidRPr="00DF5C23" w:rsidRDefault="00BF1765" w:rsidP="002041D4">
            <w:pPr>
              <w:wordWrap w:val="0"/>
              <w:spacing w:beforeLines="20" w:before="48" w:afterLines="20" w:after="48"/>
              <w:jc w:val="center"/>
              <w:rPr>
                <w:rFonts w:eastAsia="Calibri"/>
                <w:noProof/>
                <w:sz w:val="16"/>
                <w:szCs w:val="16"/>
              </w:rPr>
            </w:pPr>
          </w:p>
        </w:tc>
      </w:tr>
      <w:tr w:rsidR="00BF1765" w:rsidRPr="00DF5C23" w14:paraId="2C3A5F83" w14:textId="77777777" w:rsidTr="00EC0E40">
        <w:trPr>
          <w:gridBefore w:val="1"/>
          <w:wBefore w:w="15" w:type="dxa"/>
          <w:trHeight w:val="289"/>
          <w:jc w:val="center"/>
        </w:trPr>
        <w:tc>
          <w:tcPr>
            <w:tcW w:w="2376" w:type="dxa"/>
            <w:vMerge w:val="restart"/>
            <w:shd w:val="clear" w:color="auto" w:fill="auto"/>
            <w:vAlign w:val="center"/>
          </w:tcPr>
          <w:p w14:paraId="0BC41AE8" w14:textId="77777777" w:rsidR="0038775E" w:rsidRDefault="00877B9C" w:rsidP="002041D4">
            <w:pPr>
              <w:wordWrap w:val="0"/>
              <w:spacing w:beforeLines="20" w:before="48" w:afterLines="20" w:after="48"/>
              <w:ind w:left="136"/>
              <w:jc w:val="left"/>
              <w:rPr>
                <w:rFonts w:eastAsia="Calibri"/>
                <w:b/>
                <w:noProof/>
                <w:sz w:val="16"/>
                <w:szCs w:val="16"/>
              </w:rPr>
            </w:pPr>
            <w:r w:rsidRPr="00DF5C23">
              <w:rPr>
                <w:rFonts w:eastAsia="Calibri"/>
                <w:b/>
                <w:bCs/>
                <w:noProof/>
                <w:sz w:val="16"/>
                <w:szCs w:val="16"/>
              </w:rPr>
              <w:t xml:space="preserve">XX </w:t>
            </w:r>
            <w:r w:rsidRPr="00DF5C23">
              <w:rPr>
                <w:rFonts w:eastAsia="Calibri"/>
                <w:noProof/>
                <w:sz w:val="16"/>
                <w:szCs w:val="16"/>
              </w:rPr>
              <w:t xml:space="preserve">01 xx </w:t>
            </w:r>
            <w:r w:rsidRPr="00DF5C23">
              <w:rPr>
                <w:rFonts w:eastAsia="Calibri"/>
                <w:b/>
                <w:bCs/>
                <w:noProof/>
                <w:sz w:val="16"/>
                <w:szCs w:val="16"/>
              </w:rPr>
              <w:t xml:space="preserve">yy </w:t>
            </w:r>
            <w:r w:rsidRPr="00DF5C23">
              <w:rPr>
                <w:rFonts w:eastAsia="Calibri"/>
                <w:b/>
                <w:bCs/>
                <w:i/>
                <w:iCs/>
                <w:noProof/>
                <w:sz w:val="16"/>
                <w:szCs w:val="16"/>
              </w:rPr>
              <w:t xml:space="preserve">zz  </w:t>
            </w:r>
            <w:r w:rsidR="004C3D41" w:rsidRPr="00DF5C23">
              <w:rPr>
                <w:rStyle w:val="afa"/>
                <w:rFonts w:eastAsia="Calibri"/>
                <w:b/>
                <w:bCs/>
                <w:i/>
                <w:iCs/>
                <w:noProof/>
                <w:sz w:val="16"/>
                <w:szCs w:val="16"/>
              </w:rPr>
              <w:footnoteReference w:id="105"/>
            </w:r>
          </w:p>
          <w:p w14:paraId="2C3A5F7A" w14:textId="77777777" w:rsidR="00BF1765" w:rsidRPr="00DF5C23" w:rsidRDefault="00BF1765" w:rsidP="002041D4">
            <w:pPr>
              <w:wordWrap w:val="0"/>
              <w:spacing w:beforeLines="20" w:before="48" w:afterLines="20" w:after="48"/>
              <w:ind w:left="136"/>
              <w:jc w:val="left"/>
              <w:rPr>
                <w:rFonts w:eastAsia="Calibri"/>
                <w:b/>
                <w:noProof/>
                <w:sz w:val="16"/>
                <w:szCs w:val="16"/>
              </w:rPr>
            </w:pPr>
          </w:p>
        </w:tc>
        <w:tc>
          <w:tcPr>
            <w:tcW w:w="2378" w:type="dxa"/>
            <w:shd w:val="clear" w:color="auto" w:fill="auto"/>
            <w:vAlign w:val="center"/>
          </w:tcPr>
          <w:p w14:paraId="73DD2AE2" w14:textId="77777777" w:rsidR="0038775E" w:rsidRDefault="00877B9C" w:rsidP="002041D4">
            <w:pPr>
              <w:wordWrap w:val="0"/>
              <w:spacing w:beforeLines="20" w:before="48" w:afterLines="20" w:after="48"/>
              <w:ind w:left="136"/>
              <w:jc w:val="left"/>
              <w:rPr>
                <w:rFonts w:eastAsia="Calibri"/>
                <w:b/>
                <w:noProof/>
                <w:sz w:val="16"/>
                <w:szCs w:val="16"/>
              </w:rPr>
            </w:pPr>
            <w:r w:rsidRPr="00DF5C23">
              <w:rPr>
                <w:rFonts w:eastAsia="Calibri"/>
                <w:noProof/>
                <w:sz w:val="16"/>
              </w:rPr>
              <w:t xml:space="preserve">- </w:t>
            </w:r>
            <w:r w:rsidRPr="00DF5C23">
              <w:rPr>
                <w:rFonts w:eastAsia="Calibri"/>
                <w:noProof/>
                <w:sz w:val="16"/>
              </w:rPr>
              <w:t>本社にて</w:t>
            </w:r>
          </w:p>
          <w:p w14:paraId="2C3A5F7C" w14:textId="77777777" w:rsidR="00BF1765" w:rsidRPr="00DF5C23" w:rsidRDefault="00BF1765" w:rsidP="002041D4">
            <w:pPr>
              <w:wordWrap w:val="0"/>
              <w:spacing w:beforeLines="20" w:before="48" w:afterLines="20" w:after="48"/>
              <w:ind w:left="136"/>
              <w:jc w:val="left"/>
              <w:rPr>
                <w:rFonts w:eastAsia="Calibri"/>
                <w:b/>
                <w:noProof/>
                <w:sz w:val="16"/>
                <w:szCs w:val="16"/>
              </w:rPr>
            </w:pPr>
          </w:p>
        </w:tc>
        <w:tc>
          <w:tcPr>
            <w:tcW w:w="731" w:type="dxa"/>
            <w:shd w:val="clear" w:color="auto" w:fill="auto"/>
            <w:vAlign w:val="center"/>
          </w:tcPr>
          <w:p w14:paraId="2C3A5F7D" w14:textId="77777777" w:rsidR="00BF1765" w:rsidRPr="00DF5C23" w:rsidRDefault="00BF1765" w:rsidP="002041D4">
            <w:pPr>
              <w:wordWrap w:val="0"/>
              <w:spacing w:beforeLines="20" w:before="48" w:afterLines="20" w:after="48"/>
              <w:rPr>
                <w:rFonts w:eastAsia="Calibri"/>
                <w:noProof/>
                <w:sz w:val="16"/>
                <w:szCs w:val="16"/>
              </w:rPr>
            </w:pPr>
          </w:p>
        </w:tc>
        <w:tc>
          <w:tcPr>
            <w:tcW w:w="731" w:type="dxa"/>
            <w:shd w:val="clear" w:color="auto" w:fill="auto"/>
            <w:vAlign w:val="center"/>
          </w:tcPr>
          <w:p w14:paraId="2C3A5F7E" w14:textId="77777777" w:rsidR="00BF1765" w:rsidRPr="00DF5C23" w:rsidRDefault="00BF1765" w:rsidP="002041D4">
            <w:pPr>
              <w:wordWrap w:val="0"/>
              <w:spacing w:beforeLines="20" w:before="48" w:afterLines="20" w:after="48"/>
              <w:jc w:val="center"/>
              <w:rPr>
                <w:rFonts w:eastAsia="Calibri"/>
                <w:noProof/>
                <w:sz w:val="16"/>
                <w:szCs w:val="16"/>
              </w:rPr>
            </w:pPr>
          </w:p>
        </w:tc>
        <w:tc>
          <w:tcPr>
            <w:tcW w:w="731" w:type="dxa"/>
            <w:shd w:val="clear" w:color="auto" w:fill="auto"/>
            <w:vAlign w:val="center"/>
          </w:tcPr>
          <w:p w14:paraId="2C3A5F7F" w14:textId="77777777" w:rsidR="00BF1765" w:rsidRPr="00DF5C23" w:rsidRDefault="00BF1765" w:rsidP="002041D4">
            <w:pPr>
              <w:wordWrap w:val="0"/>
              <w:spacing w:beforeLines="20" w:before="48" w:afterLines="20" w:after="48"/>
              <w:jc w:val="center"/>
              <w:rPr>
                <w:rFonts w:eastAsia="Calibri"/>
                <w:noProof/>
                <w:sz w:val="16"/>
                <w:szCs w:val="16"/>
              </w:rPr>
            </w:pPr>
          </w:p>
        </w:tc>
        <w:tc>
          <w:tcPr>
            <w:tcW w:w="731" w:type="dxa"/>
            <w:shd w:val="clear" w:color="auto" w:fill="auto"/>
            <w:vAlign w:val="center"/>
          </w:tcPr>
          <w:p w14:paraId="2C3A5F80" w14:textId="77777777" w:rsidR="00BF1765" w:rsidRPr="00DF5C23" w:rsidRDefault="00BF1765" w:rsidP="002041D4">
            <w:pPr>
              <w:wordWrap w:val="0"/>
              <w:spacing w:beforeLines="20" w:before="48" w:afterLines="20" w:after="48"/>
              <w:jc w:val="center"/>
              <w:rPr>
                <w:rFonts w:eastAsia="Calibri"/>
                <w:noProof/>
                <w:sz w:val="16"/>
                <w:szCs w:val="16"/>
              </w:rPr>
            </w:pPr>
          </w:p>
        </w:tc>
        <w:tc>
          <w:tcPr>
            <w:tcW w:w="731" w:type="dxa"/>
            <w:shd w:val="clear" w:color="auto" w:fill="auto"/>
            <w:vAlign w:val="center"/>
          </w:tcPr>
          <w:p w14:paraId="2C3A5F81" w14:textId="77777777" w:rsidR="00BF1765" w:rsidRPr="00DF5C23" w:rsidRDefault="00BF1765" w:rsidP="002041D4">
            <w:pPr>
              <w:wordWrap w:val="0"/>
              <w:spacing w:beforeLines="20" w:before="48" w:afterLines="20" w:after="48"/>
              <w:jc w:val="center"/>
              <w:rPr>
                <w:rFonts w:eastAsia="Calibri"/>
                <w:noProof/>
                <w:sz w:val="16"/>
                <w:szCs w:val="16"/>
              </w:rPr>
            </w:pPr>
          </w:p>
        </w:tc>
        <w:tc>
          <w:tcPr>
            <w:tcW w:w="1137" w:type="dxa"/>
            <w:gridSpan w:val="2"/>
            <w:shd w:val="clear" w:color="auto" w:fill="auto"/>
            <w:vAlign w:val="center"/>
          </w:tcPr>
          <w:p w14:paraId="2C3A5F82" w14:textId="77777777" w:rsidR="00BF1765" w:rsidRPr="00DF5C23" w:rsidRDefault="00BF1765" w:rsidP="002041D4">
            <w:pPr>
              <w:wordWrap w:val="0"/>
              <w:spacing w:beforeLines="20" w:before="48" w:afterLines="20" w:after="48"/>
              <w:jc w:val="center"/>
              <w:rPr>
                <w:rFonts w:eastAsia="Calibri"/>
                <w:noProof/>
                <w:sz w:val="16"/>
                <w:szCs w:val="16"/>
              </w:rPr>
            </w:pPr>
          </w:p>
        </w:tc>
      </w:tr>
      <w:tr w:rsidR="00BF1765" w:rsidRPr="00DF5C23" w14:paraId="2C3A5F8C" w14:textId="77777777" w:rsidTr="00EC0E40">
        <w:trPr>
          <w:gridBefore w:val="1"/>
          <w:wBefore w:w="15" w:type="dxa"/>
          <w:trHeight w:val="289"/>
          <w:jc w:val="center"/>
        </w:trPr>
        <w:tc>
          <w:tcPr>
            <w:tcW w:w="2376" w:type="dxa"/>
            <w:vMerge/>
            <w:shd w:val="clear" w:color="auto" w:fill="auto"/>
            <w:vAlign w:val="center"/>
          </w:tcPr>
          <w:p w14:paraId="2C3A5F84" w14:textId="77777777" w:rsidR="00BF1765" w:rsidRPr="00DF5C23" w:rsidRDefault="00BF1765" w:rsidP="002041D4">
            <w:pPr>
              <w:wordWrap w:val="0"/>
              <w:spacing w:beforeLines="20" w:before="48" w:afterLines="20" w:after="48"/>
              <w:ind w:left="136"/>
              <w:jc w:val="left"/>
              <w:rPr>
                <w:rFonts w:eastAsia="Calibri"/>
                <w:b/>
                <w:noProof/>
                <w:sz w:val="16"/>
                <w:szCs w:val="16"/>
              </w:rPr>
            </w:pPr>
          </w:p>
        </w:tc>
        <w:tc>
          <w:tcPr>
            <w:tcW w:w="2378" w:type="dxa"/>
            <w:shd w:val="clear" w:color="auto" w:fill="auto"/>
            <w:vAlign w:val="center"/>
          </w:tcPr>
          <w:p w14:paraId="06C31A9D" w14:textId="77777777" w:rsidR="0038775E" w:rsidRDefault="00877B9C" w:rsidP="002041D4">
            <w:pPr>
              <w:wordWrap w:val="0"/>
              <w:spacing w:beforeLines="20" w:before="48" w:afterLines="20" w:after="48"/>
              <w:ind w:left="136"/>
              <w:jc w:val="left"/>
              <w:rPr>
                <w:rFonts w:eastAsia="Calibri"/>
                <w:b/>
                <w:noProof/>
                <w:sz w:val="16"/>
                <w:szCs w:val="16"/>
              </w:rPr>
            </w:pPr>
            <w:r w:rsidRPr="00DF5C23">
              <w:rPr>
                <w:rFonts w:eastAsia="Calibri"/>
                <w:noProof/>
                <w:sz w:val="16"/>
              </w:rPr>
              <w:t xml:space="preserve">- </w:t>
            </w:r>
            <w:r w:rsidRPr="00DF5C23">
              <w:rPr>
                <w:rFonts w:eastAsia="Calibri"/>
                <w:noProof/>
                <w:sz w:val="16"/>
              </w:rPr>
              <w:t>代議員会</w:t>
            </w:r>
            <w:r w:rsidRPr="00DF5C23">
              <w:rPr>
                <w:rFonts w:eastAsia="Calibri"/>
                <w:noProof/>
                <w:sz w:val="16"/>
              </w:rPr>
              <w:t xml:space="preserve"> </w:t>
            </w:r>
          </w:p>
        </w:tc>
        <w:tc>
          <w:tcPr>
            <w:tcW w:w="731" w:type="dxa"/>
            <w:shd w:val="clear" w:color="auto" w:fill="auto"/>
            <w:vAlign w:val="center"/>
          </w:tcPr>
          <w:p w14:paraId="2C3A5F86" w14:textId="77777777" w:rsidR="00BF1765" w:rsidRPr="00DF5C23" w:rsidRDefault="00BF1765" w:rsidP="002041D4">
            <w:pPr>
              <w:wordWrap w:val="0"/>
              <w:spacing w:beforeLines="20" w:before="48" w:afterLines="20" w:after="48"/>
              <w:rPr>
                <w:rFonts w:eastAsia="Calibri"/>
                <w:noProof/>
                <w:sz w:val="16"/>
                <w:szCs w:val="16"/>
              </w:rPr>
            </w:pPr>
          </w:p>
        </w:tc>
        <w:tc>
          <w:tcPr>
            <w:tcW w:w="731" w:type="dxa"/>
            <w:shd w:val="clear" w:color="auto" w:fill="auto"/>
            <w:vAlign w:val="center"/>
          </w:tcPr>
          <w:p w14:paraId="2C3A5F87" w14:textId="77777777" w:rsidR="00BF1765" w:rsidRPr="00DF5C23" w:rsidRDefault="00BF1765" w:rsidP="002041D4">
            <w:pPr>
              <w:wordWrap w:val="0"/>
              <w:spacing w:beforeLines="20" w:before="48" w:afterLines="20" w:after="48"/>
              <w:jc w:val="center"/>
              <w:rPr>
                <w:rFonts w:eastAsia="Calibri"/>
                <w:noProof/>
                <w:sz w:val="16"/>
                <w:szCs w:val="16"/>
              </w:rPr>
            </w:pPr>
          </w:p>
        </w:tc>
        <w:tc>
          <w:tcPr>
            <w:tcW w:w="731" w:type="dxa"/>
            <w:shd w:val="clear" w:color="auto" w:fill="auto"/>
            <w:vAlign w:val="center"/>
          </w:tcPr>
          <w:p w14:paraId="2C3A5F88" w14:textId="77777777" w:rsidR="00BF1765" w:rsidRPr="00DF5C23" w:rsidRDefault="00BF1765" w:rsidP="002041D4">
            <w:pPr>
              <w:wordWrap w:val="0"/>
              <w:spacing w:beforeLines="20" w:before="48" w:afterLines="20" w:after="48"/>
              <w:jc w:val="center"/>
              <w:rPr>
                <w:rFonts w:eastAsia="Calibri"/>
                <w:noProof/>
                <w:sz w:val="16"/>
                <w:szCs w:val="16"/>
              </w:rPr>
            </w:pPr>
          </w:p>
        </w:tc>
        <w:tc>
          <w:tcPr>
            <w:tcW w:w="731" w:type="dxa"/>
            <w:shd w:val="clear" w:color="auto" w:fill="auto"/>
            <w:vAlign w:val="center"/>
          </w:tcPr>
          <w:p w14:paraId="2C3A5F89" w14:textId="77777777" w:rsidR="00BF1765" w:rsidRPr="00DF5C23" w:rsidRDefault="00BF1765" w:rsidP="002041D4">
            <w:pPr>
              <w:wordWrap w:val="0"/>
              <w:spacing w:beforeLines="20" w:before="48" w:afterLines="20" w:after="48"/>
              <w:jc w:val="center"/>
              <w:rPr>
                <w:rFonts w:eastAsia="Calibri"/>
                <w:noProof/>
                <w:sz w:val="16"/>
                <w:szCs w:val="16"/>
              </w:rPr>
            </w:pPr>
          </w:p>
        </w:tc>
        <w:tc>
          <w:tcPr>
            <w:tcW w:w="731" w:type="dxa"/>
            <w:shd w:val="clear" w:color="auto" w:fill="auto"/>
            <w:vAlign w:val="center"/>
          </w:tcPr>
          <w:p w14:paraId="2C3A5F8A" w14:textId="77777777" w:rsidR="00BF1765" w:rsidRPr="00DF5C23" w:rsidRDefault="00BF1765" w:rsidP="002041D4">
            <w:pPr>
              <w:wordWrap w:val="0"/>
              <w:spacing w:beforeLines="20" w:before="48" w:afterLines="20" w:after="48"/>
              <w:jc w:val="center"/>
              <w:rPr>
                <w:rFonts w:eastAsia="Calibri"/>
                <w:noProof/>
                <w:sz w:val="16"/>
                <w:szCs w:val="16"/>
              </w:rPr>
            </w:pPr>
          </w:p>
        </w:tc>
        <w:tc>
          <w:tcPr>
            <w:tcW w:w="1137" w:type="dxa"/>
            <w:gridSpan w:val="2"/>
            <w:shd w:val="clear" w:color="auto" w:fill="auto"/>
            <w:vAlign w:val="center"/>
          </w:tcPr>
          <w:p w14:paraId="2C3A5F8B" w14:textId="77777777" w:rsidR="00BF1765" w:rsidRPr="00DF5C23" w:rsidRDefault="00BF1765" w:rsidP="002041D4">
            <w:pPr>
              <w:wordWrap w:val="0"/>
              <w:spacing w:beforeLines="20" w:before="48" w:afterLines="20" w:after="48"/>
              <w:jc w:val="center"/>
              <w:rPr>
                <w:rFonts w:eastAsia="Calibri"/>
                <w:noProof/>
                <w:sz w:val="16"/>
                <w:szCs w:val="16"/>
              </w:rPr>
            </w:pPr>
          </w:p>
        </w:tc>
      </w:tr>
      <w:tr w:rsidR="00BF1765" w:rsidRPr="00DF5C23" w14:paraId="2C3A5F94" w14:textId="77777777" w:rsidTr="00401706">
        <w:trPr>
          <w:gridBefore w:val="1"/>
          <w:gridAfter w:val="1"/>
          <w:wBefore w:w="15" w:type="dxa"/>
          <w:wAfter w:w="82" w:type="dxa"/>
          <w:trHeight w:val="289"/>
          <w:jc w:val="center"/>
        </w:trPr>
        <w:tc>
          <w:tcPr>
            <w:tcW w:w="4754" w:type="dxa"/>
            <w:gridSpan w:val="2"/>
            <w:shd w:val="clear" w:color="auto" w:fill="auto"/>
            <w:vAlign w:val="center"/>
          </w:tcPr>
          <w:p w14:paraId="05E0ABEA" w14:textId="77777777" w:rsidR="0038775E" w:rsidRDefault="00877B9C" w:rsidP="002041D4">
            <w:pPr>
              <w:wordWrap w:val="0"/>
              <w:spacing w:beforeLines="20" w:before="48" w:afterLines="20" w:after="48"/>
              <w:ind w:left="136"/>
              <w:jc w:val="left"/>
              <w:rPr>
                <w:rFonts w:eastAsia="Calibri"/>
                <w:noProof/>
                <w:sz w:val="16"/>
                <w:szCs w:val="16"/>
              </w:rPr>
            </w:pPr>
            <w:r w:rsidRPr="00DF5C23">
              <w:rPr>
                <w:rFonts w:eastAsia="Calibri"/>
                <w:noProof/>
                <w:sz w:val="16"/>
              </w:rPr>
              <w:t>01 01 01 02</w:t>
            </w:r>
            <w:r w:rsidRPr="00DF5C23">
              <w:rPr>
                <w:rFonts w:eastAsia="Calibri"/>
                <w:noProof/>
                <w:sz w:val="16"/>
                <w:szCs w:val="16"/>
              </w:rPr>
              <w:t>（</w:t>
            </w:r>
            <w:r w:rsidRPr="00DF5C23">
              <w:rPr>
                <w:rFonts w:eastAsia="Calibri"/>
                <w:noProof/>
                <w:sz w:val="16"/>
                <w:szCs w:val="16"/>
              </w:rPr>
              <w:t>AC</w:t>
            </w:r>
            <w:r w:rsidRPr="00DF5C23">
              <w:rPr>
                <w:rFonts w:eastAsia="Calibri"/>
                <w:noProof/>
                <w:sz w:val="16"/>
                <w:szCs w:val="16"/>
              </w:rPr>
              <w:t>、</w:t>
            </w:r>
            <w:r w:rsidRPr="00DF5C23">
              <w:rPr>
                <w:rFonts w:eastAsia="Calibri"/>
                <w:noProof/>
                <w:sz w:val="16"/>
                <w:szCs w:val="16"/>
              </w:rPr>
              <w:t>END</w:t>
            </w:r>
            <w:r w:rsidRPr="00DF5C23">
              <w:rPr>
                <w:rFonts w:eastAsia="Calibri"/>
                <w:noProof/>
                <w:sz w:val="16"/>
                <w:szCs w:val="16"/>
              </w:rPr>
              <w:t>、</w:t>
            </w:r>
            <w:r w:rsidRPr="00DF5C23">
              <w:rPr>
                <w:rFonts w:eastAsia="Calibri"/>
                <w:noProof/>
                <w:sz w:val="16"/>
                <w:szCs w:val="16"/>
              </w:rPr>
              <w:t>INT-</w:t>
            </w:r>
            <w:r w:rsidRPr="00DF5C23">
              <w:rPr>
                <w:rFonts w:eastAsia="Calibri"/>
                <w:noProof/>
                <w:sz w:val="16"/>
                <w:szCs w:val="16"/>
              </w:rPr>
              <w:t>間接研究）。</w:t>
            </w:r>
          </w:p>
        </w:tc>
        <w:tc>
          <w:tcPr>
            <w:tcW w:w="731" w:type="dxa"/>
            <w:shd w:val="clear" w:color="auto" w:fill="auto"/>
            <w:vAlign w:val="center"/>
          </w:tcPr>
          <w:p w14:paraId="2C3A5F8E" w14:textId="77777777" w:rsidR="00BF1765" w:rsidRPr="00DF5C23" w:rsidRDefault="00BF1765" w:rsidP="002041D4">
            <w:pPr>
              <w:wordWrap w:val="0"/>
              <w:spacing w:beforeLines="20" w:before="48" w:afterLines="20" w:after="48"/>
              <w:jc w:val="center"/>
              <w:rPr>
                <w:rFonts w:eastAsia="Calibri"/>
                <w:noProof/>
                <w:sz w:val="16"/>
                <w:szCs w:val="16"/>
              </w:rPr>
            </w:pPr>
          </w:p>
        </w:tc>
        <w:tc>
          <w:tcPr>
            <w:tcW w:w="731" w:type="dxa"/>
            <w:shd w:val="clear" w:color="auto" w:fill="auto"/>
            <w:vAlign w:val="center"/>
          </w:tcPr>
          <w:p w14:paraId="2C3A5F8F" w14:textId="77777777" w:rsidR="00BF1765" w:rsidRPr="00DF5C23" w:rsidRDefault="00BF1765" w:rsidP="002041D4">
            <w:pPr>
              <w:wordWrap w:val="0"/>
              <w:spacing w:beforeLines="20" w:before="48" w:afterLines="20" w:after="48"/>
              <w:jc w:val="center"/>
              <w:rPr>
                <w:rFonts w:eastAsia="Calibri"/>
                <w:noProof/>
                <w:sz w:val="16"/>
                <w:szCs w:val="16"/>
              </w:rPr>
            </w:pPr>
          </w:p>
        </w:tc>
        <w:tc>
          <w:tcPr>
            <w:tcW w:w="731" w:type="dxa"/>
            <w:shd w:val="clear" w:color="auto" w:fill="auto"/>
            <w:vAlign w:val="center"/>
          </w:tcPr>
          <w:p w14:paraId="2C3A5F90" w14:textId="77777777" w:rsidR="00BF1765" w:rsidRPr="00DF5C23" w:rsidRDefault="00BF1765" w:rsidP="002041D4">
            <w:pPr>
              <w:wordWrap w:val="0"/>
              <w:spacing w:beforeLines="20" w:before="48" w:afterLines="20" w:after="48"/>
              <w:jc w:val="center"/>
              <w:rPr>
                <w:rFonts w:eastAsia="Calibri"/>
                <w:noProof/>
                <w:sz w:val="16"/>
                <w:szCs w:val="16"/>
              </w:rPr>
            </w:pPr>
          </w:p>
        </w:tc>
        <w:tc>
          <w:tcPr>
            <w:tcW w:w="731" w:type="dxa"/>
            <w:shd w:val="clear" w:color="auto" w:fill="auto"/>
            <w:vAlign w:val="center"/>
          </w:tcPr>
          <w:p w14:paraId="2C3A5F91" w14:textId="77777777" w:rsidR="00BF1765" w:rsidRPr="00DF5C23" w:rsidRDefault="00BF1765" w:rsidP="002041D4">
            <w:pPr>
              <w:wordWrap w:val="0"/>
              <w:spacing w:beforeLines="20" w:before="48" w:afterLines="20" w:after="48"/>
              <w:jc w:val="center"/>
              <w:rPr>
                <w:rFonts w:eastAsia="Calibri"/>
                <w:noProof/>
                <w:sz w:val="16"/>
                <w:szCs w:val="16"/>
              </w:rPr>
            </w:pPr>
          </w:p>
        </w:tc>
        <w:tc>
          <w:tcPr>
            <w:tcW w:w="731" w:type="dxa"/>
            <w:shd w:val="clear" w:color="auto" w:fill="auto"/>
            <w:vAlign w:val="center"/>
          </w:tcPr>
          <w:p w14:paraId="2C3A5F92" w14:textId="77777777" w:rsidR="00BF1765" w:rsidRPr="00DF5C23" w:rsidRDefault="00BF1765" w:rsidP="002041D4">
            <w:pPr>
              <w:wordWrap w:val="0"/>
              <w:spacing w:beforeLines="20" w:before="48" w:afterLines="20" w:after="48"/>
              <w:jc w:val="center"/>
              <w:rPr>
                <w:rFonts w:eastAsia="Calibri"/>
                <w:noProof/>
                <w:sz w:val="16"/>
                <w:szCs w:val="16"/>
              </w:rPr>
            </w:pPr>
          </w:p>
        </w:tc>
        <w:tc>
          <w:tcPr>
            <w:tcW w:w="1055" w:type="dxa"/>
            <w:shd w:val="clear" w:color="auto" w:fill="auto"/>
            <w:vAlign w:val="center"/>
          </w:tcPr>
          <w:p w14:paraId="2C3A5F93" w14:textId="77777777" w:rsidR="00BF1765" w:rsidRPr="00DF5C23" w:rsidRDefault="00BF1765" w:rsidP="002041D4">
            <w:pPr>
              <w:wordWrap w:val="0"/>
              <w:spacing w:beforeLines="20" w:before="48" w:afterLines="20" w:after="48"/>
              <w:jc w:val="center"/>
              <w:rPr>
                <w:rFonts w:eastAsia="Calibri"/>
                <w:noProof/>
                <w:sz w:val="16"/>
                <w:szCs w:val="16"/>
              </w:rPr>
            </w:pPr>
          </w:p>
        </w:tc>
      </w:tr>
      <w:tr w:rsidR="00BF1765" w:rsidRPr="00DF5C23" w14:paraId="2C3A5F9C" w14:textId="77777777" w:rsidTr="00401706">
        <w:trPr>
          <w:gridBefore w:val="1"/>
          <w:gridAfter w:val="1"/>
          <w:wBefore w:w="15" w:type="dxa"/>
          <w:wAfter w:w="82" w:type="dxa"/>
          <w:trHeight w:val="289"/>
          <w:jc w:val="center"/>
        </w:trPr>
        <w:tc>
          <w:tcPr>
            <w:tcW w:w="4754" w:type="dxa"/>
            <w:gridSpan w:val="2"/>
            <w:shd w:val="clear" w:color="auto" w:fill="auto"/>
            <w:vAlign w:val="center"/>
          </w:tcPr>
          <w:p w14:paraId="172FF04D" w14:textId="77777777" w:rsidR="0038775E" w:rsidRDefault="00877B9C" w:rsidP="002041D4">
            <w:pPr>
              <w:wordWrap w:val="0"/>
              <w:spacing w:beforeLines="20" w:before="48" w:afterLines="20" w:after="48"/>
              <w:ind w:left="136"/>
              <w:jc w:val="left"/>
              <w:rPr>
                <w:rFonts w:eastAsia="Calibri"/>
                <w:noProof/>
                <w:color w:val="FF0000"/>
                <w:sz w:val="16"/>
                <w:szCs w:val="16"/>
              </w:rPr>
            </w:pPr>
            <w:r w:rsidRPr="00DF5C23">
              <w:rPr>
                <w:rFonts w:eastAsia="Calibri"/>
                <w:noProof/>
                <w:sz w:val="16"/>
              </w:rPr>
              <w:t xml:space="preserve"> 01 01 01 12 (AC, END, INT - </w:t>
            </w:r>
            <w:r w:rsidRPr="00DF5C23">
              <w:rPr>
                <w:rFonts w:eastAsia="Calibri"/>
                <w:noProof/>
                <w:sz w:val="16"/>
              </w:rPr>
              <w:t>直接研究</w:t>
            </w:r>
            <w:r w:rsidRPr="00DF5C23">
              <w:rPr>
                <w:rFonts w:eastAsia="Calibri"/>
                <w:noProof/>
                <w:sz w:val="16"/>
              </w:rPr>
              <w:t>)</w:t>
            </w:r>
          </w:p>
        </w:tc>
        <w:tc>
          <w:tcPr>
            <w:tcW w:w="731" w:type="dxa"/>
            <w:shd w:val="clear" w:color="auto" w:fill="auto"/>
            <w:vAlign w:val="center"/>
          </w:tcPr>
          <w:p w14:paraId="2C3A5F96" w14:textId="77777777" w:rsidR="00BF1765" w:rsidRPr="00DF5C23" w:rsidRDefault="00BF1765" w:rsidP="002041D4">
            <w:pPr>
              <w:wordWrap w:val="0"/>
              <w:spacing w:beforeLines="20" w:before="48" w:afterLines="20" w:after="48"/>
              <w:jc w:val="center"/>
              <w:rPr>
                <w:rFonts w:eastAsia="Calibri"/>
                <w:noProof/>
                <w:sz w:val="16"/>
                <w:szCs w:val="16"/>
              </w:rPr>
            </w:pPr>
          </w:p>
        </w:tc>
        <w:tc>
          <w:tcPr>
            <w:tcW w:w="731" w:type="dxa"/>
            <w:shd w:val="clear" w:color="auto" w:fill="auto"/>
            <w:vAlign w:val="center"/>
          </w:tcPr>
          <w:p w14:paraId="2C3A5F97" w14:textId="77777777" w:rsidR="00BF1765" w:rsidRPr="00DF5C23" w:rsidRDefault="00BF1765" w:rsidP="002041D4">
            <w:pPr>
              <w:wordWrap w:val="0"/>
              <w:spacing w:beforeLines="20" w:before="48" w:afterLines="20" w:after="48"/>
              <w:jc w:val="center"/>
              <w:rPr>
                <w:rFonts w:eastAsia="Calibri"/>
                <w:noProof/>
                <w:sz w:val="16"/>
                <w:szCs w:val="16"/>
              </w:rPr>
            </w:pPr>
          </w:p>
        </w:tc>
        <w:tc>
          <w:tcPr>
            <w:tcW w:w="731" w:type="dxa"/>
            <w:shd w:val="clear" w:color="auto" w:fill="auto"/>
            <w:vAlign w:val="center"/>
          </w:tcPr>
          <w:p w14:paraId="2C3A5F98" w14:textId="77777777" w:rsidR="00BF1765" w:rsidRPr="00DF5C23" w:rsidRDefault="00BF1765" w:rsidP="002041D4">
            <w:pPr>
              <w:wordWrap w:val="0"/>
              <w:spacing w:beforeLines="20" w:before="48" w:afterLines="20" w:after="48"/>
              <w:jc w:val="center"/>
              <w:rPr>
                <w:rFonts w:eastAsia="Calibri"/>
                <w:noProof/>
                <w:sz w:val="16"/>
                <w:szCs w:val="16"/>
              </w:rPr>
            </w:pPr>
          </w:p>
        </w:tc>
        <w:tc>
          <w:tcPr>
            <w:tcW w:w="731" w:type="dxa"/>
            <w:shd w:val="clear" w:color="auto" w:fill="auto"/>
            <w:vAlign w:val="center"/>
          </w:tcPr>
          <w:p w14:paraId="2C3A5F99" w14:textId="77777777" w:rsidR="00BF1765" w:rsidRPr="00DF5C23" w:rsidRDefault="00BF1765" w:rsidP="002041D4">
            <w:pPr>
              <w:wordWrap w:val="0"/>
              <w:spacing w:beforeLines="20" w:before="48" w:afterLines="20" w:after="48"/>
              <w:jc w:val="center"/>
              <w:rPr>
                <w:rFonts w:eastAsia="Calibri"/>
                <w:noProof/>
                <w:sz w:val="16"/>
                <w:szCs w:val="16"/>
              </w:rPr>
            </w:pPr>
          </w:p>
        </w:tc>
        <w:tc>
          <w:tcPr>
            <w:tcW w:w="731" w:type="dxa"/>
            <w:shd w:val="clear" w:color="auto" w:fill="auto"/>
            <w:vAlign w:val="center"/>
          </w:tcPr>
          <w:p w14:paraId="2C3A5F9A" w14:textId="77777777" w:rsidR="00BF1765" w:rsidRPr="00DF5C23" w:rsidRDefault="00BF1765" w:rsidP="002041D4">
            <w:pPr>
              <w:wordWrap w:val="0"/>
              <w:spacing w:beforeLines="20" w:before="48" w:afterLines="20" w:after="48"/>
              <w:jc w:val="center"/>
              <w:rPr>
                <w:rFonts w:eastAsia="Calibri"/>
                <w:noProof/>
                <w:sz w:val="16"/>
                <w:szCs w:val="16"/>
              </w:rPr>
            </w:pPr>
          </w:p>
        </w:tc>
        <w:tc>
          <w:tcPr>
            <w:tcW w:w="1055" w:type="dxa"/>
            <w:shd w:val="clear" w:color="auto" w:fill="auto"/>
            <w:vAlign w:val="center"/>
          </w:tcPr>
          <w:p w14:paraId="2C3A5F9B" w14:textId="77777777" w:rsidR="00BF1765" w:rsidRPr="00DF5C23" w:rsidRDefault="00BF1765" w:rsidP="002041D4">
            <w:pPr>
              <w:wordWrap w:val="0"/>
              <w:spacing w:beforeLines="20" w:before="48" w:afterLines="20" w:after="48"/>
              <w:jc w:val="center"/>
              <w:rPr>
                <w:rFonts w:eastAsia="Calibri"/>
                <w:noProof/>
                <w:sz w:val="16"/>
                <w:szCs w:val="16"/>
              </w:rPr>
            </w:pPr>
          </w:p>
        </w:tc>
      </w:tr>
      <w:tr w:rsidR="00BF1765" w:rsidRPr="00DF5C23" w14:paraId="2C3A5FA4" w14:textId="77777777" w:rsidTr="00401706">
        <w:trPr>
          <w:gridBefore w:val="1"/>
          <w:gridAfter w:val="1"/>
          <w:wBefore w:w="15" w:type="dxa"/>
          <w:wAfter w:w="82" w:type="dxa"/>
          <w:trHeight w:val="289"/>
          <w:jc w:val="center"/>
        </w:trPr>
        <w:tc>
          <w:tcPr>
            <w:tcW w:w="4754" w:type="dxa"/>
            <w:gridSpan w:val="2"/>
            <w:shd w:val="clear" w:color="auto" w:fill="auto"/>
            <w:vAlign w:val="center"/>
          </w:tcPr>
          <w:p w14:paraId="2522679B" w14:textId="77777777" w:rsidR="0038775E" w:rsidRDefault="00877B9C" w:rsidP="002041D4">
            <w:pPr>
              <w:wordWrap w:val="0"/>
              <w:spacing w:beforeLines="20" w:before="48" w:afterLines="20" w:after="48"/>
              <w:ind w:left="136"/>
              <w:jc w:val="left"/>
              <w:rPr>
                <w:rFonts w:eastAsia="Calibri"/>
                <w:noProof/>
                <w:sz w:val="16"/>
                <w:lang w:eastAsia="ja-JP"/>
              </w:rPr>
            </w:pPr>
            <w:r w:rsidRPr="00DF5C23">
              <w:rPr>
                <w:rFonts w:eastAsia="Calibri"/>
                <w:noProof/>
                <w:sz w:val="16"/>
                <w:lang w:eastAsia="ja-JP"/>
              </w:rPr>
              <w:t>その他の予算枠（具体的に）</w:t>
            </w:r>
          </w:p>
        </w:tc>
        <w:tc>
          <w:tcPr>
            <w:tcW w:w="731" w:type="dxa"/>
            <w:shd w:val="clear" w:color="auto" w:fill="auto"/>
            <w:vAlign w:val="center"/>
          </w:tcPr>
          <w:p w14:paraId="2C3A5F9E" w14:textId="77777777" w:rsidR="00BF1765" w:rsidRPr="00DF5C23" w:rsidRDefault="00BF1765" w:rsidP="002041D4">
            <w:pPr>
              <w:wordWrap w:val="0"/>
              <w:spacing w:beforeLines="20" w:before="48" w:afterLines="20" w:after="48"/>
              <w:jc w:val="center"/>
              <w:rPr>
                <w:rFonts w:eastAsia="Calibri"/>
                <w:noProof/>
                <w:sz w:val="16"/>
                <w:szCs w:val="16"/>
                <w:lang w:eastAsia="ja-JP"/>
              </w:rPr>
            </w:pPr>
          </w:p>
        </w:tc>
        <w:tc>
          <w:tcPr>
            <w:tcW w:w="731" w:type="dxa"/>
            <w:shd w:val="clear" w:color="auto" w:fill="auto"/>
            <w:vAlign w:val="center"/>
          </w:tcPr>
          <w:p w14:paraId="2C3A5F9F" w14:textId="77777777" w:rsidR="00BF1765" w:rsidRPr="00DF5C23" w:rsidRDefault="00BF1765" w:rsidP="002041D4">
            <w:pPr>
              <w:wordWrap w:val="0"/>
              <w:spacing w:beforeLines="20" w:before="48" w:afterLines="20" w:after="48"/>
              <w:jc w:val="center"/>
              <w:rPr>
                <w:rFonts w:eastAsia="Calibri"/>
                <w:noProof/>
                <w:sz w:val="16"/>
                <w:szCs w:val="16"/>
                <w:lang w:eastAsia="ja-JP"/>
              </w:rPr>
            </w:pPr>
          </w:p>
        </w:tc>
        <w:tc>
          <w:tcPr>
            <w:tcW w:w="731" w:type="dxa"/>
            <w:shd w:val="clear" w:color="auto" w:fill="auto"/>
            <w:vAlign w:val="center"/>
          </w:tcPr>
          <w:p w14:paraId="2C3A5FA0" w14:textId="77777777" w:rsidR="00BF1765" w:rsidRPr="00DF5C23" w:rsidRDefault="00BF1765" w:rsidP="002041D4">
            <w:pPr>
              <w:wordWrap w:val="0"/>
              <w:spacing w:beforeLines="20" w:before="48" w:afterLines="20" w:after="48"/>
              <w:jc w:val="center"/>
              <w:rPr>
                <w:rFonts w:eastAsia="Calibri"/>
                <w:noProof/>
                <w:sz w:val="16"/>
                <w:szCs w:val="16"/>
                <w:lang w:eastAsia="ja-JP"/>
              </w:rPr>
            </w:pPr>
          </w:p>
        </w:tc>
        <w:tc>
          <w:tcPr>
            <w:tcW w:w="731" w:type="dxa"/>
            <w:shd w:val="clear" w:color="auto" w:fill="auto"/>
            <w:vAlign w:val="center"/>
          </w:tcPr>
          <w:p w14:paraId="2C3A5FA1" w14:textId="77777777" w:rsidR="00BF1765" w:rsidRPr="00DF5C23" w:rsidRDefault="00BF1765" w:rsidP="002041D4">
            <w:pPr>
              <w:wordWrap w:val="0"/>
              <w:spacing w:beforeLines="20" w:before="48" w:afterLines="20" w:after="48"/>
              <w:jc w:val="center"/>
              <w:rPr>
                <w:rFonts w:eastAsia="Calibri"/>
                <w:noProof/>
                <w:sz w:val="16"/>
                <w:szCs w:val="16"/>
                <w:lang w:eastAsia="ja-JP"/>
              </w:rPr>
            </w:pPr>
          </w:p>
        </w:tc>
        <w:tc>
          <w:tcPr>
            <w:tcW w:w="731" w:type="dxa"/>
            <w:shd w:val="clear" w:color="auto" w:fill="auto"/>
            <w:vAlign w:val="center"/>
          </w:tcPr>
          <w:p w14:paraId="2C3A5FA2" w14:textId="77777777" w:rsidR="00BF1765" w:rsidRPr="00DF5C23" w:rsidRDefault="00BF1765" w:rsidP="002041D4">
            <w:pPr>
              <w:wordWrap w:val="0"/>
              <w:spacing w:beforeLines="20" w:before="48" w:afterLines="20" w:after="48"/>
              <w:jc w:val="center"/>
              <w:rPr>
                <w:rFonts w:eastAsia="Calibri"/>
                <w:noProof/>
                <w:sz w:val="16"/>
                <w:szCs w:val="16"/>
                <w:lang w:eastAsia="ja-JP"/>
              </w:rPr>
            </w:pPr>
          </w:p>
        </w:tc>
        <w:tc>
          <w:tcPr>
            <w:tcW w:w="1055" w:type="dxa"/>
            <w:shd w:val="clear" w:color="auto" w:fill="auto"/>
            <w:vAlign w:val="center"/>
          </w:tcPr>
          <w:p w14:paraId="2C3A5FA3" w14:textId="77777777" w:rsidR="00BF1765" w:rsidRPr="00DF5C23" w:rsidRDefault="00BF1765" w:rsidP="002041D4">
            <w:pPr>
              <w:wordWrap w:val="0"/>
              <w:spacing w:beforeLines="20" w:before="48" w:afterLines="20" w:after="48"/>
              <w:jc w:val="center"/>
              <w:rPr>
                <w:rFonts w:eastAsia="Calibri"/>
                <w:noProof/>
                <w:sz w:val="16"/>
                <w:szCs w:val="16"/>
                <w:lang w:eastAsia="ja-JP"/>
              </w:rPr>
            </w:pPr>
          </w:p>
        </w:tc>
      </w:tr>
      <w:tr w:rsidR="005C61BF" w:rsidRPr="00DF5C23" w14:paraId="2C3A5FAC" w14:textId="77777777" w:rsidTr="00401706">
        <w:trPr>
          <w:gridBefore w:val="1"/>
          <w:gridAfter w:val="1"/>
          <w:wBefore w:w="15" w:type="dxa"/>
          <w:wAfter w:w="82" w:type="dxa"/>
          <w:trHeight w:val="289"/>
          <w:jc w:val="center"/>
        </w:trPr>
        <w:tc>
          <w:tcPr>
            <w:tcW w:w="4754" w:type="dxa"/>
            <w:gridSpan w:val="2"/>
            <w:tcBorders>
              <w:top w:val="double" w:sz="4" w:space="0" w:color="auto"/>
            </w:tcBorders>
            <w:shd w:val="clear" w:color="auto" w:fill="auto"/>
            <w:vAlign w:val="center"/>
          </w:tcPr>
          <w:p w14:paraId="33ED708A" w14:textId="77777777" w:rsidR="0038775E" w:rsidRDefault="00877B9C" w:rsidP="002041D4">
            <w:pPr>
              <w:wordWrap w:val="0"/>
              <w:spacing w:beforeLines="20" w:before="48" w:afterLines="20" w:after="48"/>
              <w:ind w:left="136"/>
              <w:jc w:val="left"/>
              <w:rPr>
                <w:rFonts w:eastAsia="Calibri"/>
                <w:noProof/>
                <w:sz w:val="16"/>
                <w:szCs w:val="16"/>
              </w:rPr>
            </w:pPr>
            <w:r w:rsidRPr="00DF5C23">
              <w:rPr>
                <w:rFonts w:eastAsia="Calibri"/>
                <w:b/>
                <w:noProof/>
                <w:sz w:val="16"/>
              </w:rPr>
              <w:t>TOTAL</w:t>
            </w:r>
          </w:p>
        </w:tc>
        <w:tc>
          <w:tcPr>
            <w:tcW w:w="731" w:type="dxa"/>
            <w:tcBorders>
              <w:top w:val="double" w:sz="4" w:space="0" w:color="auto"/>
            </w:tcBorders>
            <w:shd w:val="clear" w:color="auto" w:fill="auto"/>
            <w:vAlign w:val="bottom"/>
          </w:tcPr>
          <w:p w14:paraId="37031FB2" w14:textId="77777777" w:rsidR="0038775E" w:rsidRDefault="00877B9C" w:rsidP="002041D4">
            <w:pPr>
              <w:wordWrap w:val="0"/>
              <w:spacing w:beforeLines="20" w:before="48" w:afterLines="20" w:after="48"/>
              <w:jc w:val="center"/>
              <w:rPr>
                <w:rFonts w:eastAsia="Calibri"/>
                <w:b/>
                <w:noProof/>
                <w:sz w:val="16"/>
                <w:szCs w:val="16"/>
              </w:rPr>
            </w:pPr>
            <w:r w:rsidRPr="00DF5C23">
              <w:rPr>
                <w:rFonts w:ascii="Calibri" w:hAnsi="Calibri" w:cs="Calibri"/>
                <w:noProof/>
                <w:color w:val="000000"/>
                <w:sz w:val="22"/>
              </w:rPr>
              <w:t>14</w:t>
            </w:r>
          </w:p>
        </w:tc>
        <w:tc>
          <w:tcPr>
            <w:tcW w:w="731" w:type="dxa"/>
            <w:tcBorders>
              <w:top w:val="double" w:sz="4" w:space="0" w:color="auto"/>
            </w:tcBorders>
            <w:shd w:val="clear" w:color="auto" w:fill="auto"/>
            <w:vAlign w:val="bottom"/>
          </w:tcPr>
          <w:p w14:paraId="0DE3C709" w14:textId="77777777" w:rsidR="0038775E" w:rsidRDefault="00877B9C" w:rsidP="002041D4">
            <w:pPr>
              <w:wordWrap w:val="0"/>
              <w:spacing w:beforeLines="20" w:before="48" w:afterLines="20" w:after="48"/>
              <w:jc w:val="center"/>
              <w:rPr>
                <w:rFonts w:eastAsia="Calibri"/>
                <w:b/>
                <w:noProof/>
                <w:sz w:val="16"/>
                <w:szCs w:val="16"/>
              </w:rPr>
            </w:pPr>
            <w:r w:rsidRPr="00DF5C23">
              <w:rPr>
                <w:rFonts w:ascii="Calibri" w:hAnsi="Calibri" w:cs="Calibri"/>
                <w:noProof/>
                <w:color w:val="000000"/>
                <w:sz w:val="22"/>
              </w:rPr>
              <w:t>44,0</w:t>
            </w:r>
          </w:p>
        </w:tc>
        <w:tc>
          <w:tcPr>
            <w:tcW w:w="731" w:type="dxa"/>
            <w:tcBorders>
              <w:top w:val="double" w:sz="4" w:space="0" w:color="auto"/>
            </w:tcBorders>
            <w:shd w:val="clear" w:color="auto" w:fill="auto"/>
            <w:vAlign w:val="bottom"/>
          </w:tcPr>
          <w:p w14:paraId="76574FCD" w14:textId="77777777" w:rsidR="0038775E" w:rsidRDefault="00877B9C" w:rsidP="002041D4">
            <w:pPr>
              <w:wordWrap w:val="0"/>
              <w:spacing w:beforeLines="20" w:before="48" w:afterLines="20" w:after="48"/>
              <w:jc w:val="center"/>
              <w:rPr>
                <w:rFonts w:eastAsia="Calibri"/>
                <w:b/>
                <w:noProof/>
                <w:sz w:val="16"/>
                <w:szCs w:val="16"/>
              </w:rPr>
            </w:pPr>
            <w:r w:rsidRPr="00DF5C23">
              <w:rPr>
                <w:rFonts w:ascii="Calibri" w:hAnsi="Calibri" w:cs="Calibri"/>
                <w:noProof/>
                <w:color w:val="000000"/>
                <w:sz w:val="22"/>
              </w:rPr>
              <w:t>51,0</w:t>
            </w:r>
          </w:p>
        </w:tc>
        <w:tc>
          <w:tcPr>
            <w:tcW w:w="731" w:type="dxa"/>
            <w:tcBorders>
              <w:top w:val="double" w:sz="4" w:space="0" w:color="auto"/>
            </w:tcBorders>
            <w:shd w:val="clear" w:color="auto" w:fill="auto"/>
            <w:vAlign w:val="bottom"/>
          </w:tcPr>
          <w:p w14:paraId="0E9D59C5" w14:textId="77777777" w:rsidR="0038775E" w:rsidRDefault="00877B9C" w:rsidP="002041D4">
            <w:pPr>
              <w:wordWrap w:val="0"/>
              <w:spacing w:beforeLines="20" w:before="48" w:afterLines="20" w:after="48"/>
              <w:jc w:val="center"/>
              <w:rPr>
                <w:rFonts w:eastAsia="Calibri"/>
                <w:b/>
                <w:noProof/>
                <w:sz w:val="16"/>
                <w:szCs w:val="16"/>
              </w:rPr>
            </w:pPr>
            <w:r w:rsidRPr="00DF5C23">
              <w:rPr>
                <w:rFonts w:ascii="Calibri" w:hAnsi="Calibri" w:cs="Calibri"/>
                <w:noProof/>
                <w:color w:val="000000"/>
                <w:sz w:val="22"/>
              </w:rPr>
              <w:t>51,0</w:t>
            </w:r>
          </w:p>
        </w:tc>
        <w:tc>
          <w:tcPr>
            <w:tcW w:w="731" w:type="dxa"/>
            <w:tcBorders>
              <w:top w:val="double" w:sz="4" w:space="0" w:color="auto"/>
            </w:tcBorders>
            <w:shd w:val="clear" w:color="auto" w:fill="auto"/>
            <w:vAlign w:val="bottom"/>
          </w:tcPr>
          <w:p w14:paraId="45899C6E" w14:textId="77777777" w:rsidR="0038775E" w:rsidRDefault="00877B9C" w:rsidP="002041D4">
            <w:pPr>
              <w:wordWrap w:val="0"/>
              <w:spacing w:beforeLines="20" w:before="48" w:afterLines="20" w:after="48"/>
              <w:jc w:val="center"/>
              <w:rPr>
                <w:rFonts w:eastAsia="Calibri"/>
                <w:b/>
                <w:noProof/>
                <w:sz w:val="16"/>
                <w:szCs w:val="16"/>
              </w:rPr>
            </w:pPr>
            <w:r w:rsidRPr="00DF5C23">
              <w:rPr>
                <w:rFonts w:ascii="Calibri" w:hAnsi="Calibri" w:cs="Calibri"/>
                <w:noProof/>
                <w:color w:val="000000"/>
                <w:sz w:val="22"/>
              </w:rPr>
              <w:t>52,0</w:t>
            </w:r>
          </w:p>
        </w:tc>
        <w:tc>
          <w:tcPr>
            <w:tcW w:w="1055" w:type="dxa"/>
            <w:tcBorders>
              <w:top w:val="double" w:sz="4" w:space="0" w:color="auto"/>
            </w:tcBorders>
            <w:shd w:val="clear" w:color="auto" w:fill="auto"/>
            <w:vAlign w:val="bottom"/>
          </w:tcPr>
          <w:p w14:paraId="4B42F4D6" w14:textId="77777777" w:rsidR="0038775E" w:rsidRDefault="00877B9C" w:rsidP="002041D4">
            <w:pPr>
              <w:wordWrap w:val="0"/>
              <w:spacing w:beforeLines="20" w:before="48" w:afterLines="20" w:after="48"/>
              <w:jc w:val="center"/>
              <w:rPr>
                <w:rFonts w:eastAsia="Calibri"/>
                <w:b/>
                <w:noProof/>
                <w:sz w:val="16"/>
                <w:szCs w:val="16"/>
              </w:rPr>
            </w:pPr>
            <w:r w:rsidRPr="00DF5C23">
              <w:rPr>
                <w:rFonts w:ascii="Calibri" w:hAnsi="Calibri" w:cs="Calibri"/>
                <w:noProof/>
                <w:color w:val="000000"/>
                <w:sz w:val="22"/>
              </w:rPr>
              <w:t>54,0</w:t>
            </w:r>
          </w:p>
        </w:tc>
      </w:tr>
    </w:tbl>
    <w:p w14:paraId="62B79D84" w14:textId="31B9A942" w:rsidR="0038775E" w:rsidRDefault="00877B9C" w:rsidP="002041D4">
      <w:pPr>
        <w:wordWrap w:val="0"/>
        <w:spacing w:before="60" w:after="60"/>
        <w:ind w:left="851"/>
        <w:rPr>
          <w:rFonts w:eastAsia="Calibri"/>
          <w:noProof/>
          <w:sz w:val="18"/>
          <w:szCs w:val="18"/>
          <w:lang w:eastAsia="ja-JP"/>
        </w:rPr>
      </w:pPr>
      <w:r w:rsidRPr="00DF5C23">
        <w:rPr>
          <w:rFonts w:eastAsia="Calibri"/>
          <w:noProof/>
          <w:sz w:val="18"/>
          <w:szCs w:val="18"/>
          <w:lang w:eastAsia="ja-JP"/>
        </w:rPr>
        <w:t>XX</w:t>
      </w:r>
      <w:r w:rsidRPr="00DF5C23">
        <w:rPr>
          <w:rFonts w:eastAsia="Calibri"/>
          <w:noProof/>
          <w:sz w:val="18"/>
          <w:szCs w:val="18"/>
          <w:lang w:eastAsia="ja-JP"/>
        </w:rPr>
        <w:t>は、当該政策分野または予算タイトル</w:t>
      </w:r>
      <w:r w:rsidR="002041D4">
        <w:rPr>
          <w:rFonts w:ascii="ＭＳ 明朝" w:eastAsia="ＭＳ 明朝" w:hAnsi="ＭＳ 明朝" w:cs="ＭＳ 明朝" w:hint="eastAsia"/>
          <w:noProof/>
          <w:sz w:val="18"/>
          <w:szCs w:val="18"/>
          <w:lang w:eastAsia="ja-JP"/>
        </w:rPr>
        <w:t>である</w:t>
      </w:r>
      <w:r w:rsidRPr="00DF5C23">
        <w:rPr>
          <w:rFonts w:eastAsia="Calibri"/>
          <w:noProof/>
          <w:sz w:val="18"/>
          <w:szCs w:val="18"/>
          <w:lang w:eastAsia="ja-JP"/>
        </w:rPr>
        <w:t>。</w:t>
      </w:r>
    </w:p>
    <w:p w14:paraId="3922C0BF" w14:textId="77777777" w:rsidR="0038775E" w:rsidRDefault="00877B9C" w:rsidP="002041D4">
      <w:pPr>
        <w:wordWrap w:val="0"/>
        <w:ind w:left="850"/>
        <w:rPr>
          <w:rFonts w:eastAsia="Calibri"/>
          <w:noProof/>
          <w:sz w:val="18"/>
          <w:szCs w:val="18"/>
          <w:lang w:eastAsia="ja-JP"/>
        </w:rPr>
      </w:pPr>
      <w:r w:rsidRPr="00DF5C23">
        <w:rPr>
          <w:rFonts w:eastAsia="Calibri"/>
          <w:noProof/>
          <w:sz w:val="18"/>
          <w:szCs w:val="18"/>
          <w:lang w:eastAsia="ja-JP"/>
        </w:rPr>
        <w:t>必要な人的資源は、すでにアクションの管理に割り当てられている</w:t>
      </w:r>
      <w:r w:rsidRPr="00DF5C23">
        <w:rPr>
          <w:rFonts w:eastAsia="Calibri"/>
          <w:noProof/>
          <w:sz w:val="18"/>
          <w:szCs w:val="18"/>
          <w:lang w:eastAsia="ja-JP"/>
        </w:rPr>
        <w:t>DG</w:t>
      </w:r>
      <w:r w:rsidRPr="00DF5C23">
        <w:rPr>
          <w:rFonts w:eastAsia="Calibri"/>
          <w:noProof/>
          <w:sz w:val="18"/>
          <w:szCs w:val="18"/>
          <w:lang w:eastAsia="ja-JP"/>
        </w:rPr>
        <w:t>のスタッフおよび／または</w:t>
      </w:r>
      <w:r w:rsidRPr="00DF5C23">
        <w:rPr>
          <w:rFonts w:eastAsia="Calibri"/>
          <w:noProof/>
          <w:sz w:val="18"/>
          <w:szCs w:val="18"/>
          <w:lang w:eastAsia="ja-JP"/>
        </w:rPr>
        <w:t>DG</w:t>
      </w:r>
      <w:r w:rsidRPr="00DF5C23">
        <w:rPr>
          <w:rFonts w:eastAsia="Calibri"/>
          <w:noProof/>
          <w:sz w:val="18"/>
          <w:szCs w:val="18"/>
          <w:lang w:eastAsia="ja-JP"/>
        </w:rPr>
        <w:t>内で再配置されたスタッフによって満たされ、</w:t>
      </w:r>
      <w:r w:rsidR="00292785" w:rsidRPr="00DF5C23">
        <w:rPr>
          <w:rFonts w:eastAsia="Calibri"/>
          <w:noProof/>
          <w:sz w:val="18"/>
          <w:szCs w:val="18"/>
          <w:lang w:eastAsia="ja-JP"/>
        </w:rPr>
        <w:t>必要に応じて、</w:t>
      </w:r>
      <w:r w:rsidRPr="00DF5C23">
        <w:rPr>
          <w:rFonts w:eastAsia="Calibri"/>
          <w:noProof/>
          <w:sz w:val="18"/>
          <w:szCs w:val="18"/>
          <w:lang w:eastAsia="ja-JP"/>
        </w:rPr>
        <w:t>年次配分手続きのもと、予算の制約を考慮して管理</w:t>
      </w:r>
      <w:r w:rsidRPr="00DF5C23">
        <w:rPr>
          <w:rFonts w:eastAsia="Calibri"/>
          <w:noProof/>
          <w:sz w:val="18"/>
          <w:szCs w:val="18"/>
          <w:lang w:eastAsia="ja-JP"/>
        </w:rPr>
        <w:t>DG</w:t>
      </w:r>
      <w:r w:rsidRPr="00DF5C23">
        <w:rPr>
          <w:rFonts w:eastAsia="Calibri"/>
          <w:noProof/>
          <w:sz w:val="18"/>
          <w:szCs w:val="18"/>
          <w:lang w:eastAsia="ja-JP"/>
        </w:rPr>
        <w:t>に付与される追加配分も併用されるものとする。</w:t>
      </w:r>
    </w:p>
    <w:p w14:paraId="05493988" w14:textId="77777777" w:rsidR="0038775E" w:rsidRDefault="00877B9C" w:rsidP="002041D4">
      <w:pPr>
        <w:wordWrap w:val="0"/>
        <w:rPr>
          <w:rFonts w:eastAsia="Calibri"/>
          <w:noProof/>
          <w:sz w:val="20"/>
          <w:lang w:eastAsia="ja-JP"/>
        </w:rPr>
      </w:pPr>
      <w:r w:rsidRPr="00DF5C23">
        <w:rPr>
          <w:rFonts w:eastAsia="Calibri"/>
          <w:noProof/>
          <w:sz w:val="20"/>
          <w:lang w:eastAsia="ja-JP"/>
        </w:rPr>
        <w:t>実施するタスクの説明：</w:t>
      </w:r>
    </w:p>
    <w:tbl>
      <w:tblPr>
        <w:tblW w:w="9896"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6656"/>
      </w:tblGrid>
      <w:tr w:rsidR="00BF1765" w:rsidRPr="00DF5C23" w14:paraId="2C3A5FBC" w14:textId="77777777" w:rsidTr="00743354">
        <w:tc>
          <w:tcPr>
            <w:tcW w:w="3240" w:type="dxa"/>
          </w:tcPr>
          <w:p w14:paraId="6530B739" w14:textId="77777777" w:rsidR="0038775E" w:rsidRDefault="00877B9C" w:rsidP="002041D4">
            <w:pPr>
              <w:wordWrap w:val="0"/>
              <w:rPr>
                <w:rFonts w:eastAsia="Calibri"/>
                <w:noProof/>
                <w:sz w:val="20"/>
              </w:rPr>
            </w:pPr>
            <w:r w:rsidRPr="00DF5C23">
              <w:rPr>
                <w:rFonts w:eastAsia="Calibri"/>
                <w:noProof/>
                <w:sz w:val="20"/>
              </w:rPr>
              <w:lastRenderedPageBreak/>
              <w:t>職員・臨時職員</w:t>
            </w:r>
          </w:p>
        </w:tc>
        <w:tc>
          <w:tcPr>
            <w:tcW w:w="6656" w:type="dxa"/>
          </w:tcPr>
          <w:p w14:paraId="18F1F4FA" w14:textId="77777777" w:rsidR="0038775E" w:rsidRDefault="00877B9C" w:rsidP="002041D4">
            <w:pPr>
              <w:wordWrap w:val="0"/>
              <w:spacing w:before="100" w:beforeAutospacing="1" w:after="100" w:afterAutospacing="1"/>
              <w:jc w:val="left"/>
              <w:rPr>
                <w:rFonts w:eastAsia="Times New Roman"/>
                <w:noProof/>
                <w:szCs w:val="24"/>
                <w:u w:val="single"/>
                <w:lang w:eastAsia="ja-JP"/>
              </w:rPr>
            </w:pPr>
            <w:r w:rsidRPr="00DF5C23">
              <w:rPr>
                <w:rFonts w:eastAsia="Times New Roman"/>
                <w:noProof/>
                <w:szCs w:val="24"/>
                <w:u w:val="single"/>
                <w:lang w:eastAsia="ja-JP"/>
              </w:rPr>
              <w:t>デスクオフィサー向け：</w:t>
            </w:r>
          </w:p>
          <w:p w14:paraId="154FEA8C" w14:textId="77777777" w:rsidR="0038775E" w:rsidRDefault="00877B9C" w:rsidP="002041D4">
            <w:pPr>
              <w:wordWrap w:val="0"/>
              <w:spacing w:before="100" w:beforeAutospacing="1" w:after="100" w:afterAutospacing="1"/>
              <w:jc w:val="left"/>
              <w:rPr>
                <w:rFonts w:eastAsia="Times New Roman"/>
                <w:noProof/>
                <w:szCs w:val="24"/>
                <w:lang w:eastAsia="ja-JP"/>
              </w:rPr>
            </w:pPr>
            <w:r w:rsidRPr="00DF5C23">
              <w:rPr>
                <w:rFonts w:eastAsia="Times New Roman"/>
                <w:noProof/>
                <w:szCs w:val="24"/>
                <w:lang w:eastAsia="ja-JP"/>
              </w:rPr>
              <w:t>準備調査、影響評価、整合規格の評価を支援するための外部契約の準備（委託条件またはAA、評価、モニタリング）。</w:t>
            </w:r>
          </w:p>
          <w:p w14:paraId="35E5BA87" w14:textId="77777777" w:rsidR="0038775E" w:rsidRDefault="00877B9C" w:rsidP="002041D4">
            <w:pPr>
              <w:wordWrap w:val="0"/>
              <w:spacing w:before="100" w:beforeAutospacing="1" w:after="100" w:afterAutospacing="1"/>
              <w:jc w:val="left"/>
              <w:rPr>
                <w:rFonts w:eastAsia="Times New Roman"/>
                <w:noProof/>
                <w:szCs w:val="24"/>
                <w:lang w:eastAsia="ja-JP"/>
              </w:rPr>
            </w:pPr>
            <w:r w:rsidRPr="00DF5C23">
              <w:rPr>
                <w:rFonts w:eastAsia="Times New Roman"/>
                <w:noProof/>
                <w:szCs w:val="24"/>
                <w:lang w:eastAsia="ja-JP"/>
              </w:rPr>
              <w:t>作業計画、実施法、委任法の準備のための準備調査、検討調査、その他の調査の監督</w:t>
            </w:r>
          </w:p>
          <w:p w14:paraId="49319353" w14:textId="77777777" w:rsidR="0038775E" w:rsidRDefault="00DD43D3" w:rsidP="002041D4">
            <w:pPr>
              <w:wordWrap w:val="0"/>
              <w:spacing w:before="100" w:beforeAutospacing="1" w:after="100" w:afterAutospacing="1"/>
              <w:jc w:val="left"/>
              <w:rPr>
                <w:rFonts w:eastAsia="Times New Roman"/>
                <w:noProof/>
                <w:szCs w:val="24"/>
                <w:lang w:eastAsia="ja-JP"/>
              </w:rPr>
            </w:pPr>
            <w:r w:rsidRPr="00DF5C23">
              <w:rPr>
                <w:rFonts w:eastAsia="Times New Roman"/>
                <w:noProof/>
                <w:szCs w:val="24"/>
                <w:lang w:eastAsia="ja-JP"/>
              </w:rPr>
              <w:t>エコデザインフォーラムの</w:t>
            </w:r>
            <w:r w:rsidR="00877B9C" w:rsidRPr="00DF5C23">
              <w:rPr>
                <w:rFonts w:eastAsia="Times New Roman"/>
                <w:noProof/>
                <w:szCs w:val="24"/>
                <w:lang w:eastAsia="ja-JP"/>
              </w:rPr>
              <w:t xml:space="preserve">協議、WTOの協議、社内採択手続き、 </w:t>
            </w:r>
          </w:p>
          <w:p w14:paraId="0DEDBF88" w14:textId="77777777" w:rsidR="0038775E" w:rsidRDefault="00877B9C" w:rsidP="002041D4">
            <w:pPr>
              <w:wordWrap w:val="0"/>
              <w:spacing w:before="100" w:beforeAutospacing="1" w:after="100" w:afterAutospacing="1"/>
              <w:jc w:val="left"/>
              <w:rPr>
                <w:rFonts w:eastAsia="Times New Roman"/>
                <w:noProof/>
                <w:szCs w:val="24"/>
                <w:lang w:eastAsia="ja-JP"/>
              </w:rPr>
            </w:pPr>
            <w:r w:rsidRPr="00DF5C23">
              <w:rPr>
                <w:rFonts w:eastAsia="Times New Roman"/>
                <w:noProof/>
                <w:szCs w:val="24"/>
                <w:lang w:eastAsia="ja-JP"/>
              </w:rPr>
              <w:t xml:space="preserve">標準化の委任、調和された標準の監視と公表を含む委任法のフォローアップ、 </w:t>
            </w:r>
          </w:p>
          <w:p w14:paraId="74D978DA" w14:textId="77777777" w:rsidR="0038775E" w:rsidRDefault="00877B9C" w:rsidP="002041D4">
            <w:pPr>
              <w:wordWrap w:val="0"/>
              <w:spacing w:before="100" w:beforeAutospacing="1" w:after="100" w:afterAutospacing="1"/>
              <w:jc w:val="left"/>
              <w:rPr>
                <w:rFonts w:eastAsia="Times New Roman"/>
                <w:noProof/>
                <w:szCs w:val="24"/>
                <w:lang w:eastAsia="ja-JP"/>
              </w:rPr>
            </w:pPr>
            <w:r w:rsidRPr="00DF5C23">
              <w:rPr>
                <w:rFonts w:eastAsia="Times New Roman"/>
                <w:noProof/>
                <w:szCs w:val="24"/>
                <w:lang w:eastAsia="ja-JP"/>
              </w:rPr>
              <w:t>実施における産業界へのガイダンス、およびサーベイランス活動における市場監視当局へのガイダンス。</w:t>
            </w:r>
          </w:p>
          <w:p w14:paraId="55FE4917" w14:textId="77777777" w:rsidR="0038775E" w:rsidRDefault="00877B9C" w:rsidP="002041D4">
            <w:pPr>
              <w:wordWrap w:val="0"/>
              <w:rPr>
                <w:rFonts w:eastAsia="Times New Roman"/>
                <w:noProof/>
                <w:szCs w:val="24"/>
                <w:lang w:eastAsia="ja-JP"/>
              </w:rPr>
            </w:pPr>
            <w:r w:rsidRPr="00DF5C23">
              <w:rPr>
                <w:rFonts w:eastAsia="Times New Roman"/>
                <w:noProof/>
                <w:szCs w:val="24"/>
                <w:lang w:eastAsia="ja-JP"/>
              </w:rPr>
              <w:t>結果の評価、関係者への法規制の説明、ブリーフィングの準備、対応など、水平方向のタスクに貢献</w:t>
            </w:r>
            <w:r w:rsidRPr="00DF5C23">
              <w:rPr>
                <w:rFonts w:eastAsia="Times New Roman"/>
                <w:noProof/>
                <w:szCs w:val="24"/>
                <w:lang w:eastAsia="ja-JP"/>
              </w:rPr>
              <w:t>する。</w:t>
            </w:r>
          </w:p>
          <w:p w14:paraId="1746E7FA" w14:textId="77777777" w:rsidR="0038775E" w:rsidRDefault="00877B9C" w:rsidP="002041D4">
            <w:pPr>
              <w:wordWrap w:val="0"/>
              <w:rPr>
                <w:rFonts w:eastAsia="Times New Roman"/>
                <w:noProof/>
                <w:szCs w:val="24"/>
                <w:u w:val="single"/>
                <w:lang w:eastAsia="ja-JP"/>
              </w:rPr>
            </w:pPr>
            <w:r w:rsidRPr="00DF5C23">
              <w:rPr>
                <w:rFonts w:eastAsia="Times New Roman"/>
                <w:noProof/>
                <w:szCs w:val="24"/>
                <w:u w:val="single"/>
                <w:lang w:eastAsia="ja-JP"/>
              </w:rPr>
              <w:t>をアシスタントに：</w:t>
            </w:r>
          </w:p>
          <w:p w14:paraId="163E1586" w14:textId="77777777" w:rsidR="0038775E" w:rsidRDefault="00877B9C" w:rsidP="002041D4">
            <w:pPr>
              <w:wordWrap w:val="0"/>
              <w:spacing w:before="100" w:beforeAutospacing="1" w:after="100" w:afterAutospacing="1"/>
              <w:jc w:val="left"/>
              <w:rPr>
                <w:rFonts w:eastAsia="Times New Roman"/>
                <w:noProof/>
                <w:szCs w:val="24"/>
                <w:lang w:eastAsia="ja-JP"/>
              </w:rPr>
            </w:pPr>
            <w:r w:rsidRPr="00DF5C23">
              <w:rPr>
                <w:rFonts w:eastAsia="Times New Roman"/>
                <w:noProof/>
                <w:szCs w:val="24"/>
                <w:lang w:eastAsia="ja-JP"/>
              </w:rPr>
              <w:t xml:space="preserve">会議の開催（議題、招待状、事務手続き、議事録、専門家グループの登録）。 </w:t>
            </w:r>
          </w:p>
          <w:p w14:paraId="66CC75E4" w14:textId="77777777" w:rsidR="0038775E" w:rsidRDefault="00877B9C" w:rsidP="002041D4">
            <w:pPr>
              <w:wordWrap w:val="0"/>
              <w:spacing w:before="100" w:beforeAutospacing="1" w:after="100" w:afterAutospacing="1"/>
              <w:jc w:val="left"/>
              <w:rPr>
                <w:rFonts w:eastAsia="Times New Roman"/>
                <w:noProof/>
                <w:szCs w:val="24"/>
                <w:lang w:eastAsia="ja-JP"/>
              </w:rPr>
            </w:pPr>
            <w:r w:rsidRPr="00DF5C23">
              <w:rPr>
                <w:rFonts w:eastAsia="Times New Roman"/>
                <w:noProof/>
                <w:szCs w:val="24"/>
                <w:lang w:eastAsia="ja-JP"/>
              </w:rPr>
              <w:t>決定手続き（Decideエントリー、証拠請求、委員会、法律編集を含む文書作成、翻訳・出版依頼など）。</w:t>
            </w:r>
          </w:p>
          <w:p w14:paraId="4CD39F38" w14:textId="77777777" w:rsidR="0038775E" w:rsidRDefault="00877B9C" w:rsidP="002041D4">
            <w:pPr>
              <w:wordWrap w:val="0"/>
              <w:spacing w:before="100" w:beforeAutospacing="1" w:after="100" w:afterAutospacing="1"/>
              <w:jc w:val="left"/>
              <w:rPr>
                <w:rFonts w:eastAsia="Times New Roman"/>
                <w:noProof/>
                <w:szCs w:val="24"/>
                <w:lang w:eastAsia="ja-JP"/>
              </w:rPr>
            </w:pPr>
            <w:r w:rsidRPr="00DF5C23">
              <w:rPr>
                <w:rFonts w:eastAsia="Times New Roman"/>
                <w:noProof/>
                <w:szCs w:val="24"/>
                <w:lang w:eastAsia="ja-JP"/>
              </w:rPr>
              <w:t>財務手続き（経営計画の作成、入札やサービス発注、AAなどの募集、評価、コミットメントや支払いの要求、報告など）</w:t>
            </w:r>
          </w:p>
        </w:tc>
      </w:tr>
      <w:tr w:rsidR="00BF1765" w:rsidRPr="00DF5C23" w14:paraId="2C3A5FC3" w14:textId="77777777" w:rsidTr="00743354">
        <w:tc>
          <w:tcPr>
            <w:tcW w:w="3240" w:type="dxa"/>
          </w:tcPr>
          <w:p w14:paraId="6D8FF6B1" w14:textId="77777777" w:rsidR="0038775E" w:rsidRDefault="00877B9C" w:rsidP="002041D4">
            <w:pPr>
              <w:wordWrap w:val="0"/>
              <w:spacing w:before="60" w:after="60"/>
              <w:rPr>
                <w:rFonts w:eastAsia="Calibri"/>
                <w:noProof/>
                <w:sz w:val="20"/>
              </w:rPr>
            </w:pPr>
            <w:r w:rsidRPr="00DF5C23">
              <w:rPr>
                <w:rFonts w:eastAsia="Calibri"/>
                <w:noProof/>
                <w:sz w:val="20"/>
              </w:rPr>
              <w:t>外部スタッフ</w:t>
            </w:r>
          </w:p>
        </w:tc>
        <w:tc>
          <w:tcPr>
            <w:tcW w:w="6656" w:type="dxa"/>
          </w:tcPr>
          <w:p w14:paraId="46F7CBDA" w14:textId="77777777" w:rsidR="0038775E" w:rsidRDefault="00877B9C" w:rsidP="002041D4">
            <w:pPr>
              <w:wordWrap w:val="0"/>
              <w:spacing w:before="100" w:beforeAutospacing="1" w:after="100" w:afterAutospacing="1"/>
              <w:jc w:val="left"/>
              <w:rPr>
                <w:rFonts w:eastAsia="Times New Roman"/>
                <w:noProof/>
                <w:szCs w:val="24"/>
                <w:lang w:eastAsia="ja-JP"/>
              </w:rPr>
            </w:pPr>
            <w:r w:rsidRPr="00DF5C23">
              <w:rPr>
                <w:rFonts w:eastAsia="Times New Roman"/>
                <w:noProof/>
                <w:szCs w:val="24"/>
                <w:lang w:eastAsia="ja-JP"/>
              </w:rPr>
              <w:t>作業計画、実施法、委任法の準備のための準備調査、検討調査、その他の調査の監督</w:t>
            </w:r>
          </w:p>
          <w:p w14:paraId="2B54453C" w14:textId="77777777" w:rsidR="0038775E" w:rsidRDefault="00DD43D3" w:rsidP="002041D4">
            <w:pPr>
              <w:wordWrap w:val="0"/>
              <w:spacing w:before="100" w:beforeAutospacing="1" w:after="100" w:afterAutospacing="1"/>
              <w:jc w:val="left"/>
              <w:rPr>
                <w:rFonts w:eastAsia="Times New Roman"/>
                <w:noProof/>
                <w:szCs w:val="24"/>
                <w:lang w:eastAsia="ja-JP"/>
              </w:rPr>
            </w:pPr>
            <w:r w:rsidRPr="00DF5C23">
              <w:rPr>
                <w:rFonts w:eastAsia="Times New Roman"/>
                <w:noProof/>
                <w:szCs w:val="24"/>
                <w:lang w:eastAsia="ja-JP"/>
              </w:rPr>
              <w:t>エコデザインフォーラムの</w:t>
            </w:r>
            <w:r w:rsidR="00877B9C" w:rsidRPr="00DF5C23">
              <w:rPr>
                <w:rFonts w:eastAsia="Times New Roman"/>
                <w:noProof/>
                <w:szCs w:val="24"/>
                <w:lang w:eastAsia="ja-JP"/>
              </w:rPr>
              <w:t xml:space="preserve">協議、WTOの協議、 </w:t>
            </w:r>
          </w:p>
          <w:p w14:paraId="5AF0DCDF" w14:textId="77777777" w:rsidR="0038775E" w:rsidRDefault="00877B9C" w:rsidP="002041D4">
            <w:pPr>
              <w:wordWrap w:val="0"/>
              <w:spacing w:before="100" w:beforeAutospacing="1" w:after="100" w:afterAutospacing="1"/>
              <w:jc w:val="left"/>
              <w:rPr>
                <w:rFonts w:eastAsia="Times New Roman"/>
                <w:noProof/>
                <w:szCs w:val="24"/>
                <w:lang w:eastAsia="ja-JP"/>
              </w:rPr>
            </w:pPr>
            <w:r w:rsidRPr="00DF5C23">
              <w:rPr>
                <w:rFonts w:eastAsia="Times New Roman"/>
                <w:noProof/>
                <w:szCs w:val="24"/>
                <w:lang w:eastAsia="ja-JP"/>
              </w:rPr>
              <w:t xml:space="preserve">標準化の委任、調和された標準の監視と公表を含む委任法のフォローアップ、 </w:t>
            </w:r>
          </w:p>
          <w:p w14:paraId="65563B30" w14:textId="77777777" w:rsidR="0038775E" w:rsidRDefault="00877B9C" w:rsidP="002041D4">
            <w:pPr>
              <w:wordWrap w:val="0"/>
              <w:spacing w:before="100" w:beforeAutospacing="1" w:after="100" w:afterAutospacing="1"/>
              <w:jc w:val="left"/>
              <w:rPr>
                <w:rFonts w:eastAsia="Times New Roman"/>
                <w:noProof/>
                <w:szCs w:val="24"/>
                <w:lang w:eastAsia="ja-JP"/>
              </w:rPr>
            </w:pPr>
            <w:r w:rsidRPr="00DF5C23">
              <w:rPr>
                <w:rFonts w:eastAsia="Times New Roman"/>
                <w:noProof/>
                <w:szCs w:val="24"/>
                <w:lang w:eastAsia="ja-JP"/>
              </w:rPr>
              <w:t>実施における産業界へのガイダンス、およびサーベイランス活動における市場監視当局へのガイダンス。</w:t>
            </w:r>
          </w:p>
          <w:p w14:paraId="38299B05" w14:textId="77777777" w:rsidR="0038775E" w:rsidRDefault="00877B9C" w:rsidP="002041D4">
            <w:pPr>
              <w:wordWrap w:val="0"/>
              <w:rPr>
                <w:rFonts w:eastAsia="Calibri"/>
                <w:noProof/>
                <w:sz w:val="20"/>
                <w:lang w:eastAsia="ja-JP"/>
              </w:rPr>
            </w:pPr>
            <w:r w:rsidRPr="00DF5C23">
              <w:rPr>
                <w:rFonts w:eastAsia="Times New Roman"/>
                <w:noProof/>
                <w:szCs w:val="24"/>
                <w:lang w:eastAsia="ja-JP"/>
              </w:rPr>
              <w:t>結果の評価、ステークホルダーへの法規制の説明、対応など、水平的なタスクに貢献する。</w:t>
            </w:r>
          </w:p>
        </w:tc>
      </w:tr>
    </w:tbl>
    <w:p w14:paraId="2C3A5FC4" w14:textId="77777777" w:rsidR="00BF1765" w:rsidRPr="00DF5C23" w:rsidRDefault="00BF1765" w:rsidP="002041D4">
      <w:pPr>
        <w:wordWrap w:val="0"/>
        <w:rPr>
          <w:rFonts w:eastAsia="Calibri"/>
          <w:noProof/>
          <w:lang w:eastAsia="ja-JP"/>
        </w:rPr>
        <w:sectPr w:rsidR="00BF1765" w:rsidRPr="00DF5C23" w:rsidSect="008B42B0">
          <w:pgSz w:w="11907" w:h="16840"/>
          <w:pgMar w:top="1134" w:right="1418" w:bottom="1134" w:left="1418" w:header="709" w:footer="709" w:gutter="0"/>
          <w:cols w:space="708"/>
          <w:docGrid w:linePitch="360"/>
        </w:sectPr>
      </w:pPr>
    </w:p>
    <w:p w14:paraId="2F2CEEF3" w14:textId="77777777" w:rsidR="0038775E" w:rsidRDefault="00877B9C" w:rsidP="002041D4">
      <w:pPr>
        <w:pStyle w:val="ManualHeading3"/>
        <w:wordWrap w:val="0"/>
        <w:rPr>
          <w:noProof/>
          <w:lang w:eastAsia="ja-JP"/>
        </w:rPr>
      </w:pPr>
      <w:bookmarkStart w:id="61" w:name="_Toc514938056"/>
      <w:bookmarkStart w:id="62" w:name="_Toc520485055"/>
      <w:r w:rsidRPr="004F5E59">
        <w:rPr>
          <w:lang w:eastAsia="ja-JP"/>
        </w:rPr>
        <w:lastRenderedPageBreak/>
        <w:t>3.2.4.</w:t>
      </w:r>
      <w:r w:rsidRPr="004F5E59">
        <w:rPr>
          <w:lang w:eastAsia="ja-JP"/>
        </w:rPr>
        <w:tab/>
      </w:r>
      <w:r w:rsidR="003102BB" w:rsidRPr="00DF5C23">
        <w:rPr>
          <w:noProof/>
          <w:lang w:eastAsia="ja-JP"/>
        </w:rPr>
        <w:t>現行の多年度財政フレームワークとの適合性</w:t>
      </w:r>
      <w:r w:rsidR="003102BB" w:rsidRPr="00DF5C23">
        <w:rPr>
          <w:noProof/>
          <w:lang w:eastAsia="ja-JP"/>
        </w:rPr>
        <w:t xml:space="preserve"> </w:t>
      </w:r>
      <w:bookmarkEnd w:id="61"/>
      <w:bookmarkEnd w:id="62"/>
    </w:p>
    <w:p w14:paraId="69D7BBD6" w14:textId="77777777" w:rsidR="0038775E" w:rsidRDefault="00877B9C" w:rsidP="002041D4">
      <w:pPr>
        <w:wordWrap w:val="0"/>
        <w:ind w:left="850"/>
        <w:rPr>
          <w:rFonts w:eastAsia="Calibri"/>
          <w:noProof/>
          <w:lang w:eastAsia="ja-JP"/>
        </w:rPr>
      </w:pPr>
      <w:r w:rsidRPr="00DF5C23">
        <w:rPr>
          <w:rFonts w:eastAsia="Calibri"/>
          <w:noProof/>
          <w:lang w:eastAsia="ja-JP"/>
        </w:rPr>
        <w:t>提案・イニシアチブのこと</w:t>
      </w:r>
    </w:p>
    <w:p w14:paraId="144DFF99" w14:textId="77777777" w:rsidR="0038775E" w:rsidRDefault="00877B9C" w:rsidP="002041D4">
      <w:pPr>
        <w:pStyle w:val="Bullet1"/>
        <w:wordWrap w:val="0"/>
        <w:rPr>
          <w:noProof/>
          <w:lang w:eastAsia="de-DE"/>
        </w:rPr>
      </w:pPr>
      <w:r w:rsidRPr="00DF5C23">
        <w:rPr>
          <w:noProof/>
          <w:lang w:eastAsia="de-DE"/>
        </w:rPr>
        <w:sym w:font="Wingdings" w:char="F0FE"/>
      </w:r>
      <w:r w:rsidRPr="00DF5C23">
        <w:rPr>
          <w:noProof/>
          <w:lang w:eastAsia="de-DE"/>
        </w:rPr>
        <w:t>は、多年次財政枠組み（</w:t>
      </w:r>
      <w:r w:rsidRPr="00DF5C23">
        <w:rPr>
          <w:noProof/>
          <w:lang w:eastAsia="de-DE"/>
        </w:rPr>
        <w:t>MFF</w:t>
      </w:r>
      <w:r w:rsidRPr="00DF5C23">
        <w:rPr>
          <w:noProof/>
          <w:lang w:eastAsia="de-DE"/>
        </w:rPr>
        <w:t>）の関連する項目の中で、再配分によって完全に賄うことができる。</w:t>
      </w:r>
    </w:p>
    <w:p w14:paraId="0F5357EB" w14:textId="4828C483" w:rsidR="0038775E" w:rsidRDefault="00877B9C" w:rsidP="002041D4">
      <w:pPr>
        <w:pBdr>
          <w:top w:val="single" w:sz="4" w:space="1" w:color="auto"/>
          <w:left w:val="single" w:sz="4" w:space="4" w:color="auto"/>
          <w:bottom w:val="single" w:sz="4" w:space="1" w:color="auto"/>
          <w:right w:val="single" w:sz="4" w:space="4" w:color="auto"/>
        </w:pBdr>
        <w:wordWrap w:val="0"/>
        <w:ind w:left="850"/>
        <w:rPr>
          <w:rFonts w:eastAsia="Calibri"/>
          <w:noProof/>
          <w:sz w:val="20"/>
          <w:szCs w:val="20"/>
          <w:lang w:eastAsia="ja-JP"/>
        </w:rPr>
      </w:pPr>
      <w:r w:rsidRPr="00DF5C23">
        <w:rPr>
          <w:rFonts w:eastAsia="Calibri"/>
          <w:noProof/>
          <w:sz w:val="20"/>
          <w:szCs w:val="20"/>
          <w:lang w:eastAsia="ja-JP"/>
        </w:rPr>
        <w:t>この法律の実施を支援する調査、調達、プロジェクトは、</w:t>
      </w:r>
      <w:r w:rsidRPr="00DF5C23">
        <w:rPr>
          <w:rFonts w:eastAsia="Calibri"/>
          <w:noProof/>
          <w:sz w:val="20"/>
          <w:szCs w:val="20"/>
          <w:lang w:eastAsia="ja-JP"/>
        </w:rPr>
        <w:t>MFF</w:t>
      </w:r>
      <w:r w:rsidRPr="00DF5C23">
        <w:rPr>
          <w:rFonts w:eastAsia="Calibri"/>
          <w:noProof/>
          <w:sz w:val="20"/>
          <w:szCs w:val="20"/>
          <w:lang w:eastAsia="ja-JP"/>
        </w:rPr>
        <w:t>の見出し</w:t>
      </w:r>
      <w:r w:rsidRPr="00DF5C23">
        <w:rPr>
          <w:rFonts w:eastAsia="Calibri"/>
          <w:noProof/>
          <w:sz w:val="20"/>
          <w:szCs w:val="20"/>
          <w:lang w:eastAsia="ja-JP"/>
        </w:rPr>
        <w:t>1</w:t>
      </w:r>
      <w:r w:rsidRPr="00DF5C23">
        <w:rPr>
          <w:rFonts w:eastAsia="Calibri"/>
          <w:noProof/>
          <w:sz w:val="20"/>
          <w:szCs w:val="20"/>
          <w:lang w:eastAsia="ja-JP"/>
        </w:rPr>
        <w:t>および</w:t>
      </w:r>
      <w:r w:rsidRPr="00DF5C23">
        <w:rPr>
          <w:rFonts w:eastAsia="Calibri"/>
          <w:noProof/>
          <w:sz w:val="20"/>
          <w:szCs w:val="20"/>
          <w:lang w:eastAsia="ja-JP"/>
        </w:rPr>
        <w:t>3</w:t>
      </w:r>
      <w:r w:rsidRPr="00DF5C23">
        <w:rPr>
          <w:rFonts w:eastAsia="Calibri"/>
          <w:noProof/>
          <w:sz w:val="20"/>
          <w:szCs w:val="20"/>
          <w:lang w:eastAsia="ja-JP"/>
        </w:rPr>
        <w:t>にある、政策実施を支援する既存のプログラムおよび</w:t>
      </w:r>
      <w:r w:rsidR="00A23369" w:rsidRPr="00DF5C23">
        <w:rPr>
          <w:rFonts w:eastAsia="Calibri"/>
          <w:noProof/>
          <w:sz w:val="20"/>
          <w:szCs w:val="20"/>
          <w:lang w:eastAsia="ja-JP"/>
        </w:rPr>
        <w:t>既存の予算枠によって</w:t>
      </w:r>
      <w:r w:rsidRPr="00DF5C23">
        <w:rPr>
          <w:rFonts w:eastAsia="Calibri"/>
          <w:noProof/>
          <w:sz w:val="20"/>
          <w:szCs w:val="20"/>
          <w:lang w:eastAsia="ja-JP"/>
        </w:rPr>
        <w:t>賄われることにな</w:t>
      </w:r>
      <w:r w:rsidR="002041D4">
        <w:rPr>
          <w:rFonts w:ascii="ＭＳ 明朝" w:eastAsia="ＭＳ 明朝" w:hAnsi="ＭＳ 明朝" w:cs="ＭＳ 明朝" w:hint="eastAsia"/>
          <w:noProof/>
          <w:sz w:val="20"/>
          <w:szCs w:val="20"/>
          <w:lang w:eastAsia="ja-JP"/>
        </w:rPr>
        <w:t>る</w:t>
      </w:r>
      <w:r w:rsidRPr="00DF5C23">
        <w:rPr>
          <w:rFonts w:eastAsia="Calibri"/>
          <w:noProof/>
          <w:sz w:val="20"/>
          <w:szCs w:val="20"/>
          <w:lang w:eastAsia="ja-JP"/>
        </w:rPr>
        <w:t>。再プログラムの必要はない。予算の必要性は、年次管理計画に組み込まれ、標準的な手続きに</w:t>
      </w:r>
      <w:r w:rsidR="002041D4">
        <w:rPr>
          <w:rFonts w:ascii="ＭＳ 明朝" w:eastAsia="ＭＳ 明朝" w:hAnsi="ＭＳ 明朝" w:cs="ＭＳ 明朝" w:hint="eastAsia"/>
          <w:noProof/>
          <w:sz w:val="20"/>
          <w:szCs w:val="20"/>
          <w:lang w:eastAsia="ja-JP"/>
        </w:rPr>
        <w:t>従う</w:t>
      </w:r>
      <w:r w:rsidRPr="00DF5C23">
        <w:rPr>
          <w:rFonts w:eastAsia="Calibri"/>
          <w:noProof/>
          <w:sz w:val="20"/>
          <w:szCs w:val="20"/>
          <w:lang w:eastAsia="ja-JP"/>
        </w:rPr>
        <w:t>。</w:t>
      </w:r>
    </w:p>
    <w:p w14:paraId="0B6082DA" w14:textId="052187F3" w:rsidR="0038775E" w:rsidRDefault="00877B9C" w:rsidP="002041D4">
      <w:pPr>
        <w:pBdr>
          <w:top w:val="single" w:sz="4" w:space="1" w:color="auto"/>
          <w:left w:val="single" w:sz="4" w:space="4" w:color="auto"/>
          <w:bottom w:val="single" w:sz="4" w:space="1" w:color="auto"/>
          <w:right w:val="single" w:sz="4" w:space="4" w:color="auto"/>
        </w:pBdr>
        <w:wordWrap w:val="0"/>
        <w:ind w:left="850"/>
        <w:rPr>
          <w:rFonts w:eastAsia="Calibri"/>
          <w:noProof/>
          <w:sz w:val="20"/>
          <w:lang w:eastAsia="ja-JP"/>
        </w:rPr>
      </w:pPr>
      <w:r w:rsidRPr="00DF5C23">
        <w:rPr>
          <w:rFonts w:eastAsia="Calibri"/>
          <w:noProof/>
          <w:sz w:val="20"/>
          <w:lang w:eastAsia="ja-JP"/>
        </w:rPr>
        <w:t>該当する予算枠は、関係省庁のエコデザイン指令の実施をすでに支援している予算枠</w:t>
      </w:r>
      <w:r w:rsidR="002041D4">
        <w:rPr>
          <w:rFonts w:ascii="ＭＳ 明朝" w:eastAsia="ＭＳ 明朝" w:hAnsi="ＭＳ 明朝" w:cs="ＭＳ 明朝" w:hint="eastAsia"/>
          <w:noProof/>
          <w:sz w:val="20"/>
          <w:lang w:eastAsia="ja-JP"/>
        </w:rPr>
        <w:t>である</w:t>
      </w:r>
      <w:r w:rsidRPr="00DF5C23">
        <w:rPr>
          <w:rFonts w:eastAsia="Calibri"/>
          <w:noProof/>
          <w:sz w:val="20"/>
          <w:lang w:eastAsia="ja-JP"/>
        </w:rPr>
        <w:t>：</w:t>
      </w:r>
    </w:p>
    <w:p w14:paraId="1088ACAE" w14:textId="77777777" w:rsidR="0038775E" w:rsidRDefault="00877B9C" w:rsidP="002041D4">
      <w:pPr>
        <w:pBdr>
          <w:top w:val="single" w:sz="4" w:space="1" w:color="auto"/>
          <w:left w:val="single" w:sz="4" w:space="4" w:color="auto"/>
          <w:bottom w:val="single" w:sz="4" w:space="1" w:color="auto"/>
          <w:right w:val="single" w:sz="4" w:space="4" w:color="auto"/>
        </w:pBdr>
        <w:wordWrap w:val="0"/>
        <w:ind w:left="850"/>
        <w:rPr>
          <w:rFonts w:eastAsia="Calibri"/>
          <w:noProof/>
          <w:sz w:val="20"/>
          <w:szCs w:val="20"/>
          <w:lang w:eastAsia="ja-JP"/>
        </w:rPr>
      </w:pPr>
      <w:r w:rsidRPr="00DF5C23">
        <w:rPr>
          <w:rFonts w:eastAsia="Calibri"/>
          <w:noProof/>
          <w:sz w:val="20"/>
          <w:szCs w:val="20"/>
          <w:lang w:eastAsia="ja-JP"/>
        </w:rPr>
        <w:t>03.02.01.01 - DG GROW</w:t>
      </w:r>
      <w:r w:rsidRPr="00DF5C23">
        <w:rPr>
          <w:rFonts w:eastAsia="Calibri"/>
          <w:noProof/>
          <w:sz w:val="20"/>
          <w:szCs w:val="20"/>
          <w:lang w:eastAsia="ja-JP"/>
        </w:rPr>
        <w:t>のための商品とサービスの国内市</w:t>
      </w:r>
      <w:r w:rsidRPr="00DF5C23">
        <w:rPr>
          <w:rFonts w:eastAsia="Calibri"/>
          <w:noProof/>
          <w:sz w:val="20"/>
          <w:szCs w:val="20"/>
          <w:lang w:eastAsia="ja-JP"/>
        </w:rPr>
        <w:t>場の運営と発展</w:t>
      </w:r>
    </w:p>
    <w:p w14:paraId="66554DA0" w14:textId="77777777" w:rsidR="0038775E" w:rsidRDefault="00877B9C" w:rsidP="002041D4">
      <w:pPr>
        <w:pBdr>
          <w:top w:val="single" w:sz="4" w:space="1" w:color="auto"/>
          <w:left w:val="single" w:sz="4" w:space="4" w:color="auto"/>
          <w:bottom w:val="single" w:sz="4" w:space="1" w:color="auto"/>
          <w:right w:val="single" w:sz="4" w:space="4" w:color="auto"/>
        </w:pBdr>
        <w:wordWrap w:val="0"/>
        <w:ind w:left="850"/>
        <w:rPr>
          <w:rFonts w:eastAsia="Calibri"/>
          <w:noProof/>
          <w:sz w:val="20"/>
          <w:lang w:eastAsia="ja-JP"/>
        </w:rPr>
      </w:pPr>
      <w:r w:rsidRPr="00DF5C23">
        <w:rPr>
          <w:rFonts w:eastAsia="Calibri"/>
          <w:noProof/>
          <w:sz w:val="20"/>
          <w:lang w:eastAsia="ja-JP"/>
        </w:rPr>
        <w:t>09.02.02 LIFE DG ENV</w:t>
      </w:r>
      <w:r w:rsidRPr="00DF5C23">
        <w:rPr>
          <w:rFonts w:eastAsia="Calibri"/>
          <w:noProof/>
          <w:sz w:val="20"/>
          <w:lang w:eastAsia="ja-JP"/>
        </w:rPr>
        <w:t>のための循環型経済と生活の質</w:t>
      </w:r>
    </w:p>
    <w:p w14:paraId="718FD8BA" w14:textId="77777777" w:rsidR="0038775E" w:rsidRDefault="00877B9C" w:rsidP="002041D4">
      <w:pPr>
        <w:pBdr>
          <w:top w:val="single" w:sz="4" w:space="1" w:color="auto"/>
          <w:left w:val="single" w:sz="4" w:space="4" w:color="auto"/>
          <w:bottom w:val="single" w:sz="4" w:space="1" w:color="auto"/>
          <w:right w:val="single" w:sz="4" w:space="4" w:color="auto"/>
        </w:pBdr>
        <w:wordWrap w:val="0"/>
        <w:ind w:left="850"/>
        <w:rPr>
          <w:rFonts w:eastAsia="Calibri"/>
          <w:noProof/>
          <w:sz w:val="20"/>
          <w:lang w:eastAsia="ja-JP"/>
        </w:rPr>
      </w:pPr>
      <w:r w:rsidRPr="00DF5C23">
        <w:rPr>
          <w:rFonts w:eastAsia="Calibri"/>
          <w:noProof/>
          <w:sz w:val="20"/>
          <w:lang w:eastAsia="ja-JP"/>
        </w:rPr>
        <w:t>09.02.04 LIFE ENER</w:t>
      </w:r>
      <w:r w:rsidRPr="00DF5C23">
        <w:rPr>
          <w:rFonts w:eastAsia="Calibri"/>
          <w:noProof/>
          <w:sz w:val="20"/>
          <w:lang w:eastAsia="ja-JP"/>
        </w:rPr>
        <w:t>総局のためのクリーンエネルギー移行計画</w:t>
      </w:r>
    </w:p>
    <w:p w14:paraId="367A3D19" w14:textId="25CD5E29" w:rsidR="0038775E" w:rsidRDefault="00877B9C" w:rsidP="002041D4">
      <w:pPr>
        <w:pStyle w:val="Bullet1"/>
        <w:wordWrap w:val="0"/>
        <w:rPr>
          <w:noProof/>
          <w:lang w:eastAsia="de-DE"/>
        </w:rPr>
      </w:pPr>
      <w:r w:rsidRPr="00DF5C23">
        <w:rPr>
          <w:noProof/>
          <w:lang w:eastAsia="de-DE"/>
        </w:rPr>
        <w:sym w:font="Wingdings" w:char="F0A8"/>
      </w:r>
      <w:r w:rsidRPr="00DF5C23">
        <w:rPr>
          <w:noProof/>
          <w:lang w:eastAsia="de-DE"/>
        </w:rPr>
        <w:tab/>
      </w:r>
      <w:r w:rsidRPr="00DF5C23">
        <w:rPr>
          <w:noProof/>
          <w:lang w:eastAsia="de-DE"/>
        </w:rPr>
        <w:t>は、</w:t>
      </w:r>
      <w:r w:rsidRPr="00DF5C23">
        <w:rPr>
          <w:noProof/>
          <w:lang w:eastAsia="de-DE"/>
        </w:rPr>
        <w:t>MFF</w:t>
      </w:r>
      <w:r w:rsidRPr="00DF5C23">
        <w:rPr>
          <w:noProof/>
          <w:lang w:eastAsia="de-DE"/>
        </w:rPr>
        <w:t>の関連する見出しに基づく未割当証拠金の使用、および</w:t>
      </w:r>
      <w:r w:rsidRPr="00DF5C23">
        <w:rPr>
          <w:noProof/>
          <w:lang w:eastAsia="de-DE"/>
        </w:rPr>
        <w:t>/</w:t>
      </w:r>
      <w:r w:rsidRPr="00DF5C23">
        <w:rPr>
          <w:noProof/>
          <w:lang w:eastAsia="de-DE"/>
        </w:rPr>
        <w:t>または</w:t>
      </w:r>
      <w:r w:rsidRPr="00DF5C23">
        <w:rPr>
          <w:noProof/>
          <w:lang w:eastAsia="de-DE"/>
        </w:rPr>
        <w:t>MFF</w:t>
      </w:r>
      <w:r w:rsidRPr="00DF5C23">
        <w:rPr>
          <w:noProof/>
          <w:lang w:eastAsia="de-DE"/>
        </w:rPr>
        <w:t>規則で定義された特別な手段の使用を必要と</w:t>
      </w:r>
      <w:r w:rsidR="002041D4">
        <w:rPr>
          <w:noProof/>
          <w:lang w:eastAsia="de-DE"/>
        </w:rPr>
        <w:t>する</w:t>
      </w:r>
      <w:r w:rsidRPr="00DF5C23">
        <w:rPr>
          <w:noProof/>
          <w:lang w:eastAsia="de-DE"/>
        </w:rPr>
        <w:t>。</w:t>
      </w:r>
    </w:p>
    <w:p w14:paraId="0A86C6B8" w14:textId="77777777" w:rsidR="0038775E" w:rsidRDefault="00877B9C" w:rsidP="002041D4">
      <w:pPr>
        <w:pBdr>
          <w:top w:val="single" w:sz="4" w:space="1" w:color="auto"/>
          <w:left w:val="single" w:sz="4" w:space="4" w:color="auto"/>
          <w:bottom w:val="single" w:sz="4" w:space="1" w:color="auto"/>
          <w:right w:val="single" w:sz="4" w:space="4" w:color="auto"/>
        </w:pBdr>
        <w:wordWrap w:val="0"/>
        <w:ind w:left="850"/>
        <w:rPr>
          <w:rFonts w:eastAsia="Calibri"/>
          <w:noProof/>
          <w:sz w:val="20"/>
          <w:lang w:eastAsia="ja-JP"/>
        </w:rPr>
      </w:pPr>
      <w:r w:rsidRPr="00DF5C23">
        <w:rPr>
          <w:rFonts w:eastAsia="Calibri"/>
          <w:noProof/>
          <w:sz w:val="20"/>
          <w:lang w:eastAsia="ja-JP"/>
        </w:rPr>
        <w:t>必要なことを説明し、関連する見出しと予算枠、対応する金額、使用する手段を提案する。</w:t>
      </w:r>
    </w:p>
    <w:p w14:paraId="6F824420" w14:textId="2DAADD09" w:rsidR="0038775E" w:rsidRDefault="00877B9C" w:rsidP="002041D4">
      <w:pPr>
        <w:pStyle w:val="Bullet1"/>
        <w:wordWrap w:val="0"/>
        <w:rPr>
          <w:noProof/>
          <w:lang w:eastAsia="de-DE"/>
        </w:rPr>
      </w:pPr>
      <w:r w:rsidRPr="00DF5C23">
        <w:rPr>
          <w:noProof/>
          <w:lang w:eastAsia="de-DE"/>
        </w:rPr>
        <w:sym w:font="Wingdings" w:char="F0A8"/>
      </w:r>
      <w:r w:rsidRPr="00DF5C23">
        <w:rPr>
          <w:noProof/>
          <w:lang w:eastAsia="de-DE"/>
        </w:rPr>
        <w:tab/>
      </w:r>
      <w:r w:rsidRPr="00DF5C23">
        <w:rPr>
          <w:noProof/>
          <w:lang w:eastAsia="de-DE"/>
        </w:rPr>
        <w:t>は、</w:t>
      </w:r>
      <w:r w:rsidRPr="00DF5C23">
        <w:rPr>
          <w:noProof/>
          <w:lang w:eastAsia="de-DE"/>
        </w:rPr>
        <w:t>MFF</w:t>
      </w:r>
      <w:r w:rsidRPr="00DF5C23">
        <w:rPr>
          <w:noProof/>
          <w:lang w:eastAsia="de-DE"/>
        </w:rPr>
        <w:t>の改定を必要と</w:t>
      </w:r>
      <w:r w:rsidR="002041D4">
        <w:rPr>
          <w:noProof/>
          <w:lang w:eastAsia="de-DE"/>
        </w:rPr>
        <w:t>する</w:t>
      </w:r>
      <w:r w:rsidRPr="00DF5C23">
        <w:rPr>
          <w:noProof/>
          <w:lang w:eastAsia="de-DE"/>
        </w:rPr>
        <w:t>。</w:t>
      </w:r>
    </w:p>
    <w:p w14:paraId="737C842C" w14:textId="77777777" w:rsidR="0038775E" w:rsidRDefault="00877B9C" w:rsidP="002041D4">
      <w:pPr>
        <w:pBdr>
          <w:top w:val="single" w:sz="4" w:space="1" w:color="auto"/>
          <w:left w:val="single" w:sz="4" w:space="4" w:color="auto"/>
          <w:bottom w:val="single" w:sz="4" w:space="1" w:color="auto"/>
          <w:right w:val="single" w:sz="4" w:space="4" w:color="auto"/>
        </w:pBdr>
        <w:wordWrap w:val="0"/>
        <w:ind w:left="850"/>
        <w:rPr>
          <w:rFonts w:eastAsia="Calibri"/>
          <w:noProof/>
          <w:sz w:val="20"/>
          <w:lang w:eastAsia="ja-JP"/>
        </w:rPr>
      </w:pPr>
      <w:r w:rsidRPr="00DF5C23">
        <w:rPr>
          <w:rFonts w:eastAsia="Calibri"/>
          <w:noProof/>
          <w:sz w:val="20"/>
          <w:lang w:eastAsia="ja-JP"/>
        </w:rPr>
        <w:t>必要なことを説明し、該当する見出しと予算枠、対応する金額を明記する。</w:t>
      </w:r>
    </w:p>
    <w:p w14:paraId="0AE77244" w14:textId="77777777" w:rsidR="0038775E" w:rsidRDefault="00877B9C" w:rsidP="002041D4">
      <w:pPr>
        <w:pStyle w:val="ManualHeading3"/>
        <w:wordWrap w:val="0"/>
        <w:rPr>
          <w:noProof/>
          <w:lang w:eastAsia="ja-JP"/>
        </w:rPr>
      </w:pPr>
      <w:bookmarkStart w:id="63" w:name="_Toc514938058"/>
      <w:bookmarkStart w:id="64" w:name="_Toc520485056"/>
      <w:r w:rsidRPr="004F5E59">
        <w:rPr>
          <w:lang w:eastAsia="ja-JP"/>
        </w:rPr>
        <w:t>3.2.5.</w:t>
      </w:r>
      <w:r w:rsidRPr="004F5E59">
        <w:rPr>
          <w:lang w:eastAsia="ja-JP"/>
        </w:rPr>
        <w:tab/>
      </w:r>
      <w:r w:rsidR="00BF1765" w:rsidRPr="00DF5C23">
        <w:rPr>
          <w:noProof/>
          <w:lang w:eastAsia="ja-JP"/>
        </w:rPr>
        <w:t>第三者からの寄稿</w:t>
      </w:r>
      <w:r w:rsidR="00BF1765" w:rsidRPr="00DF5C23">
        <w:rPr>
          <w:noProof/>
          <w:lang w:eastAsia="ja-JP"/>
        </w:rPr>
        <w:t xml:space="preserve"> </w:t>
      </w:r>
      <w:bookmarkEnd w:id="63"/>
      <w:bookmarkEnd w:id="64"/>
    </w:p>
    <w:p w14:paraId="6C174BEE" w14:textId="77777777" w:rsidR="0038775E" w:rsidRDefault="00877B9C" w:rsidP="002041D4">
      <w:pPr>
        <w:wordWrap w:val="0"/>
        <w:ind w:left="850"/>
        <w:rPr>
          <w:rFonts w:eastAsia="Calibri"/>
          <w:noProof/>
          <w:lang w:eastAsia="ja-JP"/>
        </w:rPr>
      </w:pPr>
      <w:r w:rsidRPr="00DF5C23">
        <w:rPr>
          <w:rFonts w:eastAsia="Calibri"/>
          <w:noProof/>
          <w:lang w:eastAsia="ja-JP"/>
        </w:rPr>
        <w:t>提案・イニシアチブのこと：</w:t>
      </w:r>
    </w:p>
    <w:p w14:paraId="54C8D043" w14:textId="77777777" w:rsidR="0038775E" w:rsidRDefault="00877B9C" w:rsidP="002041D4">
      <w:pPr>
        <w:pStyle w:val="Bullet1"/>
        <w:wordWrap w:val="0"/>
        <w:rPr>
          <w:noProof/>
          <w:lang w:eastAsia="de-DE"/>
        </w:rPr>
      </w:pPr>
      <w:r w:rsidRPr="00DF5C23">
        <w:rPr>
          <w:noProof/>
          <w:lang w:eastAsia="de-DE"/>
        </w:rPr>
        <w:sym w:font="Wingdings" w:char="F0FE"/>
      </w:r>
      <w:r w:rsidRPr="00DF5C23">
        <w:rPr>
          <w:noProof/>
          <w:lang w:eastAsia="de-DE"/>
        </w:rPr>
        <w:tab/>
      </w:r>
      <w:r w:rsidRPr="00DF5C23">
        <w:rPr>
          <w:noProof/>
          <w:lang w:eastAsia="de-DE"/>
        </w:rPr>
        <w:t>第三者による協調融資を行わない。</w:t>
      </w:r>
    </w:p>
    <w:p w14:paraId="36EA7C46" w14:textId="6CBA7FC0" w:rsidR="0038775E" w:rsidRDefault="00877B9C" w:rsidP="002041D4">
      <w:pPr>
        <w:pStyle w:val="Bullet1"/>
        <w:wordWrap w:val="0"/>
        <w:rPr>
          <w:noProof/>
          <w:lang w:eastAsia="de-DE"/>
        </w:rPr>
      </w:pPr>
      <w:r w:rsidRPr="00DF5C23">
        <w:rPr>
          <w:noProof/>
          <w:lang w:eastAsia="de-DE"/>
        </w:rPr>
        <w:sym w:font="Wingdings" w:char="F0A8"/>
      </w:r>
      <w:r w:rsidRPr="00DF5C23">
        <w:rPr>
          <w:noProof/>
          <w:lang w:eastAsia="de-DE"/>
        </w:rPr>
        <w:tab/>
      </w:r>
      <w:r w:rsidRPr="00DF5C23">
        <w:rPr>
          <w:noProof/>
          <w:lang w:eastAsia="de-DE"/>
        </w:rPr>
        <w:t>は、以下のように見積もられた第三者による共同資金を提供</w:t>
      </w:r>
      <w:r w:rsidR="002041D4">
        <w:rPr>
          <w:noProof/>
          <w:lang w:eastAsia="de-DE"/>
        </w:rPr>
        <w:t>する</w:t>
      </w:r>
      <w:r w:rsidRPr="00DF5C23">
        <w:rPr>
          <w:noProof/>
          <w:lang w:eastAsia="de-DE"/>
        </w:rPr>
        <w:t>：</w:t>
      </w:r>
    </w:p>
    <w:p w14:paraId="5CAE4C6A" w14:textId="77777777" w:rsidR="0038775E" w:rsidRDefault="00877B9C" w:rsidP="002041D4">
      <w:pPr>
        <w:wordWrap w:val="0"/>
        <w:jc w:val="right"/>
        <w:rPr>
          <w:rFonts w:eastAsia="Calibri"/>
          <w:noProof/>
          <w:sz w:val="20"/>
          <w:lang w:eastAsia="ja-JP"/>
        </w:rPr>
      </w:pPr>
      <w:r w:rsidRPr="00DF5C23">
        <w:rPr>
          <w:rFonts w:eastAsia="Calibri"/>
          <w:noProof/>
          <w:sz w:val="20"/>
          <w:lang w:eastAsia="ja-JP"/>
        </w:rPr>
        <w:t>単位：百万ユーロ（小数点以下第三位）。</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BF1765" w:rsidRPr="00DF5C23" w14:paraId="2C3A5FDD" w14:textId="77777777" w:rsidTr="00743354">
        <w:trPr>
          <w:cantSplit/>
        </w:trPr>
        <w:tc>
          <w:tcPr>
            <w:tcW w:w="2340" w:type="dxa"/>
          </w:tcPr>
          <w:p w14:paraId="2C3A5FD6" w14:textId="77777777" w:rsidR="00BF1765" w:rsidRPr="00DF5C23" w:rsidRDefault="00BF1765" w:rsidP="002041D4">
            <w:pPr>
              <w:wordWrap w:val="0"/>
              <w:spacing w:before="60" w:after="60"/>
              <w:rPr>
                <w:rFonts w:eastAsia="Calibri"/>
                <w:noProof/>
                <w:sz w:val="20"/>
                <w:lang w:eastAsia="ja-JP"/>
              </w:rPr>
            </w:pPr>
          </w:p>
        </w:tc>
        <w:tc>
          <w:tcPr>
            <w:tcW w:w="964" w:type="dxa"/>
            <w:vAlign w:val="center"/>
          </w:tcPr>
          <w:p w14:paraId="25B6672F" w14:textId="77777777" w:rsidR="0038775E" w:rsidRDefault="00877B9C" w:rsidP="002041D4">
            <w:pPr>
              <w:wordWrap w:val="0"/>
              <w:jc w:val="center"/>
              <w:rPr>
                <w:rFonts w:eastAsia="Calibri"/>
                <w:noProof/>
                <w:sz w:val="20"/>
              </w:rPr>
            </w:pPr>
            <w:r w:rsidRPr="00DF5C23">
              <w:rPr>
                <w:rFonts w:eastAsia="Calibri"/>
                <w:noProof/>
                <w:sz w:val="20"/>
                <w:szCs w:val="20"/>
              </w:rPr>
              <w:t>年</w:t>
            </w:r>
            <w:r w:rsidRPr="00DF5C23">
              <w:rPr>
                <w:rFonts w:eastAsia="Calibri"/>
                <w:noProof/>
                <w:sz w:val="22"/>
              </w:rPr>
              <w:br/>
            </w:r>
            <w:r w:rsidRPr="00DF5C23">
              <w:rPr>
                <w:rFonts w:eastAsia="Calibri"/>
                <w:b/>
                <w:bCs/>
                <w:noProof/>
                <w:sz w:val="20"/>
                <w:szCs w:val="20"/>
              </w:rPr>
              <w:t>N</w:t>
            </w:r>
            <w:r w:rsidR="004C3D41" w:rsidRPr="00DF5C23">
              <w:rPr>
                <w:rStyle w:val="afa"/>
                <w:rFonts w:eastAsia="Calibri"/>
                <w:b/>
                <w:bCs/>
                <w:noProof/>
                <w:sz w:val="20"/>
                <w:szCs w:val="20"/>
              </w:rPr>
              <w:footnoteReference w:id="106"/>
            </w:r>
          </w:p>
        </w:tc>
        <w:tc>
          <w:tcPr>
            <w:tcW w:w="964" w:type="dxa"/>
            <w:vAlign w:val="center"/>
          </w:tcPr>
          <w:p w14:paraId="0316861C" w14:textId="77777777" w:rsidR="0038775E" w:rsidRDefault="00877B9C" w:rsidP="002041D4">
            <w:pPr>
              <w:wordWrap w:val="0"/>
              <w:jc w:val="center"/>
              <w:rPr>
                <w:rFonts w:eastAsia="Calibri"/>
                <w:noProof/>
                <w:sz w:val="20"/>
              </w:rPr>
            </w:pPr>
            <w:r w:rsidRPr="00DF5C23">
              <w:rPr>
                <w:rFonts w:eastAsia="Calibri"/>
                <w:noProof/>
                <w:sz w:val="20"/>
              </w:rPr>
              <w:t>年</w:t>
            </w:r>
            <w:r w:rsidRPr="00DF5C23">
              <w:rPr>
                <w:rFonts w:eastAsia="Calibri"/>
                <w:noProof/>
                <w:sz w:val="22"/>
              </w:rPr>
              <w:br/>
            </w:r>
            <w:r w:rsidRPr="00DF5C23">
              <w:rPr>
                <w:rFonts w:eastAsia="Calibri"/>
                <w:b/>
                <w:noProof/>
                <w:sz w:val="20"/>
              </w:rPr>
              <w:t>N+1</w:t>
            </w:r>
          </w:p>
        </w:tc>
        <w:tc>
          <w:tcPr>
            <w:tcW w:w="964" w:type="dxa"/>
            <w:vAlign w:val="center"/>
          </w:tcPr>
          <w:p w14:paraId="1223857D" w14:textId="77777777" w:rsidR="0038775E" w:rsidRDefault="00877B9C" w:rsidP="002041D4">
            <w:pPr>
              <w:wordWrap w:val="0"/>
              <w:jc w:val="center"/>
              <w:rPr>
                <w:rFonts w:eastAsia="Calibri"/>
                <w:noProof/>
                <w:sz w:val="20"/>
              </w:rPr>
            </w:pPr>
            <w:r w:rsidRPr="00DF5C23">
              <w:rPr>
                <w:rFonts w:eastAsia="Calibri"/>
                <w:noProof/>
                <w:sz w:val="20"/>
              </w:rPr>
              <w:t>年</w:t>
            </w:r>
            <w:r w:rsidRPr="00DF5C23">
              <w:rPr>
                <w:rFonts w:eastAsia="Calibri"/>
                <w:noProof/>
                <w:sz w:val="22"/>
              </w:rPr>
              <w:br/>
            </w:r>
            <w:r w:rsidRPr="00DF5C23">
              <w:rPr>
                <w:rFonts w:eastAsia="Calibri"/>
                <w:b/>
                <w:noProof/>
                <w:sz w:val="20"/>
              </w:rPr>
              <w:t>N+2</w:t>
            </w:r>
          </w:p>
        </w:tc>
        <w:tc>
          <w:tcPr>
            <w:tcW w:w="964" w:type="dxa"/>
            <w:vAlign w:val="center"/>
          </w:tcPr>
          <w:p w14:paraId="77C4D16B" w14:textId="77777777" w:rsidR="0038775E" w:rsidRDefault="00877B9C" w:rsidP="002041D4">
            <w:pPr>
              <w:wordWrap w:val="0"/>
              <w:jc w:val="center"/>
              <w:rPr>
                <w:rFonts w:eastAsia="Calibri"/>
                <w:noProof/>
                <w:sz w:val="20"/>
              </w:rPr>
            </w:pPr>
            <w:r w:rsidRPr="00DF5C23">
              <w:rPr>
                <w:rFonts w:eastAsia="Calibri"/>
                <w:noProof/>
                <w:sz w:val="20"/>
              </w:rPr>
              <w:t>年</w:t>
            </w:r>
            <w:r w:rsidRPr="00DF5C23">
              <w:rPr>
                <w:rFonts w:eastAsia="Calibri"/>
                <w:noProof/>
                <w:sz w:val="22"/>
              </w:rPr>
              <w:br/>
            </w:r>
            <w:r w:rsidRPr="00DF5C23">
              <w:rPr>
                <w:rFonts w:eastAsia="Calibri"/>
                <w:b/>
                <w:noProof/>
                <w:sz w:val="20"/>
              </w:rPr>
              <w:t>N+3</w:t>
            </w:r>
          </w:p>
        </w:tc>
        <w:tc>
          <w:tcPr>
            <w:tcW w:w="2892" w:type="dxa"/>
            <w:gridSpan w:val="3"/>
            <w:vAlign w:val="center"/>
          </w:tcPr>
          <w:p w14:paraId="54A2F1E0" w14:textId="77777777" w:rsidR="0038775E" w:rsidRDefault="00877B9C" w:rsidP="002041D4">
            <w:pPr>
              <w:wordWrap w:val="0"/>
              <w:jc w:val="center"/>
              <w:rPr>
                <w:rFonts w:eastAsia="Calibri"/>
                <w:b/>
                <w:noProof/>
                <w:sz w:val="20"/>
                <w:lang w:eastAsia="ja-JP"/>
              </w:rPr>
            </w:pPr>
            <w:r w:rsidRPr="00DF5C23">
              <w:rPr>
                <w:rFonts w:eastAsia="Calibri"/>
                <w:noProof/>
                <w:sz w:val="20"/>
                <w:lang w:eastAsia="ja-JP"/>
              </w:rPr>
              <w:t>影響の持続期間を示すために必要な年数を入力する（ポイント</w:t>
            </w:r>
            <w:r w:rsidRPr="00DF5C23">
              <w:rPr>
                <w:rFonts w:eastAsia="Calibri"/>
                <w:noProof/>
                <w:sz w:val="20"/>
                <w:lang w:eastAsia="ja-JP"/>
              </w:rPr>
              <w:t>1.6</w:t>
            </w:r>
            <w:r w:rsidRPr="00DF5C23">
              <w:rPr>
                <w:rFonts w:eastAsia="Calibri"/>
                <w:noProof/>
                <w:sz w:val="20"/>
                <w:lang w:eastAsia="ja-JP"/>
              </w:rPr>
              <w:t>参照）。</w:t>
            </w:r>
          </w:p>
        </w:tc>
        <w:tc>
          <w:tcPr>
            <w:tcW w:w="1158" w:type="dxa"/>
            <w:vAlign w:val="center"/>
          </w:tcPr>
          <w:p w14:paraId="0A260FE5" w14:textId="77777777" w:rsidR="0038775E" w:rsidRDefault="00877B9C" w:rsidP="002041D4">
            <w:pPr>
              <w:wordWrap w:val="0"/>
              <w:spacing w:before="60" w:after="60"/>
              <w:jc w:val="center"/>
              <w:rPr>
                <w:rFonts w:eastAsia="Calibri"/>
                <w:noProof/>
                <w:sz w:val="20"/>
              </w:rPr>
            </w:pPr>
            <w:r w:rsidRPr="00DF5C23">
              <w:rPr>
                <w:rFonts w:eastAsia="Calibri"/>
                <w:noProof/>
                <w:sz w:val="20"/>
              </w:rPr>
              <w:t>合計</w:t>
            </w:r>
          </w:p>
        </w:tc>
      </w:tr>
      <w:tr w:rsidR="00BF1765" w:rsidRPr="00DF5C23" w14:paraId="2C3A5FE7" w14:textId="77777777" w:rsidTr="00743354">
        <w:trPr>
          <w:cantSplit/>
        </w:trPr>
        <w:tc>
          <w:tcPr>
            <w:tcW w:w="2340" w:type="dxa"/>
          </w:tcPr>
          <w:p w14:paraId="713C7EC8" w14:textId="77777777" w:rsidR="0038775E" w:rsidRDefault="00877B9C" w:rsidP="002041D4">
            <w:pPr>
              <w:wordWrap w:val="0"/>
              <w:rPr>
                <w:rFonts w:eastAsia="Calibri"/>
                <w:noProof/>
              </w:rPr>
            </w:pPr>
            <w:r w:rsidRPr="00DF5C23">
              <w:rPr>
                <w:rFonts w:eastAsia="Calibri"/>
                <w:noProof/>
                <w:sz w:val="20"/>
              </w:rPr>
              <w:t>協調融資</w:t>
            </w:r>
            <w:r w:rsidRPr="00DF5C23">
              <w:rPr>
                <w:rFonts w:eastAsia="Calibri"/>
                <w:i/>
                <w:noProof/>
                <w:sz w:val="20"/>
              </w:rPr>
              <w:t>機関の</w:t>
            </w:r>
            <w:r w:rsidRPr="00DF5C23">
              <w:rPr>
                <w:rFonts w:eastAsia="Calibri"/>
                <w:noProof/>
                <w:sz w:val="20"/>
              </w:rPr>
              <w:t>指定</w:t>
            </w:r>
            <w:r w:rsidRPr="00DF5C23">
              <w:rPr>
                <w:rFonts w:eastAsia="Calibri"/>
                <w:noProof/>
                <w:sz w:val="20"/>
              </w:rPr>
              <w:t xml:space="preserve"> </w:t>
            </w:r>
          </w:p>
        </w:tc>
        <w:tc>
          <w:tcPr>
            <w:tcW w:w="964" w:type="dxa"/>
            <w:vAlign w:val="center"/>
          </w:tcPr>
          <w:p w14:paraId="2C3A5FDF" w14:textId="77777777" w:rsidR="00BF1765" w:rsidRPr="00DF5C23" w:rsidRDefault="00BF1765" w:rsidP="002041D4">
            <w:pPr>
              <w:wordWrap w:val="0"/>
              <w:spacing w:before="60" w:after="60"/>
              <w:jc w:val="center"/>
              <w:rPr>
                <w:rFonts w:eastAsia="Calibri"/>
                <w:noProof/>
                <w:sz w:val="20"/>
              </w:rPr>
            </w:pPr>
          </w:p>
        </w:tc>
        <w:tc>
          <w:tcPr>
            <w:tcW w:w="964" w:type="dxa"/>
            <w:vAlign w:val="center"/>
          </w:tcPr>
          <w:p w14:paraId="2C3A5FE0" w14:textId="77777777" w:rsidR="00BF1765" w:rsidRPr="00DF5C23" w:rsidRDefault="00BF1765" w:rsidP="002041D4">
            <w:pPr>
              <w:wordWrap w:val="0"/>
              <w:spacing w:before="60" w:after="60"/>
              <w:jc w:val="center"/>
              <w:rPr>
                <w:rFonts w:eastAsia="Calibri"/>
                <w:noProof/>
                <w:sz w:val="20"/>
              </w:rPr>
            </w:pPr>
          </w:p>
        </w:tc>
        <w:tc>
          <w:tcPr>
            <w:tcW w:w="964" w:type="dxa"/>
            <w:vAlign w:val="center"/>
          </w:tcPr>
          <w:p w14:paraId="2C3A5FE1" w14:textId="77777777" w:rsidR="00BF1765" w:rsidRPr="00DF5C23" w:rsidRDefault="00BF1765" w:rsidP="002041D4">
            <w:pPr>
              <w:wordWrap w:val="0"/>
              <w:spacing w:before="60" w:after="60"/>
              <w:jc w:val="center"/>
              <w:rPr>
                <w:rFonts w:eastAsia="Calibri"/>
                <w:noProof/>
                <w:sz w:val="20"/>
              </w:rPr>
            </w:pPr>
          </w:p>
        </w:tc>
        <w:tc>
          <w:tcPr>
            <w:tcW w:w="964" w:type="dxa"/>
            <w:vAlign w:val="center"/>
          </w:tcPr>
          <w:p w14:paraId="2C3A5FE2" w14:textId="77777777" w:rsidR="00BF1765" w:rsidRPr="00DF5C23" w:rsidRDefault="00BF1765" w:rsidP="002041D4">
            <w:pPr>
              <w:wordWrap w:val="0"/>
              <w:spacing w:before="60" w:after="60"/>
              <w:jc w:val="center"/>
              <w:rPr>
                <w:rFonts w:eastAsia="Calibri"/>
                <w:noProof/>
                <w:sz w:val="20"/>
              </w:rPr>
            </w:pPr>
          </w:p>
        </w:tc>
        <w:tc>
          <w:tcPr>
            <w:tcW w:w="964" w:type="dxa"/>
            <w:vAlign w:val="center"/>
          </w:tcPr>
          <w:p w14:paraId="2C3A5FE3" w14:textId="77777777" w:rsidR="00BF1765" w:rsidRPr="00DF5C23" w:rsidRDefault="00BF1765" w:rsidP="002041D4">
            <w:pPr>
              <w:wordWrap w:val="0"/>
              <w:spacing w:before="60" w:after="60"/>
              <w:jc w:val="center"/>
              <w:rPr>
                <w:rFonts w:eastAsia="Calibri"/>
                <w:noProof/>
                <w:sz w:val="20"/>
              </w:rPr>
            </w:pPr>
          </w:p>
        </w:tc>
        <w:tc>
          <w:tcPr>
            <w:tcW w:w="964" w:type="dxa"/>
            <w:vAlign w:val="center"/>
          </w:tcPr>
          <w:p w14:paraId="2C3A5FE4" w14:textId="77777777" w:rsidR="00BF1765" w:rsidRPr="00DF5C23" w:rsidRDefault="00BF1765" w:rsidP="002041D4">
            <w:pPr>
              <w:wordWrap w:val="0"/>
              <w:spacing w:before="60" w:after="60"/>
              <w:jc w:val="center"/>
              <w:rPr>
                <w:rFonts w:eastAsia="Calibri"/>
                <w:noProof/>
                <w:sz w:val="20"/>
              </w:rPr>
            </w:pPr>
          </w:p>
        </w:tc>
        <w:tc>
          <w:tcPr>
            <w:tcW w:w="964" w:type="dxa"/>
            <w:vAlign w:val="center"/>
          </w:tcPr>
          <w:p w14:paraId="2C3A5FE5" w14:textId="77777777" w:rsidR="00BF1765" w:rsidRPr="00DF5C23" w:rsidRDefault="00BF1765" w:rsidP="002041D4">
            <w:pPr>
              <w:wordWrap w:val="0"/>
              <w:spacing w:before="60" w:after="60"/>
              <w:jc w:val="center"/>
              <w:rPr>
                <w:rFonts w:eastAsia="Calibri"/>
                <w:noProof/>
                <w:sz w:val="20"/>
              </w:rPr>
            </w:pPr>
          </w:p>
        </w:tc>
        <w:tc>
          <w:tcPr>
            <w:tcW w:w="1158" w:type="dxa"/>
            <w:vAlign w:val="center"/>
          </w:tcPr>
          <w:p w14:paraId="2C3A5FE6" w14:textId="77777777" w:rsidR="00BF1765" w:rsidRPr="00DF5C23" w:rsidRDefault="00BF1765" w:rsidP="002041D4">
            <w:pPr>
              <w:wordWrap w:val="0"/>
              <w:spacing w:before="60" w:after="60"/>
              <w:jc w:val="center"/>
              <w:rPr>
                <w:rFonts w:eastAsia="Calibri"/>
                <w:noProof/>
                <w:sz w:val="20"/>
              </w:rPr>
            </w:pPr>
          </w:p>
        </w:tc>
      </w:tr>
      <w:tr w:rsidR="00BF1765" w:rsidRPr="00DF5C23" w14:paraId="2C3A5FF1" w14:textId="77777777" w:rsidTr="00743354">
        <w:trPr>
          <w:cantSplit/>
        </w:trPr>
        <w:tc>
          <w:tcPr>
            <w:tcW w:w="2340" w:type="dxa"/>
          </w:tcPr>
          <w:p w14:paraId="38D8C082" w14:textId="77777777" w:rsidR="0038775E" w:rsidRDefault="00877B9C" w:rsidP="002041D4">
            <w:pPr>
              <w:wordWrap w:val="0"/>
              <w:spacing w:before="60" w:after="60"/>
              <w:jc w:val="left"/>
              <w:rPr>
                <w:rFonts w:eastAsia="Calibri"/>
                <w:noProof/>
                <w:sz w:val="20"/>
                <w:lang w:eastAsia="ja-JP"/>
              </w:rPr>
            </w:pPr>
            <w:r w:rsidRPr="00DF5C23">
              <w:rPr>
                <w:rFonts w:eastAsia="Calibri"/>
                <w:noProof/>
                <w:sz w:val="20"/>
                <w:lang w:eastAsia="ja-JP"/>
              </w:rPr>
              <w:t>共同出資の合計計上額</w:t>
            </w:r>
            <w:r w:rsidRPr="00DF5C23">
              <w:rPr>
                <w:rFonts w:eastAsia="Calibri"/>
                <w:noProof/>
                <w:sz w:val="20"/>
                <w:lang w:eastAsia="ja-JP"/>
              </w:rPr>
              <w:t xml:space="preserve"> </w:t>
            </w:r>
          </w:p>
        </w:tc>
        <w:tc>
          <w:tcPr>
            <w:tcW w:w="964" w:type="dxa"/>
            <w:vAlign w:val="center"/>
          </w:tcPr>
          <w:p w14:paraId="2C3A5FE9" w14:textId="77777777" w:rsidR="00BF1765" w:rsidRPr="00DF5C23" w:rsidRDefault="00BF1765" w:rsidP="002041D4">
            <w:pPr>
              <w:wordWrap w:val="0"/>
              <w:spacing w:before="60" w:after="60"/>
              <w:jc w:val="center"/>
              <w:rPr>
                <w:rFonts w:eastAsia="Calibri"/>
                <w:noProof/>
                <w:sz w:val="20"/>
                <w:lang w:eastAsia="ja-JP"/>
              </w:rPr>
            </w:pPr>
          </w:p>
        </w:tc>
        <w:tc>
          <w:tcPr>
            <w:tcW w:w="964" w:type="dxa"/>
            <w:vAlign w:val="center"/>
          </w:tcPr>
          <w:p w14:paraId="2C3A5FEA" w14:textId="77777777" w:rsidR="00BF1765" w:rsidRPr="00DF5C23" w:rsidRDefault="00BF1765" w:rsidP="002041D4">
            <w:pPr>
              <w:wordWrap w:val="0"/>
              <w:spacing w:before="60" w:after="60"/>
              <w:jc w:val="center"/>
              <w:rPr>
                <w:rFonts w:eastAsia="Calibri"/>
                <w:noProof/>
                <w:sz w:val="20"/>
                <w:lang w:eastAsia="ja-JP"/>
              </w:rPr>
            </w:pPr>
          </w:p>
        </w:tc>
        <w:tc>
          <w:tcPr>
            <w:tcW w:w="964" w:type="dxa"/>
            <w:vAlign w:val="center"/>
          </w:tcPr>
          <w:p w14:paraId="2C3A5FEB" w14:textId="77777777" w:rsidR="00BF1765" w:rsidRPr="00DF5C23" w:rsidRDefault="00BF1765" w:rsidP="002041D4">
            <w:pPr>
              <w:wordWrap w:val="0"/>
              <w:spacing w:before="60" w:after="60"/>
              <w:jc w:val="center"/>
              <w:rPr>
                <w:rFonts w:eastAsia="Calibri"/>
                <w:noProof/>
                <w:sz w:val="20"/>
                <w:lang w:eastAsia="ja-JP"/>
              </w:rPr>
            </w:pPr>
          </w:p>
        </w:tc>
        <w:tc>
          <w:tcPr>
            <w:tcW w:w="964" w:type="dxa"/>
            <w:vAlign w:val="center"/>
          </w:tcPr>
          <w:p w14:paraId="2C3A5FEC" w14:textId="77777777" w:rsidR="00BF1765" w:rsidRPr="00DF5C23" w:rsidRDefault="00BF1765" w:rsidP="002041D4">
            <w:pPr>
              <w:wordWrap w:val="0"/>
              <w:spacing w:before="60" w:after="60"/>
              <w:jc w:val="center"/>
              <w:rPr>
                <w:rFonts w:eastAsia="Calibri"/>
                <w:noProof/>
                <w:sz w:val="20"/>
                <w:lang w:eastAsia="ja-JP"/>
              </w:rPr>
            </w:pPr>
          </w:p>
        </w:tc>
        <w:tc>
          <w:tcPr>
            <w:tcW w:w="964" w:type="dxa"/>
            <w:vAlign w:val="center"/>
          </w:tcPr>
          <w:p w14:paraId="2C3A5FED" w14:textId="77777777" w:rsidR="00BF1765" w:rsidRPr="00DF5C23" w:rsidRDefault="00BF1765" w:rsidP="002041D4">
            <w:pPr>
              <w:wordWrap w:val="0"/>
              <w:spacing w:before="60" w:after="60"/>
              <w:jc w:val="center"/>
              <w:rPr>
                <w:rFonts w:eastAsia="Calibri"/>
                <w:noProof/>
                <w:sz w:val="20"/>
                <w:lang w:eastAsia="ja-JP"/>
              </w:rPr>
            </w:pPr>
          </w:p>
        </w:tc>
        <w:tc>
          <w:tcPr>
            <w:tcW w:w="964" w:type="dxa"/>
            <w:vAlign w:val="center"/>
          </w:tcPr>
          <w:p w14:paraId="2C3A5FEE" w14:textId="77777777" w:rsidR="00BF1765" w:rsidRPr="00DF5C23" w:rsidRDefault="00BF1765" w:rsidP="002041D4">
            <w:pPr>
              <w:wordWrap w:val="0"/>
              <w:spacing w:before="60" w:after="60"/>
              <w:jc w:val="center"/>
              <w:rPr>
                <w:rFonts w:eastAsia="Calibri"/>
                <w:noProof/>
                <w:sz w:val="20"/>
                <w:lang w:eastAsia="ja-JP"/>
              </w:rPr>
            </w:pPr>
          </w:p>
        </w:tc>
        <w:tc>
          <w:tcPr>
            <w:tcW w:w="964" w:type="dxa"/>
            <w:vAlign w:val="center"/>
          </w:tcPr>
          <w:p w14:paraId="2C3A5FEF" w14:textId="77777777" w:rsidR="00BF1765" w:rsidRPr="00DF5C23" w:rsidRDefault="00BF1765" w:rsidP="002041D4">
            <w:pPr>
              <w:wordWrap w:val="0"/>
              <w:spacing w:before="60" w:after="60"/>
              <w:jc w:val="center"/>
              <w:rPr>
                <w:rFonts w:eastAsia="Calibri"/>
                <w:noProof/>
                <w:sz w:val="20"/>
                <w:lang w:eastAsia="ja-JP"/>
              </w:rPr>
            </w:pPr>
          </w:p>
        </w:tc>
        <w:tc>
          <w:tcPr>
            <w:tcW w:w="1158" w:type="dxa"/>
            <w:vAlign w:val="center"/>
          </w:tcPr>
          <w:p w14:paraId="2C3A5FF0" w14:textId="77777777" w:rsidR="00BF1765" w:rsidRPr="00DF5C23" w:rsidRDefault="00BF1765" w:rsidP="002041D4">
            <w:pPr>
              <w:wordWrap w:val="0"/>
              <w:spacing w:before="60" w:after="60"/>
              <w:jc w:val="center"/>
              <w:rPr>
                <w:rFonts w:eastAsia="Calibri"/>
                <w:noProof/>
                <w:sz w:val="20"/>
                <w:lang w:eastAsia="ja-JP"/>
              </w:rPr>
            </w:pPr>
          </w:p>
        </w:tc>
      </w:tr>
    </w:tbl>
    <w:p w14:paraId="2C3A5FF2" w14:textId="77777777" w:rsidR="00BF1765" w:rsidRPr="00DF5C23" w:rsidRDefault="00BF1765" w:rsidP="002041D4">
      <w:pPr>
        <w:wordWrap w:val="0"/>
        <w:rPr>
          <w:rFonts w:eastAsia="Calibri"/>
          <w:noProof/>
          <w:lang w:eastAsia="ja-JP"/>
        </w:rPr>
      </w:pPr>
    </w:p>
    <w:p w14:paraId="6E5E0CD2" w14:textId="77777777" w:rsidR="0038775E" w:rsidRDefault="00877B9C" w:rsidP="002041D4">
      <w:pPr>
        <w:pStyle w:val="ManualHeading2"/>
        <w:wordWrap w:val="0"/>
        <w:rPr>
          <w:bCs/>
          <w:noProof/>
          <w:szCs w:val="24"/>
        </w:rPr>
      </w:pPr>
      <w:r w:rsidRPr="00DF5C23">
        <w:rPr>
          <w:rFonts w:eastAsia="Times New Roman"/>
          <w:noProof/>
          <w:lang w:eastAsia="ja-JP"/>
        </w:rPr>
        <w:br w:type="page"/>
      </w:r>
      <w:bookmarkStart w:id="65" w:name="_Toc514938059"/>
      <w:bookmarkStart w:id="66" w:name="_Toc520485057"/>
      <w:r w:rsidR="004F5E59" w:rsidRPr="004F5E59">
        <w:lastRenderedPageBreak/>
        <w:t>3.3.</w:t>
      </w:r>
      <w:r w:rsidR="004F5E59" w:rsidRPr="004F5E59">
        <w:tab/>
      </w:r>
      <w:r w:rsidR="003102BB" w:rsidRPr="00DF5C23">
        <w:rPr>
          <w:noProof/>
        </w:rPr>
        <w:t>収入への影響の試算</w:t>
      </w:r>
      <w:r w:rsidR="003102BB" w:rsidRPr="00DF5C23">
        <w:rPr>
          <w:noProof/>
        </w:rPr>
        <w:t xml:space="preserve"> </w:t>
      </w:r>
      <w:bookmarkEnd w:id="65"/>
      <w:bookmarkEnd w:id="66"/>
    </w:p>
    <w:p w14:paraId="291ECD13" w14:textId="7795B642" w:rsidR="0038775E" w:rsidRDefault="00877B9C" w:rsidP="002041D4">
      <w:pPr>
        <w:pStyle w:val="Bullet1"/>
        <w:wordWrap w:val="0"/>
        <w:rPr>
          <w:noProof/>
          <w:lang w:eastAsia="de-DE"/>
        </w:rPr>
      </w:pPr>
      <w:r w:rsidRPr="00DF5C23">
        <w:rPr>
          <w:noProof/>
          <w:lang w:eastAsia="de-DE"/>
        </w:rPr>
        <w:sym w:font="Wingdings" w:char="F0FE"/>
      </w:r>
      <w:r w:rsidRPr="00DF5C23">
        <w:rPr>
          <w:noProof/>
          <w:lang w:eastAsia="de-DE"/>
        </w:rPr>
        <w:tab/>
      </w:r>
      <w:r w:rsidRPr="00DF5C23">
        <w:rPr>
          <w:noProof/>
          <w:lang w:eastAsia="de-DE"/>
        </w:rPr>
        <w:t>この提案</w:t>
      </w:r>
      <w:r w:rsidRPr="00DF5C23">
        <w:rPr>
          <w:noProof/>
          <w:lang w:eastAsia="de-DE"/>
        </w:rPr>
        <w:t>/</w:t>
      </w:r>
      <w:r w:rsidRPr="00DF5C23">
        <w:rPr>
          <w:noProof/>
          <w:lang w:eastAsia="de-DE"/>
        </w:rPr>
        <w:t>取り組みは、収入に金銭的な影響を与えるものでは</w:t>
      </w:r>
      <w:r w:rsidR="002041D4">
        <w:rPr>
          <w:noProof/>
          <w:lang w:eastAsia="de-DE"/>
        </w:rPr>
        <w:t>ない</w:t>
      </w:r>
      <w:r w:rsidRPr="00DF5C23">
        <w:rPr>
          <w:noProof/>
          <w:lang w:eastAsia="de-DE"/>
        </w:rPr>
        <w:t>。</w:t>
      </w:r>
    </w:p>
    <w:p w14:paraId="1DAE2440" w14:textId="77777777" w:rsidR="0038775E" w:rsidRDefault="00877B9C" w:rsidP="002041D4">
      <w:pPr>
        <w:pStyle w:val="Bullet1"/>
        <w:wordWrap w:val="0"/>
        <w:rPr>
          <w:noProof/>
          <w:lang w:eastAsia="de-DE"/>
        </w:rPr>
      </w:pPr>
      <w:r w:rsidRPr="00DF5C23">
        <w:rPr>
          <w:noProof/>
          <w:lang w:eastAsia="de-DE"/>
        </w:rPr>
        <w:sym w:font="Wingdings" w:char="F0A8"/>
      </w:r>
      <w:r w:rsidRPr="00DF5C23">
        <w:rPr>
          <w:noProof/>
          <w:lang w:eastAsia="de-DE"/>
        </w:rPr>
        <w:tab/>
      </w:r>
      <w:r w:rsidRPr="00DF5C23">
        <w:rPr>
          <w:noProof/>
          <w:lang w:eastAsia="de-DE"/>
        </w:rPr>
        <w:t>この提案／イニシアチブは、以下の財務的影響を及ぼす：</w:t>
      </w:r>
    </w:p>
    <w:p w14:paraId="3CB176A1" w14:textId="77777777" w:rsidR="0038775E" w:rsidRDefault="00877B9C" w:rsidP="002041D4">
      <w:pPr>
        <w:pStyle w:val="Bullet2"/>
        <w:numPr>
          <w:ilvl w:val="0"/>
          <w:numId w:val="94"/>
        </w:numPr>
        <w:wordWrap w:val="0"/>
        <w:rPr>
          <w:noProof/>
          <w:lang w:eastAsia="de-DE"/>
        </w:rPr>
      </w:pPr>
      <w:r w:rsidRPr="00DF5C23">
        <w:rPr>
          <w:noProof/>
          <w:lang w:eastAsia="de-DE"/>
        </w:rPr>
        <w:sym w:font="Wingdings" w:char="F0A8"/>
      </w:r>
      <w:r w:rsidRPr="00DF5C23">
        <w:rPr>
          <w:noProof/>
          <w:lang w:eastAsia="de-DE"/>
        </w:rPr>
        <w:tab/>
      </w:r>
      <w:r w:rsidRPr="00DF5C23">
        <w:rPr>
          <w:noProof/>
          <w:lang w:eastAsia="de-DE"/>
        </w:rPr>
        <w:t>自己資源で</w:t>
      </w:r>
      <w:r w:rsidRPr="00DF5C23">
        <w:rPr>
          <w:noProof/>
          <w:lang w:eastAsia="de-DE"/>
        </w:rPr>
        <w:t xml:space="preserve"> </w:t>
      </w:r>
    </w:p>
    <w:p w14:paraId="7F20CDFC" w14:textId="77777777" w:rsidR="0038775E" w:rsidRDefault="00877B9C" w:rsidP="002041D4">
      <w:pPr>
        <w:pStyle w:val="Bullet2"/>
        <w:wordWrap w:val="0"/>
        <w:rPr>
          <w:noProof/>
          <w:lang w:eastAsia="de-DE"/>
        </w:rPr>
      </w:pPr>
      <w:r w:rsidRPr="00DF5C23">
        <w:rPr>
          <w:noProof/>
          <w:lang w:eastAsia="de-DE"/>
        </w:rPr>
        <w:sym w:font="Wingdings" w:char="F0A8"/>
      </w:r>
      <w:r w:rsidRPr="00DF5C23">
        <w:rPr>
          <w:noProof/>
          <w:lang w:eastAsia="de-DE"/>
        </w:rPr>
        <w:tab/>
      </w:r>
      <w:r w:rsidRPr="00DF5C23">
        <w:rPr>
          <w:noProof/>
          <w:lang w:eastAsia="de-DE"/>
        </w:rPr>
        <w:t>その他の収入について</w:t>
      </w:r>
    </w:p>
    <w:p w14:paraId="288B3209" w14:textId="7B82852E" w:rsidR="0038775E" w:rsidRDefault="00877B9C" w:rsidP="002041D4">
      <w:pPr>
        <w:pStyle w:val="Bullet2"/>
        <w:wordWrap w:val="0"/>
        <w:rPr>
          <w:noProof/>
          <w:lang w:eastAsia="de-DE"/>
        </w:rPr>
      </w:pPr>
      <w:r w:rsidRPr="00DF5C23">
        <w:rPr>
          <w:noProof/>
          <w:lang w:eastAsia="de-DE"/>
        </w:rPr>
        <w:t>収益が支出項目に割り当てられている場合は、その旨ご記入</w:t>
      </w:r>
      <w:r w:rsidR="002041D4">
        <w:rPr>
          <w:noProof/>
          <w:lang w:eastAsia="de-DE"/>
        </w:rPr>
        <w:t>ほしい</w:t>
      </w:r>
      <w:r w:rsidRPr="00DF5C23">
        <w:rPr>
          <w:noProof/>
          <w:lang w:eastAsia="de-DE"/>
        </w:rPr>
        <w:t>。</w:t>
      </w:r>
      <w:r w:rsidRPr="00DF5C23">
        <w:rPr>
          <w:noProof/>
          <w:lang w:eastAsia="de-DE"/>
        </w:rPr>
        <w:t xml:space="preserve"> </w:t>
      </w:r>
      <w:r w:rsidRPr="00DF5C23">
        <w:rPr>
          <w:noProof/>
          <w:lang w:eastAsia="de-DE"/>
        </w:rPr>
        <w:sym w:font="Wingdings" w:char="F0A8"/>
      </w:r>
      <w:r w:rsidRPr="00DF5C23">
        <w:rPr>
          <w:noProof/>
          <w:lang w:eastAsia="de-DE"/>
        </w:rPr>
        <w:tab/>
      </w:r>
    </w:p>
    <w:p w14:paraId="7F0B55E9" w14:textId="77777777" w:rsidR="0038775E" w:rsidRDefault="00877B9C" w:rsidP="002041D4">
      <w:pPr>
        <w:wordWrap w:val="0"/>
        <w:ind w:left="4320"/>
        <w:rPr>
          <w:rFonts w:eastAsia="Calibri"/>
          <w:i/>
          <w:noProof/>
          <w:sz w:val="20"/>
          <w:lang w:eastAsia="ja-JP"/>
        </w:rPr>
      </w:pPr>
      <w:r w:rsidRPr="00DF5C23">
        <w:rPr>
          <w:rFonts w:eastAsia="Calibri"/>
          <w:noProof/>
          <w:lang w:eastAsia="ja-JP"/>
        </w:rPr>
        <w:t xml:space="preserve">     </w:t>
      </w:r>
      <w:r w:rsidRPr="00DF5C23">
        <w:rPr>
          <w:rFonts w:eastAsia="Calibri"/>
          <w:noProof/>
          <w:lang w:eastAsia="ja-JP"/>
        </w:rPr>
        <w:t>百万ユーロ（小数点以下</w:t>
      </w:r>
      <w:r w:rsidRPr="00DF5C23">
        <w:rPr>
          <w:rFonts w:eastAsia="Calibri"/>
          <w:noProof/>
          <w:lang w:eastAsia="ja-JP"/>
        </w:rPr>
        <w:t>3</w:t>
      </w:r>
      <w:r w:rsidRPr="00DF5C23">
        <w:rPr>
          <w:rFonts w:eastAsia="Calibri"/>
          <w:noProof/>
          <w:lang w:eastAsia="ja-JP"/>
        </w:rPr>
        <w:t>桁まで）</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325"/>
        <w:gridCol w:w="1031"/>
        <w:gridCol w:w="900"/>
        <w:gridCol w:w="900"/>
        <w:gridCol w:w="1080"/>
        <w:gridCol w:w="1080"/>
        <w:gridCol w:w="1080"/>
        <w:gridCol w:w="1080"/>
      </w:tblGrid>
      <w:tr w:rsidR="00BF1765" w:rsidRPr="00DF5C23" w14:paraId="2C3A5FFD" w14:textId="77777777" w:rsidTr="00743354">
        <w:trPr>
          <w:trHeight w:val="388"/>
        </w:trPr>
        <w:tc>
          <w:tcPr>
            <w:tcW w:w="2144" w:type="dxa"/>
            <w:vMerge w:val="restart"/>
            <w:vAlign w:val="center"/>
          </w:tcPr>
          <w:p w14:paraId="70EBD942" w14:textId="77777777" w:rsidR="0038775E" w:rsidRDefault="00877B9C" w:rsidP="002041D4">
            <w:pPr>
              <w:wordWrap w:val="0"/>
              <w:spacing w:before="40" w:after="40"/>
              <w:rPr>
                <w:rFonts w:eastAsia="Calibri"/>
                <w:noProof/>
                <w:sz w:val="18"/>
              </w:rPr>
            </w:pPr>
            <w:r w:rsidRPr="00DF5C23">
              <w:rPr>
                <w:rFonts w:eastAsia="Calibri"/>
                <w:noProof/>
                <w:sz w:val="18"/>
              </w:rPr>
              <w:t>予算の収益ライン：</w:t>
            </w:r>
          </w:p>
        </w:tc>
        <w:tc>
          <w:tcPr>
            <w:tcW w:w="1325" w:type="dxa"/>
            <w:vMerge w:val="restart"/>
            <w:vAlign w:val="center"/>
          </w:tcPr>
          <w:p w14:paraId="22FA9E82" w14:textId="77777777" w:rsidR="0038775E" w:rsidRDefault="00877B9C" w:rsidP="002041D4">
            <w:pPr>
              <w:wordWrap w:val="0"/>
              <w:jc w:val="center"/>
              <w:rPr>
                <w:rFonts w:eastAsia="Calibri"/>
                <w:noProof/>
                <w:sz w:val="18"/>
                <w:lang w:eastAsia="ja-JP"/>
              </w:rPr>
            </w:pPr>
            <w:r w:rsidRPr="00DF5C23">
              <w:rPr>
                <w:rFonts w:eastAsia="Calibri"/>
                <w:noProof/>
                <w:sz w:val="18"/>
                <w:lang w:eastAsia="ja-JP"/>
              </w:rPr>
              <w:t>当会計年度に使用可能な充当金</w:t>
            </w:r>
          </w:p>
        </w:tc>
        <w:tc>
          <w:tcPr>
            <w:tcW w:w="7151" w:type="dxa"/>
            <w:gridSpan w:val="7"/>
            <w:vAlign w:val="center"/>
          </w:tcPr>
          <w:p w14:paraId="039F9980" w14:textId="77777777" w:rsidR="0038775E" w:rsidRDefault="00877B9C" w:rsidP="002041D4">
            <w:pPr>
              <w:wordWrap w:val="0"/>
              <w:jc w:val="center"/>
              <w:rPr>
                <w:rFonts w:eastAsia="Calibri"/>
                <w:noProof/>
                <w:sz w:val="18"/>
                <w:lang w:eastAsia="ja-JP"/>
              </w:rPr>
            </w:pPr>
            <w:r w:rsidRPr="00DF5C23">
              <w:rPr>
                <w:rFonts w:eastAsia="Calibri"/>
                <w:noProof/>
                <w:sz w:val="18"/>
                <w:szCs w:val="18"/>
                <w:lang w:eastAsia="ja-JP"/>
              </w:rPr>
              <w:t>提案</w:t>
            </w:r>
            <w:r w:rsidRPr="00DF5C23">
              <w:rPr>
                <w:rFonts w:eastAsia="Calibri"/>
                <w:noProof/>
                <w:sz w:val="18"/>
                <w:szCs w:val="18"/>
                <w:lang w:eastAsia="ja-JP"/>
              </w:rPr>
              <w:t>/</w:t>
            </w:r>
            <w:r w:rsidRPr="00DF5C23">
              <w:rPr>
                <w:rFonts w:eastAsia="Calibri"/>
                <w:noProof/>
                <w:sz w:val="18"/>
                <w:szCs w:val="18"/>
                <w:lang w:eastAsia="ja-JP"/>
              </w:rPr>
              <w:t>イニシアチブのインパクト</w:t>
            </w:r>
            <w:r w:rsidR="004C3D41" w:rsidRPr="00DF5C23">
              <w:rPr>
                <w:rStyle w:val="afa"/>
                <w:rFonts w:eastAsia="Calibri"/>
                <w:noProof/>
                <w:sz w:val="18"/>
                <w:szCs w:val="18"/>
              </w:rPr>
              <w:footnoteReference w:id="107"/>
            </w:r>
          </w:p>
        </w:tc>
      </w:tr>
      <w:tr w:rsidR="00BF1765" w:rsidRPr="00DF5C23" w14:paraId="2C3A6005" w14:textId="77777777" w:rsidTr="00743354">
        <w:trPr>
          <w:trHeight w:val="388"/>
        </w:trPr>
        <w:tc>
          <w:tcPr>
            <w:tcW w:w="2144" w:type="dxa"/>
            <w:vMerge/>
          </w:tcPr>
          <w:p w14:paraId="2C3A5FFE" w14:textId="77777777" w:rsidR="00BF1765" w:rsidRPr="00DF5C23" w:rsidRDefault="00BF1765" w:rsidP="002041D4">
            <w:pPr>
              <w:wordWrap w:val="0"/>
              <w:spacing w:before="40" w:after="40"/>
              <w:rPr>
                <w:rFonts w:eastAsia="Calibri"/>
                <w:noProof/>
                <w:sz w:val="18"/>
                <w:lang w:eastAsia="ja-JP"/>
              </w:rPr>
            </w:pPr>
          </w:p>
        </w:tc>
        <w:tc>
          <w:tcPr>
            <w:tcW w:w="1325" w:type="dxa"/>
            <w:vMerge/>
          </w:tcPr>
          <w:p w14:paraId="2C3A5FFF" w14:textId="77777777" w:rsidR="00BF1765" w:rsidRPr="00DF5C23" w:rsidRDefault="00BF1765" w:rsidP="002041D4">
            <w:pPr>
              <w:wordWrap w:val="0"/>
              <w:spacing w:beforeLines="40" w:before="96" w:afterLines="40" w:after="96"/>
              <w:rPr>
                <w:rFonts w:eastAsia="Calibri"/>
                <w:i/>
                <w:noProof/>
                <w:sz w:val="18"/>
                <w:lang w:eastAsia="ja-JP"/>
              </w:rPr>
            </w:pPr>
          </w:p>
        </w:tc>
        <w:tc>
          <w:tcPr>
            <w:tcW w:w="1031" w:type="dxa"/>
            <w:vAlign w:val="center"/>
          </w:tcPr>
          <w:p w14:paraId="06CFAB35" w14:textId="77777777" w:rsidR="0038775E" w:rsidRDefault="00877B9C" w:rsidP="002041D4">
            <w:pPr>
              <w:wordWrap w:val="0"/>
              <w:jc w:val="center"/>
              <w:rPr>
                <w:rFonts w:eastAsia="Calibri"/>
                <w:noProof/>
                <w:sz w:val="18"/>
              </w:rPr>
            </w:pPr>
            <w:r w:rsidRPr="00DF5C23">
              <w:rPr>
                <w:rFonts w:eastAsia="Calibri"/>
                <w:noProof/>
                <w:sz w:val="18"/>
              </w:rPr>
              <w:t>年</w:t>
            </w:r>
            <w:r w:rsidRPr="00DF5C23">
              <w:rPr>
                <w:rFonts w:eastAsia="Calibri"/>
                <w:noProof/>
                <w:sz w:val="22"/>
              </w:rPr>
              <w:br/>
            </w:r>
            <w:r w:rsidRPr="00DF5C23">
              <w:rPr>
                <w:rFonts w:eastAsia="Calibri"/>
                <w:b/>
                <w:noProof/>
                <w:sz w:val="18"/>
              </w:rPr>
              <w:t>N</w:t>
            </w:r>
          </w:p>
        </w:tc>
        <w:tc>
          <w:tcPr>
            <w:tcW w:w="900" w:type="dxa"/>
            <w:vAlign w:val="center"/>
          </w:tcPr>
          <w:p w14:paraId="67E7D017" w14:textId="77777777" w:rsidR="0038775E" w:rsidRDefault="00877B9C" w:rsidP="002041D4">
            <w:pPr>
              <w:wordWrap w:val="0"/>
              <w:jc w:val="center"/>
              <w:rPr>
                <w:rFonts w:eastAsia="Calibri"/>
                <w:noProof/>
                <w:sz w:val="18"/>
              </w:rPr>
            </w:pPr>
            <w:r w:rsidRPr="00DF5C23">
              <w:rPr>
                <w:rFonts w:eastAsia="Calibri"/>
                <w:noProof/>
                <w:sz w:val="18"/>
              </w:rPr>
              <w:t>年</w:t>
            </w:r>
            <w:r w:rsidRPr="00DF5C23">
              <w:rPr>
                <w:rFonts w:eastAsia="Calibri"/>
                <w:noProof/>
                <w:sz w:val="22"/>
              </w:rPr>
              <w:br/>
            </w:r>
            <w:r w:rsidRPr="00DF5C23">
              <w:rPr>
                <w:rFonts w:eastAsia="Calibri"/>
                <w:b/>
                <w:noProof/>
                <w:sz w:val="18"/>
              </w:rPr>
              <w:t>N+1</w:t>
            </w:r>
          </w:p>
        </w:tc>
        <w:tc>
          <w:tcPr>
            <w:tcW w:w="900" w:type="dxa"/>
            <w:vAlign w:val="center"/>
          </w:tcPr>
          <w:p w14:paraId="4326F944" w14:textId="77777777" w:rsidR="0038775E" w:rsidRDefault="00877B9C" w:rsidP="002041D4">
            <w:pPr>
              <w:wordWrap w:val="0"/>
              <w:jc w:val="center"/>
              <w:rPr>
                <w:rFonts w:eastAsia="Calibri"/>
                <w:noProof/>
                <w:sz w:val="18"/>
              </w:rPr>
            </w:pPr>
            <w:r w:rsidRPr="00DF5C23">
              <w:rPr>
                <w:rFonts w:eastAsia="Calibri"/>
                <w:noProof/>
                <w:sz w:val="18"/>
              </w:rPr>
              <w:t>年</w:t>
            </w:r>
            <w:r w:rsidRPr="00DF5C23">
              <w:rPr>
                <w:rFonts w:eastAsia="Calibri"/>
                <w:noProof/>
                <w:sz w:val="22"/>
              </w:rPr>
              <w:br/>
            </w:r>
            <w:r w:rsidRPr="00DF5C23">
              <w:rPr>
                <w:rFonts w:eastAsia="Calibri"/>
                <w:b/>
                <w:noProof/>
                <w:sz w:val="18"/>
              </w:rPr>
              <w:t>N+2</w:t>
            </w:r>
          </w:p>
        </w:tc>
        <w:tc>
          <w:tcPr>
            <w:tcW w:w="1080" w:type="dxa"/>
            <w:vAlign w:val="center"/>
          </w:tcPr>
          <w:p w14:paraId="493589A8" w14:textId="77777777" w:rsidR="0038775E" w:rsidRDefault="00877B9C" w:rsidP="002041D4">
            <w:pPr>
              <w:wordWrap w:val="0"/>
              <w:jc w:val="center"/>
              <w:rPr>
                <w:rFonts w:eastAsia="Calibri"/>
                <w:noProof/>
                <w:sz w:val="18"/>
              </w:rPr>
            </w:pPr>
            <w:r w:rsidRPr="00DF5C23">
              <w:rPr>
                <w:rFonts w:eastAsia="Calibri"/>
                <w:noProof/>
                <w:sz w:val="18"/>
              </w:rPr>
              <w:t>年</w:t>
            </w:r>
            <w:r w:rsidRPr="00DF5C23">
              <w:rPr>
                <w:rFonts w:eastAsia="Calibri"/>
                <w:noProof/>
                <w:sz w:val="22"/>
              </w:rPr>
              <w:br/>
            </w:r>
            <w:r w:rsidRPr="00DF5C23">
              <w:rPr>
                <w:rFonts w:eastAsia="Calibri"/>
                <w:b/>
                <w:noProof/>
                <w:sz w:val="18"/>
              </w:rPr>
              <w:t>N+3</w:t>
            </w:r>
          </w:p>
        </w:tc>
        <w:tc>
          <w:tcPr>
            <w:tcW w:w="3240" w:type="dxa"/>
            <w:gridSpan w:val="3"/>
            <w:vAlign w:val="center"/>
          </w:tcPr>
          <w:p w14:paraId="25EED7B6" w14:textId="77777777" w:rsidR="0038775E" w:rsidRDefault="00877B9C" w:rsidP="002041D4">
            <w:pPr>
              <w:wordWrap w:val="0"/>
              <w:jc w:val="center"/>
              <w:rPr>
                <w:rFonts w:eastAsia="Calibri"/>
                <w:b/>
                <w:noProof/>
                <w:sz w:val="18"/>
                <w:lang w:eastAsia="ja-JP"/>
              </w:rPr>
            </w:pPr>
            <w:r w:rsidRPr="00DF5C23">
              <w:rPr>
                <w:rFonts w:eastAsia="Calibri"/>
                <w:noProof/>
                <w:sz w:val="18"/>
                <w:lang w:eastAsia="ja-JP"/>
              </w:rPr>
              <w:t>影響の持続期間を示すために必要な年数を入力する（ポイント</w:t>
            </w:r>
            <w:r w:rsidRPr="00DF5C23">
              <w:rPr>
                <w:rFonts w:eastAsia="Calibri"/>
                <w:noProof/>
                <w:sz w:val="18"/>
                <w:lang w:eastAsia="ja-JP"/>
              </w:rPr>
              <w:t>1.6</w:t>
            </w:r>
            <w:r w:rsidRPr="00DF5C23">
              <w:rPr>
                <w:rFonts w:eastAsia="Calibri"/>
                <w:noProof/>
                <w:sz w:val="18"/>
                <w:lang w:eastAsia="ja-JP"/>
              </w:rPr>
              <w:t>参照）。</w:t>
            </w:r>
          </w:p>
        </w:tc>
      </w:tr>
      <w:tr w:rsidR="00BF1765" w:rsidRPr="00DF5C23" w14:paraId="2C3A600F" w14:textId="77777777" w:rsidTr="00743354">
        <w:trPr>
          <w:trHeight w:val="388"/>
        </w:trPr>
        <w:tc>
          <w:tcPr>
            <w:tcW w:w="2144" w:type="dxa"/>
            <w:vAlign w:val="center"/>
          </w:tcPr>
          <w:p w14:paraId="56D62740" w14:textId="77777777" w:rsidR="0038775E" w:rsidRDefault="00877B9C" w:rsidP="002041D4">
            <w:pPr>
              <w:wordWrap w:val="0"/>
              <w:spacing w:before="40" w:after="40"/>
              <w:rPr>
                <w:rFonts w:eastAsia="Calibri"/>
                <w:noProof/>
                <w:sz w:val="18"/>
              </w:rPr>
            </w:pPr>
            <w:r w:rsidRPr="00DF5C23">
              <w:rPr>
                <w:rFonts w:eastAsia="Calibri"/>
                <w:noProof/>
                <w:sz w:val="18"/>
              </w:rPr>
              <w:t>記事</w:t>
            </w:r>
            <w:r w:rsidRPr="00DF5C23">
              <w:rPr>
                <w:rFonts w:eastAsia="Calibri"/>
                <w:noProof/>
                <w:sz w:val="18"/>
              </w:rPr>
              <w:t>...............</w:t>
            </w:r>
            <w:r w:rsidRPr="00DF5C23">
              <w:rPr>
                <w:rFonts w:eastAsia="Calibri"/>
                <w:noProof/>
                <w:sz w:val="18"/>
              </w:rPr>
              <w:t>。</w:t>
            </w:r>
          </w:p>
        </w:tc>
        <w:tc>
          <w:tcPr>
            <w:tcW w:w="1325" w:type="dxa"/>
          </w:tcPr>
          <w:p w14:paraId="2C3A6007" w14:textId="77777777" w:rsidR="00BF1765" w:rsidRPr="00DF5C23" w:rsidRDefault="00BF1765" w:rsidP="002041D4">
            <w:pPr>
              <w:wordWrap w:val="0"/>
              <w:spacing w:beforeLines="40" w:before="96" w:afterLines="40" w:after="96"/>
              <w:jc w:val="center"/>
              <w:rPr>
                <w:rFonts w:eastAsia="Calibri"/>
                <w:i/>
                <w:noProof/>
                <w:sz w:val="18"/>
              </w:rPr>
            </w:pPr>
          </w:p>
        </w:tc>
        <w:tc>
          <w:tcPr>
            <w:tcW w:w="1031" w:type="dxa"/>
          </w:tcPr>
          <w:p w14:paraId="2C3A6008" w14:textId="77777777" w:rsidR="00BF1765" w:rsidRPr="00DF5C23" w:rsidRDefault="00BF1765" w:rsidP="002041D4">
            <w:pPr>
              <w:wordWrap w:val="0"/>
              <w:spacing w:beforeLines="40" w:before="96" w:afterLines="40" w:after="96"/>
              <w:jc w:val="center"/>
              <w:rPr>
                <w:rFonts w:eastAsia="Calibri"/>
                <w:noProof/>
                <w:sz w:val="18"/>
              </w:rPr>
            </w:pPr>
          </w:p>
        </w:tc>
        <w:tc>
          <w:tcPr>
            <w:tcW w:w="900" w:type="dxa"/>
          </w:tcPr>
          <w:p w14:paraId="2C3A6009" w14:textId="77777777" w:rsidR="00BF1765" w:rsidRPr="00DF5C23" w:rsidRDefault="00BF1765" w:rsidP="002041D4">
            <w:pPr>
              <w:wordWrap w:val="0"/>
              <w:spacing w:beforeLines="40" w:before="96" w:afterLines="40" w:after="96"/>
              <w:jc w:val="center"/>
              <w:rPr>
                <w:rFonts w:eastAsia="Calibri"/>
                <w:noProof/>
                <w:sz w:val="18"/>
              </w:rPr>
            </w:pPr>
          </w:p>
        </w:tc>
        <w:tc>
          <w:tcPr>
            <w:tcW w:w="900" w:type="dxa"/>
          </w:tcPr>
          <w:p w14:paraId="2C3A600A" w14:textId="77777777" w:rsidR="00BF1765" w:rsidRPr="00DF5C23" w:rsidRDefault="00BF1765" w:rsidP="002041D4">
            <w:pPr>
              <w:wordWrap w:val="0"/>
              <w:spacing w:beforeLines="40" w:before="96" w:afterLines="40" w:after="96"/>
              <w:jc w:val="center"/>
              <w:rPr>
                <w:rFonts w:eastAsia="Calibri"/>
                <w:noProof/>
                <w:sz w:val="18"/>
              </w:rPr>
            </w:pPr>
          </w:p>
        </w:tc>
        <w:tc>
          <w:tcPr>
            <w:tcW w:w="1080" w:type="dxa"/>
          </w:tcPr>
          <w:p w14:paraId="2C3A600B" w14:textId="77777777" w:rsidR="00BF1765" w:rsidRPr="00DF5C23" w:rsidRDefault="00BF1765" w:rsidP="002041D4">
            <w:pPr>
              <w:wordWrap w:val="0"/>
              <w:spacing w:beforeLines="40" w:before="96" w:afterLines="40" w:after="96"/>
              <w:jc w:val="center"/>
              <w:rPr>
                <w:rFonts w:eastAsia="Calibri"/>
                <w:noProof/>
                <w:sz w:val="18"/>
              </w:rPr>
            </w:pPr>
          </w:p>
        </w:tc>
        <w:tc>
          <w:tcPr>
            <w:tcW w:w="1080" w:type="dxa"/>
          </w:tcPr>
          <w:p w14:paraId="2C3A600C" w14:textId="77777777" w:rsidR="00BF1765" w:rsidRPr="00DF5C23" w:rsidRDefault="00BF1765" w:rsidP="002041D4">
            <w:pPr>
              <w:wordWrap w:val="0"/>
              <w:spacing w:beforeLines="40" w:before="96" w:afterLines="40" w:after="96"/>
              <w:jc w:val="center"/>
              <w:rPr>
                <w:rFonts w:eastAsia="Calibri"/>
                <w:noProof/>
                <w:sz w:val="18"/>
              </w:rPr>
            </w:pPr>
          </w:p>
        </w:tc>
        <w:tc>
          <w:tcPr>
            <w:tcW w:w="1080" w:type="dxa"/>
          </w:tcPr>
          <w:p w14:paraId="2C3A600D" w14:textId="77777777" w:rsidR="00BF1765" w:rsidRPr="00DF5C23" w:rsidRDefault="00BF1765" w:rsidP="002041D4">
            <w:pPr>
              <w:wordWrap w:val="0"/>
              <w:spacing w:beforeLines="40" w:before="96" w:afterLines="40" w:after="96"/>
              <w:jc w:val="center"/>
              <w:rPr>
                <w:rFonts w:eastAsia="Calibri"/>
                <w:noProof/>
                <w:sz w:val="18"/>
              </w:rPr>
            </w:pPr>
          </w:p>
        </w:tc>
        <w:tc>
          <w:tcPr>
            <w:tcW w:w="1080" w:type="dxa"/>
          </w:tcPr>
          <w:p w14:paraId="2C3A600E" w14:textId="77777777" w:rsidR="00BF1765" w:rsidRPr="00DF5C23" w:rsidRDefault="00BF1765" w:rsidP="002041D4">
            <w:pPr>
              <w:wordWrap w:val="0"/>
              <w:spacing w:beforeLines="40" w:before="96" w:afterLines="40" w:after="96"/>
              <w:jc w:val="center"/>
              <w:rPr>
                <w:rFonts w:eastAsia="Calibri"/>
                <w:noProof/>
                <w:sz w:val="18"/>
              </w:rPr>
            </w:pPr>
          </w:p>
        </w:tc>
      </w:tr>
    </w:tbl>
    <w:p w14:paraId="70AC9CB0" w14:textId="77777777" w:rsidR="0038775E" w:rsidRDefault="00877B9C" w:rsidP="002041D4">
      <w:pPr>
        <w:wordWrap w:val="0"/>
        <w:ind w:left="850"/>
        <w:rPr>
          <w:rFonts w:eastAsia="Calibri"/>
          <w:noProof/>
          <w:sz w:val="20"/>
          <w:lang w:eastAsia="ja-JP"/>
        </w:rPr>
      </w:pPr>
      <w:r w:rsidRPr="00DF5C23">
        <w:rPr>
          <w:rFonts w:eastAsia="Calibri"/>
          <w:noProof/>
          <w:sz w:val="20"/>
          <w:lang w:eastAsia="ja-JP"/>
        </w:rPr>
        <w:t>割り当てられた収入については、影響を受ける予算支出ラインを明記すること。</w:t>
      </w:r>
    </w:p>
    <w:p w14:paraId="2C3A6011" w14:textId="77777777" w:rsidR="00BF1765" w:rsidRPr="00DF5C23" w:rsidRDefault="00BF1765" w:rsidP="002041D4">
      <w:pPr>
        <w:pBdr>
          <w:top w:val="single" w:sz="4" w:space="1" w:color="auto"/>
          <w:left w:val="single" w:sz="4" w:space="4" w:color="auto"/>
          <w:bottom w:val="single" w:sz="4" w:space="1" w:color="auto"/>
          <w:right w:val="single" w:sz="4" w:space="4" w:color="auto"/>
        </w:pBdr>
        <w:wordWrap w:val="0"/>
        <w:ind w:left="850"/>
        <w:rPr>
          <w:rFonts w:eastAsia="Calibri"/>
          <w:noProof/>
          <w:lang w:eastAsia="ja-JP"/>
        </w:rPr>
      </w:pPr>
    </w:p>
    <w:p w14:paraId="2903EEFF" w14:textId="77777777" w:rsidR="0038775E" w:rsidRDefault="00877B9C" w:rsidP="002041D4">
      <w:pPr>
        <w:wordWrap w:val="0"/>
        <w:ind w:left="850"/>
        <w:rPr>
          <w:rFonts w:eastAsia="Calibri"/>
          <w:noProof/>
          <w:sz w:val="20"/>
          <w:lang w:eastAsia="ja-JP"/>
        </w:rPr>
      </w:pPr>
      <w:r w:rsidRPr="00DF5C23">
        <w:rPr>
          <w:rFonts w:eastAsia="Calibri"/>
          <w:noProof/>
          <w:sz w:val="20"/>
          <w:lang w:eastAsia="ja-JP"/>
        </w:rPr>
        <w:t>その他の備考（例：収益への影響の算出方法・計算式、その他の情報）。</w:t>
      </w:r>
    </w:p>
    <w:p w14:paraId="2C3A6013" w14:textId="77777777" w:rsidR="00BF1765" w:rsidRPr="00BF1765" w:rsidRDefault="00BF1765" w:rsidP="002041D4">
      <w:pPr>
        <w:pBdr>
          <w:top w:val="single" w:sz="4" w:space="1" w:color="auto"/>
          <w:left w:val="single" w:sz="4" w:space="4" w:color="auto"/>
          <w:bottom w:val="single" w:sz="4" w:space="1" w:color="auto"/>
          <w:right w:val="single" w:sz="4" w:space="4" w:color="auto"/>
        </w:pBdr>
        <w:wordWrap w:val="0"/>
        <w:ind w:left="850"/>
        <w:rPr>
          <w:rFonts w:eastAsia="Calibri"/>
          <w:noProof/>
          <w:lang w:eastAsia="ja-JP"/>
        </w:rPr>
      </w:pPr>
    </w:p>
    <w:p w14:paraId="2C3A6014" w14:textId="77777777" w:rsidR="00BF1765" w:rsidRPr="00BF1765" w:rsidRDefault="00BF1765" w:rsidP="002041D4">
      <w:pPr>
        <w:wordWrap w:val="0"/>
        <w:rPr>
          <w:rFonts w:eastAsia="Calibri"/>
          <w:noProof/>
          <w:lang w:eastAsia="ja-JP"/>
        </w:rPr>
      </w:pPr>
    </w:p>
    <w:p w14:paraId="2C3A6015" w14:textId="6BB9A3DD" w:rsidR="006E750D" w:rsidRDefault="006E750D" w:rsidP="002041D4">
      <w:pPr>
        <w:wordWrap w:val="0"/>
        <w:spacing w:before="0" w:after="200" w:line="276" w:lineRule="auto"/>
        <w:jc w:val="left"/>
        <w:rPr>
          <w:noProof/>
          <w:lang w:eastAsia="ja-JP"/>
        </w:rPr>
      </w:pPr>
      <w:r>
        <w:rPr>
          <w:noProof/>
          <w:lang w:eastAsia="ja-JP"/>
        </w:rPr>
        <w:br w:type="page"/>
      </w:r>
    </w:p>
    <w:p w14:paraId="1A712BC7" w14:textId="04F57CF1" w:rsidR="006E750D" w:rsidRDefault="006E750D" w:rsidP="002041D4">
      <w:pPr>
        <w:pStyle w:val="Pagedecouverture"/>
        <w:wordWrap w:val="0"/>
        <w:rPr>
          <w:noProof/>
        </w:rPr>
      </w:pPr>
      <w:r>
        <w:rPr>
          <w:noProof/>
        </w:rPr>
        <w:lastRenderedPageBreak/>
        <w:drawing>
          <wp:inline distT="0" distB="0" distL="0" distR="0" wp14:anchorId="0F787019" wp14:editId="5452BBA5">
            <wp:extent cx="5761355" cy="5426075"/>
            <wp:effectExtent l="0" t="0" r="0" b="3175"/>
            <wp:docPr id="2" name="図 2" descr="91EC5683-5330-4484-88B1-D0ACE32ACF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1EC5683-5330-4484-88B1-D0ACE32ACFC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761355" cy="5426075"/>
                    </a:xfrm>
                    <a:prstGeom prst="rect">
                      <a:avLst/>
                    </a:prstGeom>
                    <a:noFill/>
                    <a:ln>
                      <a:noFill/>
                    </a:ln>
                  </pic:spPr>
                </pic:pic>
              </a:graphicData>
            </a:graphic>
          </wp:inline>
        </w:drawing>
      </w:r>
    </w:p>
    <w:p w14:paraId="02A929B8" w14:textId="77777777" w:rsidR="006E750D" w:rsidRDefault="006E750D" w:rsidP="002041D4">
      <w:pPr>
        <w:wordWrap w:val="0"/>
        <w:rPr>
          <w:noProof/>
        </w:rPr>
        <w:sectPr w:rsidR="006E750D" w:rsidSect="00BC1CA9">
          <w:footerReference w:type="default" r:id="rId25"/>
          <w:pgSz w:w="11907" w:h="16839"/>
          <w:pgMar w:top="1134" w:right="1417" w:bottom="1134" w:left="1417" w:header="709" w:footer="709" w:gutter="0"/>
          <w:pgNumType w:start="0"/>
          <w:cols w:space="720"/>
          <w:docGrid w:linePitch="360"/>
        </w:sectPr>
      </w:pPr>
    </w:p>
    <w:p w14:paraId="58008D35" w14:textId="77777777" w:rsidR="0038775E" w:rsidRDefault="00877B9C" w:rsidP="002041D4">
      <w:pPr>
        <w:pStyle w:val="Annexetitre"/>
        <w:wordWrap w:val="0"/>
        <w:rPr>
          <w:noProof/>
          <w:u w:val="none"/>
          <w:lang w:eastAsia="ja-JP"/>
        </w:rPr>
      </w:pPr>
      <w:r w:rsidRPr="00F16891">
        <w:rPr>
          <w:noProof/>
          <w:u w:val="none"/>
          <w:lang w:eastAsia="ja-JP"/>
        </w:rPr>
        <w:lastRenderedPageBreak/>
        <w:t xml:space="preserve">ANNEX I </w:t>
      </w:r>
    </w:p>
    <w:p w14:paraId="283611F5" w14:textId="77777777" w:rsidR="0038775E" w:rsidRDefault="00877B9C" w:rsidP="002041D4">
      <w:pPr>
        <w:wordWrap w:val="0"/>
        <w:jc w:val="center"/>
        <w:rPr>
          <w:noProof/>
          <w:lang w:eastAsia="ja-JP"/>
        </w:rPr>
      </w:pPr>
      <w:r w:rsidRPr="002F63E5">
        <w:rPr>
          <w:b/>
          <w:noProof/>
          <w:u w:val="single"/>
          <w:lang w:eastAsia="ja-JP"/>
        </w:rPr>
        <w:t>製品パラメーター</w:t>
      </w:r>
    </w:p>
    <w:p w14:paraId="3D5BA677" w14:textId="77777777" w:rsidR="0038775E" w:rsidRDefault="00877B9C" w:rsidP="002041D4">
      <w:pPr>
        <w:wordWrap w:val="0"/>
        <w:rPr>
          <w:noProof/>
          <w:lang w:val="en-IE" w:eastAsia="ja-JP"/>
        </w:rPr>
      </w:pPr>
      <w:r w:rsidRPr="00DF50E8">
        <w:rPr>
          <w:noProof/>
          <w:lang w:val="en-IE" w:eastAsia="ja-JP"/>
        </w:rPr>
        <w:t>以下のパラメータは、</w:t>
      </w:r>
      <w:r w:rsidRPr="00DF50E8">
        <w:rPr>
          <w:noProof/>
          <w:lang w:val="en-IE" w:eastAsia="ja-JP"/>
        </w:rPr>
        <w:t>必要に応じて、また必要に応じて他のパラメータによって補完され、</w:t>
      </w:r>
      <w:r>
        <w:rPr>
          <w:noProof/>
          <w:lang w:val="en-IE" w:eastAsia="ja-JP"/>
        </w:rPr>
        <w:t>第</w:t>
      </w:r>
      <w:r>
        <w:rPr>
          <w:noProof/>
          <w:lang w:val="en-IE" w:eastAsia="ja-JP"/>
        </w:rPr>
        <w:t>5</w:t>
      </w:r>
      <w:r>
        <w:rPr>
          <w:noProof/>
          <w:lang w:val="en-IE" w:eastAsia="ja-JP"/>
        </w:rPr>
        <w:t>条</w:t>
      </w:r>
      <w:r>
        <w:rPr>
          <w:noProof/>
          <w:lang w:val="en-IE" w:eastAsia="ja-JP"/>
        </w:rPr>
        <w:t>(1)</w:t>
      </w:r>
      <w:r>
        <w:rPr>
          <w:noProof/>
          <w:lang w:val="en-IE" w:eastAsia="ja-JP"/>
        </w:rPr>
        <w:t>に</w:t>
      </w:r>
      <w:r w:rsidRPr="00DF50E8">
        <w:rPr>
          <w:noProof/>
          <w:lang w:val="en-IE" w:eastAsia="ja-JP"/>
        </w:rPr>
        <w:t>言及する製品側面を改善するための基礎として使用する</w:t>
      </w:r>
      <w:r w:rsidRPr="004D070F">
        <w:rPr>
          <w:noProof/>
          <w:lang w:val="en-IE" w:eastAsia="ja-JP"/>
        </w:rPr>
        <w:t>ことができる</w:t>
      </w:r>
      <w:r w:rsidRPr="00DF50E8">
        <w:rPr>
          <w:noProof/>
          <w:lang w:val="en-IE" w:eastAsia="ja-JP"/>
        </w:rPr>
        <w:t>：</w:t>
      </w:r>
    </w:p>
    <w:p w14:paraId="000E017F" w14:textId="77777777" w:rsidR="0038775E" w:rsidRDefault="00877B9C" w:rsidP="002041D4">
      <w:pPr>
        <w:pStyle w:val="Point0letter"/>
        <w:numPr>
          <w:ilvl w:val="1"/>
          <w:numId w:val="21"/>
        </w:numPr>
        <w:wordWrap w:val="0"/>
        <w:rPr>
          <w:noProof/>
          <w:lang w:val="en-IE" w:eastAsia="fr-BE"/>
        </w:rPr>
      </w:pPr>
      <w:r>
        <w:rPr>
          <w:noProof/>
          <w:lang w:val="en-IE" w:eastAsia="fr-BE"/>
        </w:rPr>
        <w:t>製品の</w:t>
      </w:r>
      <w:r w:rsidRPr="0030049A">
        <w:rPr>
          <w:noProof/>
          <w:lang w:val="en-IE" w:eastAsia="fr-BE"/>
        </w:rPr>
        <w:t>保証寿命、技術寿命</w:t>
      </w:r>
      <w:r w:rsidRPr="00B06137">
        <w:rPr>
          <w:noProof/>
          <w:lang w:val="en-IE" w:eastAsia="fr-BE"/>
        </w:rPr>
        <w:t>、平均故障間隔、製品の実使用情報の表示</w:t>
      </w:r>
      <w:r>
        <w:rPr>
          <w:noProof/>
          <w:lang w:val="en-IE" w:eastAsia="fr-BE"/>
        </w:rPr>
        <w:t>、応力や経年変化に対する</w:t>
      </w:r>
      <w:r w:rsidRPr="0030049A">
        <w:rPr>
          <w:noProof/>
          <w:lang w:val="en-IE" w:eastAsia="fr-BE"/>
        </w:rPr>
        <w:t>耐性などを通じて表現される、製品またはその部品の耐久性と信頼性</w:t>
      </w:r>
      <w:r w:rsidRPr="00B06137">
        <w:rPr>
          <w:noProof/>
          <w:lang w:val="en-IE" w:eastAsia="fr-BE"/>
        </w:rPr>
        <w:t>；</w:t>
      </w:r>
    </w:p>
    <w:p w14:paraId="345C0595" w14:textId="77777777" w:rsidR="0038775E" w:rsidRDefault="00877B9C" w:rsidP="002041D4">
      <w:pPr>
        <w:pStyle w:val="Point0letter"/>
        <w:numPr>
          <w:ilvl w:val="1"/>
          <w:numId w:val="21"/>
        </w:numPr>
        <w:wordWrap w:val="0"/>
        <w:rPr>
          <w:noProof/>
          <w:lang w:val="en-IE" w:eastAsia="fr-BE"/>
        </w:rPr>
      </w:pPr>
      <w:r w:rsidRPr="001125E2">
        <w:rPr>
          <w:noProof/>
          <w:lang w:val="en-IE" w:eastAsia="fr-BE"/>
        </w:rPr>
        <w:t>スペアパーツの特性、入手可能性、納期、モジュール性、一般に入手可能なスペアパーツとの互換性、修理・メンテナンス説明書の入手可能性</w:t>
      </w:r>
      <w:r>
        <w:rPr>
          <w:noProof/>
          <w:lang w:val="en-IE" w:eastAsia="fr-BE"/>
        </w:rPr>
        <w:t>、</w:t>
      </w:r>
      <w:r w:rsidRPr="00B06137">
        <w:rPr>
          <w:noProof/>
          <w:lang w:val="en-IE" w:eastAsia="fr-BE"/>
        </w:rPr>
        <w:t>使用する材料や部品の数、標準部品の使用、部品や材料を識別するための部品・材料コード規格の</w:t>
      </w:r>
      <w:r w:rsidRPr="00B06137">
        <w:rPr>
          <w:noProof/>
          <w:lang w:val="en-IE" w:eastAsia="fr-BE"/>
        </w:rPr>
        <w:t>使用、必要な工程や工具の数と複雑さ</w:t>
      </w:r>
      <w:r>
        <w:rPr>
          <w:noProof/>
          <w:lang w:val="en-IE" w:eastAsia="fr-BE"/>
        </w:rPr>
        <w:t>、</w:t>
      </w:r>
      <w:r w:rsidRPr="00237418">
        <w:rPr>
          <w:noProof/>
          <w:lang w:val="en-IE" w:eastAsia="fr-BE"/>
        </w:rPr>
        <w:t>非破壊</w:t>
      </w:r>
      <w:r w:rsidRPr="00B06137">
        <w:rPr>
          <w:noProof/>
          <w:lang w:val="en-IE" w:eastAsia="fr-BE"/>
        </w:rPr>
        <w:t>分解・再組み立ての容易性、製品データへのアクセス</w:t>
      </w:r>
      <w:r>
        <w:rPr>
          <w:noProof/>
          <w:lang w:val="en-IE" w:eastAsia="fr-BE"/>
        </w:rPr>
        <w:t>条件</w:t>
      </w:r>
      <w:r w:rsidRPr="001125E2">
        <w:rPr>
          <w:noProof/>
          <w:lang w:val="en-IE" w:eastAsia="fr-BE"/>
        </w:rPr>
        <w:t>、</w:t>
      </w:r>
      <w:r w:rsidRPr="00237418">
        <w:rPr>
          <w:noProof/>
          <w:lang w:val="en-IE" w:eastAsia="fr-BE"/>
        </w:rPr>
        <w:t>必要なハードウェアやソフトウェアへの</w:t>
      </w:r>
      <w:r w:rsidRPr="001125E2">
        <w:rPr>
          <w:noProof/>
          <w:lang w:val="en-IE" w:eastAsia="fr-BE"/>
        </w:rPr>
        <w:t>アクセスや使用条件を通して</w:t>
      </w:r>
      <w:r>
        <w:rPr>
          <w:noProof/>
          <w:lang w:val="en-IE" w:eastAsia="fr-BE"/>
        </w:rPr>
        <w:t>表される</w:t>
      </w:r>
      <w:r w:rsidRPr="001125E2">
        <w:rPr>
          <w:noProof/>
          <w:lang w:val="en-IE" w:eastAsia="fr-BE"/>
        </w:rPr>
        <w:t>修理・メンテナンスの容易性；</w:t>
      </w:r>
    </w:p>
    <w:p w14:paraId="494EF18F" w14:textId="77777777" w:rsidR="0038775E" w:rsidRDefault="00877B9C" w:rsidP="002041D4">
      <w:pPr>
        <w:pStyle w:val="Point0letter"/>
        <w:numPr>
          <w:ilvl w:val="1"/>
          <w:numId w:val="21"/>
        </w:numPr>
        <w:wordWrap w:val="0"/>
        <w:rPr>
          <w:noProof/>
          <w:lang w:val="en-IE" w:eastAsia="fr-BE"/>
        </w:rPr>
      </w:pPr>
      <w:r w:rsidRPr="00A50882">
        <w:rPr>
          <w:noProof/>
          <w:lang w:val="en-IE" w:eastAsia="fr-BE"/>
        </w:rPr>
        <w:t>アップグレード</w:t>
      </w:r>
      <w:r>
        <w:rPr>
          <w:noProof/>
          <w:lang w:val="en-IE" w:eastAsia="fr-BE"/>
        </w:rPr>
        <w:t>、再使用、</w:t>
      </w:r>
      <w:r w:rsidRPr="00A50882">
        <w:rPr>
          <w:noProof/>
          <w:lang w:val="en-IE" w:eastAsia="fr-BE"/>
        </w:rPr>
        <w:t>再製造</w:t>
      </w:r>
      <w:r>
        <w:rPr>
          <w:noProof/>
          <w:lang w:val="en-IE" w:eastAsia="fr-BE"/>
        </w:rPr>
        <w:t>、改修の</w:t>
      </w:r>
      <w:r w:rsidRPr="00A50882">
        <w:rPr>
          <w:noProof/>
          <w:lang w:val="en-IE" w:eastAsia="fr-BE"/>
        </w:rPr>
        <w:t>容易性：</w:t>
      </w:r>
      <w:r w:rsidRPr="00B06137">
        <w:rPr>
          <w:noProof/>
          <w:lang w:val="en-IE" w:eastAsia="fr-BE"/>
        </w:rPr>
        <w:t>使用する材料や部品の数、標準部品の使用、部品や材料を識別するための部品・材料コード化基準の使用、必要な工程や工具の数や複雑さ</w:t>
      </w:r>
      <w:r>
        <w:rPr>
          <w:noProof/>
          <w:lang w:val="en-IE" w:eastAsia="fr-BE"/>
        </w:rPr>
        <w:t>、</w:t>
      </w:r>
      <w:r w:rsidRPr="00237418">
        <w:rPr>
          <w:noProof/>
          <w:lang w:val="en-IE" w:eastAsia="fr-BE"/>
        </w:rPr>
        <w:t>非破壊</w:t>
      </w:r>
      <w:r w:rsidRPr="00B06137">
        <w:rPr>
          <w:noProof/>
          <w:lang w:val="en-IE" w:eastAsia="fr-BE"/>
        </w:rPr>
        <w:t>分解・再組立の容易さ、製品データへのアクセス</w:t>
      </w:r>
      <w:r>
        <w:rPr>
          <w:noProof/>
          <w:lang w:val="en-IE" w:eastAsia="fr-BE"/>
        </w:rPr>
        <w:t>条件</w:t>
      </w:r>
      <w:r w:rsidRPr="001125E2">
        <w:rPr>
          <w:noProof/>
          <w:lang w:val="en-IE" w:eastAsia="fr-BE"/>
        </w:rPr>
        <w:t>、</w:t>
      </w:r>
      <w:r w:rsidRPr="00237418">
        <w:rPr>
          <w:noProof/>
          <w:lang w:val="en-IE" w:eastAsia="fr-BE"/>
        </w:rPr>
        <w:t>必要なハードウェアやソフトウェアへの</w:t>
      </w:r>
      <w:r w:rsidRPr="001125E2">
        <w:rPr>
          <w:noProof/>
          <w:lang w:val="en-IE" w:eastAsia="fr-BE"/>
        </w:rPr>
        <w:t>アクセスや使用条件</w:t>
      </w:r>
      <w:r>
        <w:rPr>
          <w:noProof/>
          <w:lang w:val="en-IE" w:eastAsia="fr-BE"/>
        </w:rPr>
        <w:t>、</w:t>
      </w:r>
      <w:r w:rsidRPr="00A50882">
        <w:rPr>
          <w:noProof/>
          <w:lang w:val="en-IE" w:eastAsia="fr-BE"/>
        </w:rPr>
        <w:t>テスト</w:t>
      </w:r>
      <w:r>
        <w:rPr>
          <w:noProof/>
          <w:lang w:val="en-IE" w:eastAsia="fr-BE"/>
        </w:rPr>
        <w:t>プロトコルや一般に入手できないテスト機器へのアクセス条件</w:t>
      </w:r>
      <w:r w:rsidRPr="00AD7967">
        <w:rPr>
          <w:noProof/>
          <w:lang w:val="en-IE" w:eastAsia="fr-BE"/>
        </w:rPr>
        <w:t>、</w:t>
      </w:r>
      <w:r>
        <w:rPr>
          <w:noProof/>
          <w:lang w:val="en-IE" w:eastAsia="fr-BE"/>
        </w:rPr>
        <w:t>再生・改造製品特有の保証の有無、</w:t>
      </w:r>
      <w:r w:rsidRPr="00AD7967">
        <w:rPr>
          <w:noProof/>
          <w:lang w:val="en-IE" w:eastAsia="fr-BE"/>
        </w:rPr>
        <w:t>知的所有権で保護されている技術への</w:t>
      </w:r>
      <w:r w:rsidRPr="00FC7B5F">
        <w:rPr>
          <w:noProof/>
          <w:lang w:val="en-IE" w:eastAsia="fr-BE"/>
        </w:rPr>
        <w:t>アクセスや</w:t>
      </w:r>
      <w:r>
        <w:rPr>
          <w:noProof/>
          <w:lang w:val="en-IE" w:eastAsia="fr-BE"/>
        </w:rPr>
        <w:t>使用</w:t>
      </w:r>
      <w:r w:rsidRPr="00FC7B5F">
        <w:rPr>
          <w:noProof/>
          <w:lang w:val="en-IE" w:eastAsia="fr-BE"/>
        </w:rPr>
        <w:t>条件</w:t>
      </w:r>
      <w:r>
        <w:rPr>
          <w:noProof/>
          <w:lang w:val="en-IE" w:eastAsia="fr-BE"/>
        </w:rPr>
        <w:t>、</w:t>
      </w:r>
      <w:r w:rsidRPr="00A50882">
        <w:rPr>
          <w:noProof/>
          <w:lang w:val="en-IE" w:eastAsia="fr-BE"/>
        </w:rPr>
        <w:t>モジュール化；</w:t>
      </w:r>
    </w:p>
    <w:p w14:paraId="7495C68D" w14:textId="77777777" w:rsidR="0038775E" w:rsidRDefault="00877B9C" w:rsidP="002041D4">
      <w:pPr>
        <w:pStyle w:val="Point0letter"/>
        <w:numPr>
          <w:ilvl w:val="1"/>
          <w:numId w:val="21"/>
        </w:numPr>
        <w:wordWrap w:val="0"/>
        <w:rPr>
          <w:noProof/>
          <w:lang w:val="en-IE" w:eastAsia="fr-BE"/>
        </w:rPr>
      </w:pPr>
      <w:r w:rsidRPr="00A87AD4">
        <w:rPr>
          <w:noProof/>
          <w:lang w:val="en-IE" w:eastAsia="fr-BE"/>
        </w:rPr>
        <w:t>リサイクルしやすい材料の使用、リサイクル可能な部品・材料</w:t>
      </w:r>
      <w:r>
        <w:rPr>
          <w:noProof/>
          <w:lang w:val="en-IE" w:eastAsia="fr-BE"/>
        </w:rPr>
        <w:t>または</w:t>
      </w:r>
      <w:r w:rsidRPr="00A87AD4">
        <w:rPr>
          <w:noProof/>
          <w:lang w:val="en-IE" w:eastAsia="fr-BE"/>
        </w:rPr>
        <w:t>有害物質を含む部品・材料への</w:t>
      </w:r>
      <w:r>
        <w:rPr>
          <w:noProof/>
          <w:lang w:val="en-IE" w:eastAsia="fr-BE"/>
        </w:rPr>
        <w:t>安全、</w:t>
      </w:r>
      <w:r w:rsidRPr="00A87AD4">
        <w:rPr>
          <w:noProof/>
          <w:lang w:val="en-IE" w:eastAsia="fr-BE"/>
        </w:rPr>
        <w:t>容易</w:t>
      </w:r>
      <w:r>
        <w:rPr>
          <w:noProof/>
          <w:lang w:val="en-IE" w:eastAsia="fr-BE"/>
        </w:rPr>
        <w:t>かつ非破壊的な</w:t>
      </w:r>
      <w:r w:rsidRPr="00A87AD4">
        <w:rPr>
          <w:noProof/>
          <w:lang w:val="en-IE" w:eastAsia="fr-BE"/>
        </w:rPr>
        <w:t>アクセス、材料の組成と均質性、高純度選別の可能性</w:t>
      </w:r>
      <w:r>
        <w:rPr>
          <w:noProof/>
          <w:lang w:val="en-IE" w:eastAsia="fr-BE"/>
        </w:rPr>
        <w:t>、</w:t>
      </w:r>
      <w:r w:rsidRPr="00B06137">
        <w:rPr>
          <w:noProof/>
          <w:lang w:val="en-IE" w:eastAsia="fr-BE"/>
        </w:rPr>
        <w:t>使用する材料と部品の数、標準部品の使用、部品と材料の識別のための部品・材料コーディング基準の使用、必要とする工程と工具の数と複雑さ</w:t>
      </w:r>
      <w:r>
        <w:rPr>
          <w:noProof/>
          <w:lang w:val="en-IE" w:eastAsia="fr-BE"/>
        </w:rPr>
        <w:t>、</w:t>
      </w:r>
      <w:r w:rsidRPr="00237418">
        <w:rPr>
          <w:noProof/>
          <w:lang w:val="en-IE" w:eastAsia="fr-BE"/>
        </w:rPr>
        <w:t>非破壊的</w:t>
      </w:r>
      <w:r w:rsidRPr="00B06137">
        <w:rPr>
          <w:noProof/>
          <w:lang w:val="en-IE" w:eastAsia="fr-BE"/>
        </w:rPr>
        <w:t>分解・再組立の容易性、製品データのアクセス</w:t>
      </w:r>
      <w:r>
        <w:rPr>
          <w:noProof/>
          <w:lang w:val="en-IE" w:eastAsia="fr-BE"/>
        </w:rPr>
        <w:t>条件</w:t>
      </w:r>
      <w:r w:rsidRPr="001125E2">
        <w:rPr>
          <w:noProof/>
          <w:lang w:val="en-IE" w:eastAsia="fr-BE"/>
        </w:rPr>
        <w:t>、</w:t>
      </w:r>
      <w:r w:rsidRPr="00237418">
        <w:rPr>
          <w:noProof/>
          <w:lang w:val="en-IE" w:eastAsia="fr-BE"/>
        </w:rPr>
        <w:t>必要とするハードウェアとソフトウェアへの</w:t>
      </w:r>
      <w:r w:rsidRPr="001125E2">
        <w:rPr>
          <w:noProof/>
          <w:lang w:val="en-IE" w:eastAsia="fr-BE"/>
        </w:rPr>
        <w:t>アクセス条件と使用条件を</w:t>
      </w:r>
      <w:r>
        <w:rPr>
          <w:noProof/>
          <w:lang w:val="en-IE" w:eastAsia="fr-BE"/>
        </w:rPr>
        <w:t>表すものである</w:t>
      </w:r>
      <w:r w:rsidRPr="00D61D5F">
        <w:rPr>
          <w:noProof/>
          <w:lang w:val="en-IE" w:eastAsia="fr-BE"/>
        </w:rPr>
        <w:t>；</w:t>
      </w:r>
    </w:p>
    <w:p w14:paraId="30EEF3A1" w14:textId="77777777" w:rsidR="0038775E" w:rsidRDefault="00877B9C" w:rsidP="002041D4">
      <w:pPr>
        <w:pStyle w:val="Point0letter"/>
        <w:numPr>
          <w:ilvl w:val="1"/>
          <w:numId w:val="21"/>
        </w:numPr>
        <w:wordWrap w:val="0"/>
        <w:rPr>
          <w:noProof/>
          <w:lang w:val="en-IE" w:eastAsia="fr-BE"/>
        </w:rPr>
      </w:pPr>
      <w:r w:rsidRPr="000C3A0E">
        <w:rPr>
          <w:noProof/>
          <w:lang w:val="en-IE" w:eastAsia="fr-BE"/>
        </w:rPr>
        <w:t>製品および部品の</w:t>
      </w:r>
      <w:r>
        <w:rPr>
          <w:noProof/>
          <w:lang w:val="en-IE" w:eastAsia="fr-BE"/>
        </w:rPr>
        <w:t>再使用</w:t>
      </w:r>
      <w:r w:rsidRPr="000C3A0E">
        <w:rPr>
          <w:noProof/>
          <w:lang w:val="en-IE" w:eastAsia="fr-BE"/>
        </w:rPr>
        <w:t>、アップグレード、修理、メンテナンス、改装、再製造およびリサイクルに有害な技術的解決策を回避する</w:t>
      </w:r>
      <w:r w:rsidRPr="000C3A0E" w:rsidDel="00930DE5">
        <w:rPr>
          <w:noProof/>
          <w:lang w:val="en-IE" w:eastAsia="fr-BE"/>
        </w:rPr>
        <w:t>；</w:t>
      </w:r>
    </w:p>
    <w:p w14:paraId="5A052A40" w14:textId="77777777" w:rsidR="0038775E" w:rsidRDefault="00877B9C" w:rsidP="002041D4">
      <w:pPr>
        <w:pStyle w:val="Point0letter"/>
        <w:numPr>
          <w:ilvl w:val="1"/>
          <w:numId w:val="21"/>
        </w:numPr>
        <w:wordWrap w:val="0"/>
        <w:rPr>
          <w:noProof/>
          <w:lang w:val="en-IE" w:eastAsia="fr-BE"/>
        </w:rPr>
      </w:pPr>
      <w:r w:rsidRPr="00456E6A">
        <w:rPr>
          <w:noProof/>
          <w:lang w:val="en-IE" w:eastAsia="fr-BE"/>
        </w:rPr>
        <w:t>製品の製造工程で、物質単体、物質の構成要素、または混合物として使用すること、または製品に含有させること（これらの製品が</w:t>
      </w:r>
      <w:r w:rsidRPr="00B06137">
        <w:rPr>
          <w:noProof/>
          <w:lang w:val="en-IE" w:eastAsia="fr-BE"/>
        </w:rPr>
        <w:t>廃棄物に</w:t>
      </w:r>
      <w:r w:rsidRPr="00456E6A">
        <w:rPr>
          <w:noProof/>
          <w:lang w:val="en-IE" w:eastAsia="fr-BE"/>
        </w:rPr>
        <w:t>なった場合を含む）；</w:t>
      </w:r>
      <w:r w:rsidRPr="00456E6A">
        <w:rPr>
          <w:noProof/>
          <w:lang w:val="en-IE" w:eastAsia="fr-BE"/>
        </w:rPr>
        <w:t xml:space="preserve"> </w:t>
      </w:r>
    </w:p>
    <w:p w14:paraId="1332AD06" w14:textId="77777777" w:rsidR="0038775E" w:rsidRDefault="00877B9C" w:rsidP="002041D4">
      <w:pPr>
        <w:pStyle w:val="Point0letter"/>
        <w:numPr>
          <w:ilvl w:val="1"/>
          <w:numId w:val="21"/>
        </w:numPr>
        <w:wordWrap w:val="0"/>
        <w:rPr>
          <w:noProof/>
          <w:lang w:val="en-IE" w:eastAsia="fr-BE"/>
        </w:rPr>
      </w:pPr>
      <w:r w:rsidRPr="00B06137">
        <w:rPr>
          <w:noProof/>
          <w:lang w:val="en-IE" w:eastAsia="fr-BE"/>
        </w:rPr>
        <w:t>製品の</w:t>
      </w:r>
      <w:r w:rsidRPr="00B06137">
        <w:rPr>
          <w:noProof/>
          <w:lang w:val="en-IE" w:eastAsia="fr-BE"/>
        </w:rPr>
        <w:t>1</w:t>
      </w:r>
      <w:r w:rsidRPr="00B06137">
        <w:rPr>
          <w:noProof/>
          <w:lang w:val="en-IE" w:eastAsia="fr-BE"/>
        </w:rPr>
        <w:t>つまたは複数のライフサイクルステージにおけるエネルギー、水、およびその他の資源の消費量</w:t>
      </w:r>
      <w:r w:rsidRPr="00EC5FC0">
        <w:rPr>
          <w:noProof/>
          <w:lang w:val="en-IE" w:eastAsia="fr-BE"/>
        </w:rPr>
        <w:t>。</w:t>
      </w:r>
      <w:r w:rsidRPr="00647C0B">
        <w:rPr>
          <w:noProof/>
          <w:lang w:val="en-IE" w:eastAsia="fr-BE"/>
        </w:rPr>
        <w:t>物理的要因またはソフトウェアおよびファームウェアの更新が製品効率に与える影響を含み</w:t>
      </w:r>
      <w:r>
        <w:rPr>
          <w:noProof/>
          <w:lang w:val="en-IE" w:eastAsia="fr-BE"/>
        </w:rPr>
        <w:t>、森林破壊への影響を含む</w:t>
      </w:r>
      <w:r w:rsidRPr="00647C0B">
        <w:rPr>
          <w:noProof/>
          <w:lang w:val="en-IE" w:eastAsia="fr-BE"/>
        </w:rPr>
        <w:t>；</w:t>
      </w:r>
    </w:p>
    <w:p w14:paraId="1A247581" w14:textId="77777777" w:rsidR="0038775E" w:rsidRDefault="00877B9C" w:rsidP="002041D4">
      <w:pPr>
        <w:pStyle w:val="Point0letter"/>
        <w:numPr>
          <w:ilvl w:val="1"/>
          <w:numId w:val="21"/>
        </w:numPr>
        <w:wordWrap w:val="0"/>
        <w:rPr>
          <w:noProof/>
          <w:lang w:val="en-IE" w:eastAsia="fr-BE"/>
        </w:rPr>
      </w:pPr>
      <w:r>
        <w:rPr>
          <w:noProof/>
          <w:lang w:val="en-IE" w:eastAsia="fr-BE"/>
        </w:rPr>
        <w:t>リサイクル</w:t>
      </w:r>
      <w:r w:rsidRPr="00A87AD4">
        <w:rPr>
          <w:noProof/>
          <w:lang w:val="en-IE" w:eastAsia="fr-BE"/>
        </w:rPr>
        <w:t>材料の使用または含有量；</w:t>
      </w:r>
      <w:r w:rsidRPr="00A87AD4">
        <w:rPr>
          <w:noProof/>
          <w:lang w:val="en-IE" w:eastAsia="fr-BE"/>
        </w:rPr>
        <w:t xml:space="preserve"> </w:t>
      </w:r>
    </w:p>
    <w:p w14:paraId="03BCA3CB" w14:textId="77777777" w:rsidR="0038775E" w:rsidRDefault="00877B9C" w:rsidP="002041D4">
      <w:pPr>
        <w:pStyle w:val="Point0letter"/>
        <w:numPr>
          <w:ilvl w:val="1"/>
          <w:numId w:val="21"/>
        </w:numPr>
        <w:wordWrap w:val="0"/>
        <w:rPr>
          <w:noProof/>
          <w:lang w:val="en-IE" w:eastAsia="fr-BE"/>
        </w:rPr>
      </w:pPr>
      <w:r w:rsidRPr="00B06137">
        <w:rPr>
          <w:noProof/>
          <w:lang w:val="en-IE" w:eastAsia="fr-BE"/>
        </w:rPr>
        <w:t>製品および包装の重量・容積、</w:t>
      </w:r>
      <w:r>
        <w:rPr>
          <w:noProof/>
          <w:lang w:val="en-IE" w:eastAsia="fr-BE"/>
        </w:rPr>
        <w:t>製品・包装比</w:t>
      </w:r>
      <w:r w:rsidRPr="00B06137">
        <w:rPr>
          <w:noProof/>
          <w:lang w:val="en-IE" w:eastAsia="fr-BE"/>
        </w:rPr>
        <w:t>；</w:t>
      </w:r>
    </w:p>
    <w:p w14:paraId="76E4529F" w14:textId="77777777" w:rsidR="0038775E" w:rsidRDefault="00877B9C" w:rsidP="002041D4">
      <w:pPr>
        <w:pStyle w:val="Point0letter"/>
        <w:numPr>
          <w:ilvl w:val="1"/>
          <w:numId w:val="21"/>
        </w:numPr>
        <w:wordWrap w:val="0"/>
        <w:rPr>
          <w:noProof/>
          <w:lang w:val="en-IE" w:eastAsia="fr-BE"/>
        </w:rPr>
      </w:pPr>
      <w:r>
        <w:rPr>
          <w:noProof/>
          <w:lang w:val="en-IE" w:eastAsia="fr-BE"/>
        </w:rPr>
        <w:t>ユーズドコンポーネントの組込み</w:t>
      </w:r>
    </w:p>
    <w:p w14:paraId="3042A096" w14:textId="77777777" w:rsidR="0038775E" w:rsidRDefault="00877B9C" w:rsidP="002041D4">
      <w:pPr>
        <w:pStyle w:val="Point0letter"/>
        <w:numPr>
          <w:ilvl w:val="1"/>
          <w:numId w:val="21"/>
        </w:numPr>
        <w:wordWrap w:val="0"/>
        <w:rPr>
          <w:noProof/>
          <w:lang w:val="en-IE" w:eastAsia="fr-BE"/>
        </w:rPr>
      </w:pPr>
      <w:r w:rsidRPr="00B06137">
        <w:rPr>
          <w:noProof/>
          <w:lang w:val="en-IE" w:eastAsia="fr-BE"/>
        </w:rPr>
        <w:lastRenderedPageBreak/>
        <w:t>適切な使用と保守のために必要な消耗品の量、特性および入手可能性；</w:t>
      </w:r>
      <w:r w:rsidRPr="00B06137">
        <w:rPr>
          <w:noProof/>
          <w:lang w:val="en-IE" w:eastAsia="fr-BE"/>
        </w:rPr>
        <w:t xml:space="preserve"> </w:t>
      </w:r>
    </w:p>
    <w:p w14:paraId="07177A08" w14:textId="77777777" w:rsidR="0038775E" w:rsidRDefault="00877B9C" w:rsidP="002041D4">
      <w:pPr>
        <w:pStyle w:val="Point0letter"/>
        <w:numPr>
          <w:ilvl w:val="1"/>
          <w:numId w:val="21"/>
        </w:numPr>
        <w:wordWrap w:val="0"/>
        <w:rPr>
          <w:noProof/>
          <w:lang w:val="en-IE" w:eastAsia="fr-BE"/>
        </w:rPr>
      </w:pPr>
      <w:r w:rsidRPr="006363E3">
        <w:rPr>
          <w:noProof/>
          <w:lang w:val="en-IE" w:eastAsia="fr-BE"/>
        </w:rPr>
        <w:t>製品の環境フットプリントは、適用される委任法に従い、製品のライフサイクル環境影響の定量化として表現され、</w:t>
      </w:r>
      <w:r w:rsidRPr="006363E3">
        <w:rPr>
          <w:noProof/>
          <w:lang w:val="en-IE" w:eastAsia="fr-BE"/>
        </w:rPr>
        <w:t>1</w:t>
      </w:r>
      <w:r w:rsidRPr="006363E3">
        <w:rPr>
          <w:noProof/>
          <w:lang w:val="en-IE" w:eastAsia="fr-BE"/>
        </w:rPr>
        <w:t>つ以上の環境影響カテゴリーまたは影響カテゴリーの集合に関連しているかどうか；</w:t>
      </w:r>
    </w:p>
    <w:p w14:paraId="2AB128B9" w14:textId="77777777" w:rsidR="0038775E" w:rsidRDefault="00877B9C" w:rsidP="002041D4">
      <w:pPr>
        <w:pStyle w:val="Point0letter"/>
        <w:numPr>
          <w:ilvl w:val="1"/>
          <w:numId w:val="21"/>
        </w:numPr>
        <w:wordWrap w:val="0"/>
        <w:rPr>
          <w:noProof/>
          <w:lang w:val="en-IE" w:eastAsia="fr-BE"/>
        </w:rPr>
      </w:pPr>
      <w:r w:rsidRPr="006363E3">
        <w:rPr>
          <w:noProof/>
          <w:lang w:val="en-IE" w:eastAsia="fr-BE"/>
        </w:rPr>
        <w:t>製品のカーボンフットプリント</w:t>
      </w:r>
    </w:p>
    <w:p w14:paraId="6974144D" w14:textId="77777777" w:rsidR="0038775E" w:rsidRDefault="00877B9C" w:rsidP="002041D4">
      <w:pPr>
        <w:pStyle w:val="Point0letter"/>
        <w:numPr>
          <w:ilvl w:val="1"/>
          <w:numId w:val="21"/>
        </w:numPr>
        <w:wordWrap w:val="0"/>
        <w:rPr>
          <w:noProof/>
          <w:lang w:val="en-IE" w:eastAsia="fr-BE"/>
        </w:rPr>
      </w:pPr>
      <w:r w:rsidRPr="006363E3">
        <w:rPr>
          <w:noProof/>
          <w:lang w:val="en-IE" w:eastAsia="fr-BE"/>
        </w:rPr>
        <w:t>マイクロプラスティックリリース</w:t>
      </w:r>
    </w:p>
    <w:p w14:paraId="253BB8AC" w14:textId="77777777" w:rsidR="0038775E" w:rsidRDefault="00877B9C" w:rsidP="002041D4">
      <w:pPr>
        <w:pStyle w:val="Point0letter"/>
        <w:numPr>
          <w:ilvl w:val="1"/>
          <w:numId w:val="21"/>
        </w:numPr>
        <w:wordWrap w:val="0"/>
        <w:rPr>
          <w:noProof/>
          <w:lang w:val="en-IE" w:eastAsia="fr-BE"/>
        </w:rPr>
      </w:pPr>
      <w:r w:rsidRPr="006363E3">
        <w:rPr>
          <w:noProof/>
          <w:lang w:val="en-IE" w:eastAsia="fr-BE"/>
        </w:rPr>
        <w:t>製品の</w:t>
      </w:r>
      <w:r w:rsidRPr="006363E3">
        <w:rPr>
          <w:noProof/>
          <w:lang w:val="en-IE" w:eastAsia="fr-BE"/>
        </w:rPr>
        <w:t>1</w:t>
      </w:r>
      <w:r w:rsidRPr="006363E3">
        <w:rPr>
          <w:noProof/>
          <w:lang w:val="en-IE" w:eastAsia="fr-BE"/>
        </w:rPr>
        <w:t>つまたは複数のライフサイクルステージで放出される大気、水質、土壌への排出物；</w:t>
      </w:r>
      <w:r w:rsidRPr="006363E3">
        <w:rPr>
          <w:noProof/>
          <w:lang w:val="en-IE" w:eastAsia="fr-BE"/>
        </w:rPr>
        <w:t xml:space="preserve"> </w:t>
      </w:r>
    </w:p>
    <w:p w14:paraId="7F286B22" w14:textId="77777777" w:rsidR="0038775E" w:rsidRDefault="00877B9C" w:rsidP="002041D4">
      <w:pPr>
        <w:pStyle w:val="Point0letter"/>
        <w:numPr>
          <w:ilvl w:val="1"/>
          <w:numId w:val="21"/>
        </w:numPr>
        <w:wordWrap w:val="0"/>
        <w:rPr>
          <w:noProof/>
          <w:lang w:val="en-IE" w:eastAsia="fr-BE"/>
        </w:rPr>
      </w:pPr>
      <w:r w:rsidRPr="006363E3">
        <w:rPr>
          <w:noProof/>
          <w:lang w:val="en-IE" w:eastAsia="fr-BE"/>
        </w:rPr>
        <w:t>プラスチック廃棄物</w:t>
      </w:r>
      <w:r w:rsidRPr="006363E3">
        <w:rPr>
          <w:noProof/>
          <w:lang w:val="en-IE" w:eastAsia="ja-JP"/>
        </w:rPr>
        <w:t>、包装廃棄物などの</w:t>
      </w:r>
      <w:r w:rsidRPr="006363E3" w:rsidDel="004F2968">
        <w:rPr>
          <w:noProof/>
          <w:lang w:val="en-IE" w:eastAsia="fr-BE"/>
        </w:rPr>
        <w:t>廃棄物発生</w:t>
      </w:r>
      <w:r w:rsidRPr="006363E3">
        <w:rPr>
          <w:noProof/>
          <w:lang w:val="en-IE" w:eastAsia="ja-JP"/>
        </w:rPr>
        <w:t>量とその再利用の容易さ</w:t>
      </w:r>
      <w:r w:rsidRPr="006363E3">
        <w:rPr>
          <w:noProof/>
          <w:lang w:val="en-IE" w:eastAsia="fr-BE"/>
        </w:rPr>
        <w:t>、</w:t>
      </w:r>
      <w:r w:rsidRPr="006363E3" w:rsidDel="004F2968">
        <w:rPr>
          <w:noProof/>
          <w:lang w:val="en-IE" w:eastAsia="fr-BE"/>
        </w:rPr>
        <w:t>有害</w:t>
      </w:r>
      <w:r w:rsidRPr="000C3A0E" w:rsidDel="004F2968">
        <w:rPr>
          <w:noProof/>
          <w:lang w:val="en-IE" w:eastAsia="fr-BE"/>
        </w:rPr>
        <w:t>廃棄物の発生量</w:t>
      </w:r>
      <w:r>
        <w:rPr>
          <w:noProof/>
          <w:lang w:val="en-IE" w:eastAsia="fr-BE"/>
        </w:rPr>
        <w:t>；</w:t>
      </w:r>
    </w:p>
    <w:p w14:paraId="4CA2F096" w14:textId="20A82E23" w:rsidR="0038775E" w:rsidRDefault="00877B9C" w:rsidP="002041D4">
      <w:pPr>
        <w:pStyle w:val="Point0letter"/>
        <w:numPr>
          <w:ilvl w:val="1"/>
          <w:numId w:val="21"/>
        </w:numPr>
        <w:wordWrap w:val="0"/>
        <w:rPr>
          <w:noProof/>
          <w:lang w:val="en-IE" w:eastAsia="fr-BE"/>
        </w:rPr>
      </w:pPr>
      <w:r w:rsidRPr="00A54F15">
        <w:rPr>
          <w:noProof/>
          <w:lang w:val="en-IE" w:eastAsia="fr-BE"/>
        </w:rPr>
        <w:t>を使用条件として</w:t>
      </w:r>
      <w:r w:rsidR="002041D4">
        <w:rPr>
          <w:noProof/>
          <w:lang w:val="en-IE" w:eastAsia="fr-BE"/>
        </w:rPr>
        <w:t>いる。</w:t>
      </w:r>
    </w:p>
    <w:p w14:paraId="48B1CD13" w14:textId="77777777" w:rsidR="006E750D" w:rsidRPr="00576004" w:rsidRDefault="006E750D" w:rsidP="002041D4">
      <w:pPr>
        <w:wordWrap w:val="0"/>
        <w:rPr>
          <w:noProof/>
          <w:lang w:val="fr-BE" w:eastAsia="ja-JP"/>
        </w:rPr>
        <w:sectPr w:rsidR="006E750D" w:rsidRPr="00576004" w:rsidSect="00BC1CA9">
          <w:footerReference w:type="default" r:id="rId26"/>
          <w:footerReference w:type="first" r:id="rId27"/>
          <w:pgSz w:w="11907" w:h="16839"/>
          <w:pgMar w:top="1134" w:right="1417" w:bottom="1134" w:left="1417" w:header="709" w:footer="709" w:gutter="0"/>
          <w:cols w:space="720"/>
          <w:docGrid w:linePitch="360"/>
        </w:sectPr>
      </w:pPr>
    </w:p>
    <w:p w14:paraId="69E4EEB7" w14:textId="77777777" w:rsidR="0038775E" w:rsidRDefault="00877B9C" w:rsidP="002041D4">
      <w:pPr>
        <w:pStyle w:val="Annexetitre"/>
        <w:wordWrap w:val="0"/>
        <w:rPr>
          <w:noProof/>
          <w:u w:val="none"/>
          <w:lang w:eastAsia="ja-JP"/>
        </w:rPr>
      </w:pPr>
      <w:r w:rsidRPr="00F16891">
        <w:rPr>
          <w:noProof/>
          <w:u w:val="none"/>
          <w:lang w:eastAsia="ja-JP"/>
        </w:rPr>
        <w:lastRenderedPageBreak/>
        <w:t>ANNEX II</w:t>
      </w:r>
    </w:p>
    <w:p w14:paraId="0EA6CBE9" w14:textId="77777777" w:rsidR="0038775E" w:rsidRDefault="00877B9C" w:rsidP="002041D4">
      <w:pPr>
        <w:wordWrap w:val="0"/>
        <w:jc w:val="center"/>
        <w:rPr>
          <w:noProof/>
          <w:lang w:eastAsia="ja-JP"/>
        </w:rPr>
      </w:pPr>
      <w:r w:rsidRPr="001F4C3B">
        <w:rPr>
          <w:b/>
          <w:noProof/>
          <w:u w:val="single"/>
          <w:lang w:eastAsia="ja-JP"/>
        </w:rPr>
        <w:t>性能要件を定義する手順</w:t>
      </w:r>
      <w:r w:rsidRPr="001F4C3B">
        <w:rPr>
          <w:b/>
          <w:noProof/>
          <w:u w:val="single"/>
          <w:lang w:eastAsia="ja-JP"/>
        </w:rPr>
        <w:t xml:space="preserve"> </w:t>
      </w:r>
    </w:p>
    <w:p w14:paraId="2FE96391" w14:textId="77777777" w:rsidR="0038775E" w:rsidRDefault="00877B9C" w:rsidP="002041D4">
      <w:pPr>
        <w:wordWrap w:val="0"/>
        <w:rPr>
          <w:noProof/>
          <w:lang w:val="en-IE" w:eastAsia="fr-BE"/>
        </w:rPr>
      </w:pPr>
      <w:r w:rsidRPr="00402585">
        <w:rPr>
          <w:noProof/>
          <w:lang w:val="en-IE" w:eastAsia="fr-BE"/>
        </w:rPr>
        <w:t>性能要件は、以下のように設定する：</w:t>
      </w:r>
    </w:p>
    <w:p w14:paraId="279D74D0" w14:textId="7734FF5B" w:rsidR="0038775E" w:rsidRDefault="00877B9C" w:rsidP="002041D4">
      <w:pPr>
        <w:pStyle w:val="Point0number"/>
        <w:numPr>
          <w:ilvl w:val="0"/>
          <w:numId w:val="21"/>
        </w:numPr>
        <w:wordWrap w:val="0"/>
        <w:rPr>
          <w:noProof/>
          <w:lang w:val="en-IE" w:eastAsia="fr-BE"/>
        </w:rPr>
      </w:pPr>
      <w:r w:rsidRPr="001F4C3B">
        <w:rPr>
          <w:noProof/>
          <w:lang w:val="en-IE" w:eastAsia="fr-BE"/>
        </w:rPr>
        <w:t>技術的、環境的及び経済的分析は、市場に流通している当該製品</w:t>
      </w:r>
      <w:r>
        <w:rPr>
          <w:noProof/>
          <w:lang w:val="en-IE" w:eastAsia="fr-BE"/>
        </w:rPr>
        <w:t>又は製品の</w:t>
      </w:r>
      <w:r w:rsidRPr="001F4C3B">
        <w:rPr>
          <w:noProof/>
          <w:lang w:val="en-IE" w:eastAsia="fr-BE"/>
        </w:rPr>
        <w:t>代表的なモデルを複数選択し、</w:t>
      </w:r>
      <w:r w:rsidRPr="00F16891">
        <w:rPr>
          <w:bCs/>
          <w:noProof/>
          <w:lang w:val="en-IE" w:eastAsia="fr-BE"/>
        </w:rPr>
        <w:t>製品固有の又は水平方向の要求事項を考慮した上で、</w:t>
      </w:r>
      <w:r w:rsidRPr="001F4C3B">
        <w:rPr>
          <w:noProof/>
          <w:lang w:val="en-IE" w:eastAsia="fr-BE"/>
        </w:rPr>
        <w:t>付属書</w:t>
      </w:r>
      <w:r w:rsidRPr="001F4C3B">
        <w:rPr>
          <w:noProof/>
          <w:lang w:val="en-IE" w:eastAsia="fr-BE"/>
        </w:rPr>
        <w:t xml:space="preserve"> I </w:t>
      </w:r>
      <w:r w:rsidRPr="001F4C3B">
        <w:rPr>
          <w:noProof/>
          <w:lang w:val="en-IE" w:eastAsia="fr-BE"/>
        </w:rPr>
        <w:t>で言及されているパラメータに関する製品性能を改善するための技術オプションを特定し、オプションの経済性を考慮し、他のライフサイクル環境影響の著しい増加及び性能又は消費者に対する有用性の著しい損失を回避するものと</w:t>
      </w:r>
      <w:r w:rsidR="002041D4">
        <w:rPr>
          <w:noProof/>
          <w:lang w:val="en-IE" w:eastAsia="fr-BE"/>
        </w:rPr>
        <w:t>する</w:t>
      </w:r>
      <w:r w:rsidRPr="001F4C3B">
        <w:rPr>
          <w:noProof/>
          <w:lang w:val="en-IE" w:eastAsia="fr-BE"/>
        </w:rPr>
        <w:t>。</w:t>
      </w:r>
    </w:p>
    <w:p w14:paraId="5E971FCF" w14:textId="77777777" w:rsidR="0038775E" w:rsidRDefault="00877B9C" w:rsidP="002041D4">
      <w:pPr>
        <w:pStyle w:val="Text1"/>
        <w:wordWrap w:val="0"/>
        <w:rPr>
          <w:noProof/>
          <w:lang w:val="en-IE" w:eastAsia="fr-BE"/>
        </w:rPr>
      </w:pPr>
      <w:r w:rsidRPr="00402585">
        <w:rPr>
          <w:noProof/>
          <w:lang w:val="en-IE" w:eastAsia="fr-BE"/>
        </w:rPr>
        <w:t>また、技術・環境・経済分析では、検討中の</w:t>
      </w:r>
      <w:r>
        <w:rPr>
          <w:noProof/>
          <w:lang w:val="en-IE" w:eastAsia="fr-BE"/>
        </w:rPr>
        <w:t>パラメータについて、</w:t>
      </w:r>
      <w:r w:rsidRPr="00402585">
        <w:rPr>
          <w:noProof/>
          <w:lang w:val="en-IE" w:eastAsia="fr-BE"/>
        </w:rPr>
        <w:t>市場で入手可能な最も性能の良い製品・技術を特定する</w:t>
      </w:r>
      <w:r>
        <w:rPr>
          <w:noProof/>
          <w:lang w:val="en-IE" w:eastAsia="fr-BE"/>
        </w:rPr>
        <w:t>こと。</w:t>
      </w:r>
    </w:p>
    <w:p w14:paraId="66AC36A4" w14:textId="77777777" w:rsidR="0038775E" w:rsidRDefault="00877B9C" w:rsidP="002041D4">
      <w:pPr>
        <w:pStyle w:val="Text1"/>
        <w:wordWrap w:val="0"/>
        <w:rPr>
          <w:noProof/>
          <w:lang w:val="en-IE" w:eastAsia="fr-BE"/>
        </w:rPr>
      </w:pPr>
      <w:r w:rsidRPr="00402585">
        <w:rPr>
          <w:noProof/>
          <w:lang w:val="en-IE" w:eastAsia="fr-BE"/>
        </w:rPr>
        <w:t>国際市場で入手可能な製品の性能および他国の法令で設定されたベンチマークは、</w:t>
      </w:r>
      <w:r>
        <w:rPr>
          <w:noProof/>
          <w:lang w:val="en-IE" w:eastAsia="fr-BE"/>
        </w:rPr>
        <w:t>第</w:t>
      </w:r>
      <w:r>
        <w:rPr>
          <w:noProof/>
          <w:lang w:val="en-IE" w:eastAsia="fr-BE"/>
        </w:rPr>
        <w:t>1</w:t>
      </w:r>
      <w:r>
        <w:rPr>
          <w:noProof/>
          <w:lang w:val="en-IE" w:eastAsia="fr-BE"/>
        </w:rPr>
        <w:t>項にいう</w:t>
      </w:r>
      <w:r w:rsidRPr="00402585">
        <w:rPr>
          <w:noProof/>
          <w:lang w:val="en-IE" w:eastAsia="fr-BE"/>
        </w:rPr>
        <w:t>分析時および要求事項を設定する際に考慮される</w:t>
      </w:r>
      <w:r>
        <w:rPr>
          <w:noProof/>
          <w:lang w:val="en-IE" w:eastAsia="fr-BE"/>
        </w:rPr>
        <w:t>ものとする。</w:t>
      </w:r>
    </w:p>
    <w:p w14:paraId="77B927BD" w14:textId="77777777" w:rsidR="0038775E" w:rsidRDefault="00877B9C" w:rsidP="002041D4">
      <w:pPr>
        <w:pStyle w:val="Text1"/>
        <w:wordWrap w:val="0"/>
        <w:rPr>
          <w:noProof/>
          <w:lang w:val="en-IE" w:eastAsia="fr-BE"/>
        </w:rPr>
      </w:pPr>
      <w:r w:rsidRPr="00402585">
        <w:rPr>
          <w:noProof/>
          <w:lang w:val="en-IE" w:eastAsia="fr-BE"/>
        </w:rPr>
        <w:t>この分析に基づき、</w:t>
      </w:r>
      <w:r>
        <w:rPr>
          <w:noProof/>
          <w:lang w:val="en-IE" w:eastAsia="fr-BE"/>
        </w:rPr>
        <w:t>主要な資源や技術の利用可能性を含む</w:t>
      </w:r>
      <w:r w:rsidRPr="00402585">
        <w:rPr>
          <w:noProof/>
          <w:lang w:val="en-IE" w:eastAsia="fr-BE"/>
        </w:rPr>
        <w:t>経済的・技術的実現可能性、および改善の可能性を考慮し、水準</w:t>
      </w:r>
      <w:r>
        <w:rPr>
          <w:noProof/>
          <w:lang w:val="en-IE" w:eastAsia="fr-BE"/>
        </w:rPr>
        <w:t>または非定量的要件を定義する。</w:t>
      </w:r>
      <w:r>
        <w:rPr>
          <w:noProof/>
          <w:lang w:val="en-IE" w:eastAsia="fr-BE"/>
        </w:rPr>
        <w:t xml:space="preserve"> </w:t>
      </w:r>
    </w:p>
    <w:p w14:paraId="153668A9" w14:textId="77777777" w:rsidR="0038775E" w:rsidRDefault="00877B9C" w:rsidP="002041D4">
      <w:pPr>
        <w:pStyle w:val="Text1"/>
        <w:wordWrap w:val="0"/>
        <w:rPr>
          <w:noProof/>
          <w:lang w:val="en-IE" w:eastAsia="ja-JP"/>
        </w:rPr>
      </w:pPr>
      <w:r>
        <w:rPr>
          <w:noProof/>
          <w:lang w:val="en-IE" w:eastAsia="fr-BE"/>
        </w:rPr>
        <w:t>附属書</w:t>
      </w:r>
      <w:r>
        <w:rPr>
          <w:noProof/>
          <w:lang w:val="en-IE" w:eastAsia="fr-BE"/>
        </w:rPr>
        <w:t xml:space="preserve"> I </w:t>
      </w:r>
      <w:r>
        <w:rPr>
          <w:rFonts w:eastAsia="Times New Roman"/>
          <w:noProof/>
          <w:color w:val="000000" w:themeColor="text1"/>
          <w:lang w:val="en-IE" w:eastAsia="fr-BE"/>
        </w:rPr>
        <w:t>の</w:t>
      </w:r>
      <w:r w:rsidRPr="00402585">
        <w:rPr>
          <w:rFonts w:eastAsia="Times New Roman"/>
          <w:noProof/>
          <w:color w:val="000000" w:themeColor="text1"/>
          <w:lang w:val="en-IE" w:eastAsia="fr-BE"/>
        </w:rPr>
        <w:t>(</w:t>
      </w:r>
      <w:r>
        <w:rPr>
          <w:rFonts w:eastAsia="Times New Roman"/>
          <w:noProof/>
          <w:color w:val="000000" w:themeColor="text1"/>
          <w:lang w:val="en-IE" w:eastAsia="fr-BE"/>
        </w:rPr>
        <w:t>f</w:t>
      </w:r>
      <w:r w:rsidRPr="00402585">
        <w:rPr>
          <w:rFonts w:eastAsia="Times New Roman"/>
          <w:noProof/>
          <w:color w:val="000000" w:themeColor="text1"/>
          <w:lang w:val="en-IE" w:eastAsia="fr-BE"/>
        </w:rPr>
        <w:t>)に</w:t>
      </w:r>
      <w:r>
        <w:rPr>
          <w:rFonts w:eastAsia="Times New Roman"/>
          <w:noProof/>
          <w:color w:val="000000" w:themeColor="text1"/>
          <w:lang w:val="en-IE" w:eastAsia="fr-BE"/>
        </w:rPr>
        <w:t>記載される</w:t>
      </w:r>
      <w:r w:rsidRPr="00402585">
        <w:rPr>
          <w:rFonts w:eastAsia="Times New Roman"/>
          <w:noProof/>
          <w:color w:val="000000" w:themeColor="text1"/>
          <w:lang w:val="en-IE" w:eastAsia="fr-BE"/>
        </w:rPr>
        <w:t>物質の濃度</w:t>
      </w:r>
      <w:r>
        <w:rPr>
          <w:rFonts w:eastAsia="Times New Roman"/>
          <w:noProof/>
          <w:color w:val="000000" w:themeColor="text1"/>
          <w:lang w:val="en-IE" w:eastAsia="fr-BE"/>
        </w:rPr>
        <w:t>制限は、当該</w:t>
      </w:r>
      <w:r w:rsidRPr="00402585">
        <w:rPr>
          <w:noProof/>
          <w:lang w:val="en-IE" w:eastAsia="ja-JP"/>
        </w:rPr>
        <w:t>物質及びその代替物質の持続可能性の徹底的な分析に基づき、人の健康又は環境に</w:t>
      </w:r>
      <w:r>
        <w:rPr>
          <w:noProof/>
          <w:lang w:val="en-IE" w:eastAsia="ja-JP"/>
        </w:rPr>
        <w:t>著しい悪影響を及ぼさないもので</w:t>
      </w:r>
      <w:r w:rsidRPr="00402585">
        <w:rPr>
          <w:rFonts w:eastAsia="Times New Roman"/>
          <w:noProof/>
          <w:color w:val="000000" w:themeColor="text1"/>
          <w:lang w:val="en-IE" w:eastAsia="fr-BE"/>
        </w:rPr>
        <w:t>なければならない。附属書</w:t>
      </w:r>
      <w:r>
        <w:rPr>
          <w:noProof/>
          <w:lang w:val="en-IE" w:eastAsia="fr-BE"/>
        </w:rPr>
        <w:t>I</w:t>
      </w:r>
      <w:r>
        <w:rPr>
          <w:noProof/>
          <w:lang w:val="en-IE" w:eastAsia="fr-BE"/>
        </w:rPr>
        <w:t>の</w:t>
      </w:r>
      <w:r w:rsidRPr="00402585">
        <w:rPr>
          <w:noProof/>
          <w:lang w:val="en-IE" w:eastAsia="fr-BE"/>
        </w:rPr>
        <w:t>(</w:t>
      </w:r>
      <w:r>
        <w:rPr>
          <w:noProof/>
          <w:lang w:val="en-IE" w:eastAsia="fr-BE"/>
        </w:rPr>
        <w:t>f</w:t>
      </w:r>
      <w:r w:rsidRPr="00402585">
        <w:rPr>
          <w:noProof/>
          <w:lang w:val="en-IE" w:eastAsia="fr-BE"/>
        </w:rPr>
        <w:t>)</w:t>
      </w:r>
      <w:r w:rsidRPr="00402585">
        <w:rPr>
          <w:noProof/>
          <w:lang w:val="en-IE" w:eastAsia="fr-BE"/>
        </w:rPr>
        <w:t>の物質に関する</w:t>
      </w:r>
      <w:r w:rsidRPr="00402585">
        <w:rPr>
          <w:noProof/>
          <w:lang w:val="en-IE" w:eastAsia="ja-JP"/>
        </w:rPr>
        <w:t>性能要件は</w:t>
      </w:r>
      <w:r>
        <w:rPr>
          <w:noProof/>
          <w:lang w:val="en-IE" w:eastAsia="fr-BE"/>
        </w:rPr>
        <w:t>、関係する</w:t>
      </w:r>
      <w:r w:rsidRPr="00402585">
        <w:rPr>
          <w:noProof/>
          <w:lang w:val="en-IE" w:eastAsia="fr-BE"/>
        </w:rPr>
        <w:t>物質について</w:t>
      </w:r>
      <w:r>
        <w:rPr>
          <w:noProof/>
          <w:lang w:val="en-IE" w:eastAsia="fr-BE"/>
        </w:rPr>
        <w:t>連合の</w:t>
      </w:r>
      <w:r w:rsidRPr="00402585">
        <w:rPr>
          <w:noProof/>
          <w:lang w:val="en-IE" w:eastAsia="fr-BE"/>
        </w:rPr>
        <w:t>関連</w:t>
      </w:r>
      <w:r>
        <w:rPr>
          <w:noProof/>
          <w:lang w:val="en-IE" w:eastAsia="fr-BE"/>
        </w:rPr>
        <w:t>機関が</w:t>
      </w:r>
      <w:r w:rsidRPr="00402585">
        <w:rPr>
          <w:noProof/>
          <w:lang w:val="en-IE" w:eastAsia="fr-BE"/>
        </w:rPr>
        <w:t>実施した既存の化学安全性評価、および</w:t>
      </w:r>
      <w:r w:rsidRPr="001F62A4">
        <w:rPr>
          <w:noProof/>
          <w:lang w:val="en-IE" w:eastAsia="fr-BE"/>
        </w:rPr>
        <w:t>委員会が作成した化学物質および材料の設計基準による安全性および持続可能性を考慮するものとする</w:t>
      </w:r>
      <w:r w:rsidRPr="00402585">
        <w:rPr>
          <w:noProof/>
          <w:lang w:val="en-IE" w:eastAsia="fr-BE"/>
        </w:rPr>
        <w:t>。</w:t>
      </w:r>
      <w:r w:rsidRPr="00456E6A">
        <w:rPr>
          <w:noProof/>
          <w:lang w:val="en-IE" w:eastAsia="ja-JP"/>
        </w:rPr>
        <w:t>提案された濃度限界は、分析的検出限界のような強制力の側面も考慮しなければならない</w:t>
      </w:r>
      <w:r>
        <w:rPr>
          <w:noProof/>
          <w:lang w:val="en-IE" w:eastAsia="ja-JP"/>
        </w:rPr>
        <w:t>。</w:t>
      </w:r>
    </w:p>
    <w:p w14:paraId="6359DD8E" w14:textId="77777777" w:rsidR="0038775E" w:rsidRDefault="00877B9C" w:rsidP="002041D4">
      <w:pPr>
        <w:pStyle w:val="Text1"/>
        <w:wordWrap w:val="0"/>
        <w:rPr>
          <w:noProof/>
          <w:lang w:val="en-IE" w:eastAsia="ja-JP"/>
        </w:rPr>
      </w:pPr>
      <w:r>
        <w:rPr>
          <w:noProof/>
          <w:lang w:val="en-IE" w:eastAsia="fr-BE"/>
        </w:rPr>
        <w:t>関連する場合、第</w:t>
      </w:r>
      <w:r>
        <w:rPr>
          <w:noProof/>
          <w:lang w:val="en-IE" w:eastAsia="fr-BE"/>
        </w:rPr>
        <w:t>1</w:t>
      </w:r>
      <w:r>
        <w:rPr>
          <w:noProof/>
          <w:lang w:val="en-IE" w:eastAsia="fr-BE"/>
        </w:rPr>
        <w:t>パラグラフで言及される分析は、予測される耐用年数中に気候変動が製品に与える可能性</w:t>
      </w:r>
      <w:r>
        <w:rPr>
          <w:noProof/>
          <w:lang w:val="en-IE" w:eastAsia="fr-BE"/>
        </w:rPr>
        <w:t>のある影響と、ライフサイクルを通じて気候の回復力を改善する製品の可能性を考慮するものとする。</w:t>
      </w:r>
    </w:p>
    <w:p w14:paraId="09957957" w14:textId="77777777" w:rsidR="0038775E" w:rsidRDefault="00877B9C" w:rsidP="002041D4">
      <w:pPr>
        <w:pStyle w:val="Text1"/>
        <w:wordWrap w:val="0"/>
        <w:rPr>
          <w:noProof/>
          <w:lang w:val="en-IE" w:eastAsia="fr-BE"/>
        </w:rPr>
      </w:pPr>
      <w:r w:rsidRPr="00402585">
        <w:rPr>
          <w:noProof/>
          <w:lang w:val="en-IE" w:eastAsia="fr-BE"/>
        </w:rPr>
        <w:t>エネルギーやその他の</w:t>
      </w:r>
      <w:r>
        <w:rPr>
          <w:noProof/>
          <w:lang w:val="en-IE" w:eastAsia="fr-BE"/>
        </w:rPr>
        <w:t>資源の</w:t>
      </w:r>
      <w:r w:rsidRPr="00402585">
        <w:rPr>
          <w:noProof/>
          <w:lang w:val="en-IE" w:eastAsia="fr-BE"/>
        </w:rPr>
        <w:t>価格、</w:t>
      </w:r>
      <w:r>
        <w:rPr>
          <w:noProof/>
          <w:lang w:val="en-IE" w:eastAsia="fr-BE"/>
        </w:rPr>
        <w:t>原材料や必要な技術の</w:t>
      </w:r>
      <w:r w:rsidRPr="00402585">
        <w:rPr>
          <w:noProof/>
          <w:lang w:val="en-IE" w:eastAsia="fr-BE"/>
        </w:rPr>
        <w:t>コスト</w:t>
      </w:r>
      <w:r>
        <w:rPr>
          <w:noProof/>
          <w:lang w:val="en-IE" w:eastAsia="fr-BE"/>
        </w:rPr>
        <w:t>、</w:t>
      </w:r>
      <w:r w:rsidRPr="00402585">
        <w:rPr>
          <w:noProof/>
          <w:lang w:val="en-IE" w:eastAsia="fr-BE"/>
        </w:rPr>
        <w:t>生産コスト、割引率、そして必要に応じて、回避された温室効果ガス排出を含む外部環境コストなどの関連要因を網羅する感度分析を実施しなければならない</w:t>
      </w:r>
      <w:r>
        <w:rPr>
          <w:noProof/>
          <w:lang w:val="en-IE" w:eastAsia="fr-BE"/>
        </w:rPr>
        <w:t>。</w:t>
      </w:r>
    </w:p>
    <w:p w14:paraId="465CAF89" w14:textId="5DBC195D" w:rsidR="0038775E" w:rsidRDefault="00877B9C" w:rsidP="002041D4">
      <w:pPr>
        <w:pStyle w:val="Point0number"/>
        <w:numPr>
          <w:ilvl w:val="0"/>
          <w:numId w:val="21"/>
        </w:numPr>
        <w:wordWrap w:val="0"/>
        <w:rPr>
          <w:noProof/>
          <w:lang w:val="en-IE" w:eastAsia="fr-BE"/>
        </w:rPr>
      </w:pPr>
      <w:r w:rsidRPr="001F4C3B">
        <w:rPr>
          <w:noProof/>
          <w:lang w:val="en-IE" w:eastAsia="fr-BE"/>
        </w:rPr>
        <w:t>技術的、環境的、経済的な分析の展開のために、他の連合活動の枠組みで利用可能な関連情報を考慮するものとし、規則（</w:t>
      </w:r>
      <w:r w:rsidRPr="001F4C3B">
        <w:rPr>
          <w:noProof/>
          <w:lang w:val="en-IE" w:eastAsia="fr-BE"/>
        </w:rPr>
        <w:t>EC</w:t>
      </w:r>
      <w:r w:rsidRPr="001F4C3B">
        <w:rPr>
          <w:noProof/>
          <w:lang w:val="en-IE" w:eastAsia="fr-BE"/>
        </w:rPr>
        <w:t>）</w:t>
      </w:r>
      <w:r w:rsidRPr="001F4C3B">
        <w:rPr>
          <w:noProof/>
          <w:lang w:val="en-IE" w:eastAsia="fr-BE"/>
        </w:rPr>
        <w:t>No66/2010</w:t>
      </w:r>
      <w:r w:rsidRPr="001F4C3B">
        <w:rPr>
          <w:noProof/>
          <w:lang w:val="en-IE" w:eastAsia="fr-BE"/>
        </w:rPr>
        <w:t>、指令</w:t>
      </w:r>
      <w:r w:rsidRPr="001F4C3B">
        <w:rPr>
          <w:noProof/>
          <w:lang w:val="en-IE" w:eastAsia="fr-BE"/>
        </w:rPr>
        <w:t>2010/75/EU</w:t>
      </w:r>
      <w:r w:rsidRPr="001F4C3B">
        <w:rPr>
          <w:noProof/>
          <w:lang w:val="en-IE" w:eastAsia="fr-BE"/>
        </w:rPr>
        <w:t>、グリーン公共調達基準の基礎として使用またはそこから</w:t>
      </w:r>
      <w:r w:rsidRPr="001F4C3B">
        <w:rPr>
          <w:noProof/>
          <w:lang w:val="en-IE" w:eastAsia="fr-BE"/>
        </w:rPr>
        <w:t>派生する技術情報を含むものと</w:t>
      </w:r>
      <w:r w:rsidR="002041D4">
        <w:rPr>
          <w:noProof/>
          <w:lang w:val="en-IE" w:eastAsia="fr-BE"/>
        </w:rPr>
        <w:t>する</w:t>
      </w:r>
      <w:r w:rsidRPr="001F4C3B">
        <w:rPr>
          <w:noProof/>
          <w:lang w:val="en-IE" w:eastAsia="fr-BE"/>
        </w:rPr>
        <w:t>。</w:t>
      </w:r>
    </w:p>
    <w:p w14:paraId="6CC6E5B2" w14:textId="77777777" w:rsidR="0038775E" w:rsidRDefault="00877B9C" w:rsidP="002041D4">
      <w:pPr>
        <w:pStyle w:val="Text1"/>
        <w:wordWrap w:val="0"/>
        <w:rPr>
          <w:noProof/>
          <w:lang w:val="en-IE" w:eastAsia="fr-BE"/>
        </w:rPr>
      </w:pPr>
      <w:r>
        <w:rPr>
          <w:noProof/>
          <w:lang w:val="en-IE" w:eastAsia="fr-BE"/>
        </w:rPr>
        <w:t>また、</w:t>
      </w:r>
      <w:r w:rsidRPr="00402585">
        <w:rPr>
          <w:noProof/>
          <w:lang w:val="en-IE" w:eastAsia="fr-BE"/>
        </w:rPr>
        <w:t>EU</w:t>
      </w:r>
      <w:r w:rsidRPr="00402585">
        <w:rPr>
          <w:noProof/>
          <w:lang w:val="en-IE" w:eastAsia="fr-BE"/>
        </w:rPr>
        <w:t>の経済パートナーとの間で取引される製品の特定の</w:t>
      </w:r>
      <w:r>
        <w:rPr>
          <w:noProof/>
          <w:lang w:val="en-IE" w:eastAsia="fr-BE"/>
        </w:rPr>
        <w:t>エコデザイン要件を</w:t>
      </w:r>
      <w:r w:rsidRPr="00402585">
        <w:rPr>
          <w:noProof/>
          <w:lang w:val="en-IE" w:eastAsia="fr-BE"/>
        </w:rPr>
        <w:t>設定するために、世界の他の地域で適用されている既存のプログラムから入手できる情報についても</w:t>
      </w:r>
      <w:r>
        <w:rPr>
          <w:noProof/>
          <w:lang w:val="en-IE" w:eastAsia="fr-BE"/>
        </w:rPr>
        <w:t>適用されるものとする。</w:t>
      </w:r>
    </w:p>
    <w:p w14:paraId="2566D015" w14:textId="77777777" w:rsidR="0038775E" w:rsidRDefault="00877B9C" w:rsidP="002041D4">
      <w:pPr>
        <w:pStyle w:val="Point0number"/>
        <w:numPr>
          <w:ilvl w:val="0"/>
          <w:numId w:val="21"/>
        </w:numPr>
        <w:wordWrap w:val="0"/>
        <w:rPr>
          <w:noProof/>
          <w:lang w:val="en-IE" w:eastAsia="fr-BE"/>
        </w:rPr>
      </w:pPr>
      <w:r w:rsidRPr="00402585">
        <w:rPr>
          <w:noProof/>
          <w:lang w:val="en-IE" w:eastAsia="fr-BE"/>
        </w:rPr>
        <w:t>性能要求事項の発効日は、関連する場合、</w:t>
      </w:r>
      <w:r>
        <w:rPr>
          <w:noProof/>
          <w:lang w:val="en-IE" w:eastAsia="fr-BE"/>
        </w:rPr>
        <w:t>製品設計及び製造工程を適応させるために必要な時間を考慮するものとする</w:t>
      </w:r>
      <w:r w:rsidRPr="00402585">
        <w:rPr>
          <w:noProof/>
          <w:lang w:val="en-IE" w:eastAsia="fr-BE"/>
        </w:rPr>
        <w:t>。</w:t>
      </w:r>
    </w:p>
    <w:p w14:paraId="75769011" w14:textId="77777777" w:rsidR="006E750D" w:rsidRPr="00A54F15" w:rsidRDefault="006E750D" w:rsidP="002041D4">
      <w:pPr>
        <w:wordWrap w:val="0"/>
        <w:rPr>
          <w:noProof/>
          <w:lang w:eastAsia="ja-JP"/>
        </w:rPr>
        <w:sectPr w:rsidR="006E750D" w:rsidRPr="00A54F15" w:rsidSect="00BC1CA9">
          <w:pgSz w:w="11907" w:h="16839"/>
          <w:pgMar w:top="1134" w:right="1417" w:bottom="1134" w:left="1417" w:header="709" w:footer="709" w:gutter="0"/>
          <w:cols w:space="720"/>
          <w:docGrid w:linePitch="360"/>
        </w:sectPr>
      </w:pPr>
    </w:p>
    <w:p w14:paraId="74497730" w14:textId="77777777" w:rsidR="0038775E" w:rsidRDefault="00877B9C" w:rsidP="002041D4">
      <w:pPr>
        <w:pStyle w:val="Annexetitre"/>
        <w:wordWrap w:val="0"/>
        <w:rPr>
          <w:noProof/>
          <w:u w:val="none"/>
          <w:lang w:val="en-IE" w:eastAsia="ja-JP"/>
        </w:rPr>
      </w:pPr>
      <w:r w:rsidRPr="00F16891">
        <w:rPr>
          <w:noProof/>
          <w:u w:val="none"/>
          <w:lang w:val="en-IE" w:eastAsia="ja-JP"/>
        </w:rPr>
        <w:lastRenderedPageBreak/>
        <w:t xml:space="preserve">ANNEX III </w:t>
      </w:r>
    </w:p>
    <w:p w14:paraId="416E6A2B" w14:textId="77777777" w:rsidR="0038775E" w:rsidRDefault="00877B9C" w:rsidP="002041D4">
      <w:pPr>
        <w:wordWrap w:val="0"/>
        <w:jc w:val="center"/>
        <w:rPr>
          <w:b/>
          <w:noProof/>
          <w:u w:val="single"/>
          <w:lang w:eastAsia="ja-JP"/>
        </w:rPr>
      </w:pPr>
      <w:r w:rsidRPr="001F4C3B">
        <w:rPr>
          <w:b/>
          <w:noProof/>
          <w:u w:val="single"/>
          <w:lang w:eastAsia="ja-JP"/>
        </w:rPr>
        <w:t>デジタルプロダクトパスポート</w:t>
      </w:r>
    </w:p>
    <w:p w14:paraId="43EBC5AB" w14:textId="77777777" w:rsidR="0038775E" w:rsidRDefault="00877B9C" w:rsidP="002041D4">
      <w:pPr>
        <w:wordWrap w:val="0"/>
        <w:jc w:val="center"/>
        <w:rPr>
          <w:b/>
          <w:noProof/>
          <w:lang w:eastAsia="ja-JP"/>
        </w:rPr>
      </w:pPr>
      <w:r w:rsidRPr="00177810">
        <w:rPr>
          <w:b/>
          <w:noProof/>
          <w:lang w:eastAsia="ja-JP"/>
        </w:rPr>
        <w:t>(</w:t>
      </w:r>
      <w:r w:rsidRPr="00177810">
        <w:rPr>
          <w:b/>
          <w:noProof/>
          <w:lang w:eastAsia="ja-JP"/>
        </w:rPr>
        <w:t>第</w:t>
      </w:r>
      <w:r w:rsidRPr="00177810">
        <w:rPr>
          <w:b/>
          <w:noProof/>
          <w:lang w:eastAsia="ja-JP"/>
        </w:rPr>
        <w:t>8</w:t>
      </w:r>
      <w:r w:rsidRPr="00177810">
        <w:rPr>
          <w:b/>
          <w:noProof/>
          <w:lang w:eastAsia="ja-JP"/>
        </w:rPr>
        <w:t>条</w:t>
      </w:r>
      <w:r w:rsidRPr="00177810">
        <w:rPr>
          <w:b/>
          <w:noProof/>
          <w:lang w:eastAsia="ja-JP"/>
        </w:rPr>
        <w:t>)</w:t>
      </w:r>
    </w:p>
    <w:p w14:paraId="470B06FD" w14:textId="77777777" w:rsidR="0038775E" w:rsidRDefault="00877B9C" w:rsidP="002041D4">
      <w:pPr>
        <w:wordWrap w:val="0"/>
        <w:rPr>
          <w:noProof/>
          <w:lang w:val="en-IE" w:eastAsia="ja-JP"/>
        </w:rPr>
      </w:pPr>
      <w:r>
        <w:rPr>
          <w:rFonts w:eastAsia="Times New Roman"/>
          <w:noProof/>
          <w:lang w:val="en-IE" w:eastAsia="ja-JP"/>
        </w:rPr>
        <w:t>第4</w:t>
      </w:r>
      <w:r w:rsidRPr="003C334C">
        <w:rPr>
          <w:rFonts w:eastAsia="Times New Roman"/>
          <w:noProof/>
          <w:lang w:val="en-IE" w:eastAsia="ja-JP"/>
        </w:rPr>
        <w:t>条に従って</w:t>
      </w:r>
      <w:r>
        <w:rPr>
          <w:rFonts w:eastAsia="Times New Roman"/>
          <w:noProof/>
          <w:lang w:val="en-IE" w:eastAsia="ja-JP"/>
        </w:rPr>
        <w:t>採択された</w:t>
      </w:r>
      <w:r w:rsidRPr="003C334C">
        <w:rPr>
          <w:rFonts w:eastAsia="Times New Roman"/>
          <w:noProof/>
          <w:lang w:val="en-IE" w:eastAsia="ja-JP"/>
        </w:rPr>
        <w:t>委任法に定める</w:t>
      </w:r>
      <w:r w:rsidRPr="00F96070">
        <w:rPr>
          <w:noProof/>
          <w:lang w:val="en-IE" w:eastAsia="ja-JP"/>
        </w:rPr>
        <w:t>製品パスポートに関する要件は</w:t>
      </w:r>
      <w:r>
        <w:rPr>
          <w:noProof/>
          <w:lang w:val="en-IE" w:eastAsia="ja-JP"/>
        </w:rPr>
        <w:t>、以下の要素のうち、製品パスポートにどのような情報を記載しなければならないか、または記載することができるかを</w:t>
      </w:r>
      <w:r w:rsidRPr="004027D8">
        <w:rPr>
          <w:noProof/>
          <w:lang w:val="en-IE" w:eastAsia="ja-JP"/>
        </w:rPr>
        <w:t>規定する：</w:t>
      </w:r>
    </w:p>
    <w:p w14:paraId="0D17F7E6" w14:textId="77777777" w:rsidR="0038775E" w:rsidRDefault="00877B9C" w:rsidP="002041D4">
      <w:pPr>
        <w:pStyle w:val="Point0letter"/>
        <w:numPr>
          <w:ilvl w:val="1"/>
          <w:numId w:val="21"/>
        </w:numPr>
        <w:wordWrap w:val="0"/>
        <w:rPr>
          <w:noProof/>
          <w:lang w:val="en-IE" w:eastAsia="ja-JP"/>
        </w:rPr>
      </w:pPr>
      <w:r>
        <w:rPr>
          <w:noProof/>
          <w:lang w:val="en-IE" w:eastAsia="ja-JP"/>
        </w:rPr>
        <w:t>第</w:t>
      </w:r>
      <w:r>
        <w:rPr>
          <w:noProof/>
          <w:lang w:val="en-IE" w:eastAsia="ja-JP"/>
        </w:rPr>
        <w:t>7</w:t>
      </w:r>
      <w:r>
        <w:rPr>
          <w:noProof/>
          <w:lang w:val="en-IE" w:eastAsia="ja-JP"/>
        </w:rPr>
        <w:t>条</w:t>
      </w:r>
      <w:r>
        <w:rPr>
          <w:noProof/>
          <w:lang w:val="en-IE" w:eastAsia="ja-JP"/>
        </w:rPr>
        <w:t>2</w:t>
      </w:r>
      <w:r>
        <w:rPr>
          <w:noProof/>
          <w:lang w:val="en-IE" w:eastAsia="ja-JP"/>
        </w:rPr>
        <w:t>項および第</w:t>
      </w:r>
      <w:r>
        <w:rPr>
          <w:noProof/>
          <w:lang w:val="en-IE" w:eastAsia="ja-JP"/>
        </w:rPr>
        <w:t>8</w:t>
      </w:r>
      <w:r>
        <w:rPr>
          <w:noProof/>
          <w:lang w:val="en-IE" w:eastAsia="ja-JP"/>
        </w:rPr>
        <w:t>条</w:t>
      </w:r>
      <w:r>
        <w:rPr>
          <w:noProof/>
          <w:lang w:val="en-IE" w:eastAsia="ja-JP"/>
        </w:rPr>
        <w:t>2</w:t>
      </w:r>
      <w:r>
        <w:rPr>
          <w:noProof/>
          <w:lang w:val="en-IE" w:eastAsia="ja-JP"/>
        </w:rPr>
        <w:t>項</w:t>
      </w:r>
      <w:r w:rsidRPr="00C23ACB">
        <w:rPr>
          <w:noProof/>
          <w:lang w:val="en-IE" w:eastAsia="ja-JP"/>
        </w:rPr>
        <w:t>、または該当する製品群に適用される他の</w:t>
      </w:r>
      <w:r w:rsidRPr="00C23ACB">
        <w:rPr>
          <w:noProof/>
          <w:lang w:val="en-IE" w:eastAsia="ja-JP"/>
        </w:rPr>
        <w:t>EU</w:t>
      </w:r>
      <w:r w:rsidRPr="00C23ACB">
        <w:rPr>
          <w:noProof/>
          <w:lang w:val="en-IE" w:eastAsia="ja-JP"/>
        </w:rPr>
        <w:t>法に</w:t>
      </w:r>
      <w:r>
        <w:rPr>
          <w:noProof/>
          <w:lang w:val="en-IE" w:eastAsia="ja-JP"/>
        </w:rPr>
        <w:t>基づき</w:t>
      </w:r>
      <w:r w:rsidRPr="008712E7">
        <w:rPr>
          <w:noProof/>
          <w:lang w:val="en-IE" w:eastAsia="ja-JP"/>
        </w:rPr>
        <w:t>要求される情報；</w:t>
      </w:r>
    </w:p>
    <w:p w14:paraId="6B8DD9D1" w14:textId="77777777" w:rsidR="0038775E" w:rsidRDefault="00877B9C" w:rsidP="002041D4">
      <w:pPr>
        <w:pStyle w:val="Point0letter"/>
        <w:numPr>
          <w:ilvl w:val="1"/>
          <w:numId w:val="21"/>
        </w:numPr>
        <w:wordWrap w:val="0"/>
        <w:rPr>
          <w:noProof/>
          <w:lang w:val="en-IE" w:eastAsia="ja-JP"/>
        </w:rPr>
      </w:pPr>
      <w:r>
        <w:rPr>
          <w:noProof/>
          <w:lang w:val="en-IE" w:eastAsia="ja-JP"/>
        </w:rPr>
        <w:t>第</w:t>
      </w:r>
      <w:r>
        <w:rPr>
          <w:noProof/>
          <w:lang w:val="en-IE" w:eastAsia="ja-JP"/>
        </w:rPr>
        <w:t>4</w:t>
      </w:r>
      <w:r>
        <w:rPr>
          <w:noProof/>
          <w:lang w:val="en-IE" w:eastAsia="ja-JP"/>
        </w:rPr>
        <w:t>条に従って採択された適用される委任</w:t>
      </w:r>
      <w:r w:rsidRPr="00820974">
        <w:rPr>
          <w:noProof/>
          <w:lang w:val="en-IE" w:eastAsia="ja-JP"/>
        </w:rPr>
        <w:t>法に示されたレベルの一意の製品識別子を有すること；</w:t>
      </w:r>
    </w:p>
    <w:p w14:paraId="3BEA07A9" w14:textId="77777777" w:rsidR="0038775E" w:rsidRDefault="00877B9C" w:rsidP="002041D4">
      <w:pPr>
        <w:pStyle w:val="Point0letter"/>
        <w:numPr>
          <w:ilvl w:val="1"/>
          <w:numId w:val="21"/>
        </w:numPr>
        <w:wordWrap w:val="0"/>
        <w:rPr>
          <w:noProof/>
          <w:lang w:val="en-IE" w:eastAsia="ja-JP"/>
        </w:rPr>
      </w:pPr>
      <w:r w:rsidRPr="00B23740">
        <w:rPr>
          <w:noProof/>
          <w:lang w:val="en-IE" w:eastAsia="ja-JP"/>
        </w:rPr>
        <w:t>製品またはその部品の</w:t>
      </w:r>
      <w:r>
        <w:rPr>
          <w:noProof/>
          <w:lang w:val="en-IE" w:eastAsia="ja-JP"/>
        </w:rPr>
        <w:t xml:space="preserve">ISO/IEC </w:t>
      </w:r>
      <w:r w:rsidRPr="00B23740">
        <w:rPr>
          <w:noProof/>
          <w:lang w:val="en-IE" w:eastAsia="ja-JP"/>
        </w:rPr>
        <w:t>15459-6</w:t>
      </w:r>
      <w:r>
        <w:rPr>
          <w:noProof/>
          <w:lang w:val="en-IE" w:eastAsia="ja-JP"/>
        </w:rPr>
        <w:t>規格に</w:t>
      </w:r>
      <w:r w:rsidRPr="00B23740">
        <w:rPr>
          <w:noProof/>
          <w:lang w:val="en-IE" w:eastAsia="ja-JP"/>
        </w:rPr>
        <w:t>規定さ</w:t>
      </w:r>
      <w:r>
        <w:rPr>
          <w:noProof/>
          <w:lang w:val="en-IE" w:eastAsia="ja-JP"/>
        </w:rPr>
        <w:t>れた</w:t>
      </w:r>
      <w:r w:rsidRPr="00B23740">
        <w:rPr>
          <w:noProof/>
          <w:lang w:val="en-IE" w:eastAsia="ja-JP"/>
        </w:rPr>
        <w:t>世界貿易識別番号またはその同等品であること；</w:t>
      </w:r>
    </w:p>
    <w:p w14:paraId="1C34A50E" w14:textId="77777777" w:rsidR="0038775E" w:rsidRDefault="00877B9C" w:rsidP="002041D4">
      <w:pPr>
        <w:pStyle w:val="Point0letter"/>
        <w:numPr>
          <w:ilvl w:val="1"/>
          <w:numId w:val="21"/>
        </w:numPr>
        <w:wordWrap w:val="0"/>
        <w:rPr>
          <w:noProof/>
          <w:lang w:val="en-IE" w:eastAsia="ja-JP"/>
        </w:rPr>
      </w:pPr>
      <w:r w:rsidRPr="00820974">
        <w:rPr>
          <w:noProof/>
          <w:lang w:val="en-IE" w:eastAsia="ja-JP"/>
        </w:rPr>
        <w:t>理事会規則（</w:t>
      </w:r>
      <w:r w:rsidRPr="00820974">
        <w:rPr>
          <w:noProof/>
          <w:lang w:val="en-IE" w:eastAsia="ja-JP"/>
        </w:rPr>
        <w:t>EEC</w:t>
      </w:r>
      <w:r w:rsidRPr="00820974">
        <w:rPr>
          <w:noProof/>
          <w:lang w:val="en-IE" w:eastAsia="ja-JP"/>
        </w:rPr>
        <w:t>）</w:t>
      </w:r>
      <w:r w:rsidRPr="00820974">
        <w:rPr>
          <w:noProof/>
          <w:lang w:val="en-IE" w:eastAsia="ja-JP"/>
        </w:rPr>
        <w:t>No 2658/87</w:t>
      </w:r>
      <w:r>
        <w:rPr>
          <w:rStyle w:val="afa"/>
          <w:noProof/>
          <w:lang w:val="en-IE" w:eastAsia="en-GB"/>
        </w:rPr>
        <w:footnoteReference w:id="108"/>
      </w:r>
      <w:r w:rsidRPr="00820974">
        <w:rPr>
          <w:noProof/>
          <w:lang w:val="en-IE" w:eastAsia="ja-JP"/>
        </w:rPr>
        <w:t xml:space="preserve"> </w:t>
      </w:r>
      <w:r w:rsidRPr="00820974">
        <w:rPr>
          <w:noProof/>
          <w:lang w:val="en-IE" w:eastAsia="ja-JP"/>
        </w:rPr>
        <w:t>で定義されている</w:t>
      </w:r>
      <w:r w:rsidRPr="00820974">
        <w:rPr>
          <w:noProof/>
          <w:lang w:val="en-IE" w:eastAsia="ja-JP"/>
        </w:rPr>
        <w:t xml:space="preserve"> T</w:t>
      </w:r>
      <w:r w:rsidRPr="00820974">
        <w:rPr>
          <w:noProof/>
          <w:lang w:val="en-IE" w:eastAsia="ja-JP"/>
        </w:rPr>
        <w:t xml:space="preserve">ARIC </w:t>
      </w:r>
      <w:r w:rsidRPr="00820974">
        <w:rPr>
          <w:noProof/>
          <w:lang w:val="en-IE" w:eastAsia="ja-JP"/>
        </w:rPr>
        <w:t>コードなど、関連する商品コード；</w:t>
      </w:r>
    </w:p>
    <w:p w14:paraId="41979BF9" w14:textId="77777777" w:rsidR="0038775E" w:rsidRDefault="00877B9C" w:rsidP="002041D4">
      <w:pPr>
        <w:pStyle w:val="Point0letter"/>
        <w:numPr>
          <w:ilvl w:val="1"/>
          <w:numId w:val="21"/>
        </w:numPr>
        <w:wordWrap w:val="0"/>
        <w:rPr>
          <w:noProof/>
          <w:lang w:val="en-IE" w:eastAsia="ja-JP"/>
        </w:rPr>
      </w:pPr>
      <w:r w:rsidRPr="00820974">
        <w:rPr>
          <w:noProof/>
          <w:lang w:val="en-IE" w:eastAsia="ja-JP"/>
        </w:rPr>
        <w:t>適合宣言書、技術文書、適合証明書など、</w:t>
      </w:r>
      <w:r>
        <w:rPr>
          <w:noProof/>
          <w:lang w:val="en-IE" w:eastAsia="ja-JP"/>
        </w:rPr>
        <w:t>本規則または</w:t>
      </w:r>
      <w:r w:rsidRPr="00820974">
        <w:rPr>
          <w:noProof/>
          <w:lang w:val="en-IE" w:eastAsia="ja-JP"/>
        </w:rPr>
        <w:t>製品に適用される</w:t>
      </w:r>
      <w:r>
        <w:rPr>
          <w:noProof/>
          <w:lang w:val="en-IE" w:eastAsia="ja-JP"/>
        </w:rPr>
        <w:t>他の連合法の下で</w:t>
      </w:r>
      <w:r w:rsidRPr="00820974">
        <w:rPr>
          <w:noProof/>
          <w:lang w:val="en-IE" w:eastAsia="ja-JP"/>
        </w:rPr>
        <w:t>要求される適合文書および情報；</w:t>
      </w:r>
    </w:p>
    <w:p w14:paraId="704780DC" w14:textId="77777777" w:rsidR="0038775E" w:rsidRDefault="00877B9C" w:rsidP="002041D4">
      <w:pPr>
        <w:pStyle w:val="Point0letter"/>
        <w:numPr>
          <w:ilvl w:val="1"/>
          <w:numId w:val="21"/>
        </w:numPr>
        <w:wordWrap w:val="0"/>
        <w:rPr>
          <w:noProof/>
          <w:lang w:val="en-IE" w:eastAsia="ja-JP"/>
        </w:rPr>
      </w:pPr>
      <w:r w:rsidRPr="00820974">
        <w:rPr>
          <w:noProof/>
          <w:lang w:val="en-IE" w:eastAsia="ja-JP"/>
        </w:rPr>
        <w:t>本製品に適用される他の</w:t>
      </w:r>
      <w:r>
        <w:rPr>
          <w:noProof/>
          <w:lang w:val="en-IE" w:eastAsia="ja-JP"/>
        </w:rPr>
        <w:t>連邦</w:t>
      </w:r>
      <w:r w:rsidRPr="00820974">
        <w:rPr>
          <w:noProof/>
          <w:lang w:val="en-IE" w:eastAsia="ja-JP"/>
        </w:rPr>
        <w:t>法令により要求される、ユーザーマニュアル、指示、警告または安全情報；</w:t>
      </w:r>
      <w:r w:rsidRPr="00820974">
        <w:rPr>
          <w:noProof/>
          <w:lang w:val="en-IE" w:eastAsia="ja-JP"/>
        </w:rPr>
        <w:t xml:space="preserve"> </w:t>
      </w:r>
    </w:p>
    <w:p w14:paraId="02277D39" w14:textId="77777777" w:rsidR="0038775E" w:rsidRDefault="00877B9C" w:rsidP="002041D4">
      <w:pPr>
        <w:pStyle w:val="Point0letter"/>
        <w:numPr>
          <w:ilvl w:val="1"/>
          <w:numId w:val="21"/>
        </w:numPr>
        <w:wordWrap w:val="0"/>
        <w:rPr>
          <w:noProof/>
          <w:lang w:val="en-IE" w:eastAsia="ja-JP"/>
        </w:rPr>
      </w:pPr>
      <w:r w:rsidRPr="00820974">
        <w:rPr>
          <w:noProof/>
          <w:lang w:val="en-IE" w:eastAsia="ja-JP"/>
        </w:rPr>
        <w:t>事業者固有の識別子や</w:t>
      </w:r>
      <w:r>
        <w:rPr>
          <w:noProof/>
          <w:lang w:val="en-IE" w:eastAsia="ja-JP"/>
        </w:rPr>
        <w:t>第</w:t>
      </w:r>
      <w:r>
        <w:rPr>
          <w:noProof/>
          <w:lang w:val="en-IE" w:eastAsia="ja-JP"/>
        </w:rPr>
        <w:t>21</w:t>
      </w:r>
      <w:r>
        <w:rPr>
          <w:noProof/>
          <w:lang w:val="en-IE" w:eastAsia="ja-JP"/>
        </w:rPr>
        <w:t>条</w:t>
      </w:r>
      <w:r>
        <w:rPr>
          <w:noProof/>
          <w:lang w:val="en-IE" w:eastAsia="ja-JP"/>
        </w:rPr>
        <w:t>7</w:t>
      </w:r>
      <w:r w:rsidRPr="00820974">
        <w:rPr>
          <w:noProof/>
          <w:lang w:val="en-IE" w:eastAsia="ja-JP"/>
        </w:rPr>
        <w:t>項の情報など、製造者に関連する情報；</w:t>
      </w:r>
    </w:p>
    <w:p w14:paraId="3FFBAC94" w14:textId="77777777" w:rsidR="0038775E" w:rsidRDefault="00877B9C" w:rsidP="002041D4">
      <w:pPr>
        <w:pStyle w:val="Point0letter"/>
        <w:numPr>
          <w:ilvl w:val="1"/>
          <w:numId w:val="21"/>
        </w:numPr>
        <w:wordWrap w:val="0"/>
        <w:rPr>
          <w:noProof/>
          <w:lang w:val="en-IE" w:eastAsia="ja-JP"/>
        </w:rPr>
      </w:pPr>
      <w:r>
        <w:rPr>
          <w:noProof/>
          <w:lang w:val="en-IE" w:eastAsia="ja-JP"/>
        </w:rPr>
        <w:t>製造者以外の</w:t>
      </w:r>
      <w:r w:rsidRPr="00820974">
        <w:rPr>
          <w:noProof/>
          <w:lang w:val="en-IE" w:eastAsia="ja-JP"/>
        </w:rPr>
        <w:t>事業者固有の識別子；</w:t>
      </w:r>
    </w:p>
    <w:p w14:paraId="35187E70" w14:textId="77777777" w:rsidR="0038775E" w:rsidRDefault="00877B9C" w:rsidP="002041D4">
      <w:pPr>
        <w:pStyle w:val="Point0letter"/>
        <w:numPr>
          <w:ilvl w:val="1"/>
          <w:numId w:val="21"/>
        </w:numPr>
        <w:wordWrap w:val="0"/>
        <w:rPr>
          <w:noProof/>
          <w:lang w:val="en-IE" w:eastAsia="ja-JP"/>
        </w:rPr>
      </w:pPr>
      <w:r w:rsidRPr="00820974">
        <w:rPr>
          <w:noProof/>
          <w:lang w:val="en-IE" w:eastAsia="ja-JP"/>
        </w:rPr>
        <w:t>ユニークな施設識別子を持つ；</w:t>
      </w:r>
      <w:r w:rsidRPr="00820974">
        <w:rPr>
          <w:noProof/>
          <w:lang w:val="en-IE" w:eastAsia="ja-JP"/>
        </w:rPr>
        <w:t xml:space="preserve"> </w:t>
      </w:r>
    </w:p>
    <w:p w14:paraId="07B762E9" w14:textId="77777777" w:rsidR="0038775E" w:rsidRDefault="00877B9C" w:rsidP="002041D4">
      <w:pPr>
        <w:pStyle w:val="Point0letter"/>
        <w:numPr>
          <w:ilvl w:val="1"/>
          <w:numId w:val="21"/>
        </w:numPr>
        <w:wordWrap w:val="0"/>
        <w:rPr>
          <w:noProof/>
          <w:lang w:val="en-IE" w:eastAsia="ja-JP"/>
        </w:rPr>
      </w:pPr>
      <w:r w:rsidRPr="00820974">
        <w:rPr>
          <w:noProof/>
          <w:lang w:val="en-IE" w:eastAsia="ja-JP"/>
        </w:rPr>
        <w:t>輸入者に関連する情報（</w:t>
      </w:r>
      <w:r w:rsidRPr="00043A62">
        <w:rPr>
          <w:noProof/>
          <w:lang w:val="en-IE" w:eastAsia="ja-JP"/>
        </w:rPr>
        <w:t>第</w:t>
      </w:r>
      <w:r w:rsidRPr="00043A62">
        <w:rPr>
          <w:noProof/>
          <w:lang w:val="en-IE" w:eastAsia="ja-JP"/>
        </w:rPr>
        <w:t>23</w:t>
      </w:r>
      <w:r w:rsidRPr="00043A62">
        <w:rPr>
          <w:noProof/>
          <w:lang w:val="en-IE" w:eastAsia="ja-JP"/>
        </w:rPr>
        <w:t>条第</w:t>
      </w:r>
      <w:r w:rsidRPr="00043A62">
        <w:rPr>
          <w:noProof/>
          <w:lang w:val="en-IE" w:eastAsia="ja-JP"/>
        </w:rPr>
        <w:t>3</w:t>
      </w:r>
      <w:r w:rsidRPr="00820974">
        <w:rPr>
          <w:noProof/>
          <w:lang w:val="en-IE" w:eastAsia="ja-JP"/>
        </w:rPr>
        <w:t>項の情報、</w:t>
      </w:r>
      <w:r w:rsidRPr="00820974">
        <w:rPr>
          <w:noProof/>
          <w:lang w:val="en-IE" w:eastAsia="ja-JP"/>
        </w:rPr>
        <w:t>EORI</w:t>
      </w:r>
      <w:r w:rsidRPr="00820974">
        <w:rPr>
          <w:noProof/>
          <w:lang w:val="en-IE" w:eastAsia="ja-JP"/>
        </w:rPr>
        <w:t>番号など）；</w:t>
      </w:r>
    </w:p>
    <w:p w14:paraId="215A3E6B" w14:textId="77777777" w:rsidR="0038775E" w:rsidRDefault="00877B9C" w:rsidP="002041D4">
      <w:pPr>
        <w:pStyle w:val="Point0letter"/>
        <w:numPr>
          <w:ilvl w:val="1"/>
          <w:numId w:val="21"/>
        </w:numPr>
        <w:wordWrap w:val="0"/>
        <w:rPr>
          <w:noProof/>
          <w:lang w:val="en-IE" w:eastAsia="ja-JP"/>
        </w:rPr>
      </w:pPr>
      <w:r w:rsidRPr="00820974">
        <w:rPr>
          <w:noProof/>
          <w:lang w:val="en-IE" w:eastAsia="ja-JP"/>
        </w:rPr>
        <w:t>規則</w:t>
      </w:r>
      <w:r>
        <w:rPr>
          <w:noProof/>
          <w:lang w:val="en-IE" w:eastAsia="ja-JP"/>
        </w:rPr>
        <w:t>（</w:t>
      </w:r>
      <w:r>
        <w:rPr>
          <w:noProof/>
          <w:lang w:val="en-IE" w:eastAsia="ja-JP"/>
        </w:rPr>
        <w:t>EU</w:t>
      </w:r>
      <w:r>
        <w:rPr>
          <w:noProof/>
          <w:lang w:val="en-IE" w:eastAsia="ja-JP"/>
        </w:rPr>
        <w:t>）</w:t>
      </w:r>
      <w:r w:rsidRPr="00820974">
        <w:rPr>
          <w:noProof/>
          <w:lang w:val="en-IE" w:eastAsia="ja-JP"/>
        </w:rPr>
        <w:t>2019/1020</w:t>
      </w:r>
      <w:r w:rsidRPr="00820974">
        <w:rPr>
          <w:noProof/>
          <w:lang w:val="en-IE" w:eastAsia="ja-JP"/>
        </w:rPr>
        <w:t>の第</w:t>
      </w:r>
      <w:r w:rsidRPr="00820974">
        <w:rPr>
          <w:noProof/>
          <w:lang w:val="en-IE" w:eastAsia="ja-JP"/>
        </w:rPr>
        <w:t>4</w:t>
      </w:r>
      <w:r w:rsidRPr="00820974">
        <w:rPr>
          <w:noProof/>
          <w:lang w:val="en-IE" w:eastAsia="ja-JP"/>
        </w:rPr>
        <w:t>条、</w:t>
      </w:r>
      <w:r>
        <w:rPr>
          <w:noProof/>
          <w:lang w:val="en-IE" w:eastAsia="ja-JP"/>
        </w:rPr>
        <w:t>または</w:t>
      </w:r>
      <w:r w:rsidRPr="00820974">
        <w:rPr>
          <w:noProof/>
          <w:lang w:val="en-IE" w:eastAsia="ja-JP"/>
        </w:rPr>
        <w:t>一般製品安全に関する規則（</w:t>
      </w:r>
      <w:r w:rsidRPr="00820974">
        <w:rPr>
          <w:noProof/>
          <w:lang w:val="en-IE" w:eastAsia="ja-JP"/>
        </w:rPr>
        <w:t>EU</w:t>
      </w:r>
      <w:r w:rsidRPr="00820974">
        <w:rPr>
          <w:noProof/>
          <w:lang w:val="en-IE" w:eastAsia="ja-JP"/>
        </w:rPr>
        <w:t>）</w:t>
      </w:r>
      <w:r w:rsidRPr="00820974">
        <w:rPr>
          <w:noProof/>
          <w:lang w:val="en-IE" w:eastAsia="ja-JP"/>
        </w:rPr>
        <w:t>[.../...]</w:t>
      </w:r>
      <w:r w:rsidRPr="00820974">
        <w:rPr>
          <w:noProof/>
          <w:lang w:val="en-IE" w:eastAsia="ja-JP"/>
        </w:rPr>
        <w:t>の第</w:t>
      </w:r>
      <w:r w:rsidRPr="00820974">
        <w:rPr>
          <w:noProof/>
          <w:lang w:val="en-IE" w:eastAsia="ja-JP"/>
        </w:rPr>
        <w:t>15</w:t>
      </w:r>
      <w:r w:rsidRPr="00820974">
        <w:rPr>
          <w:noProof/>
          <w:lang w:val="en-IE" w:eastAsia="ja-JP"/>
        </w:rPr>
        <w:t>条、または製品に適用される他の</w:t>
      </w:r>
      <w:r w:rsidRPr="00820974">
        <w:rPr>
          <w:noProof/>
          <w:lang w:val="en-IE" w:eastAsia="ja-JP"/>
        </w:rPr>
        <w:t>EU</w:t>
      </w:r>
      <w:r w:rsidRPr="00820974">
        <w:rPr>
          <w:noProof/>
          <w:lang w:val="en-IE" w:eastAsia="ja-JP"/>
        </w:rPr>
        <w:t>法令に基づく同様の業務を遂行する責任を負う、連合国内に設立された経済事業者の名称、連絡先、および固有の事業者識別コード</w:t>
      </w:r>
      <w:r>
        <w:rPr>
          <w:noProof/>
          <w:lang w:val="en-IE" w:eastAsia="ja-JP"/>
        </w:rPr>
        <w:t>。</w:t>
      </w:r>
    </w:p>
    <w:p w14:paraId="1E194413" w14:textId="77777777" w:rsidR="0038775E" w:rsidRDefault="00877B9C" w:rsidP="002041D4">
      <w:pPr>
        <w:wordWrap w:val="0"/>
        <w:rPr>
          <w:noProof/>
          <w:lang w:val="en-IE" w:eastAsia="ja-JP"/>
        </w:rPr>
      </w:pPr>
      <w:r>
        <w:rPr>
          <w:noProof/>
          <w:lang w:val="en-IE" w:eastAsia="ja-JP"/>
        </w:rPr>
        <w:t>第</w:t>
      </w:r>
      <w:r>
        <w:rPr>
          <w:noProof/>
          <w:lang w:val="en-IE" w:eastAsia="ja-JP"/>
        </w:rPr>
        <w:t>4</w:t>
      </w:r>
      <w:r>
        <w:rPr>
          <w:noProof/>
          <w:lang w:val="en-IE" w:eastAsia="ja-JP"/>
        </w:rPr>
        <w:t>条に従って採択された委任法は、第</w:t>
      </w:r>
      <w:r>
        <w:rPr>
          <w:noProof/>
          <w:lang w:val="en-IE" w:eastAsia="ja-JP"/>
        </w:rPr>
        <w:t>8</w:t>
      </w:r>
      <w:r>
        <w:rPr>
          <w:noProof/>
          <w:lang w:val="en-IE" w:eastAsia="ja-JP"/>
        </w:rPr>
        <w:t>条</w:t>
      </w:r>
      <w:r>
        <w:rPr>
          <w:noProof/>
          <w:lang w:val="en-IE" w:eastAsia="ja-JP"/>
        </w:rPr>
        <w:t>2</w:t>
      </w:r>
      <w:r>
        <w:rPr>
          <w:noProof/>
          <w:lang w:val="en-IE" w:eastAsia="ja-JP"/>
        </w:rPr>
        <w:t>項（</w:t>
      </w:r>
      <w:r>
        <w:rPr>
          <w:noProof/>
          <w:lang w:val="en-IE" w:eastAsia="ja-JP"/>
        </w:rPr>
        <w:t>a</w:t>
      </w:r>
      <w:r w:rsidRPr="00820974">
        <w:rPr>
          <w:noProof/>
          <w:lang w:val="en-IE" w:eastAsia="ja-JP"/>
        </w:rPr>
        <w:t>）に従って</w:t>
      </w:r>
      <w:r>
        <w:rPr>
          <w:noProof/>
          <w:lang w:val="en-IE" w:eastAsia="ja-JP"/>
        </w:rPr>
        <w:t>要求される</w:t>
      </w:r>
      <w:r w:rsidRPr="00820974">
        <w:rPr>
          <w:noProof/>
          <w:lang w:val="en-IE" w:eastAsia="ja-JP"/>
        </w:rPr>
        <w:t>情報に加えて、製造者が製品パスポートに含めることができる</w:t>
      </w:r>
      <w:r>
        <w:rPr>
          <w:noProof/>
          <w:lang w:val="en-IE" w:eastAsia="ja-JP"/>
        </w:rPr>
        <w:t>エコデザイン要件に</w:t>
      </w:r>
      <w:r w:rsidRPr="00820974">
        <w:rPr>
          <w:noProof/>
          <w:lang w:val="en-IE" w:eastAsia="ja-JP"/>
        </w:rPr>
        <w:t>関連する情報（製品に適用される特定の任意ラベルに関する情報を</w:t>
      </w:r>
      <w:r>
        <w:rPr>
          <w:noProof/>
          <w:lang w:val="en-IE" w:eastAsia="ja-JP"/>
        </w:rPr>
        <w:t>含む）を</w:t>
      </w:r>
      <w:r w:rsidRPr="00820974">
        <w:rPr>
          <w:noProof/>
          <w:lang w:val="en-IE" w:eastAsia="ja-JP"/>
        </w:rPr>
        <w:t>特定するものとする</w:t>
      </w:r>
      <w:r>
        <w:rPr>
          <w:noProof/>
          <w:lang w:val="en-IE" w:eastAsia="ja-JP"/>
        </w:rPr>
        <w:t>。これには、規則（</w:t>
      </w:r>
      <w:r>
        <w:rPr>
          <w:noProof/>
          <w:lang w:val="en-IE" w:eastAsia="ja-JP"/>
        </w:rPr>
        <w:t>EC</w:t>
      </w:r>
      <w:r>
        <w:rPr>
          <w:noProof/>
          <w:lang w:val="en-IE" w:eastAsia="ja-JP"/>
        </w:rPr>
        <w:t>）</w:t>
      </w:r>
      <w:r w:rsidRPr="00954410">
        <w:rPr>
          <w:noProof/>
          <w:lang w:val="en-IE" w:eastAsia="ja-JP"/>
        </w:rPr>
        <w:t>No 66/2010</w:t>
      </w:r>
      <w:r w:rsidRPr="00954410">
        <w:rPr>
          <w:noProof/>
          <w:lang w:val="en-IE" w:eastAsia="ja-JP"/>
        </w:rPr>
        <w:t>に基づき</w:t>
      </w:r>
      <w:r w:rsidRPr="00820974">
        <w:rPr>
          <w:noProof/>
          <w:lang w:val="en-IE" w:eastAsia="ja-JP"/>
        </w:rPr>
        <w:t>EU</w:t>
      </w:r>
      <w:r w:rsidRPr="00820974">
        <w:rPr>
          <w:noProof/>
          <w:lang w:val="en-IE" w:eastAsia="ja-JP"/>
        </w:rPr>
        <w:t>エコラベルが</w:t>
      </w:r>
      <w:r>
        <w:rPr>
          <w:noProof/>
          <w:lang w:val="en-IE" w:eastAsia="ja-JP"/>
        </w:rPr>
        <w:t>製</w:t>
      </w:r>
      <w:r>
        <w:rPr>
          <w:noProof/>
          <w:lang w:val="en-IE" w:eastAsia="ja-JP"/>
        </w:rPr>
        <w:t>品に付与されているか否かが含まれるものとする</w:t>
      </w:r>
      <w:r w:rsidRPr="00820974">
        <w:rPr>
          <w:noProof/>
          <w:lang w:val="en-IE" w:eastAsia="ja-JP"/>
        </w:rPr>
        <w:t>。</w:t>
      </w:r>
    </w:p>
    <w:p w14:paraId="412BE09E" w14:textId="77777777" w:rsidR="006E750D" w:rsidRPr="00A54F15" w:rsidRDefault="006E750D" w:rsidP="002041D4">
      <w:pPr>
        <w:wordWrap w:val="0"/>
        <w:rPr>
          <w:noProof/>
          <w:lang w:eastAsia="ja-JP"/>
        </w:rPr>
        <w:sectPr w:rsidR="006E750D" w:rsidRPr="00A54F15" w:rsidSect="00BC1CA9">
          <w:pgSz w:w="11907" w:h="16839"/>
          <w:pgMar w:top="1134" w:right="1417" w:bottom="1134" w:left="1417" w:header="709" w:footer="709" w:gutter="0"/>
          <w:cols w:space="720"/>
          <w:docGrid w:linePitch="360"/>
        </w:sectPr>
      </w:pPr>
    </w:p>
    <w:p w14:paraId="4A553F07" w14:textId="77777777" w:rsidR="0038775E" w:rsidRDefault="00877B9C" w:rsidP="002041D4">
      <w:pPr>
        <w:pStyle w:val="Annexetitre"/>
        <w:wordWrap w:val="0"/>
        <w:rPr>
          <w:noProof/>
          <w:u w:val="none"/>
          <w:lang w:val="fr-BE" w:eastAsia="ja-JP"/>
        </w:rPr>
      </w:pPr>
      <w:r w:rsidRPr="00F16891">
        <w:rPr>
          <w:noProof/>
          <w:u w:val="none"/>
          <w:lang w:val="fr-BE" w:eastAsia="ja-JP"/>
        </w:rPr>
        <w:lastRenderedPageBreak/>
        <w:t>ANNEX IV</w:t>
      </w:r>
    </w:p>
    <w:p w14:paraId="435FDD3D" w14:textId="77777777" w:rsidR="0038775E" w:rsidRDefault="00877B9C" w:rsidP="002041D4">
      <w:pPr>
        <w:wordWrap w:val="0"/>
        <w:jc w:val="center"/>
        <w:rPr>
          <w:noProof/>
          <w:lang w:eastAsia="ja-JP"/>
        </w:rPr>
      </w:pPr>
      <w:r w:rsidRPr="00F16891">
        <w:rPr>
          <w:b/>
          <w:noProof/>
          <w:u w:val="single"/>
          <w:lang w:eastAsia="ja-JP"/>
        </w:rPr>
        <w:t>内部生産管理</w:t>
      </w:r>
    </w:p>
    <w:p w14:paraId="4FB74400" w14:textId="77777777" w:rsidR="0038775E" w:rsidRDefault="00877B9C" w:rsidP="002041D4">
      <w:pPr>
        <w:wordWrap w:val="0"/>
        <w:jc w:val="center"/>
        <w:rPr>
          <w:b/>
          <w:noProof/>
          <w:lang w:val="fr-BE" w:eastAsia="ja-JP"/>
        </w:rPr>
      </w:pPr>
      <w:r w:rsidRPr="00177810">
        <w:rPr>
          <w:b/>
          <w:noProof/>
          <w:lang w:val="fr-BE" w:eastAsia="ja-JP"/>
        </w:rPr>
        <w:t>(</w:t>
      </w:r>
      <w:r w:rsidRPr="00177810">
        <w:rPr>
          <w:b/>
          <w:noProof/>
          <w:lang w:val="fr-BE" w:eastAsia="ja-JP"/>
        </w:rPr>
        <w:t>モジュール</w:t>
      </w:r>
      <w:r w:rsidRPr="00177810">
        <w:rPr>
          <w:b/>
          <w:noProof/>
          <w:lang w:val="fr-BE" w:eastAsia="ja-JP"/>
        </w:rPr>
        <w:t>A)</w:t>
      </w:r>
    </w:p>
    <w:p w14:paraId="44B8A1D8" w14:textId="77777777" w:rsidR="0038775E" w:rsidRDefault="00877B9C" w:rsidP="002041D4">
      <w:pPr>
        <w:pStyle w:val="NumPar1"/>
        <w:numPr>
          <w:ilvl w:val="0"/>
          <w:numId w:val="20"/>
        </w:numPr>
        <w:wordWrap w:val="0"/>
        <w:rPr>
          <w:noProof/>
          <w:lang w:val="en-IE" w:eastAsia="fr-BE"/>
        </w:rPr>
      </w:pPr>
      <w:r w:rsidRPr="002B41AE">
        <w:rPr>
          <w:noProof/>
          <w:lang w:val="en-IE" w:eastAsia="fr-BE"/>
        </w:rPr>
        <w:t>内部製造管理とは、製造者が第</w:t>
      </w:r>
      <w:r w:rsidRPr="002B41AE">
        <w:rPr>
          <w:noProof/>
          <w:lang w:val="en-IE" w:eastAsia="fr-BE"/>
        </w:rPr>
        <w:t>2</w:t>
      </w:r>
      <w:r w:rsidRPr="002B41AE">
        <w:rPr>
          <w:noProof/>
          <w:lang w:val="en-IE" w:eastAsia="fr-BE"/>
        </w:rPr>
        <w:t>、</w:t>
      </w:r>
      <w:r w:rsidRPr="002B41AE">
        <w:rPr>
          <w:noProof/>
          <w:lang w:val="en-IE" w:eastAsia="fr-BE"/>
        </w:rPr>
        <w:t>3</w:t>
      </w:r>
      <w:r w:rsidRPr="002B41AE">
        <w:rPr>
          <w:noProof/>
          <w:lang w:val="en-IE" w:eastAsia="fr-BE"/>
        </w:rPr>
        <w:t>、</w:t>
      </w:r>
      <w:r w:rsidRPr="002B41AE">
        <w:rPr>
          <w:noProof/>
          <w:lang w:val="en-IE" w:eastAsia="fr-BE"/>
        </w:rPr>
        <w:t>4</w:t>
      </w:r>
      <w:r w:rsidRPr="002B41AE">
        <w:rPr>
          <w:noProof/>
          <w:lang w:val="en-IE" w:eastAsia="fr-BE"/>
        </w:rPr>
        <w:t>項に規定する義務を果たし、製品が</w:t>
      </w:r>
      <w:r>
        <w:rPr>
          <w:noProof/>
          <w:lang w:val="en-IE" w:eastAsia="fr-BE"/>
        </w:rPr>
        <w:t>第</w:t>
      </w:r>
      <w:r>
        <w:rPr>
          <w:noProof/>
          <w:lang w:val="en-IE" w:eastAsia="fr-BE"/>
        </w:rPr>
        <w:t>4</w:t>
      </w:r>
      <w:r>
        <w:rPr>
          <w:noProof/>
          <w:lang w:val="en-IE" w:eastAsia="fr-BE"/>
        </w:rPr>
        <w:t>条に従って採択された委任</w:t>
      </w:r>
      <w:r w:rsidRPr="002B41AE">
        <w:rPr>
          <w:noProof/>
          <w:lang w:val="en-IE" w:eastAsia="fr-BE"/>
        </w:rPr>
        <w:t>法の要求事項を満たすことを自らの責任で保証し宣言する適合性評価手続きのことである。</w:t>
      </w:r>
    </w:p>
    <w:p w14:paraId="7A25C03E" w14:textId="77777777" w:rsidR="0038775E" w:rsidRDefault="00877B9C" w:rsidP="002041D4">
      <w:pPr>
        <w:pStyle w:val="NumPar1"/>
        <w:numPr>
          <w:ilvl w:val="0"/>
          <w:numId w:val="20"/>
        </w:numPr>
        <w:wordWrap w:val="0"/>
        <w:rPr>
          <w:noProof/>
          <w:lang w:val="en-IE" w:eastAsia="fr-BE"/>
        </w:rPr>
      </w:pPr>
      <w:r w:rsidRPr="00A54F15">
        <w:rPr>
          <w:noProof/>
          <w:lang w:val="en-IE" w:eastAsia="fr-BE"/>
        </w:rPr>
        <w:t>技術資料</w:t>
      </w:r>
    </w:p>
    <w:p w14:paraId="154D167E" w14:textId="77777777" w:rsidR="0038775E" w:rsidRDefault="00877B9C" w:rsidP="002041D4">
      <w:pPr>
        <w:pStyle w:val="Text1"/>
        <w:wordWrap w:val="0"/>
        <w:rPr>
          <w:noProof/>
          <w:lang w:eastAsia="ja-JP"/>
        </w:rPr>
      </w:pPr>
      <w:r>
        <w:rPr>
          <w:noProof/>
          <w:lang w:eastAsia="ja-JP"/>
        </w:rPr>
        <w:t>製造者は、技術文書を作成するものとする。当該文書により、</w:t>
      </w:r>
      <w:r>
        <w:rPr>
          <w:noProof/>
          <w:lang w:val="en-IE" w:eastAsia="fr-BE"/>
        </w:rPr>
        <w:t>第</w:t>
      </w:r>
      <w:r>
        <w:rPr>
          <w:noProof/>
          <w:lang w:val="en-IE" w:eastAsia="fr-BE"/>
        </w:rPr>
        <w:t>4</w:t>
      </w:r>
      <w:r>
        <w:rPr>
          <w:noProof/>
          <w:lang w:val="en-IE" w:eastAsia="fr-BE"/>
        </w:rPr>
        <w:t>条に従って採択された委任法の</w:t>
      </w:r>
      <w:r>
        <w:rPr>
          <w:noProof/>
          <w:lang w:eastAsia="ja-JP"/>
        </w:rPr>
        <w:t>要求事項に対する製品の適合性を評価することが可能となるものとする。技術文書は、適用される要求事項を規定し、評価に関連する限りにおいて、製品の設計、製造及び運用を網羅しなければならない。技術文書は，該当する場合，少なくとも次の要素を含まなければならない：</w:t>
      </w:r>
    </w:p>
    <w:p w14:paraId="49649EF0" w14:textId="77777777" w:rsidR="0038775E" w:rsidRDefault="00877B9C" w:rsidP="002041D4">
      <w:pPr>
        <w:pStyle w:val="Tiret1"/>
        <w:numPr>
          <w:ilvl w:val="0"/>
          <w:numId w:val="93"/>
        </w:numPr>
        <w:wordWrap w:val="0"/>
        <w:rPr>
          <w:noProof/>
          <w:lang w:eastAsia="ja-JP"/>
        </w:rPr>
      </w:pPr>
      <w:r>
        <w:rPr>
          <w:noProof/>
          <w:lang w:eastAsia="ja-JP"/>
        </w:rPr>
        <w:t>製品およびその使用目的についての一般的な説明、</w:t>
      </w:r>
      <w:r>
        <w:rPr>
          <w:noProof/>
          <w:lang w:eastAsia="ja-JP"/>
        </w:rPr>
        <w:t xml:space="preserve"> </w:t>
      </w:r>
    </w:p>
    <w:p w14:paraId="34323BC0" w14:textId="77777777" w:rsidR="0038775E" w:rsidRDefault="00877B9C" w:rsidP="002041D4">
      <w:pPr>
        <w:pStyle w:val="Tiret1"/>
        <w:wordWrap w:val="0"/>
        <w:rPr>
          <w:noProof/>
          <w:lang w:eastAsia="ja-JP"/>
        </w:rPr>
      </w:pPr>
      <w:r>
        <w:rPr>
          <w:noProof/>
          <w:lang w:eastAsia="ja-JP"/>
        </w:rPr>
        <w:t>コンポーネント、サブアセンブリ、回路などの概念設計および製造図面、回路図。</w:t>
      </w:r>
      <w:r>
        <w:rPr>
          <w:noProof/>
          <w:lang w:eastAsia="ja-JP"/>
        </w:rPr>
        <w:t xml:space="preserve"> </w:t>
      </w:r>
    </w:p>
    <w:p w14:paraId="062AF112" w14:textId="77777777" w:rsidR="0038775E" w:rsidRDefault="00877B9C" w:rsidP="002041D4">
      <w:pPr>
        <w:pStyle w:val="Tiret1"/>
        <w:wordWrap w:val="0"/>
        <w:rPr>
          <w:noProof/>
          <w:lang w:eastAsia="ja-JP"/>
        </w:rPr>
      </w:pPr>
      <w:r>
        <w:rPr>
          <w:noProof/>
          <w:lang w:eastAsia="ja-JP"/>
        </w:rPr>
        <w:t>図面や図案を理解し、製品を操作するために必要な記述や説明、</w:t>
      </w:r>
      <w:r>
        <w:rPr>
          <w:noProof/>
          <w:lang w:eastAsia="ja-JP"/>
        </w:rPr>
        <w:t xml:space="preserve"> </w:t>
      </w:r>
    </w:p>
    <w:p w14:paraId="386EFB7C" w14:textId="77777777" w:rsidR="0038775E" w:rsidRDefault="00877B9C" w:rsidP="002041D4">
      <w:pPr>
        <w:pStyle w:val="Tiret1"/>
        <w:wordWrap w:val="0"/>
        <w:rPr>
          <w:noProof/>
          <w:lang w:eastAsia="ja-JP"/>
        </w:rPr>
      </w:pPr>
      <w:r>
        <w:rPr>
          <w:noProof/>
          <w:lang w:eastAsia="ja-JP"/>
        </w:rPr>
        <w:t>欧州連合官報に引用文献が掲載されている整合規格，共通仕様又はその他の</w:t>
      </w:r>
      <w:r>
        <w:rPr>
          <w:noProof/>
          <w:lang w:eastAsia="ja-JP"/>
        </w:rPr>
        <w:t>関連技術仕様のリストで，その全部又は一部が適用されており，整合規格が適用されていない場合には，要件を満たすために採用した解決策の記述。整合規格が一部適用されている場合、技術文書には適用されている部分を明記しなければならない、</w:t>
      </w:r>
      <w:r>
        <w:rPr>
          <w:noProof/>
          <w:lang w:eastAsia="ja-JP"/>
        </w:rPr>
        <w:t xml:space="preserve"> </w:t>
      </w:r>
    </w:p>
    <w:p w14:paraId="14B28384" w14:textId="77777777" w:rsidR="0038775E" w:rsidRDefault="00877B9C" w:rsidP="002041D4">
      <w:pPr>
        <w:pStyle w:val="Tiret1"/>
        <w:wordWrap w:val="0"/>
        <w:rPr>
          <w:noProof/>
          <w:lang w:eastAsia="ja-JP"/>
        </w:rPr>
      </w:pPr>
      <w:r>
        <w:rPr>
          <w:noProof/>
          <w:lang w:eastAsia="ja-JP"/>
        </w:rPr>
        <w:t>設計計算の結果、試験の結果など、</w:t>
      </w:r>
      <w:r>
        <w:rPr>
          <w:noProof/>
          <w:lang w:eastAsia="ja-JP"/>
        </w:rPr>
        <w:t xml:space="preserve"> </w:t>
      </w:r>
    </w:p>
    <w:p w14:paraId="1F6C0CA9" w14:textId="77777777" w:rsidR="0038775E" w:rsidRDefault="00877B9C" w:rsidP="002041D4">
      <w:pPr>
        <w:pStyle w:val="Tiret1"/>
        <w:wordWrap w:val="0"/>
        <w:rPr>
          <w:noProof/>
          <w:lang w:eastAsia="ja-JP"/>
        </w:rPr>
      </w:pPr>
      <w:r>
        <w:rPr>
          <w:noProof/>
          <w:lang w:val="en-IE" w:eastAsia="fr-BE"/>
        </w:rPr>
        <w:t>エコデザイン</w:t>
      </w:r>
      <w:r w:rsidRPr="00DF50E8">
        <w:rPr>
          <w:noProof/>
          <w:lang w:val="en-IE" w:eastAsia="fr-BE"/>
        </w:rPr>
        <w:t>要件に</w:t>
      </w:r>
      <w:r>
        <w:rPr>
          <w:noProof/>
          <w:lang w:val="en-IE" w:eastAsia="fr-BE"/>
        </w:rPr>
        <w:t>関連して実施された</w:t>
      </w:r>
      <w:r w:rsidRPr="00DF50E8">
        <w:rPr>
          <w:noProof/>
          <w:lang w:val="en-IE" w:eastAsia="fr-BE"/>
        </w:rPr>
        <w:t>測定の結果（</w:t>
      </w:r>
      <w:r>
        <w:rPr>
          <w:noProof/>
          <w:lang w:val="en-IE" w:eastAsia="fr-BE"/>
        </w:rPr>
        <w:t>第</w:t>
      </w:r>
      <w:r>
        <w:rPr>
          <w:noProof/>
          <w:lang w:val="en-IE" w:eastAsia="fr-BE"/>
        </w:rPr>
        <w:t>4</w:t>
      </w:r>
      <w:r>
        <w:rPr>
          <w:noProof/>
          <w:lang w:val="en-IE" w:eastAsia="fr-BE"/>
        </w:rPr>
        <w:t>条に従って採択された委任</w:t>
      </w:r>
      <w:r w:rsidRPr="00DF50E8">
        <w:rPr>
          <w:noProof/>
          <w:lang w:val="en-IE" w:eastAsia="fr-BE"/>
        </w:rPr>
        <w:t>法に定める</w:t>
      </w:r>
      <w:r>
        <w:rPr>
          <w:noProof/>
          <w:lang w:val="en-IE" w:eastAsia="fr-BE"/>
        </w:rPr>
        <w:t>エコデザイン</w:t>
      </w:r>
      <w:r w:rsidRPr="00DF50E8">
        <w:rPr>
          <w:noProof/>
          <w:lang w:val="en-IE" w:eastAsia="fr-BE"/>
        </w:rPr>
        <w:t>要件と比較した当該測定の適合性の詳細を含む）、</w:t>
      </w:r>
    </w:p>
    <w:p w14:paraId="0F2E8198" w14:textId="77777777" w:rsidR="0038775E" w:rsidRDefault="00877B9C" w:rsidP="002041D4">
      <w:pPr>
        <w:pStyle w:val="Tiret1"/>
        <w:wordWrap w:val="0"/>
        <w:rPr>
          <w:noProof/>
          <w:lang w:eastAsia="ja-JP"/>
        </w:rPr>
      </w:pPr>
      <w:r>
        <w:rPr>
          <w:noProof/>
          <w:lang w:eastAsia="ja-JP"/>
        </w:rPr>
        <w:t>テストレポート、および</w:t>
      </w:r>
    </w:p>
    <w:p w14:paraId="062E61AA" w14:textId="77777777" w:rsidR="0038775E" w:rsidRDefault="00877B9C" w:rsidP="002041D4">
      <w:pPr>
        <w:pStyle w:val="Tiret1"/>
        <w:wordWrap w:val="0"/>
        <w:rPr>
          <w:noProof/>
          <w:lang w:val="en-IE" w:eastAsia="fr-BE"/>
        </w:rPr>
      </w:pPr>
      <w:r>
        <w:rPr>
          <w:noProof/>
          <w:lang w:val="en-IE" w:eastAsia="fr-BE"/>
        </w:rPr>
        <w:t>第</w:t>
      </w:r>
      <w:r>
        <w:rPr>
          <w:noProof/>
          <w:lang w:val="en-IE" w:eastAsia="fr-BE"/>
        </w:rPr>
        <w:t>7</w:t>
      </w:r>
      <w:r>
        <w:rPr>
          <w:noProof/>
          <w:lang w:val="en-IE" w:eastAsia="fr-BE"/>
        </w:rPr>
        <w:t>条に基づく情報提供</w:t>
      </w:r>
      <w:r w:rsidRPr="00DF50E8">
        <w:rPr>
          <w:noProof/>
          <w:lang w:val="en-IE" w:eastAsia="fr-BE"/>
        </w:rPr>
        <w:t>義務に基づき提供された情報の写し、</w:t>
      </w:r>
    </w:p>
    <w:p w14:paraId="3C656823" w14:textId="77777777" w:rsidR="0038775E" w:rsidRDefault="00877B9C" w:rsidP="002041D4">
      <w:pPr>
        <w:pStyle w:val="NumPar1"/>
        <w:numPr>
          <w:ilvl w:val="0"/>
          <w:numId w:val="20"/>
        </w:numPr>
        <w:wordWrap w:val="0"/>
        <w:rPr>
          <w:noProof/>
          <w:lang w:val="en-IE" w:eastAsia="fr-BE"/>
        </w:rPr>
      </w:pPr>
      <w:r w:rsidRPr="00043BB5">
        <w:rPr>
          <w:noProof/>
          <w:lang w:val="en-IE" w:eastAsia="fr-BE"/>
        </w:rPr>
        <w:t>製造業</w:t>
      </w:r>
    </w:p>
    <w:p w14:paraId="1958D518" w14:textId="77777777" w:rsidR="0038775E" w:rsidRDefault="00877B9C" w:rsidP="002041D4">
      <w:pPr>
        <w:pStyle w:val="Text1"/>
        <w:wordWrap w:val="0"/>
        <w:rPr>
          <w:noProof/>
          <w:lang w:val="en-IE" w:eastAsia="fr-BE"/>
        </w:rPr>
      </w:pPr>
      <w:r w:rsidRPr="008712E7">
        <w:rPr>
          <w:noProof/>
          <w:lang w:val="en-IE" w:eastAsia="fr-BE"/>
        </w:rPr>
        <w:t>製造者は、製</w:t>
      </w:r>
      <w:r w:rsidRPr="008712E7">
        <w:rPr>
          <w:noProof/>
          <w:lang w:val="en-IE" w:eastAsia="fr-BE"/>
        </w:rPr>
        <w:t>造工程及びその監視により、製品が第</w:t>
      </w:r>
      <w:r w:rsidRPr="008712E7">
        <w:rPr>
          <w:noProof/>
          <w:lang w:val="en-IE" w:eastAsia="fr-BE"/>
        </w:rPr>
        <w:t>2</w:t>
      </w:r>
      <w:r w:rsidRPr="008712E7">
        <w:rPr>
          <w:noProof/>
          <w:lang w:val="en-IE" w:eastAsia="fr-BE"/>
        </w:rPr>
        <w:t>項で言及された技術文書及び</w:t>
      </w:r>
      <w:r>
        <w:rPr>
          <w:noProof/>
          <w:lang w:val="en-IE" w:eastAsia="fr-BE"/>
        </w:rPr>
        <w:t>第</w:t>
      </w:r>
      <w:r>
        <w:rPr>
          <w:noProof/>
          <w:lang w:val="en-IE" w:eastAsia="fr-BE"/>
        </w:rPr>
        <w:t>4</w:t>
      </w:r>
      <w:r>
        <w:rPr>
          <w:noProof/>
          <w:lang w:val="en-IE" w:eastAsia="fr-BE"/>
        </w:rPr>
        <w:t>条に従って採択された委任</w:t>
      </w:r>
      <w:r>
        <w:rPr>
          <w:noProof/>
          <w:lang w:eastAsia="ja-JP"/>
        </w:rPr>
        <w:t>法の要求事項に</w:t>
      </w:r>
      <w:r w:rsidRPr="008712E7">
        <w:rPr>
          <w:noProof/>
          <w:lang w:val="en-IE" w:eastAsia="fr-BE"/>
        </w:rPr>
        <w:t>適合することを保証するために必要なすべての措置を講じるものとする。</w:t>
      </w:r>
    </w:p>
    <w:p w14:paraId="7FF3AD0B" w14:textId="77777777" w:rsidR="0038775E" w:rsidRDefault="00877B9C" w:rsidP="002041D4">
      <w:pPr>
        <w:pStyle w:val="NumPar1"/>
        <w:numPr>
          <w:ilvl w:val="0"/>
          <w:numId w:val="20"/>
        </w:numPr>
        <w:wordWrap w:val="0"/>
        <w:rPr>
          <w:noProof/>
          <w:lang w:val="en-IE" w:eastAsia="fr-BE"/>
        </w:rPr>
      </w:pPr>
      <w:r w:rsidRPr="00043BB5">
        <w:rPr>
          <w:noProof/>
          <w:lang w:val="en-IE" w:eastAsia="fr-BE"/>
        </w:rPr>
        <w:t>CE</w:t>
      </w:r>
      <w:r w:rsidRPr="00043BB5">
        <w:rPr>
          <w:noProof/>
          <w:lang w:val="en-IE" w:eastAsia="fr-BE"/>
        </w:rPr>
        <w:t>マーキングと</w:t>
      </w:r>
      <w:r w:rsidRPr="00043BB5">
        <w:rPr>
          <w:noProof/>
          <w:lang w:val="en-IE" w:eastAsia="fr-BE"/>
        </w:rPr>
        <w:t>EU</w:t>
      </w:r>
      <w:r w:rsidRPr="00043BB5">
        <w:rPr>
          <w:noProof/>
          <w:lang w:val="en-IE" w:eastAsia="fr-BE"/>
        </w:rPr>
        <w:t>適合宣言</w:t>
      </w:r>
    </w:p>
    <w:p w14:paraId="42426918" w14:textId="77777777" w:rsidR="0038775E" w:rsidRDefault="00877B9C" w:rsidP="002041D4">
      <w:pPr>
        <w:pStyle w:val="Text1"/>
        <w:wordWrap w:val="0"/>
        <w:rPr>
          <w:noProof/>
          <w:lang w:val="en-IE" w:eastAsia="fr-BE"/>
        </w:rPr>
      </w:pPr>
      <w:r w:rsidRPr="008712E7">
        <w:rPr>
          <w:noProof/>
          <w:lang w:val="en-IE" w:eastAsia="fr-BE"/>
        </w:rPr>
        <w:t>製造者は、</w:t>
      </w:r>
      <w:r>
        <w:rPr>
          <w:noProof/>
          <w:lang w:val="en-IE" w:eastAsia="fr-BE"/>
        </w:rPr>
        <w:t>第</w:t>
      </w:r>
      <w:r>
        <w:rPr>
          <w:noProof/>
          <w:lang w:val="en-IE" w:eastAsia="fr-BE"/>
        </w:rPr>
        <w:t>4</w:t>
      </w:r>
      <w:r>
        <w:rPr>
          <w:noProof/>
          <w:lang w:val="en-IE" w:eastAsia="fr-BE"/>
        </w:rPr>
        <w:t>条に従って採択された委任</w:t>
      </w:r>
      <w:r>
        <w:rPr>
          <w:noProof/>
          <w:lang w:eastAsia="ja-JP"/>
        </w:rPr>
        <w:t>法の要件を</w:t>
      </w:r>
      <w:r w:rsidRPr="008712E7">
        <w:rPr>
          <w:noProof/>
          <w:lang w:val="en-IE" w:eastAsia="fr-BE"/>
        </w:rPr>
        <w:t>満たす個々の製品に、必要な適合性表示を付すものとする。</w:t>
      </w:r>
    </w:p>
    <w:p w14:paraId="08C69F5B" w14:textId="77777777" w:rsidR="0038775E" w:rsidRDefault="00877B9C" w:rsidP="002041D4">
      <w:pPr>
        <w:pStyle w:val="Text1"/>
        <w:wordWrap w:val="0"/>
        <w:rPr>
          <w:noProof/>
          <w:lang w:val="en-IE" w:eastAsia="fr-BE"/>
        </w:rPr>
      </w:pPr>
      <w:r w:rsidRPr="008712E7">
        <w:rPr>
          <w:noProof/>
          <w:lang w:val="en-IE" w:eastAsia="fr-BE"/>
        </w:rPr>
        <w:t>製造者は、</w:t>
      </w:r>
      <w:r>
        <w:rPr>
          <w:noProof/>
          <w:lang w:val="en-IE" w:eastAsia="fr-BE"/>
        </w:rPr>
        <w:t>第</w:t>
      </w:r>
      <w:r>
        <w:rPr>
          <w:noProof/>
          <w:lang w:val="en-IE" w:eastAsia="fr-BE"/>
        </w:rPr>
        <w:t>37</w:t>
      </w:r>
      <w:r>
        <w:rPr>
          <w:noProof/>
          <w:lang w:val="en-IE" w:eastAsia="fr-BE"/>
        </w:rPr>
        <w:t>条に基づき、</w:t>
      </w:r>
      <w:r w:rsidRPr="008712E7">
        <w:rPr>
          <w:noProof/>
          <w:lang w:val="en-IE" w:eastAsia="fr-BE"/>
        </w:rPr>
        <w:t>各製品モデルについて書面による適合性宣言を作成し、技術文書とともに、製品が上市され又は使用開始された後</w:t>
      </w:r>
      <w:r w:rsidRPr="008712E7">
        <w:rPr>
          <w:noProof/>
          <w:lang w:val="en-IE" w:eastAsia="fr-BE"/>
        </w:rPr>
        <w:t>10</w:t>
      </w:r>
      <w:r w:rsidRPr="008712E7">
        <w:rPr>
          <w:noProof/>
          <w:lang w:val="en-IE" w:eastAsia="fr-BE"/>
        </w:rPr>
        <w:t>年間、管轄の国家当局の手元に保管しなければならない。適合性宣言は、それが</w:t>
      </w:r>
      <w:r w:rsidRPr="008712E7">
        <w:rPr>
          <w:noProof/>
          <w:lang w:val="en-IE" w:eastAsia="fr-BE"/>
        </w:rPr>
        <w:t>作成された製品を特定するものとする。</w:t>
      </w:r>
    </w:p>
    <w:p w14:paraId="46DC0D2C" w14:textId="77777777" w:rsidR="0038775E" w:rsidRDefault="00877B9C" w:rsidP="002041D4">
      <w:pPr>
        <w:pStyle w:val="Text1"/>
        <w:wordWrap w:val="0"/>
        <w:rPr>
          <w:noProof/>
          <w:lang w:val="en-IE" w:eastAsia="fr-BE"/>
        </w:rPr>
      </w:pPr>
      <w:r w:rsidRPr="008712E7">
        <w:rPr>
          <w:noProof/>
          <w:lang w:val="en-IE" w:eastAsia="fr-BE"/>
        </w:rPr>
        <w:lastRenderedPageBreak/>
        <w:t>適合宣言のコピーは、要求に応じて関係当局に提供されるものとする。</w:t>
      </w:r>
    </w:p>
    <w:p w14:paraId="02F223C9" w14:textId="77777777" w:rsidR="0038775E" w:rsidRDefault="00877B9C" w:rsidP="002041D4">
      <w:pPr>
        <w:pStyle w:val="NumPar1"/>
        <w:numPr>
          <w:ilvl w:val="0"/>
          <w:numId w:val="20"/>
        </w:numPr>
        <w:wordWrap w:val="0"/>
        <w:rPr>
          <w:noProof/>
          <w:lang w:val="en-IE" w:eastAsia="fr-BE"/>
        </w:rPr>
      </w:pPr>
      <w:r>
        <w:rPr>
          <w:noProof/>
          <w:lang w:val="en-IE" w:eastAsia="fr-BE"/>
        </w:rPr>
        <w:t>正規代理店</w:t>
      </w:r>
    </w:p>
    <w:p w14:paraId="1E537E7C" w14:textId="77777777" w:rsidR="0038775E" w:rsidRDefault="00877B9C" w:rsidP="002041D4">
      <w:pPr>
        <w:pStyle w:val="Text1"/>
        <w:wordWrap w:val="0"/>
        <w:rPr>
          <w:noProof/>
          <w:lang w:val="en-IE" w:eastAsia="fr-BE"/>
        </w:rPr>
      </w:pPr>
      <w:r w:rsidRPr="008712E7">
        <w:rPr>
          <w:noProof/>
          <w:lang w:val="en-IE" w:eastAsia="fr-BE"/>
        </w:rPr>
        <w:t>ポイント</w:t>
      </w:r>
      <w:r w:rsidRPr="008712E7">
        <w:rPr>
          <w:noProof/>
          <w:lang w:val="en-IE" w:eastAsia="fr-BE"/>
        </w:rPr>
        <w:t>4</w:t>
      </w:r>
      <w:r w:rsidRPr="008712E7">
        <w:rPr>
          <w:noProof/>
          <w:lang w:val="en-IE" w:eastAsia="fr-BE"/>
        </w:rPr>
        <w:t>に定める製造者の義務は、委任状に明記されていれば、製造者の代理人によって、製造者に代わって、その責任の下で履行されることができる。</w:t>
      </w:r>
    </w:p>
    <w:p w14:paraId="4E1ABC16" w14:textId="77777777" w:rsidR="006E750D" w:rsidRPr="00A54F15" w:rsidRDefault="006E750D" w:rsidP="002041D4">
      <w:pPr>
        <w:wordWrap w:val="0"/>
        <w:rPr>
          <w:noProof/>
          <w:lang w:eastAsia="ja-JP"/>
        </w:rPr>
        <w:sectPr w:rsidR="006E750D" w:rsidRPr="00A54F15" w:rsidSect="00BC1CA9">
          <w:pgSz w:w="11907" w:h="16839"/>
          <w:pgMar w:top="1134" w:right="1417" w:bottom="1134" w:left="1417" w:header="709" w:footer="709" w:gutter="0"/>
          <w:cols w:space="720"/>
          <w:docGrid w:linePitch="360"/>
        </w:sectPr>
      </w:pPr>
    </w:p>
    <w:p w14:paraId="042811D3" w14:textId="77777777" w:rsidR="0038775E" w:rsidRDefault="00877B9C" w:rsidP="002041D4">
      <w:pPr>
        <w:pStyle w:val="Annexetitre"/>
        <w:wordWrap w:val="0"/>
        <w:rPr>
          <w:noProof/>
          <w:u w:val="none"/>
        </w:rPr>
      </w:pPr>
      <w:r w:rsidRPr="00F16891">
        <w:rPr>
          <w:noProof/>
          <w:u w:val="none"/>
        </w:rPr>
        <w:lastRenderedPageBreak/>
        <w:t>ANNEX V</w:t>
      </w:r>
    </w:p>
    <w:p w14:paraId="10408DAB" w14:textId="77777777" w:rsidR="0038775E" w:rsidRDefault="00877B9C" w:rsidP="002041D4">
      <w:pPr>
        <w:wordWrap w:val="0"/>
        <w:jc w:val="center"/>
        <w:rPr>
          <w:noProof/>
        </w:rPr>
      </w:pPr>
      <w:r w:rsidRPr="001F4C3B">
        <w:rPr>
          <w:b/>
          <w:noProof/>
          <w:u w:val="single"/>
        </w:rPr>
        <w:t xml:space="preserve">EU </w:t>
      </w:r>
      <w:r w:rsidRPr="001F4C3B">
        <w:rPr>
          <w:b/>
          <w:noProof/>
          <w:u w:val="single"/>
        </w:rPr>
        <w:t>適合性宣言</w:t>
      </w:r>
    </w:p>
    <w:p w14:paraId="17878D93" w14:textId="77777777" w:rsidR="0038775E" w:rsidRDefault="00877B9C" w:rsidP="002041D4">
      <w:pPr>
        <w:wordWrap w:val="0"/>
        <w:jc w:val="center"/>
        <w:rPr>
          <w:b/>
          <w:noProof/>
        </w:rPr>
      </w:pPr>
      <w:r>
        <w:rPr>
          <w:b/>
          <w:noProof/>
        </w:rPr>
        <w:t>(</w:t>
      </w:r>
      <w:r>
        <w:rPr>
          <w:b/>
          <w:noProof/>
        </w:rPr>
        <w:t>第三十七条</w:t>
      </w:r>
      <w:r w:rsidRPr="00177810">
        <w:rPr>
          <w:b/>
          <w:noProof/>
        </w:rPr>
        <w:t>)</w:t>
      </w:r>
    </w:p>
    <w:p w14:paraId="464EF993" w14:textId="77777777" w:rsidR="0038775E" w:rsidRDefault="00877B9C" w:rsidP="002041D4">
      <w:pPr>
        <w:shd w:val="clear" w:color="auto" w:fill="FFFFFF" w:themeFill="background1"/>
        <w:wordWrap w:val="0"/>
        <w:spacing w:after="0"/>
        <w:rPr>
          <w:rFonts w:eastAsia="Times New Roman"/>
          <w:noProof/>
          <w:color w:val="000000" w:themeColor="text1"/>
          <w:lang w:val="en-IE" w:eastAsia="fr-BE"/>
        </w:rPr>
      </w:pPr>
      <w:r w:rsidRPr="0681B866">
        <w:rPr>
          <w:rFonts w:eastAsia="Times New Roman"/>
          <w:noProof/>
          <w:color w:val="000000" w:themeColor="text1"/>
          <w:lang w:val="en-IE" w:eastAsia="fr-BE"/>
        </w:rPr>
        <w:t>EU適合宣言は、以下の要素を含む</w:t>
      </w:r>
      <w:r>
        <w:rPr>
          <w:rFonts w:eastAsia="Times New Roman"/>
          <w:noProof/>
          <w:color w:val="000000" w:themeColor="text1"/>
          <w:lang w:val="en-IE" w:eastAsia="fr-BE"/>
        </w:rPr>
        <w:t>ものとする：</w:t>
      </w:r>
    </w:p>
    <w:p w14:paraId="5EC94694" w14:textId="77777777" w:rsidR="0038775E" w:rsidRDefault="00877B9C" w:rsidP="002041D4">
      <w:pPr>
        <w:pStyle w:val="Point0number"/>
        <w:numPr>
          <w:ilvl w:val="0"/>
          <w:numId w:val="21"/>
        </w:numPr>
        <w:wordWrap w:val="0"/>
        <w:rPr>
          <w:noProof/>
          <w:lang w:val="en-IE" w:eastAsia="fr-BE"/>
        </w:rPr>
      </w:pPr>
      <w:r>
        <w:rPr>
          <w:noProof/>
        </w:rPr>
        <w:t>No ...</w:t>
      </w:r>
      <w:r>
        <w:rPr>
          <w:noProof/>
        </w:rPr>
        <w:t>（製品固有の識別情報）。</w:t>
      </w:r>
    </w:p>
    <w:p w14:paraId="6AA59539" w14:textId="77777777" w:rsidR="0038775E" w:rsidRDefault="00877B9C" w:rsidP="002041D4">
      <w:pPr>
        <w:pStyle w:val="Point0number"/>
        <w:numPr>
          <w:ilvl w:val="0"/>
          <w:numId w:val="21"/>
        </w:numPr>
        <w:wordWrap w:val="0"/>
        <w:rPr>
          <w:noProof/>
          <w:lang w:val="en-IE" w:eastAsia="fr-BE"/>
        </w:rPr>
      </w:pPr>
      <w:r w:rsidRPr="008F2CC9">
        <w:rPr>
          <w:noProof/>
          <w:lang w:val="en-IE" w:eastAsia="fr-BE"/>
        </w:rPr>
        <w:t>メーカー</w:t>
      </w:r>
      <w:r>
        <w:rPr>
          <w:noProof/>
          <w:lang w:val="en-IE" w:eastAsia="fr-BE"/>
        </w:rPr>
        <w:t>および該当する場合は</w:t>
      </w:r>
      <w:r w:rsidRPr="008F2CC9">
        <w:rPr>
          <w:noProof/>
          <w:lang w:val="en-IE" w:eastAsia="fr-BE"/>
        </w:rPr>
        <w:t>その正規代理店の名前と住所；</w:t>
      </w:r>
    </w:p>
    <w:p w14:paraId="6D5A9667" w14:textId="44E62176" w:rsidR="0038775E" w:rsidRDefault="00877B9C" w:rsidP="002041D4">
      <w:pPr>
        <w:pStyle w:val="Point0number"/>
        <w:numPr>
          <w:ilvl w:val="0"/>
          <w:numId w:val="21"/>
        </w:numPr>
        <w:wordWrap w:val="0"/>
        <w:rPr>
          <w:noProof/>
          <w:lang w:val="en-IE" w:eastAsia="fr-BE"/>
        </w:rPr>
      </w:pPr>
      <w:r w:rsidRPr="008412B5">
        <w:rPr>
          <w:noProof/>
          <w:lang w:val="en-IE" w:eastAsia="fr-BE"/>
        </w:rPr>
        <w:t>この</w:t>
      </w:r>
      <w:r w:rsidRPr="008412B5">
        <w:rPr>
          <w:noProof/>
          <w:lang w:val="en-IE" w:eastAsia="fr-BE"/>
        </w:rPr>
        <w:t>EU</w:t>
      </w:r>
      <w:r w:rsidRPr="008412B5">
        <w:rPr>
          <w:noProof/>
          <w:lang w:val="en-IE" w:eastAsia="fr-BE"/>
        </w:rPr>
        <w:t>適合宣言は、製造者の単独責任で発行されるもの</w:t>
      </w:r>
      <w:r w:rsidR="002041D4">
        <w:rPr>
          <w:noProof/>
          <w:lang w:val="en-IE" w:eastAsia="fr-BE"/>
        </w:rPr>
        <w:t>である</w:t>
      </w:r>
      <w:r w:rsidRPr="008412B5">
        <w:rPr>
          <w:noProof/>
          <w:lang w:val="en-IE" w:eastAsia="fr-BE"/>
        </w:rPr>
        <w:t>。</w:t>
      </w:r>
    </w:p>
    <w:p w14:paraId="4748E06F" w14:textId="77777777" w:rsidR="0038775E" w:rsidRDefault="00877B9C" w:rsidP="002041D4">
      <w:pPr>
        <w:pStyle w:val="Point0number"/>
        <w:numPr>
          <w:ilvl w:val="0"/>
          <w:numId w:val="21"/>
        </w:numPr>
        <w:wordWrap w:val="0"/>
        <w:rPr>
          <w:noProof/>
          <w:lang w:val="en-IE" w:eastAsia="fr-BE"/>
        </w:rPr>
      </w:pPr>
      <w:r w:rsidRPr="008412B5">
        <w:rPr>
          <w:noProof/>
          <w:lang w:val="en-IE" w:eastAsia="fr-BE"/>
        </w:rPr>
        <w:t>申告の対象（製品を明確に識別し、トレーサビリティを可能にするのに十分な製品の説明、</w:t>
      </w:r>
      <w:r w:rsidRPr="008412B5">
        <w:rPr>
          <w:noProof/>
          <w:lang w:val="en-IE" w:eastAsia="fr-BE"/>
        </w:rPr>
        <w:t>EU</w:t>
      </w:r>
      <w:r w:rsidRPr="008412B5">
        <w:rPr>
          <w:noProof/>
          <w:lang w:val="en-IE" w:eastAsia="fr-BE"/>
        </w:rPr>
        <w:t>の肥料製品の識別に必要な場合は、画像を含むことができる</w:t>
      </w:r>
      <w:r>
        <w:rPr>
          <w:noProof/>
          <w:lang w:val="en-IE" w:eastAsia="fr-BE"/>
        </w:rPr>
        <w:t>）</w:t>
      </w:r>
      <w:r w:rsidRPr="008412B5">
        <w:rPr>
          <w:noProof/>
          <w:lang w:val="en-IE" w:eastAsia="fr-BE"/>
        </w:rPr>
        <w:t>；</w:t>
      </w:r>
    </w:p>
    <w:p w14:paraId="51D6D545" w14:textId="77777777" w:rsidR="0038775E" w:rsidRDefault="00877B9C" w:rsidP="002041D4">
      <w:pPr>
        <w:pStyle w:val="Point0number"/>
        <w:numPr>
          <w:ilvl w:val="0"/>
          <w:numId w:val="21"/>
        </w:numPr>
        <w:wordWrap w:val="0"/>
        <w:rPr>
          <w:noProof/>
          <w:lang w:val="en-IE" w:eastAsia="fr-BE"/>
        </w:rPr>
      </w:pPr>
      <w:r w:rsidRPr="008412B5">
        <w:rPr>
          <w:noProof/>
          <w:lang w:val="en-IE" w:eastAsia="fr-BE"/>
        </w:rPr>
        <w:t>上記の宣言の目的は、</w:t>
      </w:r>
      <w:r>
        <w:rPr>
          <w:noProof/>
          <w:lang w:val="en-IE" w:eastAsia="fr-BE"/>
        </w:rPr>
        <w:t>本規則、第</w:t>
      </w:r>
      <w:r>
        <w:rPr>
          <w:noProof/>
          <w:lang w:val="en-IE" w:eastAsia="fr-BE"/>
        </w:rPr>
        <w:t>4</w:t>
      </w:r>
      <w:r>
        <w:rPr>
          <w:noProof/>
          <w:lang w:val="en-IE" w:eastAsia="fr-BE"/>
        </w:rPr>
        <w:t>条に従って採択された委任法、および該当する場合は他の連合調和法に適合していることである；</w:t>
      </w:r>
    </w:p>
    <w:p w14:paraId="39C094D4" w14:textId="77777777" w:rsidR="0038775E" w:rsidRDefault="00877B9C" w:rsidP="002041D4">
      <w:pPr>
        <w:pStyle w:val="Point0number"/>
        <w:numPr>
          <w:ilvl w:val="0"/>
          <w:numId w:val="21"/>
        </w:numPr>
        <w:wordWrap w:val="0"/>
        <w:rPr>
          <w:noProof/>
          <w:lang w:val="en-IE" w:eastAsia="fr-BE"/>
        </w:rPr>
      </w:pPr>
      <w:r w:rsidRPr="008412B5">
        <w:rPr>
          <w:noProof/>
          <w:lang w:val="en-IE" w:eastAsia="fr-BE"/>
        </w:rPr>
        <w:t>関連する整合規格または使用される共通仕様への言及、または適合性が宣言されている他の技術仕様への言及；</w:t>
      </w:r>
    </w:p>
    <w:p w14:paraId="2C1A5DE9" w14:textId="77777777" w:rsidR="0038775E" w:rsidRDefault="00877B9C" w:rsidP="002041D4">
      <w:pPr>
        <w:pStyle w:val="Point0number"/>
        <w:numPr>
          <w:ilvl w:val="0"/>
          <w:numId w:val="21"/>
        </w:numPr>
        <w:wordWrap w:val="0"/>
        <w:rPr>
          <w:noProof/>
          <w:lang w:val="en-IE" w:eastAsia="fr-BE"/>
        </w:rPr>
      </w:pPr>
      <w:r w:rsidRPr="008412B5">
        <w:rPr>
          <w:noProof/>
          <w:lang w:val="en-IE" w:eastAsia="fr-BE"/>
        </w:rPr>
        <w:t>該当する場合、ノーティファイドボディ</w:t>
      </w:r>
      <w:r w:rsidRPr="008412B5">
        <w:rPr>
          <w:noProof/>
          <w:lang w:val="en-IE" w:eastAsia="fr-BE"/>
        </w:rPr>
        <w:t>...</w:t>
      </w:r>
      <w:r w:rsidRPr="008412B5">
        <w:rPr>
          <w:noProof/>
          <w:lang w:val="en-IE" w:eastAsia="fr-BE"/>
        </w:rPr>
        <w:t>（名称、番号）は</w:t>
      </w:r>
      <w:r w:rsidRPr="008412B5">
        <w:rPr>
          <w:noProof/>
          <w:lang w:val="en-IE" w:eastAsia="fr-BE"/>
        </w:rPr>
        <w:t>...</w:t>
      </w:r>
      <w:r w:rsidRPr="008412B5">
        <w:rPr>
          <w:noProof/>
          <w:lang w:val="en-IE" w:eastAsia="fr-BE"/>
        </w:rPr>
        <w:t>（介入の記述）を実</w:t>
      </w:r>
      <w:r w:rsidRPr="008412B5">
        <w:rPr>
          <w:noProof/>
          <w:lang w:val="en-IE" w:eastAsia="fr-BE"/>
        </w:rPr>
        <w:t>施し、証明書または承認決定</w:t>
      </w:r>
      <w:r w:rsidRPr="008412B5">
        <w:rPr>
          <w:noProof/>
          <w:lang w:val="en-IE" w:eastAsia="fr-BE"/>
        </w:rPr>
        <w:t>...</w:t>
      </w:r>
      <w:r w:rsidRPr="008412B5">
        <w:rPr>
          <w:noProof/>
          <w:lang w:val="en-IE" w:eastAsia="fr-BE"/>
        </w:rPr>
        <w:t>（番号）を発行しました</w:t>
      </w:r>
      <w:r>
        <w:rPr>
          <w:noProof/>
          <w:lang w:val="en-IE" w:eastAsia="fr-BE"/>
        </w:rPr>
        <w:t>；</w:t>
      </w:r>
    </w:p>
    <w:p w14:paraId="0A9185C5" w14:textId="77777777" w:rsidR="0038775E" w:rsidRDefault="00877B9C" w:rsidP="002041D4">
      <w:pPr>
        <w:pStyle w:val="Point0number"/>
        <w:numPr>
          <w:ilvl w:val="0"/>
          <w:numId w:val="21"/>
        </w:numPr>
        <w:wordWrap w:val="0"/>
        <w:rPr>
          <w:noProof/>
          <w:lang w:val="en-IE" w:eastAsia="fr-BE"/>
        </w:rPr>
      </w:pPr>
      <w:r w:rsidRPr="008F2CC9">
        <w:rPr>
          <w:noProof/>
          <w:lang w:val="en-IE" w:eastAsia="fr-BE"/>
        </w:rPr>
        <w:t>適切な場合、適用される</w:t>
      </w:r>
      <w:r w:rsidRPr="008F2CC9">
        <w:rPr>
          <w:noProof/>
          <w:lang w:val="en-IE" w:eastAsia="fr-BE"/>
        </w:rPr>
        <w:t>CE</w:t>
      </w:r>
      <w:r w:rsidRPr="008F2CC9">
        <w:rPr>
          <w:noProof/>
          <w:lang w:val="en-IE" w:eastAsia="fr-BE"/>
        </w:rPr>
        <w:t>マークの貼付を規定する他の</w:t>
      </w:r>
      <w:r>
        <w:rPr>
          <w:noProof/>
          <w:lang w:val="en-IE" w:eastAsia="fr-BE"/>
        </w:rPr>
        <w:t>EU</w:t>
      </w:r>
      <w:r w:rsidRPr="008F2CC9">
        <w:rPr>
          <w:noProof/>
          <w:lang w:val="en-IE" w:eastAsia="fr-BE"/>
        </w:rPr>
        <w:t>法令への言及。</w:t>
      </w:r>
    </w:p>
    <w:p w14:paraId="0BC58D0B" w14:textId="77777777" w:rsidR="0038775E" w:rsidRDefault="00877B9C" w:rsidP="002041D4">
      <w:pPr>
        <w:pStyle w:val="Point0number"/>
        <w:numPr>
          <w:ilvl w:val="0"/>
          <w:numId w:val="21"/>
        </w:numPr>
        <w:wordWrap w:val="0"/>
        <w:rPr>
          <w:noProof/>
          <w:lang w:val="en-IE" w:eastAsia="fr-BE"/>
        </w:rPr>
      </w:pPr>
      <w:r w:rsidRPr="008F2CC9">
        <w:rPr>
          <w:noProof/>
          <w:lang w:val="en-IE" w:eastAsia="fr-BE"/>
        </w:rPr>
        <w:t>製造者またはその承認された代理人を拘束する権限を持つ人物の識別と署名。</w:t>
      </w:r>
    </w:p>
    <w:p w14:paraId="34C0947F" w14:textId="1B59C3FB" w:rsidR="0038775E" w:rsidRDefault="00877B9C" w:rsidP="002041D4">
      <w:pPr>
        <w:pStyle w:val="Point0number"/>
        <w:numPr>
          <w:ilvl w:val="0"/>
          <w:numId w:val="21"/>
        </w:numPr>
        <w:wordWrap w:val="0"/>
        <w:rPr>
          <w:noProof/>
          <w:lang w:val="en-IE" w:eastAsia="fr-BE"/>
        </w:rPr>
      </w:pPr>
      <w:r w:rsidRPr="008412B5">
        <w:rPr>
          <w:noProof/>
          <w:lang w:val="en-IE" w:eastAsia="fr-BE"/>
        </w:rPr>
        <w:t>追加情報</w:t>
      </w:r>
      <w:r w:rsidR="002041D4">
        <w:rPr>
          <w:noProof/>
          <w:lang w:val="en-IE" w:eastAsia="fr-BE"/>
        </w:rPr>
        <w:t>である</w:t>
      </w:r>
      <w:r w:rsidRPr="008412B5">
        <w:rPr>
          <w:noProof/>
          <w:lang w:val="en-IE" w:eastAsia="fr-BE"/>
        </w:rPr>
        <w:t>：</w:t>
      </w:r>
    </w:p>
    <w:p w14:paraId="07632E05" w14:textId="77777777" w:rsidR="006E750D" w:rsidRDefault="006E750D" w:rsidP="002041D4">
      <w:pPr>
        <w:wordWrap w:val="0"/>
        <w:rPr>
          <w:noProof/>
          <w:lang w:val="en-IE" w:eastAsia="fr-BE"/>
        </w:rPr>
      </w:pPr>
    </w:p>
    <w:p w14:paraId="5B0D9A23" w14:textId="77777777" w:rsidR="0038775E" w:rsidRDefault="00877B9C" w:rsidP="002041D4">
      <w:pPr>
        <w:wordWrap w:val="0"/>
        <w:ind w:left="130" w:firstLine="720"/>
        <w:rPr>
          <w:noProof/>
          <w:lang w:val="en-IE" w:eastAsia="fr-BE"/>
        </w:rPr>
      </w:pPr>
      <w:r w:rsidRPr="008412B5">
        <w:rPr>
          <w:noProof/>
          <w:lang w:val="en-IE" w:eastAsia="fr-BE"/>
        </w:rPr>
        <w:t>のために署名し、それを代表する：</w:t>
      </w:r>
    </w:p>
    <w:p w14:paraId="33DF0DED" w14:textId="31567DB4" w:rsidR="0038775E" w:rsidRDefault="00877B9C" w:rsidP="002041D4">
      <w:pPr>
        <w:wordWrap w:val="0"/>
        <w:ind w:left="130" w:firstLine="720"/>
        <w:rPr>
          <w:noProof/>
          <w:lang w:val="en-IE" w:eastAsia="fr-BE"/>
        </w:rPr>
      </w:pPr>
      <w:r w:rsidRPr="008412B5">
        <w:rPr>
          <w:noProof/>
          <w:lang w:val="en-IE" w:eastAsia="fr-BE"/>
        </w:rPr>
        <w:t>(</w:t>
      </w:r>
      <w:r w:rsidRPr="008412B5">
        <w:rPr>
          <w:noProof/>
          <w:lang w:val="en-IE" w:eastAsia="fr-BE"/>
        </w:rPr>
        <w:t>発行地・発行日</w:t>
      </w:r>
      <w:r w:rsidRPr="008412B5">
        <w:rPr>
          <w:noProof/>
          <w:lang w:val="en-IE" w:eastAsia="fr-BE"/>
        </w:rPr>
        <w:t>)</w:t>
      </w:r>
      <w:r w:rsidR="002041D4">
        <w:rPr>
          <w:noProof/>
          <w:lang w:val="en-IE" w:eastAsia="fr-BE"/>
        </w:rPr>
        <w:t>である</w:t>
      </w:r>
      <w:r w:rsidRPr="008412B5">
        <w:rPr>
          <w:noProof/>
          <w:lang w:val="en-IE" w:eastAsia="fr-BE"/>
        </w:rPr>
        <w:t>：</w:t>
      </w:r>
    </w:p>
    <w:p w14:paraId="0F261571" w14:textId="0F136CAF" w:rsidR="0038775E" w:rsidRDefault="00877B9C" w:rsidP="002041D4">
      <w:pPr>
        <w:wordWrap w:val="0"/>
        <w:ind w:left="130" w:firstLine="720"/>
        <w:rPr>
          <w:noProof/>
          <w:lang w:val="en-IE" w:eastAsia="fr-BE"/>
        </w:rPr>
      </w:pPr>
      <w:r w:rsidRPr="008412B5">
        <w:rPr>
          <w:noProof/>
          <w:lang w:val="en-IE" w:eastAsia="fr-BE"/>
        </w:rPr>
        <w:t>(</w:t>
      </w:r>
      <w:r w:rsidRPr="008412B5">
        <w:rPr>
          <w:noProof/>
          <w:lang w:val="en-IE" w:eastAsia="fr-BE"/>
        </w:rPr>
        <w:t>名前、関数</w:t>
      </w:r>
      <w:r w:rsidRPr="008412B5">
        <w:rPr>
          <w:noProof/>
          <w:lang w:val="en-IE" w:eastAsia="fr-BE"/>
        </w:rPr>
        <w:t>) (</w:t>
      </w:r>
      <w:r w:rsidRPr="008412B5">
        <w:rPr>
          <w:noProof/>
          <w:lang w:val="en-IE" w:eastAsia="fr-BE"/>
        </w:rPr>
        <w:t>シグネチャ</w:t>
      </w:r>
      <w:r w:rsidRPr="008412B5">
        <w:rPr>
          <w:noProof/>
          <w:lang w:val="en-IE" w:eastAsia="fr-BE"/>
        </w:rPr>
        <w:t>)</w:t>
      </w:r>
      <w:r w:rsidRPr="008412B5">
        <w:rPr>
          <w:noProof/>
          <w:lang w:val="en-IE" w:eastAsia="fr-BE"/>
        </w:rPr>
        <w:t>を使用</w:t>
      </w:r>
      <w:r w:rsidR="002041D4">
        <w:rPr>
          <w:noProof/>
          <w:lang w:val="en-IE" w:eastAsia="fr-BE"/>
        </w:rPr>
        <w:t>する</w:t>
      </w:r>
      <w:r w:rsidRPr="008412B5">
        <w:rPr>
          <w:noProof/>
          <w:lang w:val="en-IE" w:eastAsia="fr-BE"/>
        </w:rPr>
        <w:t>：</w:t>
      </w:r>
    </w:p>
    <w:p w14:paraId="475AE400" w14:textId="77777777" w:rsidR="006E750D" w:rsidRPr="00A54F15" w:rsidRDefault="006E750D" w:rsidP="002041D4">
      <w:pPr>
        <w:wordWrap w:val="0"/>
        <w:rPr>
          <w:noProof/>
          <w:lang w:eastAsia="ja-JP"/>
        </w:rPr>
      </w:pPr>
    </w:p>
    <w:p w14:paraId="04E9A201" w14:textId="77777777" w:rsidR="006E750D" w:rsidRDefault="006E750D" w:rsidP="002041D4">
      <w:pPr>
        <w:wordWrap w:val="0"/>
        <w:rPr>
          <w:noProof/>
          <w:lang w:eastAsia="ja-JP"/>
        </w:rPr>
        <w:sectPr w:rsidR="006E750D" w:rsidSect="00BC1CA9">
          <w:pgSz w:w="11907" w:h="16839"/>
          <w:pgMar w:top="1134" w:right="1417" w:bottom="1134" w:left="1417" w:header="709" w:footer="709" w:gutter="0"/>
          <w:cols w:space="720"/>
          <w:docGrid w:linePitch="360"/>
        </w:sectPr>
      </w:pPr>
    </w:p>
    <w:p w14:paraId="43114972" w14:textId="77777777" w:rsidR="0038775E" w:rsidRDefault="00877B9C" w:rsidP="002041D4">
      <w:pPr>
        <w:pStyle w:val="Annexetitre"/>
        <w:wordWrap w:val="0"/>
        <w:rPr>
          <w:noProof/>
          <w:u w:val="none"/>
          <w:lang w:eastAsia="ja-JP"/>
        </w:rPr>
      </w:pPr>
      <w:r w:rsidRPr="00F16891">
        <w:rPr>
          <w:noProof/>
          <w:u w:val="none"/>
          <w:lang w:eastAsia="ja-JP"/>
        </w:rPr>
        <w:lastRenderedPageBreak/>
        <w:t>ANNEX VI</w:t>
      </w:r>
    </w:p>
    <w:p w14:paraId="093B7980" w14:textId="77777777" w:rsidR="0038775E" w:rsidRDefault="00877B9C" w:rsidP="002041D4">
      <w:pPr>
        <w:wordWrap w:val="0"/>
        <w:jc w:val="center"/>
        <w:rPr>
          <w:noProof/>
          <w:lang w:eastAsia="ja-JP"/>
        </w:rPr>
      </w:pPr>
      <w:r w:rsidRPr="001F4C3B">
        <w:rPr>
          <w:b/>
          <w:noProof/>
          <w:u w:val="single"/>
          <w:lang w:eastAsia="ja-JP"/>
        </w:rPr>
        <w:t>委任された行為の内容</w:t>
      </w:r>
      <w:r w:rsidRPr="001F4C3B">
        <w:rPr>
          <w:b/>
          <w:noProof/>
          <w:u w:val="single"/>
          <w:lang w:eastAsia="ja-JP"/>
        </w:rPr>
        <w:t xml:space="preserve"> </w:t>
      </w:r>
    </w:p>
    <w:p w14:paraId="49B0EA3B" w14:textId="77777777" w:rsidR="0038775E" w:rsidRDefault="00877B9C" w:rsidP="002041D4">
      <w:pPr>
        <w:wordWrap w:val="0"/>
        <w:jc w:val="center"/>
        <w:rPr>
          <w:b/>
          <w:noProof/>
          <w:lang w:eastAsia="ja-JP"/>
        </w:rPr>
      </w:pPr>
      <w:r w:rsidRPr="00177810">
        <w:rPr>
          <w:b/>
          <w:noProof/>
          <w:lang w:eastAsia="ja-JP"/>
        </w:rPr>
        <w:t>(</w:t>
      </w:r>
      <w:r>
        <w:rPr>
          <w:b/>
          <w:noProof/>
          <w:lang w:eastAsia="ja-JP"/>
        </w:rPr>
        <w:t>第</w:t>
      </w:r>
      <w:r>
        <w:rPr>
          <w:b/>
          <w:noProof/>
          <w:lang w:eastAsia="ja-JP"/>
        </w:rPr>
        <w:t>4</w:t>
      </w:r>
      <w:r>
        <w:rPr>
          <w:b/>
          <w:noProof/>
          <w:lang w:eastAsia="ja-JP"/>
        </w:rPr>
        <w:t>条</w:t>
      </w:r>
      <w:r w:rsidRPr="00177810">
        <w:rPr>
          <w:b/>
          <w:noProof/>
          <w:lang w:eastAsia="ja-JP"/>
        </w:rPr>
        <w:t>)</w:t>
      </w:r>
    </w:p>
    <w:p w14:paraId="2316C542" w14:textId="77777777" w:rsidR="0038775E" w:rsidRDefault="00877B9C" w:rsidP="002041D4">
      <w:pPr>
        <w:shd w:val="clear" w:color="auto" w:fill="FFFFFF" w:themeFill="background1"/>
        <w:wordWrap w:val="0"/>
        <w:spacing w:after="0"/>
        <w:rPr>
          <w:rFonts w:eastAsia="Times New Roman"/>
          <w:noProof/>
          <w:color w:val="000000" w:themeColor="text1"/>
          <w:lang w:val="en-IE" w:eastAsia="fr-BE"/>
        </w:rPr>
      </w:pPr>
      <w:r>
        <w:rPr>
          <w:noProof/>
          <w:lang w:val="en-IE" w:eastAsia="fr-BE"/>
        </w:rPr>
        <w:t>第</w:t>
      </w:r>
      <w:r>
        <w:rPr>
          <w:noProof/>
          <w:lang w:val="en-IE" w:eastAsia="fr-BE"/>
        </w:rPr>
        <w:t>4</w:t>
      </w:r>
      <w:r>
        <w:rPr>
          <w:noProof/>
          <w:lang w:val="en-IE" w:eastAsia="fr-BE"/>
        </w:rPr>
        <w:t>条に従って採択された</w:t>
      </w:r>
      <w:r w:rsidRPr="0681B866">
        <w:rPr>
          <w:noProof/>
          <w:lang w:val="en-IE" w:eastAsia="fr-BE"/>
        </w:rPr>
        <w:t>委任</w:t>
      </w:r>
      <w:r>
        <w:rPr>
          <w:noProof/>
          <w:lang w:val="en-IE" w:eastAsia="fr-BE"/>
        </w:rPr>
        <w:t>契約は、</w:t>
      </w:r>
      <w:r>
        <w:rPr>
          <w:rFonts w:eastAsia="Times New Roman"/>
          <w:noProof/>
          <w:color w:val="000000" w:themeColor="text1"/>
          <w:lang w:val="en-IE" w:eastAsia="fr-BE"/>
        </w:rPr>
        <w:t>以下の技術的要素を</w:t>
      </w:r>
      <w:r w:rsidRPr="0681B866">
        <w:rPr>
          <w:rFonts w:eastAsia="Times New Roman"/>
          <w:noProof/>
          <w:color w:val="000000" w:themeColor="text1"/>
          <w:lang w:val="en-IE" w:eastAsia="fr-BE"/>
        </w:rPr>
        <w:t>規定するものとする：</w:t>
      </w:r>
    </w:p>
    <w:p w14:paraId="3B9A3710" w14:textId="77777777" w:rsidR="0038775E" w:rsidRDefault="00877B9C" w:rsidP="002041D4">
      <w:pPr>
        <w:pStyle w:val="Point0number"/>
        <w:numPr>
          <w:ilvl w:val="0"/>
          <w:numId w:val="21"/>
        </w:numPr>
        <w:wordWrap w:val="0"/>
        <w:rPr>
          <w:noProof/>
          <w:lang w:val="en-IE" w:eastAsia="fr-BE"/>
        </w:rPr>
      </w:pPr>
      <w:r w:rsidRPr="00A54F15">
        <w:rPr>
          <w:noProof/>
          <w:lang w:val="en-IE" w:eastAsia="fr-BE"/>
        </w:rPr>
        <w:t>対象製品群の定義；</w:t>
      </w:r>
    </w:p>
    <w:p w14:paraId="263F4299" w14:textId="77777777" w:rsidR="0038775E" w:rsidRDefault="00877B9C" w:rsidP="002041D4">
      <w:pPr>
        <w:pStyle w:val="Point0number"/>
        <w:numPr>
          <w:ilvl w:val="0"/>
          <w:numId w:val="21"/>
        </w:numPr>
        <w:wordWrap w:val="0"/>
        <w:rPr>
          <w:noProof/>
          <w:lang w:val="en-IE" w:eastAsia="fr-BE"/>
        </w:rPr>
      </w:pPr>
      <w:r>
        <w:rPr>
          <w:noProof/>
          <w:lang w:val="en-IE" w:eastAsia="fr-BE"/>
        </w:rPr>
        <w:t>第</w:t>
      </w:r>
      <w:r>
        <w:rPr>
          <w:noProof/>
          <w:lang w:val="en-IE" w:eastAsia="fr-BE"/>
        </w:rPr>
        <w:t>4</w:t>
      </w:r>
      <w:r>
        <w:rPr>
          <w:noProof/>
          <w:lang w:val="en-IE" w:eastAsia="fr-BE"/>
        </w:rPr>
        <w:t>条に従い、付属書</w:t>
      </w:r>
      <w:r>
        <w:rPr>
          <w:noProof/>
          <w:lang w:val="en-IE" w:eastAsia="fr-BE"/>
        </w:rPr>
        <w:t>I</w:t>
      </w:r>
      <w:r>
        <w:rPr>
          <w:noProof/>
          <w:lang w:val="en-IE" w:eastAsia="fr-BE"/>
        </w:rPr>
        <w:t>で言及されたパラメータに基づき、</w:t>
      </w:r>
      <w:r w:rsidRPr="00F33505">
        <w:rPr>
          <w:noProof/>
          <w:lang w:val="en-IE" w:eastAsia="fr-BE"/>
        </w:rPr>
        <w:t>対象となる製品群の</w:t>
      </w:r>
      <w:r>
        <w:rPr>
          <w:noProof/>
          <w:lang w:val="en-IE" w:eastAsia="fr-BE"/>
        </w:rPr>
        <w:t>エコデザイン</w:t>
      </w:r>
      <w:r w:rsidRPr="00F33505">
        <w:rPr>
          <w:noProof/>
          <w:lang w:val="en-IE" w:eastAsia="fr-BE"/>
        </w:rPr>
        <w:t>要求事項を定める；</w:t>
      </w:r>
      <w:r w:rsidRPr="00F33505">
        <w:rPr>
          <w:noProof/>
          <w:lang w:val="en-IE" w:eastAsia="fr-BE"/>
        </w:rPr>
        <w:t xml:space="preserve"> </w:t>
      </w:r>
    </w:p>
    <w:p w14:paraId="63EA9CA1" w14:textId="77777777" w:rsidR="0038775E" w:rsidRDefault="00877B9C" w:rsidP="002041D4">
      <w:pPr>
        <w:pStyle w:val="Point0number"/>
        <w:numPr>
          <w:ilvl w:val="0"/>
          <w:numId w:val="21"/>
        </w:numPr>
        <w:wordWrap w:val="0"/>
        <w:rPr>
          <w:noProof/>
          <w:lang w:val="en-IE" w:eastAsia="fr-BE"/>
        </w:rPr>
      </w:pPr>
      <w:r>
        <w:rPr>
          <w:noProof/>
          <w:lang w:val="en-IE" w:eastAsia="fr-BE"/>
        </w:rPr>
        <w:t>関連する</w:t>
      </w:r>
      <w:r w:rsidRPr="00A54F15">
        <w:rPr>
          <w:noProof/>
          <w:lang w:val="en-IE" w:eastAsia="fr-BE"/>
        </w:rPr>
        <w:t>場合、</w:t>
      </w:r>
      <w:r>
        <w:rPr>
          <w:noProof/>
          <w:lang w:val="en-IE" w:eastAsia="fr-BE"/>
        </w:rPr>
        <w:t>エコデザイン</w:t>
      </w:r>
      <w:r w:rsidRPr="00A54F15">
        <w:rPr>
          <w:noProof/>
          <w:lang w:val="en-IE" w:eastAsia="fr-BE"/>
        </w:rPr>
        <w:t>要求が不要な付属書</w:t>
      </w:r>
      <w:r w:rsidRPr="00A54F15">
        <w:rPr>
          <w:noProof/>
          <w:lang w:val="en-IE" w:eastAsia="fr-BE"/>
        </w:rPr>
        <w:t xml:space="preserve"> I </w:t>
      </w:r>
      <w:r w:rsidRPr="00A54F15">
        <w:rPr>
          <w:noProof/>
          <w:lang w:val="en-IE" w:eastAsia="fr-BE"/>
        </w:rPr>
        <w:t>に記載されたパラメータを記載する；</w:t>
      </w:r>
    </w:p>
    <w:p w14:paraId="3A87BD68" w14:textId="77777777" w:rsidR="0038775E" w:rsidRDefault="00877B9C" w:rsidP="002041D4">
      <w:pPr>
        <w:pStyle w:val="Point0number"/>
        <w:numPr>
          <w:ilvl w:val="0"/>
          <w:numId w:val="21"/>
        </w:numPr>
        <w:wordWrap w:val="0"/>
        <w:rPr>
          <w:noProof/>
          <w:lang w:val="en-IE" w:eastAsia="fr-BE"/>
        </w:rPr>
      </w:pPr>
      <w:r>
        <w:rPr>
          <w:noProof/>
          <w:lang w:val="en-IE" w:eastAsia="fr-BE"/>
        </w:rPr>
        <w:t>第</w:t>
      </w:r>
      <w:r>
        <w:rPr>
          <w:noProof/>
          <w:lang w:val="en-IE" w:eastAsia="fr-BE"/>
        </w:rPr>
        <w:t>32</w:t>
      </w:r>
      <w:r>
        <w:rPr>
          <w:noProof/>
          <w:lang w:val="en-IE" w:eastAsia="fr-BE"/>
        </w:rPr>
        <w:t>条の規定により使用される</w:t>
      </w:r>
      <w:r>
        <w:rPr>
          <w:rFonts w:eastAsia="Times New Roman"/>
          <w:noProof/>
          <w:color w:val="000000"/>
          <w:lang w:val="en-IE" w:eastAsia="fr-BE"/>
        </w:rPr>
        <w:t>試験</w:t>
      </w:r>
      <w:r w:rsidRPr="00494A8D">
        <w:rPr>
          <w:rFonts w:eastAsia="Times New Roman"/>
          <w:noProof/>
          <w:color w:val="000000"/>
          <w:lang w:val="en-IE" w:eastAsia="fr-BE"/>
        </w:rPr>
        <w:t>、測定または計算の</w:t>
      </w:r>
      <w:r>
        <w:rPr>
          <w:noProof/>
          <w:lang w:val="en-IE" w:eastAsia="fr-BE"/>
        </w:rPr>
        <w:t>基準または</w:t>
      </w:r>
      <w:r w:rsidRPr="00FC7D7A">
        <w:rPr>
          <w:noProof/>
          <w:lang w:val="en-IE" w:eastAsia="fr-BE"/>
        </w:rPr>
        <w:t>方法；</w:t>
      </w:r>
      <w:r w:rsidRPr="00FC7D7A">
        <w:rPr>
          <w:noProof/>
          <w:lang w:val="en-IE" w:eastAsia="fr-BE"/>
        </w:rPr>
        <w:t xml:space="preserve"> </w:t>
      </w:r>
    </w:p>
    <w:p w14:paraId="047A0E5C" w14:textId="77777777" w:rsidR="0038775E" w:rsidRDefault="00877B9C" w:rsidP="002041D4">
      <w:pPr>
        <w:pStyle w:val="Point0number"/>
        <w:numPr>
          <w:ilvl w:val="0"/>
          <w:numId w:val="21"/>
        </w:numPr>
        <w:wordWrap w:val="0"/>
        <w:rPr>
          <w:noProof/>
          <w:lang w:val="en-IE" w:eastAsia="fr-BE"/>
        </w:rPr>
      </w:pPr>
      <w:r>
        <w:rPr>
          <w:noProof/>
          <w:lang w:val="en-IE" w:eastAsia="fr-BE"/>
        </w:rPr>
        <w:t>関連する</w:t>
      </w:r>
      <w:r w:rsidRPr="00FC7D7A">
        <w:rPr>
          <w:noProof/>
          <w:lang w:val="en-IE" w:eastAsia="fr-BE"/>
        </w:rPr>
        <w:t>場合、使用</w:t>
      </w:r>
      <w:r w:rsidRPr="00FC7D7A" w:rsidDel="00241956">
        <w:rPr>
          <w:noProof/>
          <w:lang w:val="en-IE" w:eastAsia="fr-BE"/>
        </w:rPr>
        <w:t>する</w:t>
      </w:r>
      <w:r>
        <w:rPr>
          <w:noProof/>
          <w:lang w:val="en-IE" w:eastAsia="fr-BE"/>
        </w:rPr>
        <w:t>経過措置</w:t>
      </w:r>
      <w:r w:rsidRPr="00FC7D7A">
        <w:rPr>
          <w:noProof/>
          <w:lang w:val="en-IE" w:eastAsia="fr-BE"/>
        </w:rPr>
        <w:t>、整合規格（参照番号が</w:t>
      </w:r>
      <w:r w:rsidRPr="0681B866">
        <w:rPr>
          <w:i/>
          <w:iCs/>
          <w:noProof/>
          <w:lang w:val="en-IE" w:eastAsia="fr-BE"/>
        </w:rPr>
        <w:t>欧州連合官報に掲載されたもの）</w:t>
      </w:r>
      <w:r w:rsidRPr="00FC7D7A">
        <w:rPr>
          <w:noProof/>
          <w:lang w:val="en-IE" w:eastAsia="fr-BE"/>
        </w:rPr>
        <w:t>、</w:t>
      </w:r>
      <w:r>
        <w:rPr>
          <w:noProof/>
          <w:lang w:val="en-IE" w:eastAsia="fr-BE"/>
        </w:rPr>
        <w:t>または共通仕様書；</w:t>
      </w:r>
    </w:p>
    <w:p w14:paraId="59858F26" w14:textId="77777777" w:rsidR="0038775E" w:rsidRDefault="00877B9C" w:rsidP="002041D4">
      <w:pPr>
        <w:pStyle w:val="Point0number"/>
        <w:numPr>
          <w:ilvl w:val="0"/>
          <w:numId w:val="21"/>
        </w:numPr>
        <w:wordWrap w:val="0"/>
        <w:rPr>
          <w:noProof/>
          <w:lang w:val="en-IE" w:eastAsia="fr-BE"/>
        </w:rPr>
      </w:pPr>
      <w:r w:rsidRPr="00FC7D7A">
        <w:rPr>
          <w:noProof/>
          <w:lang w:val="en-IE" w:eastAsia="fr-BE"/>
        </w:rPr>
        <w:t>決定</w:t>
      </w:r>
      <w:r w:rsidRPr="00FC7D7A">
        <w:rPr>
          <w:noProof/>
          <w:lang w:val="en-IE" w:eastAsia="fr-BE"/>
        </w:rPr>
        <w:t xml:space="preserve"> 768/2008/EC </w:t>
      </w:r>
      <w:r>
        <w:rPr>
          <w:noProof/>
          <w:lang w:val="en-IE" w:eastAsia="fr-BE"/>
        </w:rPr>
        <w:t>の附属書</w:t>
      </w:r>
      <w:r>
        <w:rPr>
          <w:noProof/>
          <w:lang w:val="en-IE" w:eastAsia="fr-BE"/>
        </w:rPr>
        <w:t xml:space="preserve"> II </w:t>
      </w:r>
      <w:r>
        <w:rPr>
          <w:noProof/>
          <w:lang w:val="en-IE" w:eastAsia="fr-BE"/>
        </w:rPr>
        <w:t>に</w:t>
      </w:r>
      <w:r w:rsidRPr="00FC7D7A">
        <w:rPr>
          <w:noProof/>
          <w:lang w:val="en-IE" w:eastAsia="fr-BE"/>
        </w:rPr>
        <w:t>基づき設定された、</w:t>
      </w:r>
      <w:r>
        <w:rPr>
          <w:noProof/>
          <w:lang w:val="en-IE" w:eastAsia="fr-BE"/>
        </w:rPr>
        <w:t>第</w:t>
      </w:r>
      <w:r>
        <w:rPr>
          <w:noProof/>
          <w:lang w:val="en-IE" w:eastAsia="fr-BE"/>
        </w:rPr>
        <w:t xml:space="preserve"> 4 </w:t>
      </w:r>
      <w:r>
        <w:rPr>
          <w:noProof/>
          <w:lang w:val="en-IE" w:eastAsia="fr-BE"/>
        </w:rPr>
        <w:t>条第</w:t>
      </w:r>
      <w:r>
        <w:rPr>
          <w:noProof/>
          <w:lang w:val="en-IE" w:eastAsia="fr-BE"/>
        </w:rPr>
        <w:t xml:space="preserve"> 2 </w:t>
      </w:r>
      <w:r>
        <w:rPr>
          <w:noProof/>
          <w:lang w:val="en-IE" w:eastAsia="fr-BE"/>
        </w:rPr>
        <w:t>項に従って使用される</w:t>
      </w:r>
      <w:r w:rsidRPr="00FC7D7A">
        <w:rPr>
          <w:noProof/>
          <w:lang w:val="en-IE" w:eastAsia="fr-BE"/>
        </w:rPr>
        <w:t>適合性評価</w:t>
      </w:r>
      <w:r>
        <w:rPr>
          <w:noProof/>
          <w:lang w:val="en-IE" w:eastAsia="fr-BE"/>
        </w:rPr>
        <w:t>モ</w:t>
      </w:r>
      <w:r>
        <w:rPr>
          <w:noProof/>
          <w:lang w:val="en-IE" w:eastAsia="fr-BE"/>
        </w:rPr>
        <w:t xml:space="preserve"> </w:t>
      </w:r>
      <w:r>
        <w:rPr>
          <w:noProof/>
          <w:lang w:val="en-IE" w:eastAsia="fr-BE"/>
        </w:rPr>
        <w:t>ジュールを記載する。</w:t>
      </w:r>
      <w:r w:rsidRPr="00B16782">
        <w:rPr>
          <w:rFonts w:eastAsia="Times New Roman"/>
          <w:noProof/>
          <w:lang w:val="en-IE" w:eastAsia="fr-BE"/>
        </w:rPr>
        <w:t>適用されるモジュールが附属書IVに定めるモジュールと異なる場合、その特定の手順を選択するに至った要因</w:t>
      </w:r>
      <w:r>
        <w:rPr>
          <w:rFonts w:eastAsia="Times New Roman"/>
          <w:noProof/>
          <w:lang w:val="en-IE" w:eastAsia="fr-BE"/>
        </w:rPr>
        <w:t>。</w:t>
      </w:r>
    </w:p>
    <w:p w14:paraId="73D199B1" w14:textId="77777777" w:rsidR="0038775E" w:rsidRDefault="00877B9C" w:rsidP="002041D4">
      <w:pPr>
        <w:pStyle w:val="Text1"/>
        <w:wordWrap w:val="0"/>
        <w:rPr>
          <w:noProof/>
          <w:lang w:val="en-IE" w:eastAsia="fr-BE"/>
        </w:rPr>
      </w:pPr>
      <w:r>
        <w:rPr>
          <w:noProof/>
          <w:lang w:val="en-IE" w:eastAsia="fr-BE"/>
        </w:rPr>
        <w:t>決定</w:t>
      </w:r>
      <w:r>
        <w:rPr>
          <w:noProof/>
          <w:lang w:val="en-IE" w:eastAsia="fr-BE"/>
        </w:rPr>
        <w:t xml:space="preserve"> 768/2008/EC </w:t>
      </w:r>
      <w:r>
        <w:rPr>
          <w:noProof/>
          <w:lang w:val="en-IE" w:eastAsia="fr-BE"/>
        </w:rPr>
        <w:t>の附属書</w:t>
      </w:r>
      <w:r>
        <w:rPr>
          <w:noProof/>
          <w:lang w:val="en-IE" w:eastAsia="fr-BE"/>
        </w:rPr>
        <w:t xml:space="preserve"> II </w:t>
      </w:r>
      <w:r>
        <w:rPr>
          <w:noProof/>
          <w:lang w:val="en-IE" w:eastAsia="fr-BE"/>
        </w:rPr>
        <w:t>で言及されている</w:t>
      </w:r>
      <w:r w:rsidRPr="00F33505">
        <w:rPr>
          <w:noProof/>
          <w:lang w:val="en-IE" w:eastAsia="fr-BE"/>
        </w:rPr>
        <w:t>異なる</w:t>
      </w:r>
      <w:r>
        <w:rPr>
          <w:noProof/>
          <w:lang w:val="en-IE" w:eastAsia="fr-BE"/>
        </w:rPr>
        <w:t>適合性評価</w:t>
      </w:r>
      <w:r w:rsidRPr="00F33505">
        <w:rPr>
          <w:noProof/>
          <w:lang w:val="en-IE" w:eastAsia="fr-BE"/>
        </w:rPr>
        <w:t>モジュールが、</w:t>
      </w:r>
      <w:r w:rsidRPr="00E060A7">
        <w:rPr>
          <w:noProof/>
          <w:lang w:val="en-IE" w:eastAsia="fr-BE"/>
        </w:rPr>
        <w:t>同一の製品について</w:t>
      </w:r>
      <w:r w:rsidRPr="00F33505">
        <w:rPr>
          <w:noProof/>
          <w:lang w:val="en-IE" w:eastAsia="fr-BE"/>
        </w:rPr>
        <w:t>他の</w:t>
      </w:r>
      <w:r w:rsidRPr="00E060A7">
        <w:rPr>
          <w:noProof/>
          <w:lang w:val="en-IE" w:eastAsia="fr-BE"/>
        </w:rPr>
        <w:t>連合</w:t>
      </w:r>
      <w:r>
        <w:rPr>
          <w:noProof/>
          <w:lang w:val="en-IE" w:eastAsia="fr-BE"/>
        </w:rPr>
        <w:t>法に従って使用さ</w:t>
      </w:r>
      <w:r w:rsidRPr="00F33505">
        <w:rPr>
          <w:noProof/>
          <w:lang w:val="en-IE" w:eastAsia="fr-BE"/>
        </w:rPr>
        <w:t>れる場合、</w:t>
      </w:r>
      <w:r w:rsidRPr="00E060A7">
        <w:rPr>
          <w:noProof/>
          <w:lang w:val="en-IE" w:eastAsia="fr-BE"/>
        </w:rPr>
        <w:t>当該</w:t>
      </w:r>
      <w:r>
        <w:rPr>
          <w:noProof/>
          <w:lang w:val="en-IE" w:eastAsia="fr-BE"/>
        </w:rPr>
        <w:t>エコデザイン要件については、第</w:t>
      </w:r>
      <w:r>
        <w:rPr>
          <w:noProof/>
          <w:lang w:val="en-IE" w:eastAsia="fr-BE"/>
        </w:rPr>
        <w:t xml:space="preserve"> 4 </w:t>
      </w:r>
      <w:r>
        <w:rPr>
          <w:noProof/>
          <w:lang w:val="en-IE" w:eastAsia="fr-BE"/>
        </w:rPr>
        <w:t>条に従って採択された委任行為で</w:t>
      </w:r>
      <w:r w:rsidRPr="00E060A7">
        <w:rPr>
          <w:noProof/>
          <w:lang w:val="en-IE" w:eastAsia="fr-BE"/>
        </w:rPr>
        <w:t>定義されたモジュールが優先される</w:t>
      </w:r>
      <w:r>
        <w:rPr>
          <w:noProof/>
          <w:lang w:val="en-IE" w:eastAsia="fr-BE"/>
        </w:rPr>
        <w:t>ものとする；</w:t>
      </w:r>
    </w:p>
    <w:p w14:paraId="4B0202ED" w14:textId="77777777" w:rsidR="0038775E" w:rsidRDefault="00877B9C" w:rsidP="002041D4">
      <w:pPr>
        <w:pStyle w:val="Point0number"/>
        <w:numPr>
          <w:ilvl w:val="0"/>
          <w:numId w:val="21"/>
        </w:numPr>
        <w:wordWrap w:val="0"/>
        <w:rPr>
          <w:noProof/>
          <w:lang w:val="en-IE" w:eastAsia="fr-BE"/>
        </w:rPr>
      </w:pPr>
      <w:r>
        <w:rPr>
          <w:noProof/>
          <w:lang w:val="en-IE" w:eastAsia="fr-BE"/>
        </w:rPr>
        <w:t>エコデザイン要求</w:t>
      </w:r>
      <w:r w:rsidRPr="00FC7D7A">
        <w:rPr>
          <w:noProof/>
          <w:lang w:val="en-IE" w:eastAsia="fr-BE"/>
        </w:rPr>
        <w:t>事項への製品の適合性の</w:t>
      </w:r>
      <w:r>
        <w:rPr>
          <w:noProof/>
          <w:lang w:val="en-IE" w:eastAsia="fr-BE"/>
        </w:rPr>
        <w:t>検証を可能にする</w:t>
      </w:r>
      <w:r w:rsidRPr="00FC7D7A">
        <w:rPr>
          <w:noProof/>
          <w:lang w:val="en-IE" w:eastAsia="fr-BE"/>
        </w:rPr>
        <w:t>技術</w:t>
      </w:r>
      <w:r>
        <w:rPr>
          <w:noProof/>
          <w:lang w:val="en-IE" w:eastAsia="fr-BE"/>
        </w:rPr>
        <w:t>文書の要素を含む、</w:t>
      </w:r>
      <w:r w:rsidRPr="00FC7D7A">
        <w:rPr>
          <w:noProof/>
          <w:lang w:val="en-IE" w:eastAsia="fr-BE"/>
        </w:rPr>
        <w:t>製造者が提供すべき情報に関する要求事項。</w:t>
      </w:r>
      <w:r>
        <w:rPr>
          <w:noProof/>
          <w:lang w:val="en-IE" w:eastAsia="fr-BE"/>
        </w:rPr>
        <w:t>関連する場合、第</w:t>
      </w:r>
      <w:r>
        <w:rPr>
          <w:noProof/>
          <w:lang w:val="en-IE" w:eastAsia="fr-BE"/>
        </w:rPr>
        <w:t>30</w:t>
      </w:r>
      <w:r>
        <w:rPr>
          <w:noProof/>
          <w:lang w:val="en-IE" w:eastAsia="fr-BE"/>
        </w:rPr>
        <w:t>条及び第</w:t>
      </w:r>
      <w:r>
        <w:rPr>
          <w:noProof/>
          <w:lang w:val="en-IE" w:eastAsia="fr-BE"/>
        </w:rPr>
        <w:t>31</w:t>
      </w:r>
      <w:r>
        <w:rPr>
          <w:noProof/>
          <w:lang w:val="en-IE" w:eastAsia="fr-BE"/>
        </w:rPr>
        <w:t>条に基づく追加情報の要求事項</w:t>
      </w:r>
      <w:r w:rsidRPr="00FC7D7A">
        <w:rPr>
          <w:noProof/>
          <w:lang w:val="en-IE" w:eastAsia="fr-BE"/>
        </w:rPr>
        <w:t>；</w:t>
      </w:r>
    </w:p>
    <w:p w14:paraId="27372008" w14:textId="77777777" w:rsidR="0038775E" w:rsidRDefault="00877B9C" w:rsidP="002041D4">
      <w:pPr>
        <w:pStyle w:val="Point0number"/>
        <w:numPr>
          <w:ilvl w:val="0"/>
          <w:numId w:val="21"/>
        </w:numPr>
        <w:wordWrap w:val="0"/>
        <w:rPr>
          <w:noProof/>
          <w:lang w:val="en-IE" w:eastAsia="fr-BE"/>
        </w:rPr>
      </w:pPr>
      <w:r w:rsidRPr="00FC7D7A">
        <w:rPr>
          <w:noProof/>
          <w:lang w:val="en-IE" w:eastAsia="fr-BE"/>
        </w:rPr>
        <w:t>中小企業または</w:t>
      </w:r>
      <w:r>
        <w:rPr>
          <w:noProof/>
          <w:lang w:val="en-IE" w:eastAsia="fr-BE"/>
        </w:rPr>
        <w:t>中小企業が主に製造する</w:t>
      </w:r>
      <w:r w:rsidRPr="00FC7D7A">
        <w:rPr>
          <w:noProof/>
          <w:lang w:val="en-IE" w:eastAsia="fr-BE"/>
        </w:rPr>
        <w:t>特定の製品群に起こりうる影響を考慮し、</w:t>
      </w:r>
      <w:r>
        <w:rPr>
          <w:noProof/>
          <w:lang w:val="en-IE" w:eastAsia="fr-BE"/>
        </w:rPr>
        <w:t>実施</w:t>
      </w:r>
      <w:r w:rsidRPr="00FC7D7A">
        <w:rPr>
          <w:noProof/>
          <w:lang w:val="en-IE" w:eastAsia="fr-BE"/>
        </w:rPr>
        <w:t>日、段階的または経過的な措置または期間；</w:t>
      </w:r>
    </w:p>
    <w:p w14:paraId="08D495E5" w14:textId="77777777" w:rsidR="0038775E" w:rsidRDefault="00877B9C" w:rsidP="002041D4">
      <w:pPr>
        <w:pStyle w:val="Point0number"/>
        <w:numPr>
          <w:ilvl w:val="0"/>
          <w:numId w:val="21"/>
        </w:numPr>
        <w:wordWrap w:val="0"/>
        <w:rPr>
          <w:noProof/>
          <w:lang w:val="en-IE" w:eastAsia="fr-BE"/>
        </w:rPr>
      </w:pPr>
      <w:r w:rsidRPr="00FC7D7A">
        <w:rPr>
          <w:noProof/>
          <w:lang w:val="en-IE" w:eastAsia="fr-BE"/>
        </w:rPr>
        <w:t>加盟国が</w:t>
      </w:r>
      <w:r>
        <w:rPr>
          <w:noProof/>
          <w:lang w:val="en-IE" w:eastAsia="fr-BE"/>
        </w:rPr>
        <w:t>、第</w:t>
      </w:r>
      <w:r>
        <w:rPr>
          <w:noProof/>
          <w:lang w:val="en-IE" w:eastAsia="fr-BE"/>
        </w:rPr>
        <w:t>4</w:t>
      </w:r>
      <w:r>
        <w:rPr>
          <w:noProof/>
          <w:lang w:val="en-IE" w:eastAsia="fr-BE"/>
        </w:rPr>
        <w:t>条に従って採択された委任法の</w:t>
      </w:r>
      <w:r w:rsidRPr="00FC7D7A">
        <w:rPr>
          <w:noProof/>
          <w:lang w:val="en-IE" w:eastAsia="fr-BE"/>
        </w:rPr>
        <w:t>採択日に自国の領域で有効な規制に準拠</w:t>
      </w:r>
      <w:r>
        <w:rPr>
          <w:noProof/>
          <w:lang w:val="en-IE" w:eastAsia="fr-BE"/>
        </w:rPr>
        <w:t>した</w:t>
      </w:r>
      <w:r w:rsidRPr="00FC7D7A">
        <w:rPr>
          <w:noProof/>
          <w:lang w:val="en-IE" w:eastAsia="fr-BE"/>
        </w:rPr>
        <w:t>製品の上市または使用開始を</w:t>
      </w:r>
      <w:r>
        <w:rPr>
          <w:noProof/>
          <w:lang w:val="en-IE" w:eastAsia="fr-BE"/>
        </w:rPr>
        <w:t>許可する</w:t>
      </w:r>
      <w:r w:rsidRPr="00FC7D7A">
        <w:rPr>
          <w:noProof/>
          <w:lang w:val="en-IE" w:eastAsia="fr-BE"/>
        </w:rPr>
        <w:t>経過措置期間の期間；</w:t>
      </w:r>
    </w:p>
    <w:p w14:paraId="5E873480" w14:textId="77777777" w:rsidR="0038775E" w:rsidRDefault="00877B9C" w:rsidP="002041D4">
      <w:pPr>
        <w:pStyle w:val="Point0number"/>
        <w:numPr>
          <w:ilvl w:val="0"/>
          <w:numId w:val="21"/>
        </w:numPr>
        <w:wordWrap w:val="0"/>
        <w:rPr>
          <w:noProof/>
          <w:lang w:val="en-IE" w:eastAsia="fr-BE"/>
        </w:rPr>
      </w:pPr>
      <w:r w:rsidRPr="00FC7D7A">
        <w:rPr>
          <w:noProof/>
          <w:lang w:val="en-IE" w:eastAsia="fr-BE"/>
        </w:rPr>
        <w:t>技術的進歩を考慮した</w:t>
      </w:r>
      <w:r>
        <w:rPr>
          <w:noProof/>
          <w:lang w:val="en-IE" w:eastAsia="fr-BE"/>
        </w:rPr>
        <w:t>委任</w:t>
      </w:r>
      <w:r w:rsidRPr="00FC7D7A">
        <w:rPr>
          <w:noProof/>
          <w:lang w:val="en-IE" w:eastAsia="fr-BE"/>
        </w:rPr>
        <w:t>法の評価と改訂の可能性がある日。</w:t>
      </w:r>
    </w:p>
    <w:p w14:paraId="1E4ED623" w14:textId="77777777" w:rsidR="006E750D" w:rsidRDefault="006E750D" w:rsidP="002041D4">
      <w:pPr>
        <w:wordWrap w:val="0"/>
        <w:rPr>
          <w:noProof/>
          <w:lang w:eastAsia="ja-JP"/>
        </w:rPr>
        <w:sectPr w:rsidR="006E750D" w:rsidSect="00BC1CA9">
          <w:pgSz w:w="11907" w:h="16839"/>
          <w:pgMar w:top="1134" w:right="1417" w:bottom="1134" w:left="1417" w:header="709" w:footer="709" w:gutter="0"/>
          <w:cols w:space="720"/>
          <w:docGrid w:linePitch="360"/>
        </w:sectPr>
      </w:pPr>
    </w:p>
    <w:p w14:paraId="03F60931" w14:textId="77777777" w:rsidR="0038775E" w:rsidRDefault="00877B9C" w:rsidP="002041D4">
      <w:pPr>
        <w:pStyle w:val="Annexetitre"/>
        <w:wordWrap w:val="0"/>
        <w:rPr>
          <w:noProof/>
          <w:u w:val="none"/>
          <w:lang w:eastAsia="ja-JP"/>
        </w:rPr>
      </w:pPr>
      <w:r w:rsidRPr="00F16891">
        <w:rPr>
          <w:noProof/>
          <w:u w:val="none"/>
          <w:lang w:eastAsia="ja-JP"/>
        </w:rPr>
        <w:lastRenderedPageBreak/>
        <w:t>ANNEX VII</w:t>
      </w:r>
    </w:p>
    <w:p w14:paraId="10CB457D" w14:textId="77777777" w:rsidR="0038775E" w:rsidRDefault="00877B9C" w:rsidP="002041D4">
      <w:pPr>
        <w:wordWrap w:val="0"/>
        <w:jc w:val="center"/>
        <w:rPr>
          <w:noProof/>
          <w:lang w:eastAsia="ja-JP"/>
        </w:rPr>
      </w:pPr>
      <w:r w:rsidRPr="001F4C3B">
        <w:rPr>
          <w:b/>
          <w:noProof/>
          <w:u w:val="single"/>
          <w:lang w:eastAsia="ja-JP"/>
        </w:rPr>
        <w:t>自己規制対策の</w:t>
      </w:r>
      <w:r>
        <w:rPr>
          <w:b/>
          <w:noProof/>
          <w:u w:val="single"/>
          <w:lang w:eastAsia="ja-JP"/>
        </w:rPr>
        <w:t>基準</w:t>
      </w:r>
    </w:p>
    <w:p w14:paraId="61359816" w14:textId="77777777" w:rsidR="0038775E" w:rsidRDefault="00877B9C" w:rsidP="002041D4">
      <w:pPr>
        <w:wordWrap w:val="0"/>
        <w:jc w:val="center"/>
        <w:rPr>
          <w:b/>
          <w:noProof/>
          <w:lang w:eastAsia="ja-JP"/>
        </w:rPr>
      </w:pPr>
      <w:r w:rsidRPr="00177810">
        <w:rPr>
          <w:b/>
          <w:noProof/>
          <w:lang w:eastAsia="ja-JP"/>
        </w:rPr>
        <w:t>(</w:t>
      </w:r>
      <w:r>
        <w:rPr>
          <w:b/>
          <w:noProof/>
          <w:lang w:eastAsia="ja-JP"/>
        </w:rPr>
        <w:t>第</w:t>
      </w:r>
      <w:r>
        <w:rPr>
          <w:b/>
          <w:noProof/>
          <w:lang w:eastAsia="ja-JP"/>
        </w:rPr>
        <w:t>18</w:t>
      </w:r>
      <w:r w:rsidRPr="00177810">
        <w:rPr>
          <w:b/>
          <w:noProof/>
          <w:lang w:eastAsia="ja-JP"/>
        </w:rPr>
        <w:t>条</w:t>
      </w:r>
      <w:r w:rsidRPr="00177810">
        <w:rPr>
          <w:b/>
          <w:noProof/>
          <w:lang w:eastAsia="ja-JP"/>
        </w:rPr>
        <w:t>)</w:t>
      </w:r>
    </w:p>
    <w:p w14:paraId="60186F5D" w14:textId="77777777" w:rsidR="0038775E" w:rsidRDefault="00877B9C" w:rsidP="002041D4">
      <w:pPr>
        <w:shd w:val="clear" w:color="auto" w:fill="FFFFFF" w:themeFill="background1"/>
        <w:wordWrap w:val="0"/>
        <w:spacing w:after="0"/>
        <w:rPr>
          <w:rFonts w:eastAsia="Times New Roman"/>
          <w:noProof/>
          <w:color w:val="000000" w:themeColor="text1"/>
          <w:szCs w:val="24"/>
          <w:lang w:val="en-IE" w:eastAsia="fr-BE"/>
        </w:rPr>
      </w:pPr>
      <w:r w:rsidRPr="00177810">
        <w:rPr>
          <w:rFonts w:eastAsia="Times New Roman"/>
          <w:noProof/>
          <w:color w:val="000000" w:themeColor="text1"/>
          <w:szCs w:val="24"/>
          <w:lang w:val="en-IE" w:eastAsia="fr-BE"/>
        </w:rPr>
        <w:t>本規則</w:t>
      </w:r>
      <w:r>
        <w:rPr>
          <w:rFonts w:eastAsia="Times New Roman"/>
          <w:noProof/>
          <w:color w:val="000000" w:themeColor="text1"/>
          <w:szCs w:val="24"/>
          <w:lang w:val="en-IE" w:eastAsia="fr-BE"/>
        </w:rPr>
        <w:t>第4条に従って</w:t>
      </w:r>
      <w:r w:rsidRPr="00177810">
        <w:rPr>
          <w:rFonts w:eastAsia="Times New Roman"/>
          <w:noProof/>
          <w:color w:val="000000" w:themeColor="text1"/>
          <w:szCs w:val="24"/>
          <w:lang w:val="en-IE" w:eastAsia="fr-BE"/>
        </w:rPr>
        <w:t>採択された</w:t>
      </w:r>
      <w:r>
        <w:rPr>
          <w:rFonts w:eastAsia="Times New Roman"/>
          <w:noProof/>
          <w:color w:val="000000" w:themeColor="text1"/>
          <w:szCs w:val="24"/>
          <w:lang w:val="en-IE" w:eastAsia="fr-BE"/>
        </w:rPr>
        <w:t>委任</w:t>
      </w:r>
      <w:r w:rsidRPr="00177810">
        <w:rPr>
          <w:rFonts w:eastAsia="Times New Roman"/>
          <w:noProof/>
          <w:color w:val="000000" w:themeColor="text1"/>
          <w:szCs w:val="24"/>
          <w:lang w:val="en-IE" w:eastAsia="fr-BE"/>
        </w:rPr>
        <w:t>法に</w:t>
      </w:r>
      <w:r w:rsidRPr="00177810">
        <w:rPr>
          <w:rFonts w:eastAsia="Times New Roman"/>
          <w:noProof/>
          <w:color w:val="000000" w:themeColor="text1"/>
          <w:lang w:val="en-IE" w:eastAsia="fr-BE"/>
        </w:rPr>
        <w:t>代わる自主規制措置の評価には</w:t>
      </w:r>
      <w:r>
        <w:rPr>
          <w:rFonts w:eastAsia="Times New Roman"/>
          <w:noProof/>
          <w:color w:val="000000" w:themeColor="text1"/>
          <w:lang w:val="en-IE" w:eastAsia="fr-BE"/>
        </w:rPr>
        <w:t>、</w:t>
      </w:r>
      <w:r w:rsidRPr="0681B866">
        <w:rPr>
          <w:rFonts w:eastAsia="Times New Roman"/>
          <w:noProof/>
          <w:color w:val="000000" w:themeColor="text1"/>
          <w:lang w:val="en-IE" w:eastAsia="fr-BE"/>
        </w:rPr>
        <w:t>以下の</w:t>
      </w:r>
      <w:r w:rsidRPr="00177810">
        <w:rPr>
          <w:rFonts w:eastAsia="Times New Roman"/>
          <w:noProof/>
          <w:color w:val="000000" w:themeColor="text1"/>
          <w:lang w:val="en-IE" w:eastAsia="fr-BE"/>
        </w:rPr>
        <w:t>非網羅的な指示基準のリストを用いることができる：</w:t>
      </w:r>
    </w:p>
    <w:p w14:paraId="247527CA" w14:textId="77777777" w:rsidR="0038775E" w:rsidRDefault="00877B9C" w:rsidP="002041D4">
      <w:pPr>
        <w:wordWrap w:val="0"/>
        <w:rPr>
          <w:rFonts w:eastAsia="Times New Roman"/>
          <w:b/>
          <w:noProof/>
          <w:color w:val="000000" w:themeColor="text1"/>
          <w:szCs w:val="24"/>
          <w:lang w:val="en-IE" w:eastAsia="fr-BE"/>
        </w:rPr>
      </w:pPr>
      <w:r w:rsidRPr="00177810">
        <w:rPr>
          <w:b/>
          <w:noProof/>
          <w:szCs w:val="24"/>
          <w:lang w:val="en-IE" w:eastAsia="fr-BE"/>
        </w:rPr>
        <w:t>1.</w:t>
      </w:r>
      <w:r w:rsidRPr="00177810">
        <w:rPr>
          <w:b/>
          <w:noProof/>
          <w:szCs w:val="24"/>
          <w:lang w:val="en-IE" w:eastAsia="fr-BE"/>
        </w:rPr>
        <w:tab/>
      </w:r>
      <w:r w:rsidRPr="00177810">
        <w:rPr>
          <w:b/>
          <w:noProof/>
          <w:szCs w:val="24"/>
          <w:lang w:val="en-IE" w:eastAsia="fr-BE"/>
        </w:rPr>
        <w:t>参加の自由度</w:t>
      </w:r>
    </w:p>
    <w:p w14:paraId="3D844487" w14:textId="77777777" w:rsidR="0038775E" w:rsidRDefault="00877B9C" w:rsidP="002041D4">
      <w:pPr>
        <w:shd w:val="clear" w:color="auto" w:fill="FFFFFF" w:themeFill="background1"/>
        <w:wordWrap w:val="0"/>
        <w:spacing w:after="0"/>
        <w:rPr>
          <w:rFonts w:eastAsia="Times New Roman"/>
          <w:noProof/>
          <w:color w:val="000000" w:themeColor="text1"/>
          <w:szCs w:val="24"/>
          <w:lang w:val="en-IE" w:eastAsia="fr-BE"/>
        </w:rPr>
      </w:pPr>
      <w:r w:rsidRPr="00177810">
        <w:rPr>
          <w:rFonts w:eastAsia="Times New Roman"/>
          <w:noProof/>
          <w:color w:val="000000" w:themeColor="text1"/>
          <w:szCs w:val="24"/>
          <w:lang w:val="en-IE" w:eastAsia="fr-BE"/>
        </w:rPr>
        <w:t>自主規制措置は、準備段階および実施段階の両方において、第三国の事業者を含む、自主規制措置の対象となる製品を市場に出すあらゆる事業者の参加に開かれていなければならない。自主規制措置を設けることを意図する</w:t>
      </w:r>
      <w:r>
        <w:rPr>
          <w:rFonts w:eastAsia="Times New Roman"/>
          <w:noProof/>
          <w:color w:val="000000" w:themeColor="text1"/>
          <w:szCs w:val="24"/>
          <w:lang w:val="en-IE" w:eastAsia="fr-BE"/>
        </w:rPr>
        <w:t>経済事業者は、</w:t>
      </w:r>
      <w:r w:rsidRPr="00177810">
        <w:rPr>
          <w:rFonts w:eastAsia="Times New Roman"/>
          <w:noProof/>
          <w:color w:val="000000" w:themeColor="text1"/>
          <w:szCs w:val="24"/>
          <w:lang w:val="en-IE" w:eastAsia="fr-BE"/>
        </w:rPr>
        <w:t>措置の策定プロセスを開始する前に、その意図を公表すべきである。</w:t>
      </w:r>
    </w:p>
    <w:p w14:paraId="1645C836" w14:textId="77777777" w:rsidR="0038775E" w:rsidRDefault="00877B9C" w:rsidP="002041D4">
      <w:pPr>
        <w:shd w:val="clear" w:color="auto" w:fill="FFFFFF" w:themeFill="background1"/>
        <w:wordWrap w:val="0"/>
        <w:rPr>
          <w:rFonts w:eastAsia="Times New Roman"/>
          <w:b/>
          <w:bCs/>
          <w:noProof/>
          <w:color w:val="000000" w:themeColor="text1"/>
          <w:szCs w:val="24"/>
          <w:lang w:val="en-IE" w:eastAsia="fr-BE"/>
        </w:rPr>
      </w:pPr>
      <w:r w:rsidRPr="00177810">
        <w:rPr>
          <w:rFonts w:eastAsia="Times New Roman"/>
          <w:b/>
          <w:bCs/>
          <w:noProof/>
          <w:color w:val="000000" w:themeColor="text1"/>
          <w:szCs w:val="24"/>
          <w:lang w:val="en-IE" w:eastAsia="fr-BE"/>
        </w:rPr>
        <w:t>2.</w:t>
      </w:r>
      <w:r w:rsidRPr="00177810">
        <w:rPr>
          <w:rFonts w:eastAsia="Times New Roman"/>
          <w:b/>
          <w:bCs/>
          <w:noProof/>
          <w:color w:val="000000" w:themeColor="text1"/>
          <w:szCs w:val="24"/>
          <w:lang w:val="en-IE" w:eastAsia="fr-BE"/>
        </w:rPr>
        <w:tab/>
        <w:t>サステナビリティと付加価値</w:t>
      </w:r>
    </w:p>
    <w:p w14:paraId="0E1E78F1" w14:textId="77777777" w:rsidR="0038775E" w:rsidRDefault="00877B9C" w:rsidP="002041D4">
      <w:pPr>
        <w:shd w:val="clear" w:color="auto" w:fill="FFFFFF" w:themeFill="background1"/>
        <w:wordWrap w:val="0"/>
        <w:spacing w:after="0"/>
        <w:rPr>
          <w:rFonts w:eastAsia="Times New Roman"/>
          <w:noProof/>
          <w:color w:val="000000" w:themeColor="text1"/>
          <w:szCs w:val="24"/>
          <w:lang w:val="en-IE" w:eastAsia="fr-BE"/>
        </w:rPr>
      </w:pPr>
      <w:r w:rsidRPr="00177810">
        <w:rPr>
          <w:rFonts w:eastAsia="Times New Roman"/>
          <w:noProof/>
          <w:color w:val="000000" w:themeColor="text1"/>
          <w:szCs w:val="24"/>
          <w:lang w:val="en-IE" w:eastAsia="fr-BE"/>
        </w:rPr>
        <w:t>自主規制措置は、本規則の政策目標に対応し、持続可能な開発の経済的・社会的側面と整合的でなければならない。自主規制措置は、消費者の利益、健康、生活の質および経済的利益を保護する</w:t>
      </w:r>
      <w:r>
        <w:rPr>
          <w:rFonts w:eastAsia="Times New Roman"/>
          <w:noProof/>
          <w:color w:val="000000" w:themeColor="text1"/>
          <w:szCs w:val="24"/>
          <w:lang w:val="en-IE" w:eastAsia="fr-BE"/>
        </w:rPr>
        <w:t>ための統合的なアプローチを</w:t>
      </w:r>
      <w:r>
        <w:rPr>
          <w:rFonts w:eastAsia="Times New Roman"/>
          <w:noProof/>
          <w:color w:val="000000" w:themeColor="text1"/>
          <w:szCs w:val="24"/>
          <w:lang w:val="en-IE" w:eastAsia="fr-BE"/>
        </w:rPr>
        <w:t>有して</w:t>
      </w:r>
      <w:r w:rsidRPr="00177810">
        <w:rPr>
          <w:rFonts w:eastAsia="Times New Roman"/>
          <w:noProof/>
          <w:color w:val="000000" w:themeColor="text1"/>
          <w:szCs w:val="24"/>
          <w:lang w:val="en-IE" w:eastAsia="fr-BE"/>
        </w:rPr>
        <w:t>いなければならない。</w:t>
      </w:r>
    </w:p>
    <w:p w14:paraId="4212674E" w14:textId="77777777" w:rsidR="0038775E" w:rsidRDefault="00877B9C" w:rsidP="002041D4">
      <w:pPr>
        <w:shd w:val="clear" w:color="auto" w:fill="FFFFFF" w:themeFill="background1"/>
        <w:wordWrap w:val="0"/>
        <w:rPr>
          <w:rFonts w:eastAsia="Times New Roman"/>
          <w:b/>
          <w:bCs/>
          <w:noProof/>
          <w:color w:val="000000" w:themeColor="text1"/>
          <w:szCs w:val="24"/>
          <w:lang w:val="en-IE" w:eastAsia="fr-BE"/>
        </w:rPr>
      </w:pPr>
      <w:r w:rsidRPr="00177810">
        <w:rPr>
          <w:rFonts w:eastAsia="Times New Roman"/>
          <w:b/>
          <w:bCs/>
          <w:noProof/>
          <w:color w:val="000000" w:themeColor="text1"/>
          <w:szCs w:val="24"/>
          <w:lang w:val="en-IE" w:eastAsia="fr-BE"/>
        </w:rPr>
        <w:t>3.</w:t>
      </w:r>
      <w:r w:rsidRPr="00177810">
        <w:rPr>
          <w:rFonts w:eastAsia="Times New Roman"/>
          <w:b/>
          <w:bCs/>
          <w:noProof/>
          <w:color w:val="000000" w:themeColor="text1"/>
          <w:szCs w:val="24"/>
          <w:lang w:val="en-IE" w:eastAsia="fr-BE"/>
        </w:rPr>
        <w:tab/>
        <w:t>代表性</w:t>
      </w:r>
    </w:p>
    <w:p w14:paraId="5711E630" w14:textId="77777777" w:rsidR="0038775E" w:rsidRDefault="00877B9C" w:rsidP="002041D4">
      <w:pPr>
        <w:shd w:val="clear" w:color="auto" w:fill="FFFFFF" w:themeFill="background1"/>
        <w:wordWrap w:val="0"/>
        <w:spacing w:after="0"/>
        <w:rPr>
          <w:rFonts w:eastAsia="Times New Roman"/>
          <w:noProof/>
          <w:color w:val="000000" w:themeColor="text1"/>
          <w:szCs w:val="24"/>
          <w:lang w:val="en-IE" w:eastAsia="fr-BE"/>
        </w:rPr>
      </w:pPr>
      <w:r w:rsidRPr="00177810">
        <w:rPr>
          <w:rFonts w:eastAsia="Times New Roman"/>
          <w:noProof/>
          <w:color w:val="000000" w:themeColor="text1"/>
          <w:szCs w:val="24"/>
          <w:lang w:val="en-IE" w:eastAsia="fr-BE"/>
        </w:rPr>
        <w:t>自主規制措置に参加する業界およびその団体は、</w:t>
      </w:r>
      <w:r>
        <w:rPr>
          <w:rFonts w:eastAsia="Times New Roman"/>
          <w:noProof/>
          <w:color w:val="000000" w:themeColor="text1"/>
          <w:szCs w:val="24"/>
          <w:lang w:val="en-IE" w:eastAsia="fr-BE"/>
        </w:rPr>
        <w:t>第18条第3</w:t>
      </w:r>
      <w:r w:rsidRPr="00177810">
        <w:rPr>
          <w:rFonts w:eastAsia="Times New Roman"/>
          <w:noProof/>
          <w:color w:val="000000" w:themeColor="text1"/>
          <w:szCs w:val="24"/>
          <w:lang w:val="en-IE" w:eastAsia="fr-BE"/>
        </w:rPr>
        <w:t>項</w:t>
      </w:r>
      <w:r>
        <w:rPr>
          <w:rFonts w:eastAsia="Times New Roman"/>
          <w:noProof/>
          <w:color w:val="000000" w:themeColor="text1"/>
          <w:szCs w:val="24"/>
          <w:lang w:val="en-IE" w:eastAsia="fr-BE"/>
        </w:rPr>
        <w:t>第1号</w:t>
      </w:r>
      <w:r w:rsidRPr="00177810">
        <w:rPr>
          <w:rFonts w:eastAsia="Times New Roman"/>
          <w:noProof/>
          <w:color w:val="000000" w:themeColor="text1"/>
          <w:szCs w:val="24"/>
          <w:lang w:val="en-IE" w:eastAsia="fr-BE"/>
        </w:rPr>
        <w:t>（b）に従い、関連する経済部門の大多数を代表していなければならない。</w:t>
      </w:r>
      <w:r>
        <w:rPr>
          <w:rFonts w:eastAsia="Times New Roman"/>
          <w:noProof/>
          <w:color w:val="000000" w:themeColor="text1"/>
          <w:szCs w:val="24"/>
          <w:lang w:val="en-IE" w:eastAsia="fr-BE"/>
        </w:rPr>
        <w:t>欧州連合の競争法、特に反競争的協定に関する欧州連合の機能に関する条約第101条の</w:t>
      </w:r>
      <w:r w:rsidRPr="00177810">
        <w:rPr>
          <w:rFonts w:eastAsia="Times New Roman"/>
          <w:noProof/>
          <w:color w:val="000000" w:themeColor="text1"/>
          <w:szCs w:val="24"/>
          <w:lang w:val="en-IE" w:eastAsia="fr-BE"/>
        </w:rPr>
        <w:t>尊重を確保するために注意を払わなければならない</w:t>
      </w:r>
      <w:r>
        <w:rPr>
          <w:rFonts w:eastAsia="Times New Roman"/>
          <w:noProof/>
          <w:color w:val="000000" w:themeColor="text1"/>
          <w:szCs w:val="24"/>
          <w:lang w:val="en-IE" w:eastAsia="fr-BE"/>
        </w:rPr>
        <w:t xml:space="preserve">。 </w:t>
      </w:r>
    </w:p>
    <w:p w14:paraId="64B8AAE2" w14:textId="77777777" w:rsidR="0038775E" w:rsidRDefault="00877B9C" w:rsidP="002041D4">
      <w:pPr>
        <w:shd w:val="clear" w:color="auto" w:fill="FFFFFF" w:themeFill="background1"/>
        <w:wordWrap w:val="0"/>
        <w:rPr>
          <w:rFonts w:eastAsia="Times New Roman"/>
          <w:b/>
          <w:bCs/>
          <w:noProof/>
          <w:color w:val="000000" w:themeColor="text1"/>
          <w:szCs w:val="24"/>
          <w:lang w:val="en-IE" w:eastAsia="fr-BE"/>
        </w:rPr>
      </w:pPr>
      <w:r w:rsidRPr="00177810">
        <w:rPr>
          <w:rFonts w:eastAsia="Times New Roman"/>
          <w:b/>
          <w:bCs/>
          <w:noProof/>
          <w:color w:val="000000" w:themeColor="text1"/>
          <w:szCs w:val="24"/>
          <w:lang w:val="en-IE" w:eastAsia="fr-BE"/>
        </w:rPr>
        <w:t>4.</w:t>
      </w:r>
      <w:r w:rsidRPr="00177810">
        <w:rPr>
          <w:rFonts w:eastAsia="Times New Roman"/>
          <w:b/>
          <w:bCs/>
          <w:noProof/>
          <w:color w:val="000000" w:themeColor="text1"/>
          <w:szCs w:val="24"/>
          <w:lang w:val="en-IE" w:eastAsia="fr-BE"/>
        </w:rPr>
        <w:tab/>
        <w:t>定量化・段階化された目標</w:t>
      </w:r>
    </w:p>
    <w:p w14:paraId="1B808C13" w14:textId="77777777" w:rsidR="0038775E" w:rsidRDefault="00877B9C" w:rsidP="002041D4">
      <w:pPr>
        <w:shd w:val="clear" w:color="auto" w:fill="FFFFFF" w:themeFill="background1"/>
        <w:wordWrap w:val="0"/>
        <w:spacing w:after="0"/>
        <w:rPr>
          <w:rFonts w:eastAsia="Times New Roman"/>
          <w:noProof/>
          <w:color w:val="000000" w:themeColor="text1"/>
          <w:szCs w:val="24"/>
          <w:lang w:val="en-IE" w:eastAsia="fr-BE"/>
        </w:rPr>
      </w:pPr>
      <w:r w:rsidRPr="00177810">
        <w:rPr>
          <w:rFonts w:eastAsia="Times New Roman"/>
          <w:noProof/>
          <w:color w:val="000000" w:themeColor="text1"/>
          <w:szCs w:val="24"/>
          <w:lang w:val="en-IE" w:eastAsia="fr-BE"/>
        </w:rPr>
        <w:t>加盟国が</w:t>
      </w:r>
      <w:r>
        <w:rPr>
          <w:rFonts w:eastAsia="Times New Roman"/>
          <w:noProof/>
          <w:color w:val="000000" w:themeColor="text1"/>
          <w:szCs w:val="24"/>
          <w:lang w:val="en-IE" w:eastAsia="fr-BE"/>
        </w:rPr>
        <w:t>自主規制措置で</w:t>
      </w:r>
      <w:r w:rsidRPr="00177810">
        <w:rPr>
          <w:rFonts w:eastAsia="Times New Roman"/>
          <w:noProof/>
          <w:color w:val="000000" w:themeColor="text1"/>
          <w:szCs w:val="24"/>
          <w:lang w:val="en-IE" w:eastAsia="fr-BE"/>
        </w:rPr>
        <w:t>定める目標は、</w:t>
      </w:r>
      <w:r w:rsidRPr="00177810">
        <w:rPr>
          <w:rFonts w:eastAsia="Times New Roman"/>
          <w:noProof/>
          <w:color w:val="000000" w:themeColor="text1"/>
          <w:szCs w:val="24"/>
          <w:lang w:val="en-IE" w:eastAsia="fr-BE"/>
        </w:rPr>
        <w:t xml:space="preserve">明確に定義されたベースラインから出発し、明確で曖昧さのない言葉で設定されなければならない。自主規制措置が長期に及ぶ場合は、中間目標を含める必要がある。明確で信頼性の高い指標を用い、目標や中間目標の遵守状況を、安価で信頼できる方法で監視することができなければならない。 </w:t>
      </w:r>
    </w:p>
    <w:p w14:paraId="2D8A84ED" w14:textId="77777777" w:rsidR="0038775E" w:rsidRDefault="00877B9C" w:rsidP="002041D4">
      <w:pPr>
        <w:shd w:val="clear" w:color="auto" w:fill="FFFFFF" w:themeFill="background1"/>
        <w:wordWrap w:val="0"/>
        <w:rPr>
          <w:rFonts w:eastAsia="Times New Roman"/>
          <w:b/>
          <w:bCs/>
          <w:noProof/>
          <w:color w:val="000000" w:themeColor="text1"/>
          <w:szCs w:val="24"/>
          <w:lang w:val="en-IE" w:eastAsia="fr-BE"/>
        </w:rPr>
      </w:pPr>
      <w:r>
        <w:rPr>
          <w:rFonts w:eastAsia="Times New Roman"/>
          <w:b/>
          <w:bCs/>
          <w:noProof/>
          <w:color w:val="000000" w:themeColor="text1"/>
          <w:szCs w:val="24"/>
          <w:lang w:val="en-IE" w:eastAsia="fr-BE"/>
        </w:rPr>
        <w:t>5.</w:t>
      </w:r>
      <w:r w:rsidRPr="00177810">
        <w:rPr>
          <w:rFonts w:eastAsia="Times New Roman"/>
          <w:b/>
          <w:bCs/>
          <w:noProof/>
          <w:color w:val="000000" w:themeColor="text1"/>
          <w:szCs w:val="24"/>
          <w:lang w:val="en-IE" w:eastAsia="fr-BE"/>
        </w:rPr>
        <w:tab/>
        <w:t>市民社会の参画</w:t>
      </w:r>
    </w:p>
    <w:p w14:paraId="361A51A3" w14:textId="77777777" w:rsidR="0038775E" w:rsidRDefault="00877B9C" w:rsidP="002041D4">
      <w:pPr>
        <w:shd w:val="clear" w:color="auto" w:fill="FFFFFF" w:themeFill="background1"/>
        <w:wordWrap w:val="0"/>
        <w:spacing w:after="0"/>
        <w:rPr>
          <w:rFonts w:eastAsia="Times New Roman"/>
          <w:noProof/>
          <w:color w:val="000000" w:themeColor="text1"/>
          <w:szCs w:val="24"/>
          <w:lang w:val="en-IE" w:eastAsia="fr-BE"/>
        </w:rPr>
      </w:pPr>
      <w:r w:rsidRPr="00177810">
        <w:rPr>
          <w:rFonts w:eastAsia="Times New Roman"/>
          <w:noProof/>
          <w:color w:val="000000" w:themeColor="text1"/>
          <w:szCs w:val="24"/>
          <w:lang w:val="en-IE" w:eastAsia="fr-BE"/>
        </w:rPr>
        <w:t>透明性を確保する観点から、自主規制措置は、オンラインおよびその他の電子的な情報発信手段を含め、公表されなければならない。</w:t>
      </w:r>
    </w:p>
    <w:p w14:paraId="2ABAB661" w14:textId="77777777" w:rsidR="0038775E" w:rsidRDefault="00877B9C" w:rsidP="002041D4">
      <w:pPr>
        <w:shd w:val="clear" w:color="auto" w:fill="FFFFFF" w:themeFill="background1"/>
        <w:wordWrap w:val="0"/>
        <w:spacing w:after="0"/>
        <w:rPr>
          <w:rFonts w:eastAsia="Times New Roman"/>
          <w:noProof/>
          <w:color w:val="000000" w:themeColor="text1"/>
          <w:szCs w:val="24"/>
          <w:lang w:val="en-IE" w:eastAsia="fr-BE"/>
        </w:rPr>
      </w:pPr>
      <w:r w:rsidRPr="00177810">
        <w:rPr>
          <w:rFonts w:eastAsia="Times New Roman"/>
          <w:noProof/>
          <w:color w:val="000000" w:themeColor="text1"/>
          <w:szCs w:val="24"/>
          <w:lang w:val="en-IE" w:eastAsia="fr-BE"/>
        </w:rPr>
        <w:t>加盟国、産業界、環境NGO、消費者団体を含む利害関係者は、自主規制措置についてコメントを求められる</w:t>
      </w:r>
      <w:r w:rsidRPr="00177810">
        <w:rPr>
          <w:rFonts w:eastAsia="Times New Roman"/>
          <w:noProof/>
          <w:color w:val="000000" w:themeColor="text1"/>
          <w:szCs w:val="24"/>
          <w:lang w:val="en-IE" w:eastAsia="fr-BE"/>
        </w:rPr>
        <w:t>必要がある</w:t>
      </w:r>
      <w:r w:rsidRPr="00C84E72">
        <w:rPr>
          <w:rFonts w:eastAsia="Times New Roman"/>
          <w:noProof/>
          <w:color w:val="000000" w:themeColor="text1"/>
          <w:szCs w:val="24"/>
          <w:lang w:val="en-IE" w:eastAsia="fr-BE"/>
        </w:rPr>
        <w:t xml:space="preserve">。 </w:t>
      </w:r>
    </w:p>
    <w:p w14:paraId="57F36ABF" w14:textId="77777777" w:rsidR="0038775E" w:rsidRDefault="00877B9C" w:rsidP="002041D4">
      <w:pPr>
        <w:shd w:val="clear" w:color="auto" w:fill="FFFFFF" w:themeFill="background1"/>
        <w:wordWrap w:val="0"/>
        <w:rPr>
          <w:rFonts w:eastAsia="Times New Roman"/>
          <w:b/>
          <w:bCs/>
          <w:noProof/>
          <w:color w:val="000000" w:themeColor="text1"/>
          <w:szCs w:val="24"/>
          <w:lang w:val="en-IE" w:eastAsia="fr-BE"/>
        </w:rPr>
      </w:pPr>
      <w:r w:rsidRPr="00177810">
        <w:rPr>
          <w:rFonts w:eastAsia="Times New Roman"/>
          <w:b/>
          <w:bCs/>
          <w:noProof/>
          <w:color w:val="000000" w:themeColor="text1"/>
          <w:szCs w:val="24"/>
          <w:lang w:val="en-IE" w:eastAsia="fr-BE"/>
        </w:rPr>
        <w:t>6.</w:t>
      </w:r>
      <w:r w:rsidRPr="00177810">
        <w:rPr>
          <w:rFonts w:eastAsia="Times New Roman"/>
          <w:b/>
          <w:bCs/>
          <w:noProof/>
          <w:color w:val="000000" w:themeColor="text1"/>
          <w:szCs w:val="24"/>
          <w:lang w:val="en-IE" w:eastAsia="fr-BE"/>
        </w:rPr>
        <w:tab/>
        <w:t>モニタリングとレポーティング</w:t>
      </w:r>
    </w:p>
    <w:p w14:paraId="3053147A" w14:textId="77777777" w:rsidR="0038775E" w:rsidRDefault="00877B9C" w:rsidP="002041D4">
      <w:pPr>
        <w:shd w:val="clear" w:color="auto" w:fill="FFFFFF" w:themeFill="background1"/>
        <w:wordWrap w:val="0"/>
        <w:rPr>
          <w:rFonts w:eastAsia="Times New Roman"/>
          <w:bCs/>
          <w:noProof/>
          <w:color w:val="000000" w:themeColor="text1"/>
          <w:szCs w:val="24"/>
          <w:lang w:val="en-IE" w:eastAsia="fr-BE"/>
        </w:rPr>
      </w:pPr>
      <w:r w:rsidRPr="00177810">
        <w:rPr>
          <w:rFonts w:eastAsia="Times New Roman"/>
          <w:bCs/>
          <w:noProof/>
          <w:color w:val="000000" w:themeColor="text1"/>
          <w:szCs w:val="24"/>
          <w:lang w:val="en-IE" w:eastAsia="fr-BE"/>
        </w:rPr>
        <w:t>独立検査官は、署名者の自主規制措置の遵守を監視しなければならない。自主規制措置は、自主規制措置の要求事項の遵守を確認する権限を、独立した検査員に与えなければならない。また、独立した検査官を選ぶ手順や、検査官に利害関係がなく、自主</w:t>
      </w:r>
      <w:r>
        <w:rPr>
          <w:rFonts w:eastAsia="Times New Roman"/>
          <w:bCs/>
          <w:noProof/>
          <w:color w:val="000000" w:themeColor="text1"/>
          <w:szCs w:val="24"/>
          <w:lang w:val="en-IE" w:eastAsia="fr-BE"/>
        </w:rPr>
        <w:t>規制措置に</w:t>
      </w:r>
      <w:r w:rsidRPr="00177810">
        <w:rPr>
          <w:rFonts w:eastAsia="Times New Roman"/>
          <w:bCs/>
          <w:noProof/>
          <w:color w:val="000000" w:themeColor="text1"/>
          <w:szCs w:val="24"/>
          <w:lang w:val="en-IE" w:eastAsia="fr-BE"/>
        </w:rPr>
        <w:t>定められた要件の遵守を確認するために必要なスキルを有していることをどのように確認するのかについても定めなければならない。</w:t>
      </w:r>
    </w:p>
    <w:p w14:paraId="7E456628" w14:textId="77777777" w:rsidR="0038775E" w:rsidRDefault="00877B9C" w:rsidP="002041D4">
      <w:pPr>
        <w:shd w:val="clear" w:color="auto" w:fill="FFFFFF" w:themeFill="background1"/>
        <w:wordWrap w:val="0"/>
        <w:rPr>
          <w:rFonts w:eastAsia="Times New Roman"/>
          <w:bCs/>
          <w:noProof/>
          <w:color w:val="000000" w:themeColor="text1"/>
          <w:szCs w:val="24"/>
          <w:lang w:val="en-IE" w:eastAsia="fr-BE"/>
        </w:rPr>
      </w:pPr>
      <w:r>
        <w:rPr>
          <w:rFonts w:eastAsia="Times New Roman"/>
          <w:bCs/>
          <w:noProof/>
          <w:color w:val="000000" w:themeColor="text1"/>
          <w:lang w:val="en-IE" w:eastAsia="fr-BE"/>
        </w:rPr>
        <w:lastRenderedPageBreak/>
        <w:t>毎年、</w:t>
      </w:r>
      <w:r w:rsidRPr="00177810">
        <w:rPr>
          <w:rFonts w:eastAsia="Times New Roman"/>
          <w:bCs/>
          <w:noProof/>
          <w:color w:val="000000" w:themeColor="text1"/>
          <w:szCs w:val="24"/>
          <w:lang w:val="en-IE" w:eastAsia="fr-BE"/>
        </w:rPr>
        <w:t>各署名者は、独立検査官が署名者の自主規制措置の遵守状況を確実に検証するために必要なすべての情報およびデータを報告しなければならない。</w:t>
      </w:r>
    </w:p>
    <w:p w14:paraId="476D0491" w14:textId="3602D44C" w:rsidR="0038775E" w:rsidRDefault="00877B9C" w:rsidP="002041D4">
      <w:pPr>
        <w:shd w:val="clear" w:color="auto" w:fill="FFFFFF" w:themeFill="background1"/>
        <w:wordWrap w:val="0"/>
        <w:rPr>
          <w:rFonts w:eastAsia="Times New Roman"/>
          <w:bCs/>
          <w:noProof/>
          <w:color w:val="000000" w:themeColor="text1"/>
          <w:szCs w:val="24"/>
          <w:lang w:val="en-IE" w:eastAsia="fr-BE"/>
        </w:rPr>
      </w:pPr>
      <w:r w:rsidRPr="00177810">
        <w:rPr>
          <w:rFonts w:eastAsia="Times New Roman"/>
          <w:bCs/>
          <w:noProof/>
          <w:color w:val="000000" w:themeColor="text1"/>
          <w:szCs w:val="24"/>
          <w:lang w:val="en-IE" w:eastAsia="fr-BE"/>
        </w:rPr>
        <w:t>独立検査官は、</w:t>
      </w:r>
      <w:r>
        <w:rPr>
          <w:rFonts w:eastAsia="Times New Roman"/>
          <w:bCs/>
          <w:noProof/>
          <w:color w:val="000000" w:themeColor="text1"/>
          <w:szCs w:val="24"/>
          <w:lang w:val="en-IE" w:eastAsia="fr-BE"/>
        </w:rPr>
        <w:t>1年間の報告期間終了後、</w:t>
      </w:r>
      <w:r w:rsidRPr="00177810">
        <w:rPr>
          <w:rFonts w:eastAsia="Times New Roman"/>
          <w:bCs/>
          <w:noProof/>
          <w:color w:val="000000" w:themeColor="text1"/>
          <w:szCs w:val="24"/>
          <w:lang w:val="en-IE" w:eastAsia="fr-BE"/>
        </w:rPr>
        <w:t>コンプライアンスレポートを作成しなければ</w:t>
      </w:r>
      <w:r w:rsidR="002041D4">
        <w:rPr>
          <w:rFonts w:ascii="ＭＳ 明朝" w:eastAsia="ＭＳ 明朝" w:hAnsi="ＭＳ 明朝" w:cs="ＭＳ 明朝" w:hint="eastAsia"/>
          <w:bCs/>
          <w:noProof/>
          <w:color w:val="000000" w:themeColor="text1"/>
          <w:szCs w:val="24"/>
          <w:lang w:val="en-IE" w:eastAsia="fr-BE"/>
        </w:rPr>
        <w:t>ならない</w:t>
      </w:r>
      <w:r w:rsidRPr="00177810">
        <w:rPr>
          <w:rFonts w:eastAsia="Times New Roman"/>
          <w:bCs/>
          <w:noProof/>
          <w:color w:val="000000" w:themeColor="text1"/>
          <w:szCs w:val="24"/>
          <w:lang w:val="en-IE" w:eastAsia="fr-BE"/>
        </w:rPr>
        <w:t xml:space="preserve">。 </w:t>
      </w:r>
    </w:p>
    <w:p w14:paraId="3C550837" w14:textId="77777777" w:rsidR="0038775E" w:rsidRDefault="00877B9C" w:rsidP="002041D4">
      <w:pPr>
        <w:shd w:val="clear" w:color="auto" w:fill="FFFFFF" w:themeFill="background1"/>
        <w:wordWrap w:val="0"/>
        <w:rPr>
          <w:rFonts w:eastAsia="Times New Roman"/>
          <w:bCs/>
          <w:noProof/>
          <w:color w:val="000000" w:themeColor="text1"/>
          <w:szCs w:val="24"/>
          <w:lang w:val="en-IE" w:eastAsia="fr-BE"/>
        </w:rPr>
      </w:pPr>
      <w:r w:rsidRPr="00177810">
        <w:rPr>
          <w:rFonts w:eastAsia="Times New Roman"/>
          <w:bCs/>
          <w:noProof/>
          <w:color w:val="000000" w:themeColor="text1"/>
          <w:szCs w:val="24"/>
          <w:lang w:val="en-IE" w:eastAsia="fr-BE"/>
        </w:rPr>
        <w:t>署名者が自主規制措置の要求事項を遵守していない場合、是正措置を講じなければならない。</w:t>
      </w:r>
    </w:p>
    <w:p w14:paraId="25290225" w14:textId="77777777" w:rsidR="0038775E" w:rsidRDefault="00877B9C" w:rsidP="002041D4">
      <w:pPr>
        <w:shd w:val="clear" w:color="auto" w:fill="FFFFFF" w:themeFill="background1"/>
        <w:wordWrap w:val="0"/>
        <w:rPr>
          <w:rFonts w:eastAsia="Times New Roman"/>
          <w:b/>
          <w:bCs/>
          <w:noProof/>
          <w:color w:val="000000" w:themeColor="text1"/>
          <w:szCs w:val="24"/>
          <w:lang w:val="en-IE" w:eastAsia="fr-BE"/>
        </w:rPr>
      </w:pPr>
      <w:r w:rsidRPr="00177810">
        <w:rPr>
          <w:rFonts w:eastAsia="Times New Roman"/>
          <w:b/>
          <w:bCs/>
          <w:noProof/>
          <w:color w:val="000000" w:themeColor="text1"/>
          <w:szCs w:val="24"/>
          <w:lang w:val="en-IE" w:eastAsia="fr-BE"/>
        </w:rPr>
        <w:t>7.</w:t>
      </w:r>
      <w:r w:rsidRPr="00177810">
        <w:rPr>
          <w:rFonts w:eastAsia="Times New Roman"/>
          <w:b/>
          <w:bCs/>
          <w:noProof/>
          <w:color w:val="000000" w:themeColor="text1"/>
          <w:szCs w:val="24"/>
          <w:lang w:val="en-IE" w:eastAsia="fr-BE"/>
        </w:rPr>
        <w:tab/>
        <w:t>自己規制尺度を実施する際の費用対効果</w:t>
      </w:r>
    </w:p>
    <w:p w14:paraId="314408F4" w14:textId="77777777" w:rsidR="0038775E" w:rsidRDefault="00877B9C" w:rsidP="002041D4">
      <w:pPr>
        <w:shd w:val="clear" w:color="auto" w:fill="FFFFFF" w:themeFill="background1"/>
        <w:wordWrap w:val="0"/>
        <w:spacing w:after="0"/>
        <w:rPr>
          <w:rFonts w:eastAsia="Times New Roman"/>
          <w:noProof/>
          <w:color w:val="000000" w:themeColor="text1"/>
          <w:lang w:val="en-IE" w:eastAsia="fr-BE"/>
        </w:rPr>
      </w:pPr>
      <w:r w:rsidRPr="00177810">
        <w:rPr>
          <w:rFonts w:eastAsia="Times New Roman"/>
          <w:noProof/>
          <w:color w:val="000000" w:themeColor="text1"/>
          <w:szCs w:val="24"/>
          <w:lang w:val="en-IE" w:eastAsia="fr-BE"/>
        </w:rPr>
        <w:t>自主規制措置の管理コスト、特に監視に関しては、</w:t>
      </w:r>
      <w:r w:rsidRPr="0681B866">
        <w:rPr>
          <w:rFonts w:eastAsia="Times New Roman"/>
          <w:noProof/>
          <w:color w:val="000000" w:themeColor="text1"/>
          <w:lang w:val="en-IE" w:eastAsia="fr-BE"/>
        </w:rPr>
        <w:t>その目的や他の利用可能な政策手段と比較して、</w:t>
      </w:r>
      <w:r w:rsidRPr="00177810">
        <w:rPr>
          <w:rFonts w:eastAsia="Times New Roman"/>
          <w:noProof/>
          <w:color w:val="000000" w:themeColor="text1"/>
          <w:szCs w:val="24"/>
          <w:lang w:val="en-IE" w:eastAsia="fr-BE"/>
        </w:rPr>
        <w:t>不釣り合いな管理負担をもたらすものであってはならない。</w:t>
      </w:r>
    </w:p>
    <w:p w14:paraId="13FF61D4" w14:textId="77777777" w:rsidR="006E750D" w:rsidRPr="001F4C3B" w:rsidRDefault="006E750D" w:rsidP="002041D4">
      <w:pPr>
        <w:wordWrap w:val="0"/>
        <w:rPr>
          <w:noProof/>
          <w:lang w:eastAsia="ja-JP"/>
        </w:rPr>
        <w:sectPr w:rsidR="006E750D" w:rsidRPr="001F4C3B" w:rsidSect="00BC1CA9">
          <w:pgSz w:w="11907" w:h="16839"/>
          <w:pgMar w:top="1134" w:right="1417" w:bottom="1134" w:left="1417" w:header="709" w:footer="709" w:gutter="0"/>
          <w:cols w:space="720"/>
          <w:docGrid w:linePitch="360"/>
        </w:sectPr>
      </w:pPr>
    </w:p>
    <w:p w14:paraId="1A18455F" w14:textId="77777777" w:rsidR="0038775E" w:rsidRDefault="00877B9C" w:rsidP="002041D4">
      <w:pPr>
        <w:pStyle w:val="Annexetitre"/>
        <w:wordWrap w:val="0"/>
        <w:rPr>
          <w:noProof/>
          <w:u w:val="none"/>
        </w:rPr>
      </w:pPr>
      <w:r w:rsidRPr="00F16891">
        <w:rPr>
          <w:noProof/>
          <w:u w:val="none"/>
        </w:rPr>
        <w:lastRenderedPageBreak/>
        <w:t xml:space="preserve">ANNEX </w:t>
      </w:r>
      <w:r>
        <w:rPr>
          <w:noProof/>
          <w:u w:val="none"/>
        </w:rPr>
        <w:t>VIII</w:t>
      </w:r>
    </w:p>
    <w:p w14:paraId="302A00FD" w14:textId="77777777" w:rsidR="0038775E" w:rsidRDefault="00877B9C" w:rsidP="002041D4">
      <w:pPr>
        <w:wordWrap w:val="0"/>
        <w:jc w:val="center"/>
        <w:rPr>
          <w:noProof/>
        </w:rPr>
      </w:pPr>
      <w:r w:rsidRPr="001F4C3B">
        <w:rPr>
          <w:b/>
          <w:noProof/>
          <w:u w:val="single"/>
        </w:rPr>
        <w:t>相関表</w:t>
      </w:r>
    </w:p>
    <w:tbl>
      <w:tblPr>
        <w:tblW w:w="3600" w:type="dxa"/>
        <w:jc w:val="center"/>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659"/>
        <w:gridCol w:w="1941"/>
      </w:tblGrid>
      <w:tr w:rsidR="006E750D" w:rsidRPr="004554B8" w14:paraId="5206FBF4" w14:textId="77777777" w:rsidTr="00D70BAE">
        <w:trPr>
          <w:jc w:val="center"/>
        </w:trPr>
        <w:tc>
          <w:tcPr>
            <w:tcW w:w="165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674BB95" w14:textId="77777777" w:rsidR="0038775E" w:rsidRDefault="00877B9C" w:rsidP="002041D4">
            <w:pPr>
              <w:wordWrap w:val="0"/>
              <w:spacing w:before="60" w:after="60"/>
              <w:jc w:val="center"/>
              <w:rPr>
                <w:rFonts w:ascii="inherit" w:eastAsia="Times New Roman" w:hAnsi="inherit"/>
                <w:b/>
                <w:bCs/>
                <w:noProof/>
                <w:lang w:eastAsia="fr-BE"/>
              </w:rPr>
            </w:pPr>
            <w:r w:rsidRPr="009E7E81">
              <w:rPr>
                <w:rFonts w:ascii="inherit" w:eastAsia="Times New Roman" w:hAnsi="inherit"/>
                <w:b/>
                <w:bCs/>
                <w:noProof/>
                <w:lang w:eastAsia="fr-BE"/>
              </w:rPr>
              <w:t>指令</w:t>
            </w:r>
            <w:r>
              <w:rPr>
                <w:rFonts w:ascii="inherit" w:eastAsia="Times New Roman" w:hAnsi="inherit"/>
                <w:b/>
                <w:bCs/>
                <w:noProof/>
                <w:lang w:eastAsia="fr-BE"/>
              </w:rPr>
              <w:t>2009/125/EC</w:t>
            </w:r>
          </w:p>
        </w:tc>
        <w:tc>
          <w:tcPr>
            <w:tcW w:w="19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74D1C84" w14:textId="77777777" w:rsidR="0038775E" w:rsidRDefault="00877B9C" w:rsidP="002041D4">
            <w:pPr>
              <w:wordWrap w:val="0"/>
              <w:spacing w:before="60" w:after="60"/>
              <w:jc w:val="center"/>
              <w:rPr>
                <w:rFonts w:ascii="inherit" w:eastAsia="Times New Roman" w:hAnsi="inherit"/>
                <w:b/>
                <w:bCs/>
                <w:noProof/>
                <w:lang w:eastAsia="fr-BE"/>
              </w:rPr>
            </w:pPr>
            <w:r w:rsidRPr="00F7111E">
              <w:rPr>
                <w:rFonts w:ascii="inherit" w:eastAsia="Times New Roman" w:hAnsi="inherit"/>
                <w:b/>
                <w:bCs/>
                <w:noProof/>
                <w:lang w:eastAsia="fr-BE"/>
              </w:rPr>
              <w:t>本規定</w:t>
            </w:r>
          </w:p>
        </w:tc>
      </w:tr>
      <w:tr w:rsidR="006E750D" w:rsidRPr="004554B8" w14:paraId="709C4ABD" w14:textId="77777777" w:rsidTr="00D70BAE">
        <w:trPr>
          <w:jc w:val="center"/>
        </w:trPr>
        <w:tc>
          <w:tcPr>
            <w:tcW w:w="165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44BE88B" w14:textId="77777777" w:rsidR="0038775E" w:rsidRDefault="00877B9C" w:rsidP="002041D4">
            <w:pPr>
              <w:wordWrap w:val="0"/>
              <w:spacing w:before="60" w:after="60"/>
              <w:jc w:val="center"/>
              <w:rPr>
                <w:rFonts w:ascii="inherit" w:eastAsia="Times New Roman" w:hAnsi="inherit"/>
                <w:b/>
                <w:bCs/>
                <w:noProof/>
                <w:lang w:eastAsia="fr-BE"/>
              </w:rPr>
            </w:pPr>
            <w:r w:rsidRPr="00FC25FE">
              <w:rPr>
                <w:rFonts w:ascii="inherit" w:eastAsia="Times New Roman" w:hAnsi="inherit"/>
                <w:b/>
                <w:bCs/>
                <w:noProof/>
                <w:lang w:eastAsia="fr-BE"/>
              </w:rPr>
              <w:t>第1条</w:t>
            </w:r>
          </w:p>
        </w:tc>
        <w:tc>
          <w:tcPr>
            <w:tcW w:w="19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F24E840" w14:textId="77777777" w:rsidR="0038775E" w:rsidRDefault="00877B9C" w:rsidP="002041D4">
            <w:pPr>
              <w:wordWrap w:val="0"/>
              <w:spacing w:before="60" w:after="60"/>
              <w:jc w:val="center"/>
              <w:rPr>
                <w:rFonts w:ascii="inherit" w:eastAsia="Times New Roman" w:hAnsi="inherit"/>
                <w:b/>
                <w:bCs/>
                <w:noProof/>
                <w:lang w:eastAsia="fr-BE"/>
              </w:rPr>
            </w:pPr>
            <w:r w:rsidRPr="00FC25FE">
              <w:rPr>
                <w:rFonts w:ascii="inherit" w:eastAsia="Times New Roman" w:hAnsi="inherit"/>
                <w:b/>
                <w:bCs/>
                <w:noProof/>
                <w:lang w:eastAsia="fr-BE"/>
              </w:rPr>
              <w:t>第1条</w:t>
            </w:r>
          </w:p>
        </w:tc>
      </w:tr>
      <w:tr w:rsidR="006E750D" w:rsidRPr="004554B8" w14:paraId="21F4A480" w14:textId="77777777" w:rsidTr="00D70BAE">
        <w:trPr>
          <w:jc w:val="center"/>
        </w:trPr>
        <w:tc>
          <w:tcPr>
            <w:tcW w:w="165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5EEAB3A" w14:textId="77777777" w:rsidR="0038775E" w:rsidRDefault="00877B9C" w:rsidP="002041D4">
            <w:pPr>
              <w:wordWrap w:val="0"/>
              <w:spacing w:before="60" w:after="60"/>
              <w:jc w:val="center"/>
              <w:rPr>
                <w:rFonts w:ascii="inherit" w:eastAsia="Times New Roman" w:hAnsi="inherit"/>
                <w:b/>
                <w:bCs/>
                <w:noProof/>
                <w:lang w:eastAsia="fr-BE"/>
              </w:rPr>
            </w:pPr>
            <w:r w:rsidRPr="00FC25FE">
              <w:rPr>
                <w:rFonts w:ascii="inherit" w:eastAsia="Times New Roman" w:hAnsi="inherit"/>
                <w:b/>
                <w:bCs/>
                <w:noProof/>
                <w:lang w:eastAsia="fr-BE"/>
              </w:rPr>
              <w:t>第2条</w:t>
            </w:r>
          </w:p>
        </w:tc>
        <w:tc>
          <w:tcPr>
            <w:tcW w:w="19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02BB0F4" w14:textId="77777777" w:rsidR="0038775E" w:rsidRDefault="00877B9C" w:rsidP="002041D4">
            <w:pPr>
              <w:wordWrap w:val="0"/>
              <w:spacing w:before="60" w:after="60"/>
              <w:jc w:val="center"/>
              <w:rPr>
                <w:rFonts w:ascii="inherit" w:eastAsia="Times New Roman" w:hAnsi="inherit"/>
                <w:b/>
                <w:bCs/>
                <w:noProof/>
                <w:lang w:eastAsia="fr-BE"/>
              </w:rPr>
            </w:pPr>
            <w:r w:rsidRPr="00FC25FE">
              <w:rPr>
                <w:rFonts w:ascii="inherit" w:eastAsia="Times New Roman" w:hAnsi="inherit"/>
                <w:b/>
                <w:bCs/>
                <w:noProof/>
                <w:lang w:eastAsia="fr-BE"/>
              </w:rPr>
              <w:t>第2条</w:t>
            </w:r>
          </w:p>
        </w:tc>
      </w:tr>
      <w:tr w:rsidR="006E750D" w:rsidRPr="004554B8" w14:paraId="1CE185F4" w14:textId="77777777" w:rsidTr="00D70BAE">
        <w:trPr>
          <w:jc w:val="center"/>
        </w:trPr>
        <w:tc>
          <w:tcPr>
            <w:tcW w:w="165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7305529" w14:textId="77777777" w:rsidR="0038775E" w:rsidRDefault="00877B9C" w:rsidP="002041D4">
            <w:pPr>
              <w:wordWrap w:val="0"/>
              <w:spacing w:before="60" w:after="60"/>
              <w:jc w:val="center"/>
              <w:rPr>
                <w:rFonts w:ascii="inherit" w:eastAsia="Times New Roman" w:hAnsi="inherit"/>
                <w:b/>
                <w:bCs/>
                <w:noProof/>
                <w:lang w:eastAsia="fr-BE"/>
              </w:rPr>
            </w:pPr>
            <w:r w:rsidRPr="00FC25FE">
              <w:rPr>
                <w:rFonts w:ascii="inherit" w:eastAsia="Times New Roman" w:hAnsi="inherit"/>
                <w:b/>
                <w:bCs/>
                <w:noProof/>
                <w:lang w:eastAsia="fr-BE"/>
              </w:rPr>
              <w:t>第3条</w:t>
            </w:r>
          </w:p>
        </w:tc>
        <w:tc>
          <w:tcPr>
            <w:tcW w:w="19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43FDB8A" w14:textId="77777777" w:rsidR="0038775E" w:rsidRDefault="00877B9C" w:rsidP="002041D4">
            <w:pPr>
              <w:wordWrap w:val="0"/>
              <w:spacing w:before="60" w:after="60"/>
              <w:jc w:val="center"/>
              <w:rPr>
                <w:rFonts w:ascii="inherit" w:eastAsia="Times New Roman" w:hAnsi="inherit"/>
                <w:b/>
                <w:bCs/>
                <w:noProof/>
                <w:lang w:eastAsia="fr-BE"/>
              </w:rPr>
            </w:pPr>
            <w:r w:rsidRPr="00FC25FE">
              <w:rPr>
                <w:rFonts w:ascii="inherit" w:eastAsia="Times New Roman" w:hAnsi="inherit"/>
                <w:b/>
                <w:bCs/>
                <w:noProof/>
                <w:lang w:eastAsia="fr-BE"/>
              </w:rPr>
              <w:t>-</w:t>
            </w:r>
          </w:p>
        </w:tc>
      </w:tr>
      <w:tr w:rsidR="006E750D" w:rsidRPr="004554B8" w14:paraId="03D1BF4B" w14:textId="77777777" w:rsidTr="00D70BAE">
        <w:trPr>
          <w:jc w:val="center"/>
        </w:trPr>
        <w:tc>
          <w:tcPr>
            <w:tcW w:w="165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0D60836" w14:textId="77777777" w:rsidR="0038775E" w:rsidRDefault="00877B9C" w:rsidP="002041D4">
            <w:pPr>
              <w:wordWrap w:val="0"/>
              <w:spacing w:before="60" w:after="60"/>
              <w:jc w:val="center"/>
              <w:rPr>
                <w:rFonts w:ascii="inherit" w:eastAsia="Times New Roman" w:hAnsi="inherit"/>
                <w:b/>
                <w:bCs/>
                <w:noProof/>
                <w:lang w:eastAsia="fr-BE"/>
              </w:rPr>
            </w:pPr>
            <w:r w:rsidRPr="00FC25FE">
              <w:rPr>
                <w:rFonts w:ascii="inherit" w:eastAsia="Times New Roman" w:hAnsi="inherit"/>
                <w:b/>
                <w:bCs/>
                <w:noProof/>
                <w:lang w:eastAsia="fr-BE"/>
              </w:rPr>
              <w:t>第4条</w:t>
            </w:r>
          </w:p>
        </w:tc>
        <w:tc>
          <w:tcPr>
            <w:tcW w:w="19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E05D99B" w14:textId="77777777" w:rsidR="0038775E" w:rsidRDefault="00877B9C" w:rsidP="002041D4">
            <w:pPr>
              <w:wordWrap w:val="0"/>
              <w:spacing w:before="60" w:after="60"/>
              <w:jc w:val="center"/>
              <w:rPr>
                <w:rFonts w:ascii="inherit" w:eastAsia="Times New Roman" w:hAnsi="inherit"/>
                <w:b/>
                <w:bCs/>
                <w:noProof/>
                <w:lang w:eastAsia="fr-BE"/>
              </w:rPr>
            </w:pPr>
            <w:r>
              <w:rPr>
                <w:rFonts w:ascii="inherit" w:eastAsia="Times New Roman" w:hAnsi="inherit"/>
                <w:b/>
                <w:bCs/>
                <w:noProof/>
                <w:lang w:eastAsia="fr-BE"/>
              </w:rPr>
              <w:t>第23</w:t>
            </w:r>
            <w:r w:rsidRPr="00FC25FE">
              <w:rPr>
                <w:rFonts w:ascii="inherit" w:eastAsia="Times New Roman" w:hAnsi="inherit"/>
                <w:b/>
                <w:bCs/>
                <w:noProof/>
                <w:lang w:eastAsia="fr-BE"/>
              </w:rPr>
              <w:t>条</w:t>
            </w:r>
          </w:p>
        </w:tc>
      </w:tr>
      <w:tr w:rsidR="006E750D" w:rsidRPr="004554B8" w14:paraId="7AAD985E" w14:textId="77777777" w:rsidTr="00D70BAE">
        <w:trPr>
          <w:jc w:val="center"/>
        </w:trPr>
        <w:tc>
          <w:tcPr>
            <w:tcW w:w="165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179EEEA" w14:textId="77777777" w:rsidR="0038775E" w:rsidRDefault="00877B9C" w:rsidP="002041D4">
            <w:pPr>
              <w:wordWrap w:val="0"/>
              <w:spacing w:before="60" w:after="60"/>
              <w:jc w:val="center"/>
              <w:rPr>
                <w:rFonts w:ascii="inherit" w:eastAsia="Times New Roman" w:hAnsi="inherit"/>
                <w:b/>
                <w:bCs/>
                <w:noProof/>
                <w:lang w:eastAsia="fr-BE"/>
              </w:rPr>
            </w:pPr>
            <w:r w:rsidRPr="00FC25FE">
              <w:rPr>
                <w:rFonts w:ascii="inherit" w:eastAsia="Times New Roman" w:hAnsi="inherit"/>
                <w:b/>
                <w:bCs/>
                <w:noProof/>
                <w:lang w:eastAsia="fr-BE"/>
              </w:rPr>
              <w:t>第5条</w:t>
            </w:r>
          </w:p>
        </w:tc>
        <w:tc>
          <w:tcPr>
            <w:tcW w:w="19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DCF7E84" w14:textId="77777777" w:rsidR="0038775E" w:rsidRDefault="00877B9C" w:rsidP="002041D4">
            <w:pPr>
              <w:wordWrap w:val="0"/>
              <w:spacing w:before="60" w:after="60"/>
              <w:jc w:val="center"/>
              <w:rPr>
                <w:rFonts w:ascii="inherit" w:eastAsia="Times New Roman" w:hAnsi="inherit"/>
                <w:b/>
                <w:bCs/>
                <w:noProof/>
                <w:lang w:eastAsia="fr-BE"/>
              </w:rPr>
            </w:pPr>
            <w:r>
              <w:rPr>
                <w:rFonts w:ascii="inherit" w:eastAsia="Times New Roman" w:hAnsi="inherit"/>
                <w:b/>
                <w:bCs/>
                <w:noProof/>
                <w:lang w:eastAsia="fr-BE"/>
              </w:rPr>
              <w:t>第37条～第39条</w:t>
            </w:r>
          </w:p>
        </w:tc>
      </w:tr>
      <w:tr w:rsidR="006E750D" w:rsidRPr="004554B8" w14:paraId="43D899CE" w14:textId="77777777" w:rsidTr="00D70BAE">
        <w:trPr>
          <w:jc w:val="center"/>
        </w:trPr>
        <w:tc>
          <w:tcPr>
            <w:tcW w:w="165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C35835E" w14:textId="77777777" w:rsidR="0038775E" w:rsidRDefault="00877B9C" w:rsidP="002041D4">
            <w:pPr>
              <w:wordWrap w:val="0"/>
              <w:spacing w:before="60" w:after="60"/>
              <w:jc w:val="center"/>
              <w:rPr>
                <w:rFonts w:ascii="inherit" w:eastAsia="Times New Roman" w:hAnsi="inherit"/>
                <w:b/>
                <w:bCs/>
                <w:noProof/>
                <w:lang w:eastAsia="fr-BE"/>
              </w:rPr>
            </w:pPr>
            <w:r w:rsidRPr="00FC25FE">
              <w:rPr>
                <w:rFonts w:ascii="inherit" w:eastAsia="Times New Roman" w:hAnsi="inherit"/>
                <w:b/>
                <w:bCs/>
                <w:noProof/>
                <w:lang w:eastAsia="fr-BE"/>
              </w:rPr>
              <w:t>第6条</w:t>
            </w:r>
          </w:p>
        </w:tc>
        <w:tc>
          <w:tcPr>
            <w:tcW w:w="19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BFD78E7" w14:textId="77777777" w:rsidR="0038775E" w:rsidRDefault="00877B9C" w:rsidP="002041D4">
            <w:pPr>
              <w:wordWrap w:val="0"/>
              <w:spacing w:before="60" w:after="60"/>
              <w:jc w:val="center"/>
              <w:rPr>
                <w:rFonts w:ascii="inherit" w:eastAsia="Times New Roman" w:hAnsi="inherit"/>
                <w:b/>
                <w:bCs/>
                <w:noProof/>
                <w:lang w:eastAsia="fr-BE"/>
              </w:rPr>
            </w:pPr>
            <w:r w:rsidRPr="00FC25FE">
              <w:rPr>
                <w:rFonts w:ascii="inherit" w:eastAsia="Times New Roman" w:hAnsi="inherit"/>
                <w:b/>
                <w:bCs/>
                <w:noProof/>
                <w:lang w:eastAsia="fr-BE"/>
              </w:rPr>
              <w:t>第3条</w:t>
            </w:r>
          </w:p>
        </w:tc>
      </w:tr>
      <w:tr w:rsidR="006E750D" w:rsidRPr="004554B8" w14:paraId="4A8D647F" w14:textId="77777777" w:rsidTr="00D70BAE">
        <w:trPr>
          <w:jc w:val="center"/>
        </w:trPr>
        <w:tc>
          <w:tcPr>
            <w:tcW w:w="165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61401E6" w14:textId="77777777" w:rsidR="0038775E" w:rsidRDefault="00877B9C" w:rsidP="002041D4">
            <w:pPr>
              <w:wordWrap w:val="0"/>
              <w:spacing w:before="60" w:after="60"/>
              <w:jc w:val="center"/>
              <w:rPr>
                <w:rFonts w:ascii="inherit" w:eastAsia="Times New Roman" w:hAnsi="inherit"/>
                <w:b/>
                <w:bCs/>
                <w:noProof/>
                <w:lang w:eastAsia="fr-BE"/>
              </w:rPr>
            </w:pPr>
            <w:r w:rsidRPr="00FC25FE">
              <w:rPr>
                <w:rFonts w:ascii="inherit" w:eastAsia="Times New Roman" w:hAnsi="inherit"/>
                <w:b/>
                <w:bCs/>
                <w:noProof/>
                <w:lang w:eastAsia="fr-BE"/>
              </w:rPr>
              <w:t>第7条</w:t>
            </w:r>
          </w:p>
        </w:tc>
        <w:tc>
          <w:tcPr>
            <w:tcW w:w="19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8998F13" w14:textId="77777777" w:rsidR="0038775E" w:rsidRDefault="00877B9C" w:rsidP="002041D4">
            <w:pPr>
              <w:wordWrap w:val="0"/>
              <w:spacing w:before="60" w:after="60"/>
              <w:jc w:val="center"/>
              <w:rPr>
                <w:rFonts w:ascii="inherit" w:eastAsia="Times New Roman" w:hAnsi="inherit"/>
                <w:b/>
                <w:bCs/>
                <w:noProof/>
                <w:lang w:eastAsia="fr-BE"/>
              </w:rPr>
            </w:pPr>
            <w:r>
              <w:rPr>
                <w:rFonts w:ascii="inherit" w:eastAsia="Times New Roman" w:hAnsi="inherit"/>
                <w:b/>
                <w:bCs/>
                <w:noProof/>
                <w:lang w:eastAsia="fr-BE"/>
              </w:rPr>
              <w:t>第63条から第65条まで</w:t>
            </w:r>
          </w:p>
        </w:tc>
      </w:tr>
      <w:tr w:rsidR="006E750D" w:rsidRPr="004554B8" w14:paraId="7C349C18" w14:textId="77777777" w:rsidTr="00D70BAE">
        <w:trPr>
          <w:jc w:val="center"/>
        </w:trPr>
        <w:tc>
          <w:tcPr>
            <w:tcW w:w="165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612A06C" w14:textId="77777777" w:rsidR="0038775E" w:rsidRDefault="00877B9C" w:rsidP="002041D4">
            <w:pPr>
              <w:wordWrap w:val="0"/>
              <w:spacing w:before="60" w:after="60"/>
              <w:jc w:val="center"/>
              <w:rPr>
                <w:rFonts w:ascii="inherit" w:eastAsia="Times New Roman" w:hAnsi="inherit"/>
                <w:b/>
                <w:bCs/>
                <w:noProof/>
                <w:lang w:eastAsia="fr-BE"/>
              </w:rPr>
            </w:pPr>
            <w:r w:rsidRPr="00FC25FE">
              <w:rPr>
                <w:rFonts w:ascii="inherit" w:eastAsia="Times New Roman" w:hAnsi="inherit"/>
                <w:b/>
                <w:bCs/>
                <w:noProof/>
                <w:lang w:eastAsia="fr-BE"/>
              </w:rPr>
              <w:t>第8条</w:t>
            </w:r>
          </w:p>
        </w:tc>
        <w:tc>
          <w:tcPr>
            <w:tcW w:w="19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3A124E0" w14:textId="77777777" w:rsidR="0038775E" w:rsidRDefault="00877B9C" w:rsidP="002041D4">
            <w:pPr>
              <w:wordWrap w:val="0"/>
              <w:spacing w:before="60" w:after="60"/>
              <w:jc w:val="center"/>
              <w:rPr>
                <w:rFonts w:ascii="inherit" w:eastAsia="Times New Roman" w:hAnsi="inherit"/>
                <w:b/>
                <w:bCs/>
                <w:noProof/>
                <w:lang w:eastAsia="fr-BE"/>
              </w:rPr>
            </w:pPr>
            <w:r>
              <w:rPr>
                <w:rFonts w:ascii="inherit" w:eastAsia="Times New Roman" w:hAnsi="inherit"/>
                <w:b/>
                <w:bCs/>
                <w:noProof/>
                <w:lang w:eastAsia="fr-BE"/>
              </w:rPr>
              <w:t>第21条、第36条</w:t>
            </w:r>
          </w:p>
        </w:tc>
      </w:tr>
      <w:tr w:rsidR="006E750D" w:rsidRPr="004554B8" w14:paraId="646D1CD1" w14:textId="77777777" w:rsidTr="00D70BAE">
        <w:trPr>
          <w:jc w:val="center"/>
        </w:trPr>
        <w:tc>
          <w:tcPr>
            <w:tcW w:w="165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81096D0" w14:textId="77777777" w:rsidR="0038775E" w:rsidRDefault="00877B9C" w:rsidP="002041D4">
            <w:pPr>
              <w:wordWrap w:val="0"/>
              <w:spacing w:before="60" w:after="60"/>
              <w:jc w:val="center"/>
              <w:rPr>
                <w:rFonts w:ascii="inherit" w:eastAsia="Times New Roman" w:hAnsi="inherit"/>
                <w:b/>
                <w:bCs/>
                <w:noProof/>
                <w:lang w:eastAsia="fr-BE"/>
              </w:rPr>
            </w:pPr>
            <w:r w:rsidRPr="00FC25FE">
              <w:rPr>
                <w:rFonts w:ascii="inherit" w:eastAsia="Times New Roman" w:hAnsi="inherit"/>
                <w:b/>
                <w:bCs/>
                <w:noProof/>
                <w:lang w:eastAsia="fr-BE"/>
              </w:rPr>
              <w:t>第9条</w:t>
            </w:r>
          </w:p>
        </w:tc>
        <w:tc>
          <w:tcPr>
            <w:tcW w:w="19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F76A9EA" w14:textId="77777777" w:rsidR="0038775E" w:rsidRDefault="00877B9C" w:rsidP="002041D4">
            <w:pPr>
              <w:wordWrap w:val="0"/>
              <w:spacing w:before="60" w:after="60"/>
              <w:jc w:val="center"/>
              <w:rPr>
                <w:rFonts w:ascii="inherit" w:eastAsia="Times New Roman" w:hAnsi="inherit"/>
                <w:b/>
                <w:bCs/>
                <w:noProof/>
                <w:lang w:eastAsia="fr-BE"/>
              </w:rPr>
            </w:pPr>
            <w:r>
              <w:rPr>
                <w:rFonts w:ascii="inherit" w:eastAsia="Times New Roman" w:hAnsi="inherit"/>
                <w:b/>
                <w:bCs/>
                <w:noProof/>
                <w:lang w:eastAsia="fr-BE"/>
              </w:rPr>
              <w:t>第34条</w:t>
            </w:r>
          </w:p>
        </w:tc>
      </w:tr>
      <w:tr w:rsidR="006E750D" w:rsidRPr="004554B8" w14:paraId="730655ED" w14:textId="77777777" w:rsidTr="00D70BAE">
        <w:trPr>
          <w:jc w:val="center"/>
        </w:trPr>
        <w:tc>
          <w:tcPr>
            <w:tcW w:w="165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661559D" w14:textId="77777777" w:rsidR="0038775E" w:rsidRDefault="00877B9C" w:rsidP="002041D4">
            <w:pPr>
              <w:wordWrap w:val="0"/>
              <w:spacing w:before="60" w:after="60"/>
              <w:jc w:val="center"/>
              <w:rPr>
                <w:rFonts w:ascii="inherit" w:eastAsia="Times New Roman" w:hAnsi="inherit"/>
                <w:b/>
                <w:bCs/>
                <w:noProof/>
                <w:lang w:eastAsia="fr-BE"/>
              </w:rPr>
            </w:pPr>
            <w:r w:rsidRPr="00FC25FE">
              <w:rPr>
                <w:rFonts w:ascii="inherit" w:eastAsia="Times New Roman" w:hAnsi="inherit"/>
                <w:b/>
                <w:bCs/>
                <w:noProof/>
                <w:lang w:eastAsia="fr-BE"/>
              </w:rPr>
              <w:t>第10条</w:t>
            </w:r>
          </w:p>
        </w:tc>
        <w:tc>
          <w:tcPr>
            <w:tcW w:w="19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F1E5F8C" w14:textId="77777777" w:rsidR="0038775E" w:rsidRDefault="00877B9C" w:rsidP="002041D4">
            <w:pPr>
              <w:wordWrap w:val="0"/>
              <w:spacing w:before="60" w:after="60"/>
              <w:jc w:val="center"/>
              <w:rPr>
                <w:rFonts w:ascii="inherit" w:eastAsia="Times New Roman" w:hAnsi="inherit"/>
                <w:b/>
                <w:bCs/>
                <w:noProof/>
                <w:lang w:eastAsia="fr-BE"/>
              </w:rPr>
            </w:pPr>
            <w:r w:rsidRPr="00FC25FE">
              <w:rPr>
                <w:rFonts w:ascii="inherit" w:eastAsia="Times New Roman" w:hAnsi="inherit"/>
                <w:b/>
                <w:bCs/>
                <w:noProof/>
                <w:lang w:eastAsia="fr-BE"/>
              </w:rPr>
              <w:t>-</w:t>
            </w:r>
          </w:p>
        </w:tc>
      </w:tr>
      <w:tr w:rsidR="006E750D" w:rsidRPr="004554B8" w14:paraId="211EDECE" w14:textId="77777777" w:rsidTr="00D70BAE">
        <w:trPr>
          <w:jc w:val="center"/>
        </w:trPr>
        <w:tc>
          <w:tcPr>
            <w:tcW w:w="165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B444CD6" w14:textId="77777777" w:rsidR="0038775E" w:rsidRDefault="00877B9C" w:rsidP="002041D4">
            <w:pPr>
              <w:wordWrap w:val="0"/>
              <w:spacing w:before="60" w:after="60"/>
              <w:jc w:val="center"/>
              <w:rPr>
                <w:rFonts w:ascii="inherit" w:eastAsia="Times New Roman" w:hAnsi="inherit"/>
                <w:b/>
                <w:bCs/>
                <w:noProof/>
                <w:lang w:eastAsia="fr-BE"/>
              </w:rPr>
            </w:pPr>
            <w:r w:rsidRPr="00FC25FE">
              <w:rPr>
                <w:rFonts w:ascii="inherit" w:eastAsia="Times New Roman" w:hAnsi="inherit"/>
                <w:b/>
                <w:bCs/>
                <w:noProof/>
                <w:lang w:eastAsia="fr-BE"/>
              </w:rPr>
              <w:t>第11条</w:t>
            </w:r>
          </w:p>
        </w:tc>
        <w:tc>
          <w:tcPr>
            <w:tcW w:w="19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6447273" w14:textId="77777777" w:rsidR="0038775E" w:rsidRDefault="00877B9C" w:rsidP="002041D4">
            <w:pPr>
              <w:wordWrap w:val="0"/>
              <w:spacing w:before="60" w:after="60"/>
              <w:jc w:val="center"/>
              <w:rPr>
                <w:rFonts w:ascii="inherit" w:eastAsia="Times New Roman" w:hAnsi="inherit"/>
                <w:b/>
                <w:bCs/>
                <w:noProof/>
                <w:lang w:eastAsia="fr-BE"/>
              </w:rPr>
            </w:pPr>
            <w:r>
              <w:rPr>
                <w:rFonts w:ascii="inherit" w:eastAsia="Times New Roman" w:hAnsi="inherit"/>
                <w:b/>
                <w:bCs/>
                <w:noProof/>
                <w:lang w:eastAsia="fr-BE"/>
              </w:rPr>
              <w:t>第五条(6)</w:t>
            </w:r>
          </w:p>
        </w:tc>
      </w:tr>
      <w:tr w:rsidR="006E750D" w:rsidRPr="00192B37" w14:paraId="0F27B55C" w14:textId="77777777" w:rsidTr="00D70BAE">
        <w:trPr>
          <w:jc w:val="center"/>
        </w:trPr>
        <w:tc>
          <w:tcPr>
            <w:tcW w:w="165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AE79546" w14:textId="77777777" w:rsidR="0038775E" w:rsidRDefault="00877B9C" w:rsidP="002041D4">
            <w:pPr>
              <w:wordWrap w:val="0"/>
              <w:spacing w:before="60" w:after="60"/>
              <w:jc w:val="center"/>
              <w:rPr>
                <w:rFonts w:ascii="inherit" w:eastAsia="Times New Roman" w:hAnsi="inherit"/>
                <w:b/>
                <w:bCs/>
                <w:noProof/>
                <w:lang w:eastAsia="fr-BE"/>
              </w:rPr>
            </w:pPr>
            <w:r w:rsidRPr="00FC25FE">
              <w:rPr>
                <w:rFonts w:ascii="inherit" w:eastAsia="Times New Roman" w:hAnsi="inherit"/>
                <w:b/>
                <w:bCs/>
                <w:noProof/>
                <w:lang w:eastAsia="fr-BE"/>
              </w:rPr>
              <w:t>第12条</w:t>
            </w:r>
          </w:p>
        </w:tc>
        <w:tc>
          <w:tcPr>
            <w:tcW w:w="19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1565CB2" w14:textId="77777777" w:rsidR="0038775E" w:rsidRDefault="00877B9C" w:rsidP="002041D4">
            <w:pPr>
              <w:wordWrap w:val="0"/>
              <w:spacing w:before="60" w:after="60"/>
              <w:jc w:val="center"/>
              <w:rPr>
                <w:rFonts w:ascii="inherit" w:eastAsia="Times New Roman" w:hAnsi="inherit"/>
                <w:b/>
                <w:bCs/>
                <w:noProof/>
                <w:lang w:eastAsia="fr-BE"/>
              </w:rPr>
            </w:pPr>
            <w:r>
              <w:rPr>
                <w:rFonts w:ascii="inherit" w:eastAsia="Times New Roman" w:hAnsi="inherit"/>
                <w:b/>
                <w:bCs/>
                <w:noProof/>
                <w:lang w:eastAsia="fr-BE"/>
              </w:rPr>
              <w:t>第62</w:t>
            </w:r>
            <w:r w:rsidRPr="00FC25FE">
              <w:rPr>
                <w:rFonts w:ascii="inherit" w:eastAsia="Times New Roman" w:hAnsi="inherit"/>
                <w:b/>
                <w:bCs/>
                <w:noProof/>
                <w:lang w:eastAsia="fr-BE"/>
              </w:rPr>
              <w:t>条</w:t>
            </w:r>
          </w:p>
        </w:tc>
      </w:tr>
      <w:tr w:rsidR="006E750D" w:rsidRPr="00192B37" w14:paraId="3A56E7B1" w14:textId="77777777" w:rsidTr="00D70BAE">
        <w:trPr>
          <w:jc w:val="center"/>
        </w:trPr>
        <w:tc>
          <w:tcPr>
            <w:tcW w:w="165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92EF055" w14:textId="77777777" w:rsidR="0038775E" w:rsidRDefault="00877B9C" w:rsidP="002041D4">
            <w:pPr>
              <w:wordWrap w:val="0"/>
              <w:spacing w:before="60" w:after="60"/>
              <w:jc w:val="center"/>
              <w:rPr>
                <w:rFonts w:ascii="inherit" w:eastAsia="Times New Roman" w:hAnsi="inherit"/>
                <w:b/>
                <w:bCs/>
                <w:noProof/>
                <w:lang w:eastAsia="fr-BE"/>
              </w:rPr>
            </w:pPr>
            <w:r w:rsidRPr="00FC25FE">
              <w:rPr>
                <w:rFonts w:ascii="inherit" w:eastAsia="Times New Roman" w:hAnsi="inherit"/>
                <w:b/>
                <w:bCs/>
                <w:noProof/>
                <w:lang w:eastAsia="fr-BE"/>
              </w:rPr>
              <w:t>第13条</w:t>
            </w:r>
          </w:p>
        </w:tc>
        <w:tc>
          <w:tcPr>
            <w:tcW w:w="19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8C6B44A" w14:textId="77777777" w:rsidR="0038775E" w:rsidRDefault="00877B9C" w:rsidP="002041D4">
            <w:pPr>
              <w:wordWrap w:val="0"/>
              <w:spacing w:before="60" w:after="60"/>
              <w:jc w:val="center"/>
              <w:rPr>
                <w:rFonts w:ascii="inherit" w:eastAsia="Times New Roman" w:hAnsi="inherit"/>
                <w:b/>
                <w:bCs/>
                <w:noProof/>
                <w:lang w:eastAsia="fr-BE"/>
              </w:rPr>
            </w:pPr>
            <w:r>
              <w:rPr>
                <w:rFonts w:ascii="inherit" w:eastAsia="Times New Roman" w:hAnsi="inherit"/>
                <w:b/>
                <w:bCs/>
                <w:noProof/>
                <w:lang w:eastAsia="fr-BE"/>
              </w:rPr>
              <w:t>第19条</w:t>
            </w:r>
          </w:p>
        </w:tc>
      </w:tr>
      <w:tr w:rsidR="006E750D" w:rsidRPr="00192B37" w14:paraId="60C37968" w14:textId="77777777" w:rsidTr="00D70BAE">
        <w:trPr>
          <w:jc w:val="center"/>
        </w:trPr>
        <w:tc>
          <w:tcPr>
            <w:tcW w:w="165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9FF3254" w14:textId="77777777" w:rsidR="0038775E" w:rsidRDefault="00877B9C" w:rsidP="002041D4">
            <w:pPr>
              <w:wordWrap w:val="0"/>
              <w:spacing w:before="60" w:after="60"/>
              <w:jc w:val="center"/>
              <w:rPr>
                <w:rFonts w:ascii="inherit" w:eastAsia="Times New Roman" w:hAnsi="inherit"/>
                <w:b/>
                <w:bCs/>
                <w:noProof/>
                <w:lang w:eastAsia="fr-BE"/>
              </w:rPr>
            </w:pPr>
            <w:r w:rsidRPr="00FC25FE">
              <w:rPr>
                <w:rFonts w:ascii="inherit" w:eastAsia="Times New Roman" w:hAnsi="inherit"/>
                <w:b/>
                <w:bCs/>
                <w:noProof/>
                <w:lang w:eastAsia="fr-BE"/>
              </w:rPr>
              <w:t>第14条</w:t>
            </w:r>
          </w:p>
        </w:tc>
        <w:tc>
          <w:tcPr>
            <w:tcW w:w="19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E3AAA3D" w14:textId="77777777" w:rsidR="0038775E" w:rsidRDefault="00877B9C" w:rsidP="002041D4">
            <w:pPr>
              <w:wordWrap w:val="0"/>
              <w:spacing w:before="60" w:after="60"/>
              <w:jc w:val="center"/>
              <w:rPr>
                <w:rFonts w:ascii="inherit" w:eastAsia="Times New Roman" w:hAnsi="inherit"/>
                <w:b/>
                <w:bCs/>
                <w:noProof/>
                <w:lang w:eastAsia="fr-BE"/>
              </w:rPr>
            </w:pPr>
            <w:r w:rsidRPr="00FC25FE">
              <w:rPr>
                <w:rFonts w:ascii="inherit" w:eastAsia="Times New Roman" w:hAnsi="inherit"/>
                <w:b/>
                <w:bCs/>
                <w:noProof/>
                <w:lang w:eastAsia="fr-BE"/>
              </w:rPr>
              <w:t>第7条</w:t>
            </w:r>
          </w:p>
        </w:tc>
      </w:tr>
      <w:tr w:rsidR="006E750D" w:rsidRPr="004554B8" w14:paraId="029FAE5D" w14:textId="77777777" w:rsidTr="00D70BAE">
        <w:trPr>
          <w:jc w:val="center"/>
        </w:trPr>
        <w:tc>
          <w:tcPr>
            <w:tcW w:w="165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BA1CB51" w14:textId="77777777" w:rsidR="0038775E" w:rsidRDefault="00877B9C" w:rsidP="002041D4">
            <w:pPr>
              <w:wordWrap w:val="0"/>
              <w:spacing w:before="60" w:after="60"/>
              <w:jc w:val="center"/>
              <w:rPr>
                <w:rFonts w:ascii="inherit" w:eastAsia="Times New Roman" w:hAnsi="inherit"/>
                <w:b/>
                <w:bCs/>
                <w:noProof/>
                <w:lang w:eastAsia="fr-BE"/>
              </w:rPr>
            </w:pPr>
            <w:r w:rsidRPr="00FC25FE">
              <w:rPr>
                <w:rFonts w:ascii="inherit" w:eastAsia="Times New Roman" w:hAnsi="inherit"/>
                <w:b/>
                <w:bCs/>
                <w:noProof/>
                <w:lang w:eastAsia="fr-BE"/>
              </w:rPr>
              <w:t>第15条</w:t>
            </w:r>
          </w:p>
        </w:tc>
        <w:tc>
          <w:tcPr>
            <w:tcW w:w="19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9019E24" w14:textId="77777777" w:rsidR="0038775E" w:rsidRDefault="00877B9C" w:rsidP="002041D4">
            <w:pPr>
              <w:wordWrap w:val="0"/>
              <w:spacing w:before="60" w:after="60"/>
              <w:jc w:val="center"/>
              <w:rPr>
                <w:rFonts w:ascii="inherit" w:eastAsia="Times New Roman" w:hAnsi="inherit"/>
                <w:b/>
                <w:bCs/>
                <w:noProof/>
                <w:lang w:eastAsia="fr-BE"/>
              </w:rPr>
            </w:pPr>
            <w:r>
              <w:rPr>
                <w:rFonts w:ascii="inherit" w:eastAsia="Times New Roman" w:hAnsi="inherit"/>
                <w:b/>
                <w:bCs/>
                <w:noProof/>
                <w:lang w:eastAsia="fr-BE"/>
              </w:rPr>
              <w:t>第4条、第5条</w:t>
            </w:r>
          </w:p>
        </w:tc>
      </w:tr>
      <w:tr w:rsidR="006E750D" w:rsidRPr="004554B8" w14:paraId="2D447FA3" w14:textId="77777777" w:rsidTr="00D70BAE">
        <w:trPr>
          <w:jc w:val="center"/>
        </w:trPr>
        <w:tc>
          <w:tcPr>
            <w:tcW w:w="165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2E1CC25E" w14:textId="77777777" w:rsidR="0038775E" w:rsidRDefault="00877B9C" w:rsidP="002041D4">
            <w:pPr>
              <w:wordWrap w:val="0"/>
              <w:spacing w:before="60" w:after="60"/>
              <w:jc w:val="center"/>
              <w:rPr>
                <w:rFonts w:ascii="inherit" w:eastAsia="Times New Roman" w:hAnsi="inherit"/>
                <w:b/>
                <w:bCs/>
                <w:noProof/>
                <w:lang w:eastAsia="fr-BE"/>
              </w:rPr>
            </w:pPr>
            <w:r>
              <w:rPr>
                <w:rFonts w:ascii="inherit" w:eastAsia="Times New Roman" w:hAnsi="inherit"/>
                <w:b/>
                <w:bCs/>
                <w:noProof/>
                <w:lang w:eastAsia="fr-BE"/>
              </w:rPr>
              <w:t>-</w:t>
            </w:r>
          </w:p>
        </w:tc>
        <w:tc>
          <w:tcPr>
            <w:tcW w:w="19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20594A38" w14:textId="77777777" w:rsidR="0038775E" w:rsidRDefault="00877B9C" w:rsidP="002041D4">
            <w:pPr>
              <w:wordWrap w:val="0"/>
              <w:spacing w:before="60" w:after="60"/>
              <w:jc w:val="center"/>
              <w:rPr>
                <w:rFonts w:ascii="inherit" w:eastAsia="Times New Roman" w:hAnsi="inherit"/>
                <w:b/>
                <w:bCs/>
                <w:noProof/>
                <w:lang w:eastAsia="fr-BE"/>
              </w:rPr>
            </w:pPr>
            <w:r>
              <w:rPr>
                <w:rFonts w:ascii="inherit" w:eastAsia="Times New Roman" w:hAnsi="inherit"/>
                <w:b/>
                <w:bCs/>
                <w:noProof/>
                <w:lang w:eastAsia="fr-BE"/>
              </w:rPr>
              <w:t>第8条～第15条</w:t>
            </w:r>
          </w:p>
        </w:tc>
      </w:tr>
      <w:tr w:rsidR="006E750D" w:rsidRPr="004554B8" w14:paraId="0031D1D4" w14:textId="77777777" w:rsidTr="00D70BAE">
        <w:trPr>
          <w:jc w:val="center"/>
        </w:trPr>
        <w:tc>
          <w:tcPr>
            <w:tcW w:w="165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C81176B" w14:textId="77777777" w:rsidR="0038775E" w:rsidRDefault="00877B9C" w:rsidP="002041D4">
            <w:pPr>
              <w:wordWrap w:val="0"/>
              <w:spacing w:before="60" w:after="60"/>
              <w:jc w:val="center"/>
              <w:rPr>
                <w:rFonts w:ascii="inherit" w:eastAsia="Times New Roman" w:hAnsi="inherit"/>
                <w:b/>
                <w:bCs/>
                <w:noProof/>
                <w:lang w:eastAsia="fr-BE"/>
              </w:rPr>
            </w:pPr>
            <w:r w:rsidRPr="00FC25FE">
              <w:rPr>
                <w:rFonts w:ascii="inherit" w:eastAsia="Times New Roman" w:hAnsi="inherit"/>
                <w:b/>
                <w:bCs/>
                <w:noProof/>
                <w:lang w:eastAsia="fr-BE"/>
              </w:rPr>
              <w:t xml:space="preserve"> 第16条</w:t>
            </w:r>
          </w:p>
        </w:tc>
        <w:tc>
          <w:tcPr>
            <w:tcW w:w="19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F6C2BE1" w14:textId="77777777" w:rsidR="0038775E" w:rsidRDefault="00877B9C" w:rsidP="002041D4">
            <w:pPr>
              <w:wordWrap w:val="0"/>
              <w:spacing w:before="60" w:after="60"/>
              <w:jc w:val="center"/>
              <w:rPr>
                <w:rFonts w:ascii="inherit" w:eastAsia="Times New Roman" w:hAnsi="inherit"/>
                <w:b/>
                <w:bCs/>
                <w:noProof/>
                <w:lang w:eastAsia="fr-BE"/>
              </w:rPr>
            </w:pPr>
            <w:r>
              <w:rPr>
                <w:rFonts w:ascii="inherit" w:eastAsia="Times New Roman" w:hAnsi="inherit"/>
                <w:b/>
                <w:bCs/>
                <w:noProof/>
                <w:lang w:eastAsia="fr-BE"/>
              </w:rPr>
              <w:t>第16条</w:t>
            </w:r>
          </w:p>
        </w:tc>
      </w:tr>
      <w:tr w:rsidR="006E750D" w:rsidRPr="004554B8" w14:paraId="48FDDDF8" w14:textId="77777777" w:rsidTr="00D70BAE">
        <w:trPr>
          <w:jc w:val="center"/>
        </w:trPr>
        <w:tc>
          <w:tcPr>
            <w:tcW w:w="165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3DC1F92" w14:textId="77777777" w:rsidR="0038775E" w:rsidRDefault="00877B9C" w:rsidP="002041D4">
            <w:pPr>
              <w:wordWrap w:val="0"/>
              <w:spacing w:before="60" w:after="60"/>
              <w:jc w:val="center"/>
              <w:rPr>
                <w:rFonts w:ascii="inherit" w:eastAsia="Times New Roman" w:hAnsi="inherit"/>
                <w:b/>
                <w:bCs/>
                <w:noProof/>
                <w:lang w:eastAsia="fr-BE"/>
              </w:rPr>
            </w:pPr>
            <w:r w:rsidRPr="00FC25FE">
              <w:rPr>
                <w:rFonts w:ascii="inherit" w:eastAsia="Times New Roman" w:hAnsi="inherit"/>
                <w:b/>
                <w:bCs/>
                <w:noProof/>
                <w:lang w:eastAsia="fr-BE"/>
              </w:rPr>
              <w:t>第17条</w:t>
            </w:r>
          </w:p>
        </w:tc>
        <w:tc>
          <w:tcPr>
            <w:tcW w:w="19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EB3ECCA" w14:textId="77777777" w:rsidR="0038775E" w:rsidRDefault="00877B9C" w:rsidP="002041D4">
            <w:pPr>
              <w:wordWrap w:val="0"/>
              <w:spacing w:before="60" w:after="60"/>
              <w:jc w:val="center"/>
              <w:rPr>
                <w:rFonts w:ascii="inherit" w:eastAsia="Times New Roman" w:hAnsi="inherit"/>
                <w:b/>
                <w:bCs/>
                <w:noProof/>
                <w:lang w:eastAsia="fr-BE"/>
              </w:rPr>
            </w:pPr>
            <w:r>
              <w:rPr>
                <w:rFonts w:ascii="inherit" w:eastAsia="Times New Roman" w:hAnsi="inherit"/>
                <w:b/>
                <w:bCs/>
                <w:noProof/>
                <w:lang w:eastAsia="fr-BE"/>
              </w:rPr>
              <w:t>第18条</w:t>
            </w:r>
          </w:p>
        </w:tc>
      </w:tr>
      <w:tr w:rsidR="006E750D" w:rsidRPr="004554B8" w14:paraId="23FB69DF" w14:textId="77777777" w:rsidTr="00D70BAE">
        <w:trPr>
          <w:jc w:val="center"/>
        </w:trPr>
        <w:tc>
          <w:tcPr>
            <w:tcW w:w="165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7900FE5" w14:textId="77777777" w:rsidR="0038775E" w:rsidRDefault="00877B9C" w:rsidP="002041D4">
            <w:pPr>
              <w:wordWrap w:val="0"/>
              <w:spacing w:before="60" w:after="60"/>
              <w:jc w:val="center"/>
              <w:rPr>
                <w:rFonts w:ascii="inherit" w:eastAsia="Times New Roman" w:hAnsi="inherit"/>
                <w:b/>
                <w:bCs/>
                <w:noProof/>
                <w:lang w:eastAsia="fr-BE"/>
              </w:rPr>
            </w:pPr>
            <w:r w:rsidRPr="00FC25FE">
              <w:rPr>
                <w:rFonts w:ascii="inherit" w:eastAsia="Times New Roman" w:hAnsi="inherit"/>
                <w:b/>
                <w:bCs/>
                <w:noProof/>
                <w:lang w:eastAsia="fr-BE"/>
              </w:rPr>
              <w:t>第18条</w:t>
            </w:r>
          </w:p>
        </w:tc>
        <w:tc>
          <w:tcPr>
            <w:tcW w:w="19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CBEB09D" w14:textId="77777777" w:rsidR="0038775E" w:rsidRDefault="00877B9C" w:rsidP="002041D4">
            <w:pPr>
              <w:wordWrap w:val="0"/>
              <w:spacing w:before="60" w:after="60"/>
              <w:jc w:val="center"/>
              <w:rPr>
                <w:rFonts w:ascii="inherit" w:eastAsia="Times New Roman" w:hAnsi="inherit"/>
                <w:b/>
                <w:bCs/>
                <w:noProof/>
                <w:lang w:eastAsia="fr-BE"/>
              </w:rPr>
            </w:pPr>
            <w:r w:rsidRPr="00FC25FE">
              <w:rPr>
                <w:rFonts w:ascii="inherit" w:eastAsia="Times New Roman" w:hAnsi="inherit"/>
                <w:b/>
                <w:bCs/>
                <w:noProof/>
                <w:lang w:eastAsia="fr-BE"/>
              </w:rPr>
              <w:t>記事</w:t>
            </w:r>
            <w:r>
              <w:rPr>
                <w:rFonts w:ascii="inherit" w:eastAsia="Times New Roman" w:hAnsi="inherit"/>
                <w:b/>
                <w:bCs/>
                <w:noProof/>
                <w:lang w:eastAsia="fr-BE"/>
              </w:rPr>
              <w:t>17</w:t>
            </w:r>
          </w:p>
        </w:tc>
      </w:tr>
      <w:tr w:rsidR="006E750D" w:rsidRPr="004554B8" w14:paraId="6F2E89C4" w14:textId="77777777" w:rsidTr="00D70BAE">
        <w:trPr>
          <w:jc w:val="center"/>
        </w:trPr>
        <w:tc>
          <w:tcPr>
            <w:tcW w:w="165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4A8A4A81" w14:textId="77777777" w:rsidR="0038775E" w:rsidRDefault="00877B9C" w:rsidP="002041D4">
            <w:pPr>
              <w:wordWrap w:val="0"/>
              <w:spacing w:before="60" w:after="60"/>
              <w:jc w:val="center"/>
              <w:rPr>
                <w:rFonts w:ascii="inherit" w:eastAsia="Times New Roman" w:hAnsi="inherit"/>
                <w:b/>
                <w:bCs/>
                <w:noProof/>
                <w:lang w:eastAsia="fr-BE"/>
              </w:rPr>
            </w:pPr>
            <w:r>
              <w:rPr>
                <w:rFonts w:ascii="inherit" w:eastAsia="Times New Roman" w:hAnsi="inherit"/>
                <w:b/>
                <w:bCs/>
                <w:noProof/>
                <w:lang w:eastAsia="fr-BE"/>
              </w:rPr>
              <w:t>-</w:t>
            </w:r>
          </w:p>
        </w:tc>
        <w:tc>
          <w:tcPr>
            <w:tcW w:w="19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36591E0A" w14:textId="77777777" w:rsidR="0038775E" w:rsidRDefault="00877B9C" w:rsidP="002041D4">
            <w:pPr>
              <w:wordWrap w:val="0"/>
              <w:spacing w:before="60" w:after="60"/>
              <w:jc w:val="center"/>
              <w:rPr>
                <w:rFonts w:ascii="inherit" w:eastAsia="Times New Roman" w:hAnsi="inherit"/>
                <w:b/>
                <w:bCs/>
                <w:noProof/>
                <w:lang w:eastAsia="fr-BE"/>
              </w:rPr>
            </w:pPr>
            <w:r>
              <w:rPr>
                <w:rFonts w:ascii="inherit" w:eastAsia="Times New Roman" w:hAnsi="inherit"/>
                <w:b/>
                <w:bCs/>
                <w:noProof/>
                <w:lang w:eastAsia="fr-BE"/>
              </w:rPr>
              <w:t>第20条</w:t>
            </w:r>
          </w:p>
        </w:tc>
      </w:tr>
      <w:tr w:rsidR="006E750D" w:rsidRPr="004554B8" w14:paraId="27550EAA" w14:textId="77777777" w:rsidTr="00D70BAE">
        <w:trPr>
          <w:jc w:val="center"/>
        </w:trPr>
        <w:tc>
          <w:tcPr>
            <w:tcW w:w="165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6768127F" w14:textId="77777777" w:rsidR="006E750D" w:rsidRPr="00FC25FE" w:rsidRDefault="006E750D" w:rsidP="002041D4">
            <w:pPr>
              <w:wordWrap w:val="0"/>
              <w:spacing w:before="60" w:after="60"/>
              <w:jc w:val="center"/>
              <w:rPr>
                <w:rFonts w:ascii="inherit" w:eastAsia="Times New Roman" w:hAnsi="inherit"/>
                <w:b/>
                <w:bCs/>
                <w:noProof/>
                <w:lang w:eastAsia="fr-BE"/>
              </w:rPr>
            </w:pPr>
          </w:p>
        </w:tc>
        <w:tc>
          <w:tcPr>
            <w:tcW w:w="19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13E2440C" w14:textId="77777777" w:rsidR="0038775E" w:rsidRDefault="00877B9C" w:rsidP="002041D4">
            <w:pPr>
              <w:wordWrap w:val="0"/>
              <w:spacing w:before="60" w:after="60"/>
              <w:jc w:val="center"/>
              <w:rPr>
                <w:rFonts w:ascii="inherit" w:eastAsia="Times New Roman" w:hAnsi="inherit"/>
                <w:b/>
                <w:bCs/>
                <w:noProof/>
                <w:lang w:eastAsia="fr-BE"/>
              </w:rPr>
            </w:pPr>
            <w:r>
              <w:rPr>
                <w:rFonts w:ascii="inherit" w:eastAsia="Times New Roman" w:hAnsi="inherit"/>
                <w:b/>
                <w:bCs/>
                <w:noProof/>
                <w:lang w:eastAsia="fr-BE"/>
              </w:rPr>
              <w:t>第22条</w:t>
            </w:r>
          </w:p>
        </w:tc>
      </w:tr>
      <w:tr w:rsidR="006E750D" w:rsidRPr="004554B8" w14:paraId="22B992A6" w14:textId="77777777" w:rsidTr="00D70BAE">
        <w:trPr>
          <w:jc w:val="center"/>
        </w:trPr>
        <w:tc>
          <w:tcPr>
            <w:tcW w:w="165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0520512D" w14:textId="77777777" w:rsidR="006E750D" w:rsidRPr="00FC25FE" w:rsidRDefault="006E750D" w:rsidP="002041D4">
            <w:pPr>
              <w:wordWrap w:val="0"/>
              <w:spacing w:before="60" w:after="60"/>
              <w:jc w:val="center"/>
              <w:rPr>
                <w:rFonts w:ascii="inherit" w:eastAsia="Times New Roman" w:hAnsi="inherit"/>
                <w:b/>
                <w:bCs/>
                <w:noProof/>
                <w:lang w:eastAsia="fr-BE"/>
              </w:rPr>
            </w:pPr>
          </w:p>
        </w:tc>
        <w:tc>
          <w:tcPr>
            <w:tcW w:w="19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6A592EBD" w14:textId="77777777" w:rsidR="0038775E" w:rsidRDefault="00877B9C" w:rsidP="002041D4">
            <w:pPr>
              <w:wordWrap w:val="0"/>
              <w:spacing w:before="60" w:after="60"/>
              <w:jc w:val="center"/>
              <w:rPr>
                <w:rFonts w:ascii="inherit" w:eastAsia="Times New Roman" w:hAnsi="inherit"/>
                <w:b/>
                <w:bCs/>
                <w:noProof/>
                <w:lang w:eastAsia="fr-BE"/>
              </w:rPr>
            </w:pPr>
            <w:r>
              <w:rPr>
                <w:rFonts w:ascii="inherit" w:eastAsia="Times New Roman" w:hAnsi="inherit"/>
                <w:b/>
                <w:bCs/>
                <w:noProof/>
                <w:lang w:eastAsia="fr-BE"/>
              </w:rPr>
              <w:t>第24条～第33条</w:t>
            </w:r>
          </w:p>
        </w:tc>
      </w:tr>
      <w:tr w:rsidR="006E750D" w:rsidRPr="004554B8" w14:paraId="56AEE026" w14:textId="77777777" w:rsidTr="00D70BAE">
        <w:trPr>
          <w:jc w:val="center"/>
        </w:trPr>
        <w:tc>
          <w:tcPr>
            <w:tcW w:w="165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443BB17D" w14:textId="77777777" w:rsidR="006E750D" w:rsidRPr="00FC25FE" w:rsidRDefault="006E750D" w:rsidP="002041D4">
            <w:pPr>
              <w:wordWrap w:val="0"/>
              <w:spacing w:before="60" w:after="60"/>
              <w:jc w:val="center"/>
              <w:rPr>
                <w:rFonts w:ascii="inherit" w:eastAsia="Times New Roman" w:hAnsi="inherit"/>
                <w:b/>
                <w:bCs/>
                <w:noProof/>
                <w:lang w:eastAsia="fr-BE"/>
              </w:rPr>
            </w:pPr>
          </w:p>
        </w:tc>
        <w:tc>
          <w:tcPr>
            <w:tcW w:w="19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7A62F334" w14:textId="77777777" w:rsidR="0038775E" w:rsidRDefault="00877B9C" w:rsidP="002041D4">
            <w:pPr>
              <w:wordWrap w:val="0"/>
              <w:spacing w:before="60" w:after="60"/>
              <w:jc w:val="center"/>
              <w:rPr>
                <w:rFonts w:ascii="inherit" w:eastAsia="Times New Roman" w:hAnsi="inherit"/>
                <w:b/>
                <w:bCs/>
                <w:noProof/>
                <w:lang w:eastAsia="fr-BE"/>
              </w:rPr>
            </w:pPr>
            <w:r>
              <w:rPr>
                <w:rFonts w:ascii="inherit" w:eastAsia="Times New Roman" w:hAnsi="inherit"/>
                <w:b/>
                <w:bCs/>
                <w:noProof/>
                <w:lang w:eastAsia="fr-BE"/>
              </w:rPr>
              <w:t>第35条</w:t>
            </w:r>
          </w:p>
        </w:tc>
      </w:tr>
      <w:tr w:rsidR="006E750D" w:rsidRPr="004554B8" w14:paraId="376AA38E" w14:textId="77777777" w:rsidTr="00D70BAE">
        <w:trPr>
          <w:jc w:val="center"/>
        </w:trPr>
        <w:tc>
          <w:tcPr>
            <w:tcW w:w="165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0DD9F5D6" w14:textId="77777777" w:rsidR="006E750D" w:rsidRPr="00FC25FE" w:rsidRDefault="006E750D" w:rsidP="002041D4">
            <w:pPr>
              <w:wordWrap w:val="0"/>
              <w:spacing w:before="60" w:after="60"/>
              <w:jc w:val="center"/>
              <w:rPr>
                <w:rFonts w:ascii="inherit" w:eastAsia="Times New Roman" w:hAnsi="inherit"/>
                <w:b/>
                <w:bCs/>
                <w:noProof/>
                <w:lang w:eastAsia="fr-BE"/>
              </w:rPr>
            </w:pPr>
          </w:p>
        </w:tc>
        <w:tc>
          <w:tcPr>
            <w:tcW w:w="19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41191D55" w14:textId="77777777" w:rsidR="0038775E" w:rsidRDefault="00877B9C" w:rsidP="002041D4">
            <w:pPr>
              <w:wordWrap w:val="0"/>
              <w:spacing w:before="60" w:after="60"/>
              <w:jc w:val="center"/>
              <w:rPr>
                <w:rFonts w:ascii="inherit" w:eastAsia="Times New Roman" w:hAnsi="inherit"/>
                <w:b/>
                <w:bCs/>
                <w:noProof/>
                <w:lang w:eastAsia="fr-BE"/>
              </w:rPr>
            </w:pPr>
            <w:r>
              <w:rPr>
                <w:rFonts w:ascii="inherit" w:eastAsia="Times New Roman" w:hAnsi="inherit"/>
                <w:b/>
                <w:bCs/>
                <w:noProof/>
                <w:lang w:eastAsia="fr-BE"/>
              </w:rPr>
              <w:t>第40条～第61条</w:t>
            </w:r>
          </w:p>
        </w:tc>
      </w:tr>
      <w:tr w:rsidR="006E750D" w:rsidRPr="004554B8" w14:paraId="2CE83DED" w14:textId="77777777" w:rsidTr="00D70BAE">
        <w:trPr>
          <w:jc w:val="center"/>
        </w:trPr>
        <w:tc>
          <w:tcPr>
            <w:tcW w:w="165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1111597A" w14:textId="77777777" w:rsidR="006E750D" w:rsidRPr="00FC25FE" w:rsidRDefault="006E750D" w:rsidP="002041D4">
            <w:pPr>
              <w:wordWrap w:val="0"/>
              <w:spacing w:before="60" w:after="60"/>
              <w:jc w:val="center"/>
              <w:rPr>
                <w:rFonts w:ascii="inherit" w:eastAsia="Times New Roman" w:hAnsi="inherit"/>
                <w:b/>
                <w:bCs/>
                <w:noProof/>
                <w:lang w:eastAsia="fr-BE"/>
              </w:rPr>
            </w:pPr>
          </w:p>
        </w:tc>
        <w:tc>
          <w:tcPr>
            <w:tcW w:w="19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7B872110" w14:textId="77777777" w:rsidR="0038775E" w:rsidRDefault="00877B9C" w:rsidP="002041D4">
            <w:pPr>
              <w:wordWrap w:val="0"/>
              <w:spacing w:before="60" w:after="60"/>
              <w:jc w:val="center"/>
              <w:rPr>
                <w:rFonts w:ascii="inherit" w:eastAsia="Times New Roman" w:hAnsi="inherit"/>
                <w:b/>
                <w:bCs/>
                <w:noProof/>
                <w:lang w:eastAsia="fr-BE"/>
              </w:rPr>
            </w:pPr>
            <w:r>
              <w:rPr>
                <w:rFonts w:ascii="inherit" w:eastAsia="Times New Roman" w:hAnsi="inherit"/>
                <w:b/>
                <w:bCs/>
                <w:noProof/>
                <w:lang w:eastAsia="fr-BE"/>
              </w:rPr>
              <w:t>第66条</w:t>
            </w:r>
          </w:p>
        </w:tc>
      </w:tr>
      <w:tr w:rsidR="006E750D" w:rsidRPr="004554B8" w14:paraId="2408869B" w14:textId="77777777" w:rsidTr="00D70BAE">
        <w:trPr>
          <w:jc w:val="center"/>
        </w:trPr>
        <w:tc>
          <w:tcPr>
            <w:tcW w:w="165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A0C6531" w14:textId="77777777" w:rsidR="0038775E" w:rsidRDefault="00877B9C" w:rsidP="002041D4">
            <w:pPr>
              <w:wordWrap w:val="0"/>
              <w:spacing w:before="60" w:after="60"/>
              <w:jc w:val="center"/>
              <w:rPr>
                <w:rFonts w:ascii="inherit" w:eastAsia="Times New Roman" w:hAnsi="inherit"/>
                <w:b/>
                <w:bCs/>
                <w:noProof/>
                <w:lang w:eastAsia="fr-BE"/>
              </w:rPr>
            </w:pPr>
            <w:r w:rsidRPr="00FC25FE">
              <w:rPr>
                <w:rFonts w:ascii="inherit" w:eastAsia="Times New Roman" w:hAnsi="inherit"/>
                <w:b/>
                <w:bCs/>
                <w:noProof/>
                <w:lang w:eastAsia="fr-BE"/>
              </w:rPr>
              <w:t>第19条</w:t>
            </w:r>
          </w:p>
        </w:tc>
        <w:tc>
          <w:tcPr>
            <w:tcW w:w="19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892BE61" w14:textId="77777777" w:rsidR="0038775E" w:rsidRDefault="00877B9C" w:rsidP="002041D4">
            <w:pPr>
              <w:wordWrap w:val="0"/>
              <w:spacing w:before="60" w:after="60"/>
              <w:jc w:val="center"/>
              <w:rPr>
                <w:rFonts w:ascii="inherit" w:eastAsia="Times New Roman" w:hAnsi="inherit"/>
                <w:b/>
                <w:bCs/>
                <w:noProof/>
                <w:lang w:eastAsia="fr-BE"/>
              </w:rPr>
            </w:pPr>
            <w:r>
              <w:rPr>
                <w:rFonts w:ascii="inherit" w:eastAsia="Times New Roman" w:hAnsi="inherit"/>
                <w:b/>
                <w:bCs/>
                <w:noProof/>
                <w:lang w:eastAsia="fr-BE"/>
              </w:rPr>
              <w:t>第67条</w:t>
            </w:r>
          </w:p>
        </w:tc>
      </w:tr>
      <w:tr w:rsidR="006E750D" w:rsidRPr="004554B8" w14:paraId="1288EA4C" w14:textId="77777777" w:rsidTr="00D70BAE">
        <w:trPr>
          <w:jc w:val="center"/>
        </w:trPr>
        <w:tc>
          <w:tcPr>
            <w:tcW w:w="165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09E3DD8" w14:textId="77777777" w:rsidR="0038775E" w:rsidRDefault="00877B9C" w:rsidP="002041D4">
            <w:pPr>
              <w:wordWrap w:val="0"/>
              <w:spacing w:before="60" w:after="60"/>
              <w:jc w:val="center"/>
              <w:rPr>
                <w:rFonts w:ascii="inherit" w:eastAsia="Times New Roman" w:hAnsi="inherit"/>
                <w:b/>
                <w:bCs/>
                <w:noProof/>
                <w:lang w:eastAsia="fr-BE"/>
              </w:rPr>
            </w:pPr>
            <w:r w:rsidRPr="00FC25FE">
              <w:rPr>
                <w:rFonts w:ascii="inherit" w:eastAsia="Times New Roman" w:hAnsi="inherit"/>
                <w:b/>
                <w:bCs/>
                <w:noProof/>
                <w:lang w:eastAsia="fr-BE"/>
              </w:rPr>
              <w:t>第20条</w:t>
            </w:r>
          </w:p>
        </w:tc>
        <w:tc>
          <w:tcPr>
            <w:tcW w:w="19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1B7608F" w14:textId="77777777" w:rsidR="0038775E" w:rsidRDefault="00877B9C" w:rsidP="002041D4">
            <w:pPr>
              <w:wordWrap w:val="0"/>
              <w:spacing w:before="60" w:after="60"/>
              <w:jc w:val="center"/>
              <w:rPr>
                <w:rFonts w:ascii="inherit" w:eastAsia="Times New Roman" w:hAnsi="inherit"/>
                <w:b/>
                <w:bCs/>
                <w:noProof/>
                <w:lang w:eastAsia="fr-BE"/>
              </w:rPr>
            </w:pPr>
            <w:r>
              <w:rPr>
                <w:rFonts w:ascii="inherit" w:eastAsia="Times New Roman" w:hAnsi="inherit"/>
                <w:b/>
                <w:bCs/>
                <w:noProof/>
                <w:lang w:eastAsia="fr-BE"/>
              </w:rPr>
              <w:t>第68</w:t>
            </w:r>
            <w:r w:rsidRPr="00FC25FE">
              <w:rPr>
                <w:rFonts w:ascii="inherit" w:eastAsia="Times New Roman" w:hAnsi="inherit"/>
                <w:b/>
                <w:bCs/>
                <w:noProof/>
                <w:lang w:eastAsia="fr-BE"/>
              </w:rPr>
              <w:t>条</w:t>
            </w:r>
          </w:p>
        </w:tc>
      </w:tr>
      <w:tr w:rsidR="006E750D" w:rsidRPr="004554B8" w14:paraId="2F8674F4" w14:textId="77777777" w:rsidTr="00D70BAE">
        <w:trPr>
          <w:jc w:val="center"/>
        </w:trPr>
        <w:tc>
          <w:tcPr>
            <w:tcW w:w="165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30026AA" w14:textId="77777777" w:rsidR="0038775E" w:rsidRDefault="00877B9C" w:rsidP="002041D4">
            <w:pPr>
              <w:wordWrap w:val="0"/>
              <w:spacing w:before="60" w:after="60"/>
              <w:jc w:val="center"/>
              <w:rPr>
                <w:rFonts w:ascii="inherit" w:eastAsia="Times New Roman" w:hAnsi="inherit"/>
                <w:b/>
                <w:bCs/>
                <w:noProof/>
                <w:lang w:eastAsia="fr-BE"/>
              </w:rPr>
            </w:pPr>
            <w:r w:rsidRPr="00FC25FE">
              <w:rPr>
                <w:rFonts w:ascii="inherit" w:eastAsia="Times New Roman" w:hAnsi="inherit"/>
                <w:b/>
                <w:bCs/>
                <w:noProof/>
                <w:lang w:eastAsia="fr-BE"/>
              </w:rPr>
              <w:lastRenderedPageBreak/>
              <w:t>第21条</w:t>
            </w:r>
          </w:p>
        </w:tc>
        <w:tc>
          <w:tcPr>
            <w:tcW w:w="19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7D823FF" w14:textId="77777777" w:rsidR="0038775E" w:rsidRDefault="00877B9C" w:rsidP="002041D4">
            <w:pPr>
              <w:wordWrap w:val="0"/>
              <w:spacing w:before="60" w:after="60"/>
              <w:jc w:val="center"/>
              <w:rPr>
                <w:rFonts w:ascii="inherit" w:eastAsia="Times New Roman" w:hAnsi="inherit"/>
                <w:b/>
                <w:bCs/>
                <w:noProof/>
                <w:lang w:eastAsia="fr-BE"/>
              </w:rPr>
            </w:pPr>
            <w:r>
              <w:rPr>
                <w:rFonts w:ascii="inherit" w:eastAsia="Times New Roman" w:hAnsi="inherit"/>
                <w:b/>
                <w:bCs/>
                <w:noProof/>
                <w:lang w:eastAsia="fr-BE"/>
              </w:rPr>
              <w:t>第69</w:t>
            </w:r>
            <w:r w:rsidRPr="00FC25FE">
              <w:rPr>
                <w:rFonts w:ascii="inherit" w:eastAsia="Times New Roman" w:hAnsi="inherit"/>
                <w:b/>
                <w:bCs/>
                <w:noProof/>
                <w:lang w:eastAsia="fr-BE"/>
              </w:rPr>
              <w:t>条</w:t>
            </w:r>
          </w:p>
        </w:tc>
      </w:tr>
      <w:tr w:rsidR="006E750D" w:rsidRPr="004554B8" w14:paraId="73276460" w14:textId="77777777" w:rsidTr="00D70BAE">
        <w:trPr>
          <w:jc w:val="center"/>
        </w:trPr>
        <w:tc>
          <w:tcPr>
            <w:tcW w:w="165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9E9B81D" w14:textId="77777777" w:rsidR="0038775E" w:rsidRDefault="00877B9C" w:rsidP="002041D4">
            <w:pPr>
              <w:wordWrap w:val="0"/>
              <w:spacing w:before="60" w:after="60"/>
              <w:jc w:val="center"/>
              <w:rPr>
                <w:rFonts w:ascii="inherit" w:eastAsia="Times New Roman" w:hAnsi="inherit"/>
                <w:b/>
                <w:bCs/>
                <w:noProof/>
                <w:lang w:eastAsia="fr-BE"/>
              </w:rPr>
            </w:pPr>
            <w:r w:rsidRPr="00FC25FE">
              <w:rPr>
                <w:rFonts w:ascii="inherit" w:eastAsia="Times New Roman" w:hAnsi="inherit"/>
                <w:b/>
                <w:bCs/>
                <w:noProof/>
                <w:lang w:eastAsia="fr-BE"/>
              </w:rPr>
              <w:t>第22条</w:t>
            </w:r>
          </w:p>
        </w:tc>
        <w:tc>
          <w:tcPr>
            <w:tcW w:w="19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6491F81" w14:textId="77777777" w:rsidR="0038775E" w:rsidRDefault="00877B9C" w:rsidP="002041D4">
            <w:pPr>
              <w:wordWrap w:val="0"/>
              <w:spacing w:before="60" w:after="60"/>
              <w:jc w:val="center"/>
              <w:rPr>
                <w:rFonts w:ascii="inherit" w:eastAsia="Times New Roman" w:hAnsi="inherit"/>
                <w:b/>
                <w:bCs/>
                <w:noProof/>
                <w:lang w:eastAsia="fr-BE"/>
              </w:rPr>
            </w:pPr>
            <w:r w:rsidRPr="00FC25FE">
              <w:rPr>
                <w:rFonts w:ascii="inherit" w:eastAsia="Times New Roman" w:hAnsi="inherit"/>
                <w:b/>
                <w:bCs/>
                <w:noProof/>
                <w:lang w:eastAsia="fr-BE"/>
              </w:rPr>
              <w:t>-</w:t>
            </w:r>
          </w:p>
        </w:tc>
      </w:tr>
      <w:tr w:rsidR="006E750D" w:rsidRPr="004554B8" w14:paraId="220F9DFC" w14:textId="77777777" w:rsidTr="00D70BAE">
        <w:trPr>
          <w:jc w:val="center"/>
        </w:trPr>
        <w:tc>
          <w:tcPr>
            <w:tcW w:w="165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E4A7213" w14:textId="77777777" w:rsidR="0038775E" w:rsidRDefault="00877B9C" w:rsidP="002041D4">
            <w:pPr>
              <w:wordWrap w:val="0"/>
              <w:spacing w:before="60" w:after="60"/>
              <w:jc w:val="center"/>
              <w:rPr>
                <w:rFonts w:ascii="inherit" w:eastAsia="Times New Roman" w:hAnsi="inherit"/>
                <w:b/>
                <w:bCs/>
                <w:noProof/>
                <w:lang w:eastAsia="fr-BE"/>
              </w:rPr>
            </w:pPr>
            <w:r w:rsidRPr="00FC25FE">
              <w:rPr>
                <w:rFonts w:ascii="inherit" w:eastAsia="Times New Roman" w:hAnsi="inherit"/>
                <w:b/>
                <w:bCs/>
                <w:noProof/>
                <w:lang w:eastAsia="fr-BE"/>
              </w:rPr>
              <w:t>第23条</w:t>
            </w:r>
          </w:p>
        </w:tc>
        <w:tc>
          <w:tcPr>
            <w:tcW w:w="19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907376A" w14:textId="77777777" w:rsidR="0038775E" w:rsidRDefault="00877B9C" w:rsidP="002041D4">
            <w:pPr>
              <w:wordWrap w:val="0"/>
              <w:spacing w:before="60" w:after="60"/>
              <w:jc w:val="center"/>
              <w:rPr>
                <w:rFonts w:ascii="inherit" w:eastAsia="Times New Roman" w:hAnsi="inherit"/>
                <w:b/>
                <w:bCs/>
                <w:noProof/>
                <w:lang w:eastAsia="fr-BE"/>
              </w:rPr>
            </w:pPr>
            <w:r w:rsidRPr="00FC25FE">
              <w:rPr>
                <w:rFonts w:ascii="inherit" w:eastAsia="Times New Roman" w:hAnsi="inherit"/>
                <w:b/>
                <w:bCs/>
                <w:noProof/>
                <w:lang w:eastAsia="fr-BE"/>
              </w:rPr>
              <w:t>-</w:t>
            </w:r>
          </w:p>
        </w:tc>
      </w:tr>
      <w:tr w:rsidR="006E750D" w:rsidRPr="004554B8" w14:paraId="5CC40B36" w14:textId="77777777" w:rsidTr="00D70BAE">
        <w:trPr>
          <w:jc w:val="center"/>
        </w:trPr>
        <w:tc>
          <w:tcPr>
            <w:tcW w:w="165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4E5C8A8" w14:textId="77777777" w:rsidR="0038775E" w:rsidRDefault="00877B9C" w:rsidP="002041D4">
            <w:pPr>
              <w:wordWrap w:val="0"/>
              <w:spacing w:before="60" w:after="60"/>
              <w:jc w:val="center"/>
              <w:rPr>
                <w:rFonts w:ascii="inherit" w:eastAsia="Times New Roman" w:hAnsi="inherit"/>
                <w:b/>
                <w:bCs/>
                <w:noProof/>
                <w:lang w:eastAsia="fr-BE"/>
              </w:rPr>
            </w:pPr>
            <w:r w:rsidRPr="00FC25FE">
              <w:rPr>
                <w:rFonts w:ascii="inherit" w:eastAsia="Times New Roman" w:hAnsi="inherit"/>
                <w:b/>
                <w:bCs/>
                <w:noProof/>
                <w:lang w:eastAsia="fr-BE"/>
              </w:rPr>
              <w:t>第24条</w:t>
            </w:r>
          </w:p>
        </w:tc>
        <w:tc>
          <w:tcPr>
            <w:tcW w:w="19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E4FA522" w14:textId="77777777" w:rsidR="0038775E" w:rsidRDefault="00877B9C" w:rsidP="002041D4">
            <w:pPr>
              <w:wordWrap w:val="0"/>
              <w:spacing w:before="60" w:after="60"/>
              <w:jc w:val="center"/>
              <w:rPr>
                <w:rFonts w:ascii="inherit" w:eastAsia="Times New Roman" w:hAnsi="inherit"/>
                <w:b/>
                <w:bCs/>
                <w:noProof/>
                <w:lang w:eastAsia="fr-BE"/>
              </w:rPr>
            </w:pPr>
            <w:r>
              <w:rPr>
                <w:rFonts w:ascii="inherit" w:eastAsia="Times New Roman" w:hAnsi="inherit"/>
                <w:b/>
                <w:bCs/>
                <w:noProof/>
                <w:lang w:eastAsia="fr-BE"/>
              </w:rPr>
              <w:t>第70条</w:t>
            </w:r>
          </w:p>
        </w:tc>
      </w:tr>
      <w:tr w:rsidR="006E750D" w:rsidRPr="004554B8" w14:paraId="4A8C6F02" w14:textId="77777777" w:rsidTr="00D70BAE">
        <w:trPr>
          <w:jc w:val="center"/>
        </w:trPr>
        <w:tc>
          <w:tcPr>
            <w:tcW w:w="165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07EC380" w14:textId="77777777" w:rsidR="0038775E" w:rsidRDefault="00877B9C" w:rsidP="002041D4">
            <w:pPr>
              <w:wordWrap w:val="0"/>
              <w:spacing w:before="60" w:after="60"/>
              <w:jc w:val="center"/>
              <w:rPr>
                <w:rFonts w:ascii="inherit" w:eastAsia="Times New Roman" w:hAnsi="inherit"/>
                <w:b/>
                <w:bCs/>
                <w:noProof/>
                <w:lang w:eastAsia="fr-BE"/>
              </w:rPr>
            </w:pPr>
            <w:r w:rsidRPr="00FC25FE">
              <w:rPr>
                <w:rFonts w:ascii="inherit" w:eastAsia="Times New Roman" w:hAnsi="inherit"/>
                <w:b/>
                <w:bCs/>
                <w:noProof/>
                <w:lang w:eastAsia="fr-BE"/>
              </w:rPr>
              <w:t>第25条</w:t>
            </w:r>
          </w:p>
        </w:tc>
        <w:tc>
          <w:tcPr>
            <w:tcW w:w="19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A1EB72E" w14:textId="77777777" w:rsidR="0038775E" w:rsidRDefault="00877B9C" w:rsidP="002041D4">
            <w:pPr>
              <w:wordWrap w:val="0"/>
              <w:spacing w:before="60" w:after="60"/>
              <w:jc w:val="center"/>
              <w:rPr>
                <w:rFonts w:ascii="inherit" w:eastAsia="Times New Roman" w:hAnsi="inherit"/>
                <w:b/>
                <w:bCs/>
                <w:noProof/>
                <w:lang w:eastAsia="fr-BE"/>
              </w:rPr>
            </w:pPr>
            <w:r>
              <w:rPr>
                <w:rFonts w:ascii="inherit" w:eastAsia="Times New Roman" w:hAnsi="inherit"/>
                <w:b/>
                <w:bCs/>
                <w:noProof/>
                <w:lang w:eastAsia="fr-BE"/>
              </w:rPr>
              <w:t>第71条</w:t>
            </w:r>
          </w:p>
          <w:p w14:paraId="6AA156D1" w14:textId="77777777" w:rsidR="006E750D" w:rsidRPr="00FC25FE" w:rsidRDefault="006E750D" w:rsidP="002041D4">
            <w:pPr>
              <w:wordWrap w:val="0"/>
              <w:spacing w:before="60" w:after="60"/>
              <w:jc w:val="center"/>
              <w:rPr>
                <w:rFonts w:ascii="inherit" w:eastAsia="Times New Roman" w:hAnsi="inherit"/>
                <w:b/>
                <w:bCs/>
                <w:noProof/>
                <w:lang w:eastAsia="fr-BE"/>
              </w:rPr>
            </w:pPr>
          </w:p>
        </w:tc>
      </w:tr>
      <w:tr w:rsidR="006E750D" w:rsidRPr="004554B8" w14:paraId="40F65A9F" w14:textId="77777777" w:rsidTr="00D70BAE">
        <w:trPr>
          <w:jc w:val="center"/>
        </w:trPr>
        <w:tc>
          <w:tcPr>
            <w:tcW w:w="165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7662399" w14:textId="77777777" w:rsidR="0038775E" w:rsidRDefault="00877B9C" w:rsidP="002041D4">
            <w:pPr>
              <w:wordWrap w:val="0"/>
              <w:spacing w:before="60" w:after="60"/>
              <w:jc w:val="center"/>
              <w:rPr>
                <w:rFonts w:ascii="inherit" w:eastAsia="Times New Roman" w:hAnsi="inherit"/>
                <w:b/>
                <w:bCs/>
                <w:noProof/>
                <w:lang w:eastAsia="fr-BE"/>
              </w:rPr>
            </w:pPr>
            <w:r w:rsidRPr="00FC25FE">
              <w:rPr>
                <w:rFonts w:ascii="inherit" w:eastAsia="Times New Roman" w:hAnsi="inherit"/>
                <w:b/>
                <w:bCs/>
                <w:noProof/>
                <w:lang w:eastAsia="fr-BE"/>
              </w:rPr>
              <w:t>第26条</w:t>
            </w:r>
          </w:p>
        </w:tc>
        <w:tc>
          <w:tcPr>
            <w:tcW w:w="19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4706DCA" w14:textId="77777777" w:rsidR="0038775E" w:rsidRDefault="00877B9C" w:rsidP="002041D4">
            <w:pPr>
              <w:wordWrap w:val="0"/>
              <w:spacing w:before="60" w:after="60"/>
              <w:jc w:val="center"/>
              <w:rPr>
                <w:rFonts w:ascii="inherit" w:eastAsia="Times New Roman" w:hAnsi="inherit"/>
                <w:b/>
                <w:bCs/>
                <w:noProof/>
                <w:lang w:eastAsia="fr-BE"/>
              </w:rPr>
            </w:pPr>
            <w:r w:rsidRPr="00FC25FE">
              <w:rPr>
                <w:rFonts w:ascii="inherit" w:eastAsia="Times New Roman" w:hAnsi="inherit"/>
                <w:b/>
                <w:bCs/>
                <w:noProof/>
                <w:lang w:eastAsia="fr-BE"/>
              </w:rPr>
              <w:t>-</w:t>
            </w:r>
          </w:p>
        </w:tc>
      </w:tr>
      <w:tr w:rsidR="006E750D" w:rsidRPr="004554B8" w14:paraId="3085FAFB" w14:textId="77777777" w:rsidTr="00D70BAE">
        <w:trPr>
          <w:jc w:val="center"/>
        </w:trPr>
        <w:tc>
          <w:tcPr>
            <w:tcW w:w="165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830A39E" w14:textId="77777777" w:rsidR="0038775E" w:rsidRDefault="00877B9C" w:rsidP="002041D4">
            <w:pPr>
              <w:wordWrap w:val="0"/>
              <w:spacing w:before="60" w:after="60"/>
              <w:jc w:val="center"/>
              <w:rPr>
                <w:rFonts w:ascii="inherit" w:eastAsia="Times New Roman" w:hAnsi="inherit"/>
                <w:b/>
                <w:bCs/>
                <w:noProof/>
                <w:lang w:eastAsia="fr-BE"/>
              </w:rPr>
            </w:pPr>
            <w:r w:rsidRPr="00FC25FE">
              <w:rPr>
                <w:rFonts w:ascii="inherit" w:eastAsia="Times New Roman" w:hAnsi="inherit"/>
                <w:b/>
                <w:bCs/>
                <w:noProof/>
                <w:lang w:eastAsia="fr-BE"/>
              </w:rPr>
              <w:t>ANNEX I</w:t>
            </w:r>
          </w:p>
        </w:tc>
        <w:tc>
          <w:tcPr>
            <w:tcW w:w="19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D01B7F1" w14:textId="77777777" w:rsidR="0038775E" w:rsidRDefault="00877B9C" w:rsidP="002041D4">
            <w:pPr>
              <w:wordWrap w:val="0"/>
              <w:spacing w:before="60" w:after="60"/>
              <w:jc w:val="center"/>
              <w:rPr>
                <w:rFonts w:ascii="inherit" w:eastAsia="Times New Roman" w:hAnsi="inherit"/>
                <w:b/>
                <w:bCs/>
                <w:noProof/>
                <w:lang w:eastAsia="fr-BE"/>
              </w:rPr>
            </w:pPr>
            <w:r>
              <w:rPr>
                <w:rFonts w:ascii="inherit" w:eastAsia="Times New Roman" w:hAnsi="inherit"/>
                <w:b/>
                <w:bCs/>
                <w:noProof/>
                <w:lang w:eastAsia="fr-BE"/>
              </w:rPr>
              <w:t>第5条、第7条、</w:t>
            </w:r>
            <w:r w:rsidRPr="00FC25FE">
              <w:rPr>
                <w:rFonts w:ascii="inherit" w:eastAsia="Times New Roman" w:hAnsi="inherit"/>
                <w:b/>
                <w:bCs/>
                <w:noProof/>
                <w:lang w:eastAsia="fr-BE"/>
              </w:rPr>
              <w:t>ANNEX I</w:t>
            </w:r>
          </w:p>
        </w:tc>
      </w:tr>
      <w:tr w:rsidR="006E750D" w:rsidRPr="004554B8" w14:paraId="4313325D" w14:textId="77777777" w:rsidTr="00D70BAE">
        <w:trPr>
          <w:jc w:val="center"/>
        </w:trPr>
        <w:tc>
          <w:tcPr>
            <w:tcW w:w="165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5FA86B3" w14:textId="77777777" w:rsidR="0038775E" w:rsidRDefault="00877B9C" w:rsidP="002041D4">
            <w:pPr>
              <w:wordWrap w:val="0"/>
              <w:spacing w:before="60" w:after="60"/>
              <w:jc w:val="center"/>
              <w:rPr>
                <w:rFonts w:ascii="inherit" w:eastAsia="Times New Roman" w:hAnsi="inherit"/>
                <w:b/>
                <w:bCs/>
                <w:noProof/>
                <w:lang w:eastAsia="fr-BE"/>
              </w:rPr>
            </w:pPr>
            <w:r w:rsidRPr="00FC25FE">
              <w:rPr>
                <w:rFonts w:ascii="inherit" w:eastAsia="Times New Roman" w:hAnsi="inherit"/>
                <w:b/>
                <w:bCs/>
                <w:noProof/>
                <w:lang w:eastAsia="fr-BE"/>
              </w:rPr>
              <w:t>ANNEX II</w:t>
            </w:r>
          </w:p>
        </w:tc>
        <w:tc>
          <w:tcPr>
            <w:tcW w:w="19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70E34F5" w14:textId="77777777" w:rsidR="0038775E" w:rsidRDefault="00877B9C" w:rsidP="002041D4">
            <w:pPr>
              <w:wordWrap w:val="0"/>
              <w:spacing w:before="60" w:after="60"/>
              <w:jc w:val="center"/>
              <w:rPr>
                <w:rFonts w:ascii="inherit" w:eastAsia="Times New Roman" w:hAnsi="inherit"/>
                <w:b/>
                <w:bCs/>
                <w:noProof/>
                <w:lang w:eastAsia="fr-BE"/>
              </w:rPr>
            </w:pPr>
            <w:r w:rsidRPr="00FC25FE">
              <w:rPr>
                <w:rFonts w:ascii="inherit" w:eastAsia="Times New Roman" w:hAnsi="inherit"/>
                <w:b/>
                <w:bCs/>
                <w:noProof/>
                <w:lang w:eastAsia="fr-BE"/>
              </w:rPr>
              <w:t>ANNEX II</w:t>
            </w:r>
          </w:p>
        </w:tc>
      </w:tr>
      <w:tr w:rsidR="006E750D" w:rsidRPr="004554B8" w14:paraId="6028D58F" w14:textId="77777777" w:rsidTr="00D70BAE">
        <w:trPr>
          <w:jc w:val="center"/>
        </w:trPr>
        <w:tc>
          <w:tcPr>
            <w:tcW w:w="165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171249C3" w14:textId="77777777" w:rsidR="0038775E" w:rsidRDefault="00877B9C" w:rsidP="002041D4">
            <w:pPr>
              <w:wordWrap w:val="0"/>
              <w:spacing w:before="60" w:after="60"/>
              <w:jc w:val="center"/>
              <w:rPr>
                <w:rFonts w:ascii="inherit" w:eastAsia="Times New Roman" w:hAnsi="inherit"/>
                <w:b/>
                <w:bCs/>
                <w:noProof/>
                <w:lang w:eastAsia="fr-BE"/>
              </w:rPr>
            </w:pPr>
            <w:r>
              <w:rPr>
                <w:rFonts w:ascii="inherit" w:eastAsia="Times New Roman" w:hAnsi="inherit"/>
                <w:b/>
                <w:bCs/>
                <w:noProof/>
                <w:lang w:eastAsia="fr-BE"/>
              </w:rPr>
              <w:t>-</w:t>
            </w:r>
          </w:p>
        </w:tc>
        <w:tc>
          <w:tcPr>
            <w:tcW w:w="19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14:paraId="33A47E81" w14:textId="77777777" w:rsidR="0038775E" w:rsidRDefault="00877B9C" w:rsidP="002041D4">
            <w:pPr>
              <w:wordWrap w:val="0"/>
              <w:spacing w:before="60" w:after="60"/>
              <w:jc w:val="center"/>
              <w:rPr>
                <w:rFonts w:ascii="inherit" w:eastAsia="Times New Roman" w:hAnsi="inherit"/>
                <w:b/>
                <w:bCs/>
                <w:noProof/>
                <w:lang w:eastAsia="fr-BE"/>
              </w:rPr>
            </w:pPr>
            <w:r>
              <w:rPr>
                <w:rFonts w:ascii="inherit" w:eastAsia="Times New Roman" w:hAnsi="inherit"/>
                <w:b/>
                <w:bCs/>
                <w:noProof/>
                <w:lang w:eastAsia="fr-BE"/>
              </w:rPr>
              <w:t>ANNEX III</w:t>
            </w:r>
          </w:p>
        </w:tc>
      </w:tr>
      <w:tr w:rsidR="006E750D" w:rsidRPr="004554B8" w14:paraId="2C8D5E21" w14:textId="77777777" w:rsidTr="00D70BAE">
        <w:trPr>
          <w:jc w:val="center"/>
        </w:trPr>
        <w:tc>
          <w:tcPr>
            <w:tcW w:w="165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895EB56" w14:textId="77777777" w:rsidR="0038775E" w:rsidRDefault="00877B9C" w:rsidP="002041D4">
            <w:pPr>
              <w:wordWrap w:val="0"/>
              <w:spacing w:before="60" w:after="60"/>
              <w:jc w:val="center"/>
              <w:rPr>
                <w:rFonts w:ascii="inherit" w:eastAsia="Times New Roman" w:hAnsi="inherit"/>
                <w:b/>
                <w:bCs/>
                <w:noProof/>
                <w:lang w:eastAsia="fr-BE"/>
              </w:rPr>
            </w:pPr>
            <w:r w:rsidRPr="00FC25FE">
              <w:rPr>
                <w:rFonts w:ascii="inherit" w:eastAsia="Times New Roman" w:hAnsi="inherit"/>
                <w:b/>
                <w:bCs/>
                <w:noProof/>
                <w:lang w:eastAsia="fr-BE"/>
              </w:rPr>
              <w:t>ANNEX III</w:t>
            </w:r>
          </w:p>
        </w:tc>
        <w:tc>
          <w:tcPr>
            <w:tcW w:w="19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A721F3B" w14:textId="77777777" w:rsidR="0038775E" w:rsidRDefault="00877B9C" w:rsidP="002041D4">
            <w:pPr>
              <w:wordWrap w:val="0"/>
              <w:spacing w:before="60" w:after="60"/>
              <w:jc w:val="center"/>
              <w:rPr>
                <w:rFonts w:ascii="inherit" w:eastAsia="Times New Roman" w:hAnsi="inherit"/>
                <w:b/>
                <w:bCs/>
                <w:noProof/>
                <w:lang w:eastAsia="fr-BE"/>
              </w:rPr>
            </w:pPr>
            <w:r w:rsidRPr="00FC25FE">
              <w:rPr>
                <w:rFonts w:ascii="inherit" w:eastAsia="Times New Roman" w:hAnsi="inherit"/>
                <w:b/>
                <w:bCs/>
                <w:noProof/>
                <w:lang w:eastAsia="fr-BE"/>
              </w:rPr>
              <w:t>-</w:t>
            </w:r>
          </w:p>
        </w:tc>
      </w:tr>
      <w:tr w:rsidR="006E750D" w:rsidRPr="004554B8" w14:paraId="39FF467A" w14:textId="77777777" w:rsidTr="00D70BAE">
        <w:trPr>
          <w:jc w:val="center"/>
        </w:trPr>
        <w:tc>
          <w:tcPr>
            <w:tcW w:w="165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724DDDE" w14:textId="77777777" w:rsidR="0038775E" w:rsidRDefault="00877B9C" w:rsidP="002041D4">
            <w:pPr>
              <w:wordWrap w:val="0"/>
              <w:spacing w:before="60" w:after="60"/>
              <w:jc w:val="center"/>
              <w:rPr>
                <w:rFonts w:ascii="inherit" w:eastAsia="Times New Roman" w:hAnsi="inherit"/>
                <w:b/>
                <w:bCs/>
                <w:noProof/>
                <w:lang w:eastAsia="fr-BE"/>
              </w:rPr>
            </w:pPr>
            <w:r w:rsidRPr="00FC25FE">
              <w:rPr>
                <w:rFonts w:ascii="inherit" w:eastAsia="Times New Roman" w:hAnsi="inherit"/>
                <w:b/>
                <w:bCs/>
                <w:noProof/>
                <w:lang w:eastAsia="fr-BE"/>
              </w:rPr>
              <w:t>ANNEX IV</w:t>
            </w:r>
          </w:p>
        </w:tc>
        <w:tc>
          <w:tcPr>
            <w:tcW w:w="19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C6079C4" w14:textId="77777777" w:rsidR="0038775E" w:rsidRDefault="00877B9C" w:rsidP="002041D4">
            <w:pPr>
              <w:wordWrap w:val="0"/>
              <w:spacing w:before="60" w:after="60"/>
              <w:jc w:val="center"/>
              <w:rPr>
                <w:rFonts w:ascii="inherit" w:eastAsia="Times New Roman" w:hAnsi="inherit"/>
                <w:b/>
                <w:bCs/>
                <w:noProof/>
                <w:lang w:eastAsia="fr-BE"/>
              </w:rPr>
            </w:pPr>
            <w:r w:rsidRPr="00FC25FE">
              <w:rPr>
                <w:rFonts w:ascii="inherit" w:eastAsia="Times New Roman" w:hAnsi="inherit"/>
                <w:b/>
                <w:bCs/>
                <w:noProof/>
                <w:lang w:eastAsia="fr-BE"/>
              </w:rPr>
              <w:t>ANNEX IV</w:t>
            </w:r>
          </w:p>
        </w:tc>
      </w:tr>
      <w:tr w:rsidR="006E750D" w:rsidRPr="004554B8" w14:paraId="767C23CC" w14:textId="77777777" w:rsidTr="00D70BAE">
        <w:trPr>
          <w:jc w:val="center"/>
        </w:trPr>
        <w:tc>
          <w:tcPr>
            <w:tcW w:w="165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C2C5887" w14:textId="77777777" w:rsidR="0038775E" w:rsidRDefault="00877B9C" w:rsidP="002041D4">
            <w:pPr>
              <w:wordWrap w:val="0"/>
              <w:spacing w:before="60" w:after="60"/>
              <w:jc w:val="center"/>
              <w:rPr>
                <w:rFonts w:ascii="inherit" w:eastAsia="Times New Roman" w:hAnsi="inherit"/>
                <w:b/>
                <w:bCs/>
                <w:noProof/>
                <w:lang w:eastAsia="fr-BE"/>
              </w:rPr>
            </w:pPr>
            <w:r w:rsidRPr="00FC25FE">
              <w:rPr>
                <w:rFonts w:ascii="inherit" w:eastAsia="Times New Roman" w:hAnsi="inherit"/>
                <w:b/>
                <w:bCs/>
                <w:noProof/>
                <w:lang w:eastAsia="fr-BE"/>
              </w:rPr>
              <w:t>ANNEX V</w:t>
            </w:r>
          </w:p>
        </w:tc>
        <w:tc>
          <w:tcPr>
            <w:tcW w:w="19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C4D047D" w14:textId="77777777" w:rsidR="0038775E" w:rsidRDefault="00877B9C" w:rsidP="002041D4">
            <w:pPr>
              <w:wordWrap w:val="0"/>
              <w:spacing w:before="60" w:after="60"/>
              <w:jc w:val="center"/>
              <w:rPr>
                <w:rFonts w:ascii="inherit" w:eastAsia="Times New Roman" w:hAnsi="inherit"/>
                <w:b/>
                <w:bCs/>
                <w:noProof/>
                <w:lang w:eastAsia="fr-BE"/>
              </w:rPr>
            </w:pPr>
            <w:r w:rsidRPr="00FC25FE">
              <w:rPr>
                <w:rFonts w:ascii="inherit" w:eastAsia="Times New Roman" w:hAnsi="inherit"/>
                <w:b/>
                <w:bCs/>
                <w:noProof/>
                <w:lang w:eastAsia="fr-BE"/>
              </w:rPr>
              <w:t>-</w:t>
            </w:r>
          </w:p>
        </w:tc>
      </w:tr>
      <w:tr w:rsidR="006E750D" w:rsidRPr="004554B8" w14:paraId="6F87982E" w14:textId="77777777" w:rsidTr="00D70BAE">
        <w:trPr>
          <w:jc w:val="center"/>
        </w:trPr>
        <w:tc>
          <w:tcPr>
            <w:tcW w:w="165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1B21A43" w14:textId="77777777" w:rsidR="0038775E" w:rsidRDefault="00877B9C" w:rsidP="002041D4">
            <w:pPr>
              <w:wordWrap w:val="0"/>
              <w:spacing w:before="60" w:after="60"/>
              <w:jc w:val="center"/>
              <w:rPr>
                <w:rFonts w:ascii="inherit" w:eastAsia="Times New Roman" w:hAnsi="inherit"/>
                <w:b/>
                <w:bCs/>
                <w:noProof/>
                <w:lang w:eastAsia="fr-BE"/>
              </w:rPr>
            </w:pPr>
            <w:r w:rsidRPr="00FC25FE">
              <w:rPr>
                <w:rFonts w:ascii="inherit" w:eastAsia="Times New Roman" w:hAnsi="inherit"/>
                <w:b/>
                <w:bCs/>
                <w:noProof/>
                <w:lang w:eastAsia="fr-BE"/>
              </w:rPr>
              <w:t>ANNEX VI</w:t>
            </w:r>
          </w:p>
        </w:tc>
        <w:tc>
          <w:tcPr>
            <w:tcW w:w="19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8A63090" w14:textId="77777777" w:rsidR="0038775E" w:rsidRDefault="00877B9C" w:rsidP="002041D4">
            <w:pPr>
              <w:wordWrap w:val="0"/>
              <w:spacing w:before="60" w:after="60"/>
              <w:jc w:val="center"/>
              <w:rPr>
                <w:rFonts w:ascii="inherit" w:eastAsia="Times New Roman" w:hAnsi="inherit"/>
                <w:b/>
                <w:bCs/>
                <w:noProof/>
                <w:lang w:eastAsia="fr-BE"/>
              </w:rPr>
            </w:pPr>
            <w:r w:rsidRPr="00FC25FE">
              <w:rPr>
                <w:rFonts w:ascii="inherit" w:eastAsia="Times New Roman" w:hAnsi="inherit"/>
                <w:b/>
                <w:bCs/>
                <w:noProof/>
                <w:lang w:eastAsia="fr-BE"/>
              </w:rPr>
              <w:t>ANNEX V</w:t>
            </w:r>
          </w:p>
        </w:tc>
      </w:tr>
      <w:tr w:rsidR="006E750D" w:rsidRPr="004554B8" w14:paraId="3AB2BF91" w14:textId="77777777" w:rsidTr="00D70BAE">
        <w:trPr>
          <w:jc w:val="center"/>
        </w:trPr>
        <w:tc>
          <w:tcPr>
            <w:tcW w:w="165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AA1F54F" w14:textId="77777777" w:rsidR="0038775E" w:rsidRDefault="00877B9C" w:rsidP="002041D4">
            <w:pPr>
              <w:wordWrap w:val="0"/>
              <w:spacing w:before="60" w:after="60"/>
              <w:jc w:val="center"/>
              <w:rPr>
                <w:rFonts w:ascii="inherit" w:eastAsia="Times New Roman" w:hAnsi="inherit"/>
                <w:b/>
                <w:bCs/>
                <w:noProof/>
                <w:lang w:eastAsia="fr-BE"/>
              </w:rPr>
            </w:pPr>
            <w:r w:rsidRPr="00FC25FE">
              <w:rPr>
                <w:rFonts w:ascii="inherit" w:eastAsia="Times New Roman" w:hAnsi="inherit"/>
                <w:b/>
                <w:bCs/>
                <w:noProof/>
                <w:lang w:eastAsia="fr-BE"/>
              </w:rPr>
              <w:t>ANNEX VII</w:t>
            </w:r>
          </w:p>
        </w:tc>
        <w:tc>
          <w:tcPr>
            <w:tcW w:w="19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24C87E1" w14:textId="77777777" w:rsidR="0038775E" w:rsidRDefault="00877B9C" w:rsidP="002041D4">
            <w:pPr>
              <w:wordWrap w:val="0"/>
              <w:spacing w:before="60" w:after="60"/>
              <w:jc w:val="center"/>
              <w:rPr>
                <w:rFonts w:ascii="inherit" w:eastAsia="Times New Roman" w:hAnsi="inherit"/>
                <w:b/>
                <w:bCs/>
                <w:noProof/>
                <w:lang w:eastAsia="fr-BE"/>
              </w:rPr>
            </w:pPr>
            <w:r w:rsidRPr="00FC25FE">
              <w:rPr>
                <w:rFonts w:ascii="inherit" w:eastAsia="Times New Roman" w:hAnsi="inherit"/>
                <w:b/>
                <w:bCs/>
                <w:noProof/>
                <w:lang w:eastAsia="fr-BE"/>
              </w:rPr>
              <w:t>ANNEX VI</w:t>
            </w:r>
          </w:p>
        </w:tc>
      </w:tr>
      <w:tr w:rsidR="006E750D" w:rsidRPr="004554B8" w14:paraId="464ECC18" w14:textId="77777777" w:rsidTr="00D70BAE">
        <w:trPr>
          <w:jc w:val="center"/>
        </w:trPr>
        <w:tc>
          <w:tcPr>
            <w:tcW w:w="165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D0594B5" w14:textId="77777777" w:rsidR="0038775E" w:rsidRDefault="00877B9C" w:rsidP="002041D4">
            <w:pPr>
              <w:wordWrap w:val="0"/>
              <w:spacing w:before="60" w:after="60"/>
              <w:jc w:val="center"/>
              <w:rPr>
                <w:rFonts w:ascii="inherit" w:eastAsia="Times New Roman" w:hAnsi="inherit"/>
                <w:b/>
                <w:bCs/>
                <w:noProof/>
                <w:lang w:eastAsia="fr-BE"/>
              </w:rPr>
            </w:pPr>
            <w:r w:rsidRPr="00FC25FE">
              <w:rPr>
                <w:rFonts w:ascii="inherit" w:eastAsia="Times New Roman" w:hAnsi="inherit"/>
                <w:b/>
                <w:bCs/>
                <w:noProof/>
                <w:lang w:eastAsia="fr-BE"/>
              </w:rPr>
              <w:t>ANNEX VIII</w:t>
            </w:r>
          </w:p>
        </w:tc>
        <w:tc>
          <w:tcPr>
            <w:tcW w:w="19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A26D904" w14:textId="77777777" w:rsidR="0038775E" w:rsidRDefault="00877B9C" w:rsidP="002041D4">
            <w:pPr>
              <w:wordWrap w:val="0"/>
              <w:spacing w:before="60" w:after="60"/>
              <w:jc w:val="center"/>
              <w:rPr>
                <w:rFonts w:ascii="inherit" w:eastAsia="Times New Roman" w:hAnsi="inherit"/>
                <w:b/>
                <w:bCs/>
                <w:noProof/>
                <w:lang w:eastAsia="fr-BE"/>
              </w:rPr>
            </w:pPr>
            <w:r w:rsidRPr="00FC25FE">
              <w:rPr>
                <w:rFonts w:ascii="inherit" w:eastAsia="Times New Roman" w:hAnsi="inherit"/>
                <w:b/>
                <w:bCs/>
                <w:noProof/>
                <w:lang w:eastAsia="fr-BE"/>
              </w:rPr>
              <w:t>ANNEX VII</w:t>
            </w:r>
          </w:p>
        </w:tc>
      </w:tr>
      <w:tr w:rsidR="006E750D" w:rsidRPr="004554B8" w14:paraId="0789B6F1" w14:textId="77777777" w:rsidTr="00D70BAE">
        <w:trPr>
          <w:jc w:val="center"/>
        </w:trPr>
        <w:tc>
          <w:tcPr>
            <w:tcW w:w="165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F60528E" w14:textId="77777777" w:rsidR="0038775E" w:rsidRDefault="00877B9C" w:rsidP="002041D4">
            <w:pPr>
              <w:wordWrap w:val="0"/>
              <w:spacing w:before="60" w:after="60"/>
              <w:jc w:val="center"/>
              <w:rPr>
                <w:rFonts w:ascii="inherit" w:eastAsia="Times New Roman" w:hAnsi="inherit"/>
                <w:b/>
                <w:bCs/>
                <w:noProof/>
                <w:lang w:eastAsia="fr-BE"/>
              </w:rPr>
            </w:pPr>
            <w:r w:rsidRPr="00FC25FE">
              <w:rPr>
                <w:rFonts w:ascii="inherit" w:eastAsia="Times New Roman" w:hAnsi="inherit"/>
                <w:b/>
                <w:bCs/>
                <w:noProof/>
                <w:lang w:eastAsia="fr-BE"/>
              </w:rPr>
              <w:t>ANNEX IX</w:t>
            </w:r>
          </w:p>
        </w:tc>
        <w:tc>
          <w:tcPr>
            <w:tcW w:w="19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D4C0534" w14:textId="77777777" w:rsidR="0038775E" w:rsidRDefault="00877B9C" w:rsidP="002041D4">
            <w:pPr>
              <w:wordWrap w:val="0"/>
              <w:spacing w:before="60" w:after="60"/>
              <w:jc w:val="center"/>
              <w:rPr>
                <w:rFonts w:ascii="inherit" w:eastAsia="Times New Roman" w:hAnsi="inherit"/>
                <w:b/>
                <w:bCs/>
                <w:noProof/>
                <w:lang w:eastAsia="fr-BE"/>
              </w:rPr>
            </w:pPr>
            <w:r>
              <w:rPr>
                <w:rFonts w:ascii="inherit" w:eastAsia="Times New Roman" w:hAnsi="inherit"/>
                <w:b/>
                <w:bCs/>
                <w:noProof/>
                <w:lang w:eastAsia="fr-BE"/>
              </w:rPr>
              <w:t>-</w:t>
            </w:r>
          </w:p>
        </w:tc>
      </w:tr>
      <w:tr w:rsidR="006E750D" w:rsidRPr="004554B8" w14:paraId="417CEB50" w14:textId="77777777" w:rsidTr="00D70BAE">
        <w:trPr>
          <w:jc w:val="center"/>
        </w:trPr>
        <w:tc>
          <w:tcPr>
            <w:tcW w:w="165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87059DB" w14:textId="77777777" w:rsidR="0038775E" w:rsidRDefault="00877B9C" w:rsidP="002041D4">
            <w:pPr>
              <w:wordWrap w:val="0"/>
              <w:spacing w:before="60" w:after="60"/>
              <w:jc w:val="center"/>
              <w:rPr>
                <w:rFonts w:ascii="inherit" w:eastAsia="Times New Roman" w:hAnsi="inherit"/>
                <w:b/>
                <w:bCs/>
                <w:noProof/>
                <w:lang w:eastAsia="fr-BE"/>
              </w:rPr>
            </w:pPr>
            <w:r w:rsidRPr="00FC25FE">
              <w:rPr>
                <w:rFonts w:ascii="inherit" w:eastAsia="Times New Roman" w:hAnsi="inherit"/>
                <w:b/>
                <w:bCs/>
                <w:noProof/>
                <w:lang w:eastAsia="fr-BE"/>
              </w:rPr>
              <w:t>ANNEX X</w:t>
            </w:r>
          </w:p>
        </w:tc>
        <w:tc>
          <w:tcPr>
            <w:tcW w:w="194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93408B6" w14:textId="77777777" w:rsidR="0038775E" w:rsidRDefault="00877B9C" w:rsidP="002041D4">
            <w:pPr>
              <w:wordWrap w:val="0"/>
              <w:spacing w:before="60" w:after="60"/>
              <w:jc w:val="center"/>
              <w:rPr>
                <w:rFonts w:ascii="inherit" w:eastAsia="Times New Roman" w:hAnsi="inherit"/>
                <w:b/>
                <w:bCs/>
                <w:noProof/>
                <w:lang w:eastAsia="fr-BE"/>
              </w:rPr>
            </w:pPr>
            <w:r w:rsidRPr="00FC25FE">
              <w:rPr>
                <w:rFonts w:ascii="inherit" w:eastAsia="Times New Roman" w:hAnsi="inherit"/>
                <w:b/>
                <w:bCs/>
                <w:noProof/>
                <w:lang w:eastAsia="fr-BE"/>
              </w:rPr>
              <w:t xml:space="preserve">ANNEX </w:t>
            </w:r>
            <w:r>
              <w:rPr>
                <w:rFonts w:ascii="inherit" w:eastAsia="Times New Roman" w:hAnsi="inherit"/>
                <w:b/>
                <w:bCs/>
                <w:noProof/>
                <w:lang w:eastAsia="fr-BE"/>
              </w:rPr>
              <w:t>VIII</w:t>
            </w:r>
          </w:p>
        </w:tc>
      </w:tr>
    </w:tbl>
    <w:p w14:paraId="705C3E5E" w14:textId="77777777" w:rsidR="006E750D" w:rsidRPr="00597AF9" w:rsidRDefault="006E750D" w:rsidP="002041D4">
      <w:pPr>
        <w:wordWrap w:val="0"/>
        <w:rPr>
          <w:noProof/>
        </w:rPr>
      </w:pPr>
    </w:p>
    <w:p w14:paraId="4BD041C8" w14:textId="77777777" w:rsidR="005879E3" w:rsidRPr="006E750D" w:rsidRDefault="005879E3" w:rsidP="002041D4">
      <w:pPr>
        <w:wordWrap w:val="0"/>
        <w:jc w:val="center"/>
        <w:rPr>
          <w:noProof/>
        </w:rPr>
      </w:pPr>
    </w:p>
    <w:sectPr w:rsidR="005879E3" w:rsidRPr="006E750D" w:rsidSect="008B42B0">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F59B2" w14:textId="77777777" w:rsidR="004D3B6A" w:rsidRDefault="004D3B6A" w:rsidP="005879E3">
      <w:pPr>
        <w:spacing w:before="0" w:after="0"/>
      </w:pPr>
      <w:r>
        <w:separator/>
      </w:r>
    </w:p>
  </w:endnote>
  <w:endnote w:type="continuationSeparator" w:id="0">
    <w:p w14:paraId="42B5EF96" w14:textId="77777777" w:rsidR="004D3B6A" w:rsidRDefault="004D3B6A" w:rsidP="005879E3">
      <w:pPr>
        <w:spacing w:before="0" w:after="0"/>
      </w:pPr>
      <w:r>
        <w:continuationSeparator/>
      </w:r>
    </w:p>
  </w:endnote>
  <w:endnote w:type="continuationNotice" w:id="1">
    <w:p w14:paraId="38F7B673" w14:textId="77777777" w:rsidR="004D3B6A" w:rsidRDefault="004D3B6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E16F8" w14:textId="77777777" w:rsidR="0038775E" w:rsidRDefault="00877B9C">
    <w:pPr>
      <w:pStyle w:val="afd"/>
      <w:rPr>
        <w:rFonts w:ascii="Arial" w:hAnsi="Arial" w:cs="Arial"/>
        <w:b/>
        <w:sz w:val="48"/>
      </w:rPr>
    </w:pPr>
    <w:r w:rsidRPr="008B42B0">
      <w:rPr>
        <w:rFonts w:ascii="Arial" w:hAnsi="Arial" w:cs="Arial"/>
        <w:b/>
        <w:sz w:val="48"/>
      </w:rPr>
      <w:t>EN</w:t>
    </w:r>
    <w:r w:rsidRPr="008B42B0">
      <w:rPr>
        <w:rFonts w:ascii="Arial" w:hAnsi="Arial" w:cs="Arial"/>
        <w:b/>
        <w:sz w:val="48"/>
      </w:rPr>
      <w:tab/>
    </w:r>
    <w:r w:rsidRPr="008B42B0">
      <w:rPr>
        <w:rFonts w:ascii="Arial" w:hAnsi="Arial" w:cs="Arial"/>
        <w:b/>
        <w:sz w:val="48"/>
      </w:rPr>
      <w:tab/>
    </w:r>
    <w:r w:rsidRPr="008B42B0">
      <w:tab/>
    </w:r>
    <w:r w:rsidRPr="008B42B0">
      <w:rPr>
        <w:rFonts w:ascii="Arial" w:hAnsi="Arial" w:cs="Arial"/>
        <w:b/>
        <w:sz w:val="48"/>
      </w:rPr>
      <w:t>EN</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CA4A2" w14:textId="77777777" w:rsidR="006E750D" w:rsidRPr="00BC1CA9" w:rsidRDefault="006E750D" w:rsidP="00BC1CA9">
    <w:pPr>
      <w:pStyle w:val="af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F939A" w14:textId="77777777" w:rsidR="0038775E" w:rsidRDefault="00877B9C">
    <w:pPr>
      <w:pStyle w:val="afd"/>
      <w:rPr>
        <w:rFonts w:ascii="Arial" w:hAnsi="Arial" w:cs="Arial"/>
        <w:b/>
        <w:sz w:val="48"/>
      </w:rPr>
    </w:pPr>
    <w:r w:rsidRPr="008B42B0">
      <w:rPr>
        <w:rFonts w:ascii="Arial" w:hAnsi="Arial" w:cs="Arial"/>
        <w:b/>
        <w:sz w:val="48"/>
      </w:rPr>
      <w:t>EN</w:t>
    </w:r>
    <w:r w:rsidRPr="008B42B0">
      <w:rPr>
        <w:rFonts w:ascii="Arial" w:hAnsi="Arial" w:cs="Arial"/>
        <w:b/>
        <w:sz w:val="48"/>
      </w:rPr>
      <w:tab/>
    </w:r>
    <w:r>
      <w:fldChar w:fldCharType="begin"/>
    </w:r>
    <w:r>
      <w:instrText xml:space="preserve"> PAGE  \* MERGEFORMAT </w:instrText>
    </w:r>
    <w:r>
      <w:fldChar w:fldCharType="separate"/>
    </w:r>
    <w:r w:rsidR="007302C4">
      <w:rPr>
        <w:noProof/>
      </w:rPr>
      <w:t>94</w:t>
    </w:r>
    <w:r>
      <w:fldChar w:fldCharType="end"/>
    </w:r>
    <w:r>
      <w:tab/>
    </w:r>
    <w:r w:rsidRPr="008B42B0">
      <w:tab/>
    </w:r>
    <w:r w:rsidRPr="008B42B0">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A7412" w14:textId="77777777" w:rsidR="008B42B0" w:rsidRPr="008B42B0" w:rsidRDefault="008B42B0" w:rsidP="008B42B0">
    <w:pPr>
      <w:pStyle w:val="af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41200" w14:textId="77777777" w:rsidR="0038775E" w:rsidRDefault="00877B9C">
    <w:pPr>
      <w:pStyle w:val="FooterLandscape"/>
      <w:rPr>
        <w:rFonts w:ascii="Arial" w:hAnsi="Arial" w:cs="Arial"/>
        <w:b/>
        <w:sz w:val="48"/>
      </w:rPr>
    </w:pPr>
    <w:r w:rsidRPr="008B42B0">
      <w:rPr>
        <w:rFonts w:ascii="Arial" w:hAnsi="Arial" w:cs="Arial"/>
        <w:b/>
        <w:sz w:val="48"/>
      </w:rPr>
      <w:t>EN</w:t>
    </w:r>
    <w:r w:rsidRPr="008B42B0">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8B42B0">
      <w:tab/>
    </w:r>
    <w:r w:rsidRPr="008B42B0">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FEC38" w14:textId="77777777" w:rsidR="008B42B0" w:rsidRPr="008B42B0" w:rsidRDefault="008B42B0" w:rsidP="008B42B0">
    <w:pPr>
      <w:pStyle w:val="FooterLandscap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5DF7B" w14:textId="77777777" w:rsidR="0038775E" w:rsidRDefault="00877B9C">
    <w:pPr>
      <w:pStyle w:val="afd"/>
      <w:rPr>
        <w:rFonts w:ascii="Arial" w:hAnsi="Arial" w:cs="Arial"/>
        <w:b/>
        <w:sz w:val="48"/>
      </w:rPr>
    </w:pPr>
    <w:r w:rsidRPr="008B42B0">
      <w:rPr>
        <w:rFonts w:ascii="Arial" w:hAnsi="Arial" w:cs="Arial"/>
        <w:b/>
        <w:sz w:val="48"/>
      </w:rPr>
      <w:t>EN</w:t>
    </w:r>
    <w:r w:rsidRPr="008B42B0">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8B42B0">
      <w:tab/>
    </w:r>
    <w:r w:rsidRPr="008B42B0">
      <w:rPr>
        <w:rFonts w:ascii="Arial" w:hAnsi="Arial" w:cs="Arial"/>
        <w:b/>
        <w:sz w:val="48"/>
      </w:rPr>
      <w:t>EN</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AE9F9" w14:textId="77777777" w:rsidR="008B42B0" w:rsidRPr="008B42B0" w:rsidRDefault="008B42B0" w:rsidP="008B42B0">
    <w:pPr>
      <w:pStyle w:val="afd"/>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B816A" w14:textId="77777777" w:rsidR="0038775E" w:rsidRDefault="00877B9C">
    <w:pPr>
      <w:pStyle w:val="afd"/>
      <w:rPr>
        <w:rFonts w:ascii="Arial" w:hAnsi="Arial" w:cs="Arial"/>
        <w:b/>
        <w:sz w:val="48"/>
      </w:rPr>
    </w:pPr>
    <w:r w:rsidRPr="00BC1CA9">
      <w:rPr>
        <w:rFonts w:ascii="Arial" w:hAnsi="Arial" w:cs="Arial"/>
        <w:b/>
        <w:sz w:val="48"/>
      </w:rPr>
      <w:t>EN</w:t>
    </w:r>
    <w:r w:rsidRPr="00BC1CA9">
      <w:rPr>
        <w:rFonts w:ascii="Arial" w:hAnsi="Arial" w:cs="Arial"/>
        <w:b/>
        <w:sz w:val="48"/>
      </w:rPr>
      <w:tab/>
    </w:r>
    <w:r w:rsidRPr="00BC1CA9">
      <w:rPr>
        <w:rFonts w:ascii="Arial" w:hAnsi="Arial" w:cs="Arial"/>
        <w:b/>
        <w:sz w:val="48"/>
      </w:rPr>
      <w:tab/>
    </w:r>
    <w:r w:rsidRPr="00BC1CA9">
      <w:tab/>
    </w:r>
    <w:r w:rsidRPr="00BC1CA9">
      <w:rPr>
        <w:rFonts w:ascii="Arial" w:hAnsi="Arial" w:cs="Arial"/>
        <w:b/>
        <w:sz w:val="48"/>
      </w:rPr>
      <w:t>EN</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00947" w14:textId="77777777" w:rsidR="0038775E" w:rsidRDefault="00877B9C">
    <w:pPr>
      <w:pStyle w:val="afd"/>
      <w:rPr>
        <w:rFonts w:ascii="Arial" w:hAnsi="Arial" w:cs="Arial"/>
        <w:b/>
        <w:sz w:val="48"/>
      </w:rPr>
    </w:pPr>
    <w:r w:rsidRPr="00BC1CA9">
      <w:rPr>
        <w:rFonts w:ascii="Arial" w:hAnsi="Arial" w:cs="Arial"/>
        <w:b/>
        <w:sz w:val="48"/>
      </w:rPr>
      <w:t>EN</w:t>
    </w:r>
    <w:r w:rsidRPr="00BC1CA9">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BC1CA9">
      <w:tab/>
    </w:r>
    <w:r w:rsidRPr="00BC1CA9">
      <w:rPr>
        <w:rFonts w:ascii="Arial" w:hAnsi="Arial" w:cs="Arial"/>
        <w:b/>
        <w:sz w:val="48"/>
      </w:rPr>
      <w:t>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C6973" w14:textId="77777777" w:rsidR="004D3B6A" w:rsidRDefault="004D3B6A" w:rsidP="005879E3">
      <w:pPr>
        <w:spacing w:before="0" w:after="0"/>
      </w:pPr>
      <w:r>
        <w:separator/>
      </w:r>
    </w:p>
  </w:footnote>
  <w:footnote w:type="continuationSeparator" w:id="0">
    <w:p w14:paraId="0FC9C8F1" w14:textId="77777777" w:rsidR="004D3B6A" w:rsidRDefault="004D3B6A" w:rsidP="005879E3">
      <w:pPr>
        <w:spacing w:before="0" w:after="0"/>
      </w:pPr>
      <w:r>
        <w:continuationSeparator/>
      </w:r>
    </w:p>
  </w:footnote>
  <w:footnote w:type="continuationNotice" w:id="1">
    <w:p w14:paraId="532A7917" w14:textId="77777777" w:rsidR="004D3B6A" w:rsidRDefault="004D3B6A">
      <w:pPr>
        <w:spacing w:before="0" w:after="0"/>
      </w:pPr>
    </w:p>
  </w:footnote>
  <w:footnote w:id="2">
    <w:p w14:paraId="0EA9B41A" w14:textId="77777777" w:rsidR="0038775E" w:rsidRDefault="00877B9C">
      <w:pPr>
        <w:pStyle w:val="aff"/>
        <w:rPr>
          <w:lang w:eastAsia="ja-JP"/>
        </w:rPr>
      </w:pPr>
      <w:r>
        <w:rPr>
          <w:rStyle w:val="afa"/>
        </w:rPr>
        <w:footnoteRef/>
      </w:r>
      <w:r w:rsidRPr="00461A97">
        <w:rPr>
          <w:lang w:eastAsia="ja-JP"/>
        </w:rPr>
        <w:tab/>
      </w:r>
      <w:r>
        <w:rPr>
          <w:lang w:eastAsia="ja-JP"/>
        </w:rPr>
        <w:t>連合関税法典に関する規則（</w:t>
      </w:r>
      <w:r>
        <w:rPr>
          <w:lang w:eastAsia="ja-JP"/>
        </w:rPr>
        <w:t>EU</w:t>
      </w:r>
      <w:r>
        <w:rPr>
          <w:lang w:eastAsia="ja-JP"/>
        </w:rPr>
        <w:t>）</w:t>
      </w:r>
      <w:r>
        <w:rPr>
          <w:lang w:eastAsia="ja-JP"/>
        </w:rPr>
        <w:t>No 952/2013</w:t>
      </w:r>
      <w:r>
        <w:rPr>
          <w:lang w:eastAsia="ja-JP"/>
        </w:rPr>
        <w:t>の第</w:t>
      </w:r>
      <w:r>
        <w:rPr>
          <w:lang w:eastAsia="ja-JP"/>
        </w:rPr>
        <w:t>46</w:t>
      </w:r>
      <w:r>
        <w:rPr>
          <w:lang w:eastAsia="ja-JP"/>
        </w:rPr>
        <w:t>条で予見されるとおり。</w:t>
      </w:r>
    </w:p>
  </w:footnote>
  <w:footnote w:id="3">
    <w:p w14:paraId="1F6F0E02" w14:textId="77777777" w:rsidR="0038775E" w:rsidRDefault="00877B9C">
      <w:pPr>
        <w:pStyle w:val="aff"/>
      </w:pPr>
      <w:r w:rsidRPr="005F569C">
        <w:rPr>
          <w:rStyle w:val="afa"/>
        </w:rPr>
        <w:footnoteRef/>
      </w:r>
      <w:r w:rsidRPr="005F569C">
        <w:tab/>
      </w:r>
      <w:r w:rsidRPr="005F569C">
        <w:rPr>
          <w:lang w:val="en-IE"/>
        </w:rPr>
        <w:t xml:space="preserve">COM(2020) 98 </w:t>
      </w:r>
      <w:r>
        <w:rPr>
          <w:lang w:val="en-IE"/>
        </w:rPr>
        <w:t>final.</w:t>
      </w:r>
    </w:p>
  </w:footnote>
  <w:footnote w:id="4">
    <w:p w14:paraId="02791DED" w14:textId="77777777" w:rsidR="0038775E" w:rsidRDefault="00877B9C">
      <w:pPr>
        <w:pStyle w:val="aff"/>
      </w:pPr>
      <w:r>
        <w:rPr>
          <w:rStyle w:val="afa"/>
        </w:rPr>
        <w:footnoteRef/>
      </w:r>
      <w:r w:rsidRPr="00461A97">
        <w:tab/>
      </w:r>
      <w:r>
        <w:t>COM(2022)141</w:t>
      </w:r>
      <w:r>
        <w:t>最終。</w:t>
      </w:r>
    </w:p>
  </w:footnote>
  <w:footnote w:id="5">
    <w:p w14:paraId="7B7DAD3D" w14:textId="77777777" w:rsidR="0038775E" w:rsidRDefault="00877B9C">
      <w:pPr>
        <w:pStyle w:val="aff"/>
      </w:pPr>
      <w:r>
        <w:rPr>
          <w:rStyle w:val="afa"/>
        </w:rPr>
        <w:footnoteRef/>
      </w:r>
      <w:r w:rsidRPr="00461A97">
        <w:tab/>
      </w:r>
      <w:r>
        <w:t>COM(2022) 144 final.</w:t>
      </w:r>
    </w:p>
  </w:footnote>
  <w:footnote w:id="6">
    <w:p w14:paraId="1F6BFA72" w14:textId="77777777" w:rsidR="0038775E" w:rsidRDefault="00877B9C">
      <w:pPr>
        <w:pStyle w:val="aff"/>
        <w:rPr>
          <w:lang w:eastAsia="ja-JP"/>
        </w:rPr>
      </w:pPr>
      <w:r>
        <w:rPr>
          <w:rStyle w:val="afa"/>
        </w:rPr>
        <w:footnoteRef/>
      </w:r>
      <w:r w:rsidRPr="00461A97">
        <w:rPr>
          <w:lang w:eastAsia="ja-JP"/>
        </w:rPr>
        <w:tab/>
      </w:r>
      <w:r>
        <w:rPr>
          <w:lang w:eastAsia="ja-JP"/>
        </w:rPr>
        <w:t>COM(2022)143</w:t>
      </w:r>
      <w:r>
        <w:rPr>
          <w:lang w:eastAsia="ja-JP"/>
        </w:rPr>
        <w:t>の最終回です。</w:t>
      </w:r>
    </w:p>
  </w:footnote>
  <w:footnote w:id="7">
    <w:p w14:paraId="0C73A695" w14:textId="77777777" w:rsidR="0038775E" w:rsidRDefault="00877B9C">
      <w:pPr>
        <w:pStyle w:val="aff"/>
        <w:rPr>
          <w:lang w:eastAsia="ja-JP"/>
        </w:rPr>
      </w:pPr>
      <w:r>
        <w:rPr>
          <w:rStyle w:val="afa"/>
        </w:rPr>
        <w:footnoteRef/>
      </w:r>
      <w:r>
        <w:rPr>
          <w:lang w:eastAsia="ja-JP"/>
        </w:rPr>
        <w:tab/>
        <w:t>2011</w:t>
      </w:r>
      <w:r>
        <w:rPr>
          <w:lang w:eastAsia="ja-JP"/>
        </w:rPr>
        <w:t>年</w:t>
      </w:r>
      <w:r>
        <w:rPr>
          <w:lang w:eastAsia="ja-JP"/>
        </w:rPr>
        <w:t>3</w:t>
      </w:r>
      <w:r>
        <w:rPr>
          <w:lang w:eastAsia="ja-JP"/>
        </w:rPr>
        <w:t>月</w:t>
      </w:r>
      <w:r>
        <w:rPr>
          <w:lang w:eastAsia="ja-JP"/>
        </w:rPr>
        <w:t>9</w:t>
      </w:r>
      <w:r>
        <w:rPr>
          <w:lang w:eastAsia="ja-JP"/>
        </w:rPr>
        <w:t>日付欧州議会および理事会規則（</w:t>
      </w:r>
      <w:r>
        <w:rPr>
          <w:lang w:eastAsia="ja-JP"/>
        </w:rPr>
        <w:t>EU</w:t>
      </w:r>
      <w:r>
        <w:rPr>
          <w:lang w:eastAsia="ja-JP"/>
        </w:rPr>
        <w:t>）</w:t>
      </w:r>
      <w:r>
        <w:rPr>
          <w:lang w:eastAsia="ja-JP"/>
        </w:rPr>
        <w:t xml:space="preserve">No 305/2011 </w:t>
      </w:r>
      <w:r>
        <w:rPr>
          <w:lang w:eastAsia="ja-JP"/>
        </w:rPr>
        <w:t>建設製品の販売に関する調和条件を定め、理事会指令</w:t>
      </w:r>
      <w:r>
        <w:rPr>
          <w:lang w:eastAsia="ja-JP"/>
        </w:rPr>
        <w:t>89/106/EEC</w:t>
      </w:r>
      <w:r>
        <w:rPr>
          <w:lang w:eastAsia="ja-JP"/>
        </w:rPr>
        <w:t>を廃止する（</w:t>
      </w:r>
      <w:r>
        <w:rPr>
          <w:lang w:eastAsia="ja-JP"/>
        </w:rPr>
        <w:t>OJ L 88, 4.4.2011, p. 5</w:t>
      </w:r>
      <w:r>
        <w:rPr>
          <w:lang w:eastAsia="ja-JP"/>
        </w:rPr>
        <w:t>）。</w:t>
      </w:r>
    </w:p>
  </w:footnote>
  <w:footnote w:id="8">
    <w:p w14:paraId="4BCA5A53" w14:textId="77777777" w:rsidR="0038775E" w:rsidRDefault="00877B9C">
      <w:pPr>
        <w:pStyle w:val="aff"/>
        <w:rPr>
          <w:lang w:eastAsia="ja-JP"/>
        </w:rPr>
      </w:pPr>
      <w:r w:rsidRPr="005F569C">
        <w:rPr>
          <w:rStyle w:val="afa"/>
        </w:rPr>
        <w:footnoteRef/>
      </w:r>
      <w:r w:rsidRPr="005F569C">
        <w:rPr>
          <w:lang w:eastAsia="ja-JP"/>
        </w:rPr>
        <w:tab/>
      </w:r>
      <w:r w:rsidRPr="005F569C">
        <w:rPr>
          <w:lang w:val="en-IE" w:eastAsia="ja-JP"/>
        </w:rPr>
        <w:t>COM(2019)640</w:t>
      </w:r>
      <w:r w:rsidRPr="005F569C">
        <w:rPr>
          <w:lang w:val="en-IE" w:eastAsia="ja-JP"/>
        </w:rPr>
        <w:t>ファイナル</w:t>
      </w:r>
      <w:r>
        <w:rPr>
          <w:lang w:val="en-IE" w:eastAsia="ja-JP"/>
        </w:rPr>
        <w:t>。</w:t>
      </w:r>
    </w:p>
  </w:footnote>
  <w:footnote w:id="9">
    <w:p w14:paraId="2CF804D6" w14:textId="77777777" w:rsidR="0038775E" w:rsidRDefault="00877B9C">
      <w:pPr>
        <w:pStyle w:val="aff"/>
        <w:rPr>
          <w:lang w:eastAsia="ja-JP"/>
        </w:rPr>
      </w:pPr>
      <w:r w:rsidRPr="005F569C">
        <w:rPr>
          <w:rStyle w:val="afa"/>
        </w:rPr>
        <w:footnoteRef/>
      </w:r>
      <w:r w:rsidRPr="005F569C">
        <w:rPr>
          <w:lang w:eastAsia="ja-JP"/>
        </w:rPr>
        <w:tab/>
      </w:r>
      <w:r w:rsidRPr="005F569C">
        <w:rPr>
          <w:lang w:val="en-IE" w:eastAsia="ja-JP"/>
        </w:rPr>
        <w:t>COM(2020)102</w:t>
      </w:r>
      <w:r w:rsidRPr="005F569C">
        <w:rPr>
          <w:lang w:val="en-IE" w:eastAsia="ja-JP"/>
        </w:rPr>
        <w:t>の最終回です</w:t>
      </w:r>
      <w:r>
        <w:rPr>
          <w:lang w:val="en-IE" w:eastAsia="ja-JP"/>
        </w:rPr>
        <w:t>。</w:t>
      </w:r>
    </w:p>
  </w:footnote>
  <w:footnote w:id="10">
    <w:p w14:paraId="41DE41AF" w14:textId="77777777" w:rsidR="0038775E" w:rsidRDefault="00877B9C">
      <w:pPr>
        <w:pStyle w:val="aff"/>
        <w:rPr>
          <w:lang w:eastAsia="ja-JP"/>
        </w:rPr>
      </w:pPr>
      <w:r w:rsidRPr="005F569C">
        <w:rPr>
          <w:rStyle w:val="afa"/>
        </w:rPr>
        <w:footnoteRef/>
      </w:r>
      <w:r w:rsidRPr="005F569C">
        <w:rPr>
          <w:lang w:eastAsia="ja-JP"/>
        </w:rPr>
        <w:tab/>
        <w:t>COM(2021)350</w:t>
      </w:r>
      <w:r w:rsidRPr="005F569C">
        <w:rPr>
          <w:lang w:eastAsia="ja-JP"/>
        </w:rPr>
        <w:t>のファイナルです</w:t>
      </w:r>
      <w:r>
        <w:rPr>
          <w:lang w:eastAsia="ja-JP"/>
        </w:rPr>
        <w:t>。</w:t>
      </w:r>
    </w:p>
  </w:footnote>
  <w:footnote w:id="11">
    <w:p w14:paraId="068ABC68" w14:textId="77777777" w:rsidR="0038775E" w:rsidRDefault="00877B9C">
      <w:pPr>
        <w:pStyle w:val="aff"/>
        <w:rPr>
          <w:lang w:eastAsia="ja-JP"/>
        </w:rPr>
      </w:pPr>
      <w:r>
        <w:rPr>
          <w:rStyle w:val="afa"/>
        </w:rPr>
        <w:footnoteRef/>
      </w:r>
      <w:r w:rsidRPr="00461A97">
        <w:rPr>
          <w:lang w:eastAsia="ja-JP"/>
        </w:rPr>
        <w:tab/>
      </w:r>
      <w:r>
        <w:rPr>
          <w:lang w:val="en-IE" w:eastAsia="ja-JP"/>
        </w:rPr>
        <w:t>また、「</w:t>
      </w:r>
      <w:r w:rsidRPr="00577CAB">
        <w:rPr>
          <w:lang w:val="en-IE" w:eastAsia="ja-JP"/>
        </w:rPr>
        <w:t>汚染ゼロ行動計画」（</w:t>
      </w:r>
      <w:r w:rsidRPr="00577CAB">
        <w:rPr>
          <w:lang w:val="en-IE" w:eastAsia="ja-JP"/>
        </w:rPr>
        <w:t>COM(2021) 400 final</w:t>
      </w:r>
      <w:r w:rsidRPr="00577CAB">
        <w:rPr>
          <w:lang w:val="en-IE" w:eastAsia="ja-JP"/>
        </w:rPr>
        <w:t>）に</w:t>
      </w:r>
      <w:r>
        <w:rPr>
          <w:lang w:val="en-IE" w:eastAsia="ja-JP"/>
        </w:rPr>
        <w:t>基づく</w:t>
      </w:r>
      <w:r>
        <w:rPr>
          <w:lang w:val="en-IE" w:eastAsia="ja-JP"/>
        </w:rPr>
        <w:t>行動との相乗効果もある。</w:t>
      </w:r>
    </w:p>
  </w:footnote>
  <w:footnote w:id="12">
    <w:p w14:paraId="136A8F7E" w14:textId="77777777" w:rsidR="0038775E" w:rsidRDefault="00877B9C">
      <w:pPr>
        <w:pStyle w:val="aff"/>
        <w:rPr>
          <w:lang w:eastAsia="ja-JP"/>
        </w:rPr>
      </w:pPr>
      <w:r>
        <w:rPr>
          <w:rStyle w:val="afa"/>
        </w:rPr>
        <w:footnoteRef/>
      </w:r>
      <w:r w:rsidRPr="00BA4E97">
        <w:rPr>
          <w:lang w:eastAsia="ja-JP"/>
        </w:rPr>
        <w:tab/>
      </w:r>
      <w:r>
        <w:rPr>
          <w:lang w:eastAsia="ja-JP"/>
        </w:rPr>
        <w:t>製品や組織のライフサイクル環境パフォーマンスを測定・伝達するための環境フットプリント手法の使用に関する</w:t>
      </w:r>
      <w:r>
        <w:rPr>
          <w:lang w:eastAsia="ja-JP"/>
        </w:rPr>
        <w:t>2021</w:t>
      </w:r>
      <w:r>
        <w:rPr>
          <w:lang w:eastAsia="ja-JP"/>
        </w:rPr>
        <w:t>年</w:t>
      </w:r>
      <w:r>
        <w:rPr>
          <w:lang w:eastAsia="ja-JP"/>
        </w:rPr>
        <w:t>12</w:t>
      </w:r>
      <w:r>
        <w:rPr>
          <w:lang w:eastAsia="ja-JP"/>
        </w:rPr>
        <w:t>月</w:t>
      </w:r>
      <w:r>
        <w:rPr>
          <w:lang w:eastAsia="ja-JP"/>
        </w:rPr>
        <w:t>15</w:t>
      </w:r>
      <w:r>
        <w:rPr>
          <w:lang w:eastAsia="ja-JP"/>
        </w:rPr>
        <w:t>日付欧州委員会勧告（</w:t>
      </w:r>
      <w:r>
        <w:rPr>
          <w:lang w:eastAsia="ja-JP"/>
        </w:rPr>
        <w:t>EU</w:t>
      </w:r>
      <w:r>
        <w:rPr>
          <w:lang w:eastAsia="ja-JP"/>
        </w:rPr>
        <w:t>）</w:t>
      </w:r>
      <w:r>
        <w:rPr>
          <w:lang w:eastAsia="ja-JP"/>
        </w:rPr>
        <w:t>2021/2279</w:t>
      </w:r>
      <w:r>
        <w:rPr>
          <w:lang w:eastAsia="ja-JP"/>
        </w:rPr>
        <w:t>に規定されている。</w:t>
      </w:r>
    </w:p>
  </w:footnote>
  <w:footnote w:id="13">
    <w:p w14:paraId="7A0F809A" w14:textId="77777777" w:rsidR="0038775E" w:rsidRDefault="00877B9C">
      <w:pPr>
        <w:pStyle w:val="aff"/>
      </w:pPr>
      <w:r>
        <w:rPr>
          <w:rStyle w:val="afa"/>
        </w:rPr>
        <w:footnoteRef/>
      </w:r>
      <w:r w:rsidRPr="00461A97">
        <w:tab/>
      </w:r>
      <w:r w:rsidRPr="00E20EDA">
        <w:rPr>
          <w:lang w:val="en-IE"/>
        </w:rPr>
        <w:t>COM(2022) 71 final</w:t>
      </w:r>
      <w:r>
        <w:rPr>
          <w:lang w:val="en-IE"/>
        </w:rPr>
        <w:t>.</w:t>
      </w:r>
    </w:p>
  </w:footnote>
  <w:footnote w:id="14">
    <w:p w14:paraId="3FC59E1D" w14:textId="77777777" w:rsidR="0038775E" w:rsidRDefault="00877B9C" w:rsidP="002041D4">
      <w:pPr>
        <w:pStyle w:val="aff"/>
        <w:wordWrap w:val="0"/>
      </w:pPr>
      <w:r>
        <w:rPr>
          <w:rStyle w:val="afa"/>
        </w:rPr>
        <w:footnoteRef/>
      </w:r>
      <w:r w:rsidRPr="00461A97">
        <w:tab/>
      </w:r>
      <w:r>
        <w:rPr>
          <w:lang w:val="en-IE"/>
        </w:rPr>
        <w:t>例えば</w:t>
      </w:r>
      <w:r w:rsidRPr="00184DBD">
        <w:rPr>
          <w:lang w:val="en-IE"/>
        </w:rPr>
        <w:t>、</w:t>
      </w:r>
      <w:r w:rsidRPr="00184DBD">
        <w:t>Fit for 55</w:t>
      </w:r>
      <w:r w:rsidRPr="00184DBD">
        <w:t>パッケージ</w:t>
      </w:r>
      <w:hyperlink r:id="rId1" w:history="1">
        <w:r w:rsidRPr="00C80B49">
          <w:rPr>
            <w:rStyle w:val="a6"/>
          </w:rPr>
          <w:t>：</w:t>
        </w:r>
        <w:r w:rsidRPr="00C80B49">
          <w:rPr>
            <w:rStyle w:val="a6"/>
          </w:rPr>
          <w:t xml:space="preserve"> https://ec.europa.eu/com</w:t>
        </w:r>
        <w:r w:rsidRPr="00C80B49">
          <w:rPr>
            <w:rStyle w:val="a6"/>
          </w:rPr>
          <w:t>mission/presscorner/detail/en/IP_21_3541</w:t>
        </w:r>
      </w:hyperlink>
    </w:p>
  </w:footnote>
  <w:footnote w:id="15">
    <w:p w14:paraId="1B4F9647" w14:textId="77777777" w:rsidR="0038775E" w:rsidRDefault="00877B9C">
      <w:pPr>
        <w:pStyle w:val="aff"/>
        <w:rPr>
          <w:lang w:eastAsia="ja-JP"/>
        </w:rPr>
      </w:pPr>
      <w:r>
        <w:rPr>
          <w:rStyle w:val="afa"/>
        </w:rPr>
        <w:footnoteRef/>
      </w:r>
      <w:r w:rsidRPr="00892551">
        <w:rPr>
          <w:lang w:eastAsia="ja-JP"/>
        </w:rPr>
        <w:tab/>
      </w:r>
      <w:r w:rsidRPr="005F569C">
        <w:rPr>
          <w:lang w:eastAsia="ja-JP"/>
        </w:rPr>
        <w:t>SWD(2019)92</w:t>
      </w:r>
      <w:r w:rsidRPr="005F569C">
        <w:rPr>
          <w:lang w:eastAsia="ja-JP"/>
        </w:rPr>
        <w:t>最終回</w:t>
      </w:r>
      <w:r>
        <w:rPr>
          <w:lang w:eastAsia="ja-JP"/>
        </w:rPr>
        <w:t>。</w:t>
      </w:r>
    </w:p>
  </w:footnote>
  <w:footnote w:id="16">
    <w:p w14:paraId="5744F02B" w14:textId="77777777" w:rsidR="0038775E" w:rsidRDefault="00877B9C">
      <w:pPr>
        <w:pStyle w:val="aff"/>
        <w:rPr>
          <w:lang w:eastAsia="ja-JP"/>
        </w:rPr>
      </w:pPr>
      <w:r w:rsidRPr="005F569C">
        <w:rPr>
          <w:rStyle w:val="afa"/>
        </w:rPr>
        <w:footnoteRef/>
      </w:r>
      <w:r w:rsidRPr="005F569C">
        <w:rPr>
          <w:lang w:eastAsia="ja-JP"/>
        </w:rPr>
        <w:tab/>
      </w:r>
      <w:hyperlink r:id="rId2" w:history="1">
        <w:r w:rsidRPr="005F569C">
          <w:rPr>
            <w:rStyle w:val="a6"/>
            <w:lang w:val="en-US" w:eastAsia="ja-JP"/>
          </w:rPr>
          <w:t>エコデザイン指令（</w:t>
        </w:r>
        <w:r w:rsidRPr="005F569C">
          <w:rPr>
            <w:rStyle w:val="a6"/>
            <w:lang w:val="en-US" w:eastAsia="ja-JP"/>
          </w:rPr>
          <w:t>2009/125/EC</w:t>
        </w:r>
        <w:r w:rsidRPr="005F569C">
          <w:rPr>
            <w:rStyle w:val="a6"/>
            <w:lang w:val="en-US" w:eastAsia="ja-JP"/>
          </w:rPr>
          <w:t>）の評価</w:t>
        </w:r>
      </w:hyperlink>
      <w:r w:rsidRPr="005F569C">
        <w:rPr>
          <w:lang w:val="en-US" w:eastAsia="ja-JP"/>
        </w:rPr>
        <w:t>、</w:t>
      </w:r>
      <w:r w:rsidRPr="005F569C">
        <w:rPr>
          <w:lang w:val="en-US" w:eastAsia="ja-JP"/>
        </w:rPr>
        <w:t>Centre for Strategy and Evaluation Services</w:t>
      </w:r>
      <w:r w:rsidRPr="005F569C">
        <w:rPr>
          <w:lang w:val="en-US" w:eastAsia="ja-JP"/>
        </w:rPr>
        <w:t>（</w:t>
      </w:r>
      <w:r w:rsidRPr="005F569C">
        <w:rPr>
          <w:lang w:val="en-US" w:eastAsia="ja-JP"/>
        </w:rPr>
        <w:t>CSES</w:t>
      </w:r>
      <w:r w:rsidRPr="005F569C">
        <w:rPr>
          <w:lang w:val="en-US" w:eastAsia="ja-JP"/>
        </w:rPr>
        <w:t>）、</w:t>
      </w:r>
      <w:r w:rsidRPr="005F569C">
        <w:rPr>
          <w:lang w:val="en-US" w:eastAsia="ja-JP"/>
        </w:rPr>
        <w:t>2012</w:t>
      </w:r>
      <w:r w:rsidRPr="005F569C">
        <w:rPr>
          <w:lang w:val="en-US" w:eastAsia="ja-JP"/>
        </w:rPr>
        <w:t>年、</w:t>
      </w:r>
      <w:hyperlink r:id="rId3" w:history="1">
        <w:r w:rsidRPr="005F569C">
          <w:rPr>
            <w:rStyle w:val="a6"/>
            <w:lang w:val="en-US" w:eastAsia="ja-JP"/>
          </w:rPr>
          <w:t>エネルギーラベル指令とエコデザイン指令の特定の側面の評価</w:t>
        </w:r>
      </w:hyperlink>
      <w:r w:rsidRPr="005F569C">
        <w:rPr>
          <w:lang w:val="en-US" w:eastAsia="ja-JP"/>
        </w:rPr>
        <w:t>、</w:t>
      </w:r>
      <w:r w:rsidRPr="005F569C">
        <w:rPr>
          <w:lang w:val="en-US" w:eastAsia="ja-JP"/>
        </w:rPr>
        <w:t>Ecofys</w:t>
      </w:r>
      <w:r w:rsidRPr="005F569C">
        <w:rPr>
          <w:lang w:val="en-US" w:eastAsia="ja-JP"/>
        </w:rPr>
        <w:t>、</w:t>
      </w:r>
      <w:r w:rsidRPr="005F569C">
        <w:rPr>
          <w:lang w:val="en-US" w:eastAsia="ja-JP"/>
        </w:rPr>
        <w:t>2014</w:t>
      </w:r>
      <w:r w:rsidRPr="005F569C">
        <w:rPr>
          <w:lang w:val="en-US" w:eastAsia="ja-JP"/>
        </w:rPr>
        <w:t>年</w:t>
      </w:r>
      <w:r w:rsidRPr="005F569C">
        <w:rPr>
          <w:lang w:val="en-US" w:eastAsia="ja-JP"/>
        </w:rPr>
        <w:t>6</w:t>
      </w:r>
      <w:r w:rsidRPr="005F569C">
        <w:rPr>
          <w:lang w:val="en-US" w:eastAsia="ja-JP"/>
        </w:rPr>
        <w:t>月、</w:t>
      </w:r>
      <w:hyperlink r:id="rId4" w:history="1">
        <w:r w:rsidRPr="005F569C">
          <w:rPr>
            <w:rStyle w:val="a6"/>
            <w:lang w:val="en-US" w:eastAsia="ja-JP"/>
          </w:rPr>
          <w:t>エコデザインとエネルギーラベルに関する</w:t>
        </w:r>
        <w:r w:rsidRPr="005F569C">
          <w:rPr>
            <w:rStyle w:val="a6"/>
            <w:lang w:val="en-US" w:eastAsia="ja-JP"/>
          </w:rPr>
          <w:t>EU</w:t>
        </w:r>
        <w:r w:rsidRPr="005F569C">
          <w:rPr>
            <w:rStyle w:val="a6"/>
            <w:lang w:val="en-US" w:eastAsia="ja-JP"/>
          </w:rPr>
          <w:t>の行動：エネルギー効率向上への重要な貢献が、著しい遅延と非遵守によって減少</w:t>
        </w:r>
      </w:hyperlink>
      <w:r w:rsidRPr="005F569C">
        <w:rPr>
          <w:rStyle w:val="a6"/>
          <w:lang w:eastAsia="ja-JP"/>
        </w:rPr>
        <w:t>、</w:t>
      </w:r>
      <w:r w:rsidRPr="005F569C">
        <w:rPr>
          <w:rStyle w:val="a6"/>
          <w:lang w:val="en-US" w:eastAsia="ja-JP"/>
        </w:rPr>
        <w:t>欧州監査院</w:t>
      </w:r>
      <w:r w:rsidRPr="005F569C">
        <w:rPr>
          <w:rStyle w:val="a6"/>
          <w:lang w:eastAsia="ja-JP"/>
        </w:rPr>
        <w:t>、</w:t>
      </w:r>
      <w:r w:rsidRPr="005F569C">
        <w:rPr>
          <w:lang w:val="en-US" w:eastAsia="ja-JP"/>
        </w:rPr>
        <w:t>特別報告</w:t>
      </w:r>
      <w:r w:rsidRPr="005F569C">
        <w:rPr>
          <w:lang w:val="en-US" w:eastAsia="ja-JP"/>
        </w:rPr>
        <w:t>01/2020</w:t>
      </w:r>
      <w:r w:rsidRPr="005F569C">
        <w:rPr>
          <w:lang w:val="en-US" w:eastAsia="ja-JP"/>
        </w:rPr>
        <w:t>。</w:t>
      </w:r>
    </w:p>
  </w:footnote>
  <w:footnote w:id="17">
    <w:p w14:paraId="0ABE7B50" w14:textId="77777777" w:rsidR="0038775E" w:rsidRDefault="00877B9C">
      <w:pPr>
        <w:pStyle w:val="aff"/>
        <w:rPr>
          <w:lang w:eastAsia="ja-JP"/>
        </w:rPr>
      </w:pPr>
      <w:r w:rsidRPr="005F569C">
        <w:rPr>
          <w:rStyle w:val="afa"/>
        </w:rPr>
        <w:footnoteRef/>
      </w:r>
      <w:r w:rsidRPr="005F569C">
        <w:rPr>
          <w:lang w:eastAsia="ja-JP"/>
        </w:rPr>
        <w:tab/>
      </w:r>
      <w:hyperlink r:id="rId5" w:history="1">
        <w:r w:rsidRPr="005F569C">
          <w:rPr>
            <w:rStyle w:val="a6"/>
            <w:lang w:eastAsia="ja-JP"/>
          </w:rPr>
          <w:t>持続可能な消費と生産および持続可能な産業政策行動計画</w:t>
        </w:r>
        <w:r w:rsidRPr="005F569C">
          <w:rPr>
            <w:rStyle w:val="a6"/>
            <w:lang w:val="en-US" w:eastAsia="ja-JP"/>
          </w:rPr>
          <w:t>に関するコミュニケーション</w:t>
        </w:r>
      </w:hyperlink>
    </w:p>
  </w:footnote>
  <w:footnote w:id="18">
    <w:p w14:paraId="488D6FCC" w14:textId="77777777" w:rsidR="0038775E" w:rsidRDefault="00877B9C">
      <w:pPr>
        <w:pStyle w:val="aff"/>
        <w:rPr>
          <w:lang w:eastAsia="ja-JP"/>
        </w:rPr>
      </w:pPr>
      <w:r w:rsidRPr="005F569C">
        <w:rPr>
          <w:rStyle w:val="afa"/>
        </w:rPr>
        <w:footnoteRef/>
      </w:r>
      <w:r w:rsidRPr="009E54A0">
        <w:rPr>
          <w:lang w:eastAsia="ja-JP"/>
        </w:rPr>
        <w:tab/>
      </w:r>
      <w:hyperlink r:id="rId6" w:history="1">
        <w:r>
          <w:rPr>
            <w:rStyle w:val="a6"/>
            <w:lang w:eastAsia="ja-JP"/>
          </w:rPr>
          <w:t>エコデザイン指令の評価</w:t>
        </w:r>
      </w:hyperlink>
      <w:r w:rsidRPr="009E54A0">
        <w:rPr>
          <w:lang w:eastAsia="ja-JP"/>
        </w:rPr>
        <w:t xml:space="preserve"> p.19.</w:t>
      </w:r>
    </w:p>
  </w:footnote>
  <w:footnote w:id="19">
    <w:p w14:paraId="7506C6BD" w14:textId="77777777" w:rsidR="0038775E" w:rsidRDefault="00877B9C">
      <w:pPr>
        <w:pStyle w:val="aff"/>
      </w:pPr>
      <w:r w:rsidRPr="005F569C">
        <w:rPr>
          <w:rStyle w:val="afa"/>
        </w:rPr>
        <w:footnoteRef/>
      </w:r>
      <w:r w:rsidRPr="009E54A0">
        <w:tab/>
      </w:r>
      <w:hyperlink r:id="rId7" w:history="1">
        <w:r w:rsidRPr="009E54A0">
          <w:rPr>
            <w:rStyle w:val="a6"/>
          </w:rPr>
          <w:t>https://ec.europa.eu/info/law/better-regulation/have-your-say/initiatives/12567-Sustainable-products-initiative_en</w:t>
        </w:r>
      </w:hyperlink>
    </w:p>
  </w:footnote>
  <w:footnote w:id="20">
    <w:p w14:paraId="20033480" w14:textId="77777777" w:rsidR="0038775E" w:rsidRDefault="00877B9C">
      <w:pPr>
        <w:pStyle w:val="aff"/>
      </w:pPr>
      <w:r>
        <w:rPr>
          <w:rStyle w:val="afa"/>
        </w:rPr>
        <w:footnoteRef/>
      </w:r>
      <w:r w:rsidRPr="00CB2DB1">
        <w:tab/>
      </w:r>
      <w:r w:rsidRPr="00E20EDA">
        <w:rPr>
          <w:lang w:val="en-IE"/>
        </w:rPr>
        <w:t>COM(2022) 71 final</w:t>
      </w:r>
      <w:r>
        <w:rPr>
          <w:lang w:val="en-IE"/>
        </w:rPr>
        <w:t>.</w:t>
      </w:r>
    </w:p>
  </w:footnote>
  <w:footnote w:id="21">
    <w:p w14:paraId="3601E572" w14:textId="77777777" w:rsidR="0038775E" w:rsidRDefault="00877B9C">
      <w:pPr>
        <w:pStyle w:val="aff"/>
      </w:pPr>
      <w:r>
        <w:rPr>
          <w:rStyle w:val="afa"/>
        </w:rPr>
        <w:footnoteRef/>
      </w:r>
      <w:r w:rsidRPr="00322485">
        <w:tab/>
      </w:r>
      <w:r w:rsidRPr="00E202D7">
        <w:rPr>
          <w:lang w:val="en-US"/>
        </w:rPr>
        <w:t>OJ L123, 12.5.2016, p. 1.</w:t>
      </w:r>
    </w:p>
  </w:footnote>
  <w:footnote w:id="22">
    <w:p w14:paraId="01CC232E" w14:textId="77777777" w:rsidR="0038775E" w:rsidRDefault="00877B9C">
      <w:pPr>
        <w:pStyle w:val="aff"/>
      </w:pPr>
      <w:r>
        <w:rPr>
          <w:rStyle w:val="afa"/>
        </w:rPr>
        <w:footnoteRef/>
      </w:r>
      <w:r w:rsidRPr="00CB2DB1">
        <w:tab/>
      </w:r>
      <w:hyperlink r:id="rId8" w:history="1">
        <w:r w:rsidRPr="00CB2DB1">
          <w:rPr>
            <w:rStyle w:val="a6"/>
          </w:rPr>
          <w:t>https://ec.europa.eu/info/sites/default/files/final_opinion_2021_sbgr2_10_ecodesign.pdf</w:t>
        </w:r>
      </w:hyperlink>
    </w:p>
  </w:footnote>
  <w:footnote w:id="23">
    <w:p w14:paraId="0F6E4A3F" w14:textId="77777777" w:rsidR="0038775E" w:rsidRDefault="00877B9C">
      <w:pPr>
        <w:pStyle w:val="aff"/>
        <w:rPr>
          <w:lang w:eastAsia="ja-JP"/>
        </w:rPr>
      </w:pPr>
      <w:r>
        <w:rPr>
          <w:rStyle w:val="afa"/>
        </w:rPr>
        <w:footnoteRef/>
      </w:r>
      <w:r w:rsidRPr="00F45629">
        <w:rPr>
          <w:lang w:eastAsia="ja-JP"/>
        </w:rPr>
        <w:tab/>
      </w:r>
      <w:r w:rsidRPr="00E14B7D">
        <w:rPr>
          <w:lang w:eastAsia="ja-JP"/>
        </w:rPr>
        <w:t>ハブは、循環型ビジネスモデルの導入を支援し、啓発、協力、訓練</w:t>
      </w:r>
      <w:r w:rsidRPr="00E14B7D">
        <w:rPr>
          <w:lang w:eastAsia="ja-JP"/>
        </w:rPr>
        <w:t>、ベストプラクティスの交換を含む情報やサービスを提供する。このハブは、既存の</w:t>
      </w:r>
      <w:r w:rsidRPr="00E14B7D">
        <w:rPr>
          <w:lang w:eastAsia="ja-JP"/>
        </w:rPr>
        <w:t>EU</w:t>
      </w:r>
      <w:r w:rsidRPr="00E14B7D">
        <w:rPr>
          <w:lang w:eastAsia="ja-JP"/>
        </w:rPr>
        <w:t>の活動、特に欧州循環経済ステークホルダー・プラットフォーム、エンタープライズ・ヨーロッパ・ネットワーク・サステナビリティ・アドバイザー、欧州グリーンテック・クラスター・ネットワークなどの専門知識とサービス提供を基盤としています。</w:t>
      </w:r>
    </w:p>
  </w:footnote>
  <w:footnote w:id="24">
    <w:p w14:paraId="1522FEA6" w14:textId="77777777" w:rsidR="0038775E" w:rsidRDefault="00877B9C">
      <w:pPr>
        <w:pStyle w:val="aff"/>
        <w:rPr>
          <w:lang w:eastAsia="ja-JP"/>
        </w:rPr>
      </w:pPr>
      <w:r>
        <w:rPr>
          <w:rStyle w:val="afa"/>
        </w:rPr>
        <w:footnoteRef/>
      </w:r>
      <w:r w:rsidRPr="006F432E">
        <w:rPr>
          <w:lang w:eastAsia="ja-JP"/>
        </w:rPr>
        <w:tab/>
        <w:t>2009</w:t>
      </w:r>
      <w:r w:rsidRPr="006F432E">
        <w:rPr>
          <w:lang w:eastAsia="ja-JP"/>
        </w:rPr>
        <w:t>年</w:t>
      </w:r>
      <w:r w:rsidRPr="006F432E">
        <w:rPr>
          <w:lang w:eastAsia="ja-JP"/>
        </w:rPr>
        <w:t>10</w:t>
      </w:r>
      <w:r w:rsidRPr="006F432E">
        <w:rPr>
          <w:lang w:eastAsia="ja-JP"/>
        </w:rPr>
        <w:t>月</w:t>
      </w:r>
      <w:r w:rsidRPr="006F432E">
        <w:rPr>
          <w:lang w:eastAsia="ja-JP"/>
        </w:rPr>
        <w:t>21</w:t>
      </w:r>
      <w:r w:rsidRPr="006F432E">
        <w:rPr>
          <w:lang w:eastAsia="ja-JP"/>
        </w:rPr>
        <w:t>日付欧州議会・理事会指令</w:t>
      </w:r>
      <w:r w:rsidRPr="006F432E">
        <w:rPr>
          <w:lang w:eastAsia="ja-JP"/>
        </w:rPr>
        <w:t xml:space="preserve">2009/125/EC </w:t>
      </w:r>
      <w:r w:rsidRPr="006F432E">
        <w:rPr>
          <w:lang w:eastAsia="ja-JP"/>
        </w:rPr>
        <w:t>エネルギー関連製品のエコデザイン要件設定のための枠組みを定める指令（</w:t>
      </w:r>
      <w:r w:rsidRPr="006F432E">
        <w:rPr>
          <w:lang w:eastAsia="ja-JP"/>
        </w:rPr>
        <w:t>EEA</w:t>
      </w:r>
      <w:r w:rsidRPr="006F432E">
        <w:rPr>
          <w:lang w:eastAsia="ja-JP"/>
        </w:rPr>
        <w:t>関連文書）</w:t>
      </w:r>
      <w:r>
        <w:rPr>
          <w:lang w:eastAsia="ja-JP"/>
        </w:rPr>
        <w:t>（</w:t>
      </w:r>
      <w:r w:rsidRPr="006F432E">
        <w:rPr>
          <w:lang w:eastAsia="ja-JP"/>
        </w:rPr>
        <w:t xml:space="preserve">OJ L 285, 31.10.2009, </w:t>
      </w:r>
      <w:r w:rsidRPr="006F432E">
        <w:rPr>
          <w:lang w:eastAsia="ja-JP"/>
        </w:rPr>
        <w:t>p. 10</w:t>
      </w:r>
      <w:r>
        <w:rPr>
          <w:lang w:eastAsia="ja-JP"/>
        </w:rPr>
        <w:t>）。</w:t>
      </w:r>
    </w:p>
  </w:footnote>
  <w:footnote w:id="25">
    <w:p w14:paraId="7A8FF3C7" w14:textId="77777777" w:rsidR="0038775E" w:rsidRDefault="00877B9C">
      <w:pPr>
        <w:pStyle w:val="aff"/>
        <w:rPr>
          <w:lang w:eastAsia="ja-JP"/>
        </w:rPr>
      </w:pPr>
      <w:r>
        <w:rPr>
          <w:rStyle w:val="afa"/>
        </w:rPr>
        <w:footnoteRef/>
      </w:r>
      <w:r w:rsidRPr="003328E7">
        <w:rPr>
          <w:lang w:eastAsia="ja-JP"/>
        </w:rPr>
        <w:tab/>
      </w:r>
      <w:r>
        <w:rPr>
          <w:lang w:eastAsia="ja-JP"/>
        </w:rPr>
        <w:t>OJ C ,, p. .</w:t>
      </w:r>
    </w:p>
  </w:footnote>
  <w:footnote w:id="26">
    <w:p w14:paraId="7F881273" w14:textId="77777777" w:rsidR="0038775E" w:rsidRDefault="00877B9C">
      <w:pPr>
        <w:pStyle w:val="aff"/>
        <w:rPr>
          <w:lang w:eastAsia="ja-JP"/>
        </w:rPr>
      </w:pPr>
      <w:r>
        <w:rPr>
          <w:rStyle w:val="afa"/>
        </w:rPr>
        <w:footnoteRef/>
      </w:r>
      <w:r w:rsidRPr="00BA4E97">
        <w:rPr>
          <w:lang w:eastAsia="ja-JP"/>
        </w:rPr>
        <w:tab/>
      </w:r>
      <w:r>
        <w:rPr>
          <w:lang w:eastAsia="ja-JP"/>
        </w:rPr>
        <w:t>欧州委員会から欧州議会、欧州理事会、理事会、欧州経済社会委員会、地域委員会へのコミュニケーション</w:t>
      </w:r>
      <w:r>
        <w:rPr>
          <w:lang w:eastAsia="ja-JP"/>
        </w:rPr>
        <w:t xml:space="preserve"> </w:t>
      </w:r>
      <w:r w:rsidRPr="00A4330D">
        <w:rPr>
          <w:i/>
          <w:lang w:eastAsia="ja-JP"/>
        </w:rPr>
        <w:t>欧州グリーンディール</w:t>
      </w:r>
      <w:r w:rsidRPr="00A4330D">
        <w:rPr>
          <w:i/>
          <w:lang w:eastAsia="ja-JP"/>
        </w:rPr>
        <w:t xml:space="preserve"> </w:t>
      </w:r>
      <w:r>
        <w:rPr>
          <w:lang w:eastAsia="ja-JP"/>
        </w:rPr>
        <w:t>COM(2019)640 final.</w:t>
      </w:r>
    </w:p>
  </w:footnote>
  <w:footnote w:id="27">
    <w:p w14:paraId="2238BB0B" w14:textId="77777777" w:rsidR="0038775E" w:rsidRDefault="00877B9C">
      <w:pPr>
        <w:pStyle w:val="aff"/>
      </w:pPr>
      <w:r>
        <w:rPr>
          <w:rStyle w:val="afa"/>
        </w:rPr>
        <w:footnoteRef/>
      </w:r>
      <w:r w:rsidRPr="00BA4E97">
        <w:tab/>
      </w:r>
      <w:r>
        <w:t>欧州委員会から欧州議会、欧州理事会、欧州経済社会委員会、地方委員会へのコミュニケーション</w:t>
      </w:r>
      <w:r>
        <w:t xml:space="preserve"> </w:t>
      </w:r>
      <w:r w:rsidRPr="001B6FFB">
        <w:rPr>
          <w:i/>
        </w:rPr>
        <w:t xml:space="preserve">A new Circular Economy Action Plan For a Clean and more competitive Europe </w:t>
      </w:r>
      <w:r>
        <w:t>COM(2020)98 final.</w:t>
      </w:r>
    </w:p>
  </w:footnote>
  <w:footnote w:id="28">
    <w:p w14:paraId="756C52CF" w14:textId="77777777" w:rsidR="0038775E" w:rsidRDefault="00877B9C">
      <w:pPr>
        <w:pStyle w:val="aff"/>
        <w:rPr>
          <w:lang w:eastAsia="ja-JP"/>
        </w:rPr>
      </w:pPr>
      <w:r>
        <w:rPr>
          <w:rStyle w:val="afa"/>
        </w:rPr>
        <w:footnoteRef/>
      </w:r>
      <w:r w:rsidRPr="00BA4E97">
        <w:rPr>
          <w:lang w:eastAsia="ja-JP"/>
        </w:rPr>
        <w:tab/>
      </w:r>
      <w:r w:rsidRPr="00440D19">
        <w:rPr>
          <w:lang w:eastAsia="ja-JP"/>
        </w:rPr>
        <w:t>欧州委員会から欧州議会、欧州理事会、欧州経済社会委員会、地域委員会へのコミュニケーション</w:t>
      </w:r>
      <w:r w:rsidRPr="00440D19">
        <w:rPr>
          <w:lang w:eastAsia="ja-JP"/>
        </w:rPr>
        <w:t xml:space="preserve"> </w:t>
      </w:r>
      <w:r w:rsidRPr="00A4330D">
        <w:rPr>
          <w:i/>
          <w:lang w:eastAsia="ja-JP"/>
        </w:rPr>
        <w:t>欧州の新しい産業戦略</w:t>
      </w:r>
      <w:r w:rsidRPr="00A4330D">
        <w:rPr>
          <w:i/>
          <w:lang w:eastAsia="ja-JP"/>
        </w:rPr>
        <w:t xml:space="preserve"> </w:t>
      </w:r>
      <w:r>
        <w:rPr>
          <w:lang w:eastAsia="ja-JP"/>
        </w:rPr>
        <w:t>COM(2020)102 final.</w:t>
      </w:r>
    </w:p>
  </w:footnote>
  <w:footnote w:id="29">
    <w:p w14:paraId="57B1C9C8" w14:textId="77777777" w:rsidR="0038775E" w:rsidRDefault="00877B9C">
      <w:pPr>
        <w:pStyle w:val="aff"/>
        <w:rPr>
          <w:lang w:eastAsia="ja-JP"/>
        </w:rPr>
      </w:pPr>
      <w:r>
        <w:rPr>
          <w:rStyle w:val="afa"/>
        </w:rPr>
        <w:footnoteRef/>
      </w:r>
      <w:r w:rsidRPr="00725380">
        <w:rPr>
          <w:lang w:eastAsia="ja-JP"/>
        </w:rPr>
        <w:tab/>
      </w:r>
      <w:r w:rsidRPr="00440D19">
        <w:rPr>
          <w:lang w:eastAsia="ja-JP"/>
        </w:rPr>
        <w:t>欧州委員会から欧州議会、欧州理事会、欧州経済社会委員会、地域委員会へのコミュニケーション</w:t>
      </w:r>
      <w:r w:rsidRPr="00440D19">
        <w:rPr>
          <w:lang w:eastAsia="ja-JP"/>
        </w:rPr>
        <w:t xml:space="preserve"> </w:t>
      </w:r>
      <w:r w:rsidRPr="00085A32">
        <w:rPr>
          <w:i/>
          <w:lang w:eastAsia="ja-JP"/>
        </w:rPr>
        <w:t>2020</w:t>
      </w:r>
      <w:r w:rsidRPr="00085A32">
        <w:rPr>
          <w:i/>
          <w:lang w:eastAsia="ja-JP"/>
        </w:rPr>
        <w:t>年新産業戦略を更新する：欧州復興のためのより強い単一市場の構築</w:t>
      </w:r>
      <w:r w:rsidRPr="00085A32">
        <w:rPr>
          <w:i/>
          <w:lang w:eastAsia="ja-JP"/>
        </w:rPr>
        <w:t xml:space="preserve"> </w:t>
      </w:r>
      <w:r>
        <w:rPr>
          <w:lang w:eastAsia="ja-JP"/>
        </w:rPr>
        <w:t>C</w:t>
      </w:r>
      <w:r>
        <w:rPr>
          <w:lang w:eastAsia="ja-JP"/>
        </w:rPr>
        <w:t>OM(2021)</w:t>
      </w:r>
      <w:r w:rsidRPr="00085A32">
        <w:rPr>
          <w:lang w:eastAsia="ja-JP"/>
        </w:rPr>
        <w:t>350 final</w:t>
      </w:r>
    </w:p>
  </w:footnote>
  <w:footnote w:id="30">
    <w:p w14:paraId="5A96DDCA" w14:textId="77777777" w:rsidR="0038775E" w:rsidRDefault="00877B9C">
      <w:pPr>
        <w:pStyle w:val="aff"/>
        <w:rPr>
          <w:lang w:eastAsia="ja-JP"/>
        </w:rPr>
      </w:pPr>
      <w:r>
        <w:rPr>
          <w:rStyle w:val="afa"/>
        </w:rPr>
        <w:footnoteRef/>
      </w:r>
      <w:r w:rsidRPr="00A073D2">
        <w:rPr>
          <w:lang w:eastAsia="ja-JP"/>
        </w:rPr>
        <w:tab/>
        <w:t>2009</w:t>
      </w:r>
      <w:r w:rsidRPr="00A073D2">
        <w:rPr>
          <w:lang w:eastAsia="ja-JP"/>
        </w:rPr>
        <w:t>年</w:t>
      </w:r>
      <w:r w:rsidRPr="00A073D2">
        <w:rPr>
          <w:lang w:eastAsia="ja-JP"/>
        </w:rPr>
        <w:t>10</w:t>
      </w:r>
      <w:r w:rsidRPr="00A073D2">
        <w:rPr>
          <w:lang w:eastAsia="ja-JP"/>
        </w:rPr>
        <w:t>月</w:t>
      </w:r>
      <w:r w:rsidRPr="00A073D2">
        <w:rPr>
          <w:lang w:eastAsia="ja-JP"/>
        </w:rPr>
        <w:t>21</w:t>
      </w:r>
      <w:r w:rsidRPr="00A073D2">
        <w:rPr>
          <w:lang w:eastAsia="ja-JP"/>
        </w:rPr>
        <w:t>日付欧州議会・理事会指令</w:t>
      </w:r>
      <w:r w:rsidRPr="00A073D2">
        <w:rPr>
          <w:lang w:eastAsia="ja-JP"/>
        </w:rPr>
        <w:t xml:space="preserve">2009/125/EC </w:t>
      </w:r>
      <w:r w:rsidRPr="00A073D2">
        <w:rPr>
          <w:lang w:eastAsia="ja-JP"/>
        </w:rPr>
        <w:t>エネルギー関連製品のエコデザイン要件設定のための枠組みを定める指令（</w:t>
      </w:r>
      <w:r w:rsidRPr="00A073D2">
        <w:rPr>
          <w:lang w:eastAsia="ja-JP"/>
        </w:rPr>
        <w:t>EEA</w:t>
      </w:r>
      <w:r w:rsidRPr="00A073D2">
        <w:rPr>
          <w:lang w:eastAsia="ja-JP"/>
        </w:rPr>
        <w:t>関連文書）</w:t>
      </w:r>
      <w:r>
        <w:rPr>
          <w:lang w:eastAsia="ja-JP"/>
        </w:rPr>
        <w:t>（</w:t>
      </w:r>
      <w:r w:rsidRPr="00085A32">
        <w:rPr>
          <w:lang w:eastAsia="ja-JP"/>
        </w:rPr>
        <w:t>OJ L 285, 31.10.2009, p. 10</w:t>
      </w:r>
      <w:r>
        <w:rPr>
          <w:lang w:eastAsia="ja-JP"/>
        </w:rPr>
        <w:t>）。</w:t>
      </w:r>
    </w:p>
  </w:footnote>
  <w:footnote w:id="31">
    <w:p w14:paraId="68C769F1" w14:textId="77777777" w:rsidR="0038775E" w:rsidRDefault="00877B9C">
      <w:pPr>
        <w:pStyle w:val="aff"/>
        <w:rPr>
          <w:lang w:eastAsia="ja-JP"/>
        </w:rPr>
      </w:pPr>
      <w:r>
        <w:rPr>
          <w:rStyle w:val="afa"/>
        </w:rPr>
        <w:footnoteRef/>
      </w:r>
      <w:r w:rsidRPr="001A0511">
        <w:rPr>
          <w:lang w:val="en-IE" w:eastAsia="ja-JP"/>
        </w:rPr>
        <w:tab/>
      </w:r>
      <w:r w:rsidRPr="2CC8E316">
        <w:rPr>
          <w:lang w:eastAsia="ja-JP"/>
        </w:rPr>
        <w:t>P9_TA(2020)0318</w:t>
      </w:r>
      <w:r>
        <w:rPr>
          <w:lang w:eastAsia="ja-JP"/>
        </w:rPr>
        <w:t>です。</w:t>
      </w:r>
    </w:p>
  </w:footnote>
  <w:footnote w:id="32">
    <w:p w14:paraId="45384168" w14:textId="77777777" w:rsidR="0038775E" w:rsidRDefault="00877B9C">
      <w:pPr>
        <w:pStyle w:val="aff"/>
        <w:rPr>
          <w:lang w:eastAsia="ja-JP"/>
        </w:rPr>
      </w:pPr>
      <w:r>
        <w:rPr>
          <w:rStyle w:val="afa"/>
        </w:rPr>
        <w:footnoteRef/>
      </w:r>
      <w:r w:rsidRPr="00575C73">
        <w:rPr>
          <w:lang w:eastAsia="ja-JP"/>
        </w:rPr>
        <w:tab/>
      </w:r>
      <w:hyperlink r:id="rId9" w:history="1">
        <w:r>
          <w:rPr>
            <w:rStyle w:val="a6"/>
            <w:lang w:eastAsia="ja-JP"/>
          </w:rPr>
          <w:t>P9_TA(2021)0040</w:t>
        </w:r>
      </w:hyperlink>
      <w:r>
        <w:rPr>
          <w:rStyle w:val="a6"/>
          <w:lang w:eastAsia="ja-JP"/>
        </w:rPr>
        <w:t>です。</w:t>
      </w:r>
    </w:p>
  </w:footnote>
  <w:footnote w:id="33">
    <w:p w14:paraId="1A31FA1E" w14:textId="77777777" w:rsidR="0038775E" w:rsidRDefault="00877B9C">
      <w:pPr>
        <w:pStyle w:val="aff"/>
        <w:rPr>
          <w:lang w:eastAsia="ja-JP"/>
        </w:rPr>
      </w:pPr>
      <w:r>
        <w:rPr>
          <w:rStyle w:val="afa"/>
        </w:rPr>
        <w:footnoteRef/>
      </w:r>
      <w:r w:rsidRPr="00253723">
        <w:rPr>
          <w:lang w:eastAsia="ja-JP"/>
        </w:rPr>
        <w:tab/>
      </w:r>
      <w:r w:rsidRPr="008A1AFF">
        <w:rPr>
          <w:lang w:eastAsia="ja-JP"/>
        </w:rPr>
        <w:t>13852/20</w:t>
      </w:r>
      <w:r>
        <w:rPr>
          <w:lang w:eastAsia="ja-JP"/>
        </w:rPr>
        <w:t>.</w:t>
      </w:r>
    </w:p>
  </w:footnote>
  <w:footnote w:id="34">
    <w:p w14:paraId="0A550161" w14:textId="77777777" w:rsidR="0038775E" w:rsidRDefault="00877B9C">
      <w:pPr>
        <w:pStyle w:val="aff"/>
        <w:rPr>
          <w:lang w:eastAsia="ja-JP"/>
        </w:rPr>
      </w:pPr>
      <w:r>
        <w:rPr>
          <w:rStyle w:val="afa"/>
        </w:rPr>
        <w:footnoteRef/>
      </w:r>
      <w:r w:rsidRPr="00253723">
        <w:rPr>
          <w:lang w:eastAsia="ja-JP"/>
        </w:rPr>
        <w:tab/>
      </w:r>
      <w:r>
        <w:rPr>
          <w:lang w:eastAsia="ja-JP"/>
        </w:rPr>
        <w:t>気候変動に関する国連枠組条約の下で採択されたパリ協定の欧州連合を代表する締結に関する</w:t>
      </w:r>
      <w:r>
        <w:rPr>
          <w:lang w:eastAsia="ja-JP"/>
        </w:rPr>
        <w:t>2016</w:t>
      </w:r>
      <w:r>
        <w:rPr>
          <w:lang w:eastAsia="ja-JP"/>
        </w:rPr>
        <w:t>年</w:t>
      </w:r>
      <w:r>
        <w:rPr>
          <w:lang w:eastAsia="ja-JP"/>
        </w:rPr>
        <w:t>10</w:t>
      </w:r>
      <w:r>
        <w:rPr>
          <w:lang w:eastAsia="ja-JP"/>
        </w:rPr>
        <w:t>月</w:t>
      </w:r>
      <w:r>
        <w:rPr>
          <w:lang w:eastAsia="ja-JP"/>
        </w:rPr>
        <w:t>5</w:t>
      </w:r>
      <w:r>
        <w:rPr>
          <w:lang w:eastAsia="ja-JP"/>
        </w:rPr>
        <w:t>日の理事会決定（</w:t>
      </w:r>
      <w:r>
        <w:rPr>
          <w:lang w:eastAsia="ja-JP"/>
        </w:rPr>
        <w:t>EU</w:t>
      </w:r>
      <w:r>
        <w:rPr>
          <w:lang w:eastAsia="ja-JP"/>
        </w:rPr>
        <w:t>）</w:t>
      </w:r>
      <w:r>
        <w:rPr>
          <w:lang w:eastAsia="ja-JP"/>
        </w:rPr>
        <w:t>2016/1841</w:t>
      </w:r>
      <w:r>
        <w:rPr>
          <w:lang w:eastAsia="ja-JP"/>
        </w:rPr>
        <w:t>（</w:t>
      </w:r>
      <w:r w:rsidRPr="00A93203">
        <w:rPr>
          <w:lang w:eastAsia="ja-JP"/>
        </w:rPr>
        <w:t>OJ L 282, 19.10.2016, p.</w:t>
      </w:r>
      <w:r>
        <w:rPr>
          <w:lang w:eastAsia="ja-JP"/>
        </w:rPr>
        <w:t>1</w:t>
      </w:r>
      <w:r>
        <w:rPr>
          <w:lang w:eastAsia="ja-JP"/>
        </w:rPr>
        <w:t>）</w:t>
      </w:r>
      <w:r>
        <w:rPr>
          <w:lang w:eastAsia="ja-JP"/>
        </w:rPr>
        <w:t>.</w:t>
      </w:r>
    </w:p>
  </w:footnote>
  <w:footnote w:id="35">
    <w:p w14:paraId="7A22ADB7" w14:textId="77777777" w:rsidR="0038775E" w:rsidRDefault="00877B9C">
      <w:pPr>
        <w:pStyle w:val="aff"/>
        <w:rPr>
          <w:lang w:eastAsia="ja-JP"/>
        </w:rPr>
      </w:pPr>
      <w:r>
        <w:rPr>
          <w:rStyle w:val="afa"/>
        </w:rPr>
        <w:footnoteRef/>
      </w:r>
      <w:r w:rsidRPr="00253723">
        <w:rPr>
          <w:lang w:eastAsia="ja-JP"/>
        </w:rPr>
        <w:tab/>
      </w:r>
      <w:r>
        <w:rPr>
          <w:lang w:eastAsia="ja-JP"/>
        </w:rPr>
        <w:t>2021</w:t>
      </w:r>
      <w:r>
        <w:rPr>
          <w:lang w:eastAsia="ja-JP"/>
        </w:rPr>
        <w:t>年</w:t>
      </w:r>
      <w:r>
        <w:rPr>
          <w:lang w:eastAsia="ja-JP"/>
        </w:rPr>
        <w:t>6</w:t>
      </w:r>
      <w:r>
        <w:rPr>
          <w:lang w:eastAsia="ja-JP"/>
        </w:rPr>
        <w:t>月</w:t>
      </w:r>
      <w:r>
        <w:rPr>
          <w:lang w:eastAsia="ja-JP"/>
        </w:rPr>
        <w:t>30</w:t>
      </w:r>
      <w:r>
        <w:rPr>
          <w:lang w:eastAsia="ja-JP"/>
        </w:rPr>
        <w:t>日付欧州議会及び理事会規則（</w:t>
      </w:r>
      <w:r>
        <w:rPr>
          <w:lang w:eastAsia="ja-JP"/>
        </w:rPr>
        <w:t>EU</w:t>
      </w:r>
      <w:r>
        <w:rPr>
          <w:lang w:eastAsia="ja-JP"/>
        </w:rPr>
        <w:t>）</w:t>
      </w:r>
      <w:r>
        <w:rPr>
          <w:lang w:eastAsia="ja-JP"/>
        </w:rPr>
        <w:t>2021/1119</w:t>
      </w:r>
      <w:r>
        <w:rPr>
          <w:lang w:eastAsia="ja-JP"/>
        </w:rPr>
        <w:t>気候中立性達成のための枠組みを確立し、規則（</w:t>
      </w:r>
      <w:r>
        <w:rPr>
          <w:lang w:eastAsia="ja-JP"/>
        </w:rPr>
        <w:t>EC</w:t>
      </w:r>
      <w:r>
        <w:rPr>
          <w:lang w:eastAsia="ja-JP"/>
        </w:rPr>
        <w:t>）</w:t>
      </w:r>
      <w:r>
        <w:rPr>
          <w:lang w:eastAsia="ja-JP"/>
        </w:rPr>
        <w:t>No 401/2009</w:t>
      </w:r>
      <w:r>
        <w:rPr>
          <w:lang w:eastAsia="ja-JP"/>
        </w:rPr>
        <w:t>及び（</w:t>
      </w:r>
      <w:r>
        <w:rPr>
          <w:lang w:eastAsia="ja-JP"/>
        </w:rPr>
        <w:t>EU</w:t>
      </w:r>
      <w:r>
        <w:rPr>
          <w:lang w:eastAsia="ja-JP"/>
        </w:rPr>
        <w:t>）</w:t>
      </w:r>
      <w:r>
        <w:rPr>
          <w:lang w:eastAsia="ja-JP"/>
        </w:rPr>
        <w:t>2018/1999</w:t>
      </w:r>
      <w:r>
        <w:rPr>
          <w:lang w:eastAsia="ja-JP"/>
        </w:rPr>
        <w:t>（「欧州気候法」）を改正（</w:t>
      </w:r>
      <w:r w:rsidRPr="00466B56">
        <w:rPr>
          <w:lang w:eastAsia="ja-JP"/>
        </w:rPr>
        <w:t xml:space="preserve">OJ L 243, 9.7.2021, p.1 </w:t>
      </w:r>
      <w:r>
        <w:rPr>
          <w:lang w:eastAsia="ja-JP"/>
        </w:rPr>
        <w:t>).</w:t>
      </w:r>
    </w:p>
  </w:footnote>
  <w:footnote w:id="36">
    <w:p w14:paraId="1F6F50A0" w14:textId="77777777" w:rsidR="0038775E" w:rsidRDefault="00877B9C">
      <w:pPr>
        <w:pStyle w:val="aff"/>
      </w:pPr>
      <w:r>
        <w:rPr>
          <w:rStyle w:val="afa"/>
        </w:rPr>
        <w:footnoteRef/>
      </w:r>
      <w:r w:rsidRPr="00E86581">
        <w:tab/>
      </w:r>
      <w:hyperlink r:id="rId10" w:history="1">
        <w:r w:rsidRPr="00C80B49">
          <w:rPr>
            <w:rStyle w:val="a6"/>
          </w:rPr>
          <w:t>https://ec.europa.eu/commission/presscorner/detail/en/</w:t>
        </w:r>
        <w:r w:rsidRPr="00C80B49">
          <w:rPr>
            <w:rStyle w:val="a6"/>
          </w:rPr>
          <w:t xml:space="preserve">IP_21_3541 </w:t>
        </w:r>
      </w:hyperlink>
    </w:p>
  </w:footnote>
  <w:footnote w:id="37">
    <w:p w14:paraId="0C74C971" w14:textId="77777777" w:rsidR="0038775E" w:rsidRDefault="00877B9C">
      <w:pPr>
        <w:pStyle w:val="aff"/>
        <w:rPr>
          <w:lang w:eastAsia="ja-JP"/>
        </w:rPr>
      </w:pPr>
      <w:r>
        <w:rPr>
          <w:rStyle w:val="afa"/>
        </w:rPr>
        <w:footnoteRef/>
      </w:r>
      <w:r w:rsidRPr="006F613E">
        <w:rPr>
          <w:lang w:eastAsia="ja-JP"/>
        </w:rPr>
        <w:tab/>
      </w:r>
      <w:r w:rsidRPr="006F613E">
        <w:rPr>
          <w:lang w:eastAsia="ja-JP"/>
        </w:rPr>
        <w:t>エネルギー効率に関する指令</w:t>
      </w:r>
      <w:r w:rsidRPr="006F613E">
        <w:rPr>
          <w:lang w:eastAsia="ja-JP"/>
        </w:rPr>
        <w:t>2012/27/EU</w:t>
      </w:r>
      <w:r w:rsidRPr="006F613E">
        <w:rPr>
          <w:lang w:eastAsia="ja-JP"/>
        </w:rPr>
        <w:t>を改正する</w:t>
      </w:r>
      <w:r w:rsidRPr="006F613E">
        <w:rPr>
          <w:lang w:eastAsia="ja-JP"/>
        </w:rPr>
        <w:t>2018</w:t>
      </w:r>
      <w:r w:rsidRPr="006F613E">
        <w:rPr>
          <w:lang w:eastAsia="ja-JP"/>
        </w:rPr>
        <w:t>年</w:t>
      </w:r>
      <w:r w:rsidRPr="006F613E">
        <w:rPr>
          <w:lang w:eastAsia="ja-JP"/>
        </w:rPr>
        <w:t>12</w:t>
      </w:r>
      <w:r w:rsidRPr="006F613E">
        <w:rPr>
          <w:lang w:eastAsia="ja-JP"/>
        </w:rPr>
        <w:t>月</w:t>
      </w:r>
      <w:r w:rsidRPr="006F613E">
        <w:rPr>
          <w:lang w:eastAsia="ja-JP"/>
        </w:rPr>
        <w:t>11</w:t>
      </w:r>
      <w:r w:rsidRPr="006F613E">
        <w:rPr>
          <w:lang w:eastAsia="ja-JP"/>
        </w:rPr>
        <w:t>日の欧州議会および理事会の指令（</w:t>
      </w:r>
      <w:r w:rsidRPr="006F613E">
        <w:rPr>
          <w:lang w:eastAsia="ja-JP"/>
        </w:rPr>
        <w:t>EU</w:t>
      </w:r>
      <w:r w:rsidRPr="006F613E">
        <w:rPr>
          <w:lang w:eastAsia="ja-JP"/>
        </w:rPr>
        <w:t>）</w:t>
      </w:r>
      <w:r w:rsidRPr="006F613E">
        <w:rPr>
          <w:lang w:eastAsia="ja-JP"/>
        </w:rPr>
        <w:t>2018/2002</w:t>
      </w:r>
      <w:r>
        <w:rPr>
          <w:lang w:eastAsia="ja-JP"/>
        </w:rPr>
        <w:t>（</w:t>
      </w:r>
      <w:r w:rsidRPr="006F613E">
        <w:rPr>
          <w:lang w:eastAsia="ja-JP"/>
        </w:rPr>
        <w:t>OJ L 328, 21.12.2018, p.</w:t>
      </w:r>
      <w:r>
        <w:rPr>
          <w:lang w:eastAsia="ja-JP"/>
        </w:rPr>
        <w:t>210</w:t>
      </w:r>
      <w:r>
        <w:rPr>
          <w:lang w:eastAsia="ja-JP"/>
        </w:rPr>
        <w:t>）</w:t>
      </w:r>
      <w:r>
        <w:rPr>
          <w:lang w:eastAsia="ja-JP"/>
        </w:rPr>
        <w:t>.</w:t>
      </w:r>
    </w:p>
  </w:footnote>
  <w:footnote w:id="38">
    <w:p w14:paraId="7760BA2E" w14:textId="77777777" w:rsidR="0038775E" w:rsidRDefault="00877B9C">
      <w:pPr>
        <w:pStyle w:val="aff"/>
      </w:pPr>
      <w:r>
        <w:rPr>
          <w:rStyle w:val="afa"/>
        </w:rPr>
        <w:footnoteRef/>
      </w:r>
      <w:r w:rsidRPr="00BA4E97">
        <w:tab/>
      </w:r>
      <w:r>
        <w:t>気候目標計画に伴う影響評価（</w:t>
      </w:r>
      <w:r w:rsidRPr="00A4330D">
        <w:rPr>
          <w:i/>
        </w:rPr>
        <w:t>Stepping up Europe's 2030 climate ambition - Investing in a climate-neutral future for benefi</w:t>
      </w:r>
      <w:r w:rsidRPr="00A4330D">
        <w:rPr>
          <w:i/>
        </w:rPr>
        <w:t>t of our people</w:t>
      </w:r>
      <w:r>
        <w:t>, COM/2020/562 final</w:t>
      </w:r>
      <w:r>
        <w:t>）および【エネルギー効率指令案】によれば、以下のとおりです。</w:t>
      </w:r>
    </w:p>
  </w:footnote>
  <w:footnote w:id="39">
    <w:p w14:paraId="54D37783" w14:textId="77777777" w:rsidR="0038775E" w:rsidRDefault="00877B9C">
      <w:pPr>
        <w:pStyle w:val="aff"/>
        <w:rPr>
          <w:lang w:eastAsia="ja-JP"/>
        </w:rPr>
      </w:pPr>
      <w:r>
        <w:rPr>
          <w:rStyle w:val="afa"/>
        </w:rPr>
        <w:footnoteRef/>
      </w:r>
      <w:r w:rsidRPr="006F613E">
        <w:rPr>
          <w:lang w:eastAsia="ja-JP"/>
        </w:rPr>
        <w:tab/>
      </w:r>
      <w:r>
        <w:rPr>
          <w:lang w:eastAsia="ja-JP"/>
        </w:rPr>
        <w:t>2030</w:t>
      </w:r>
      <w:r>
        <w:rPr>
          <w:lang w:eastAsia="ja-JP"/>
        </w:rPr>
        <w:t>年までの一般連合環境行動計画に関する</w:t>
      </w:r>
      <w:r>
        <w:rPr>
          <w:lang w:eastAsia="ja-JP"/>
        </w:rPr>
        <w:t>...</w:t>
      </w:r>
      <w:r>
        <w:rPr>
          <w:lang w:eastAsia="ja-JP"/>
        </w:rPr>
        <w:t>の欧州議会及び理事会の決定（</w:t>
      </w:r>
      <w:r>
        <w:rPr>
          <w:lang w:eastAsia="ja-JP"/>
        </w:rPr>
        <w:t>EU</w:t>
      </w:r>
      <w:r>
        <w:rPr>
          <w:lang w:eastAsia="ja-JP"/>
        </w:rPr>
        <w:t>）</w:t>
      </w:r>
      <w:r>
        <w:rPr>
          <w:lang w:eastAsia="ja-JP"/>
        </w:rPr>
        <w:t>2022/...</w:t>
      </w:r>
      <w:r w:rsidRPr="00B52D4A">
        <w:rPr>
          <w:lang w:eastAsia="ja-JP"/>
        </w:rPr>
        <w:t>［</w:t>
      </w:r>
      <w:r>
        <w:rPr>
          <w:lang w:eastAsia="ja-JP"/>
        </w:rPr>
        <w:t>OJ</w:t>
      </w:r>
      <w:r>
        <w:rPr>
          <w:lang w:eastAsia="ja-JP"/>
        </w:rPr>
        <w:t>に掲載された</w:t>
      </w:r>
      <w:r w:rsidRPr="00B52D4A">
        <w:rPr>
          <w:lang w:eastAsia="ja-JP"/>
        </w:rPr>
        <w:t>時点で参照先を追加</w:t>
      </w:r>
      <w:r>
        <w:rPr>
          <w:lang w:eastAsia="ja-JP"/>
        </w:rPr>
        <w:t>-</w:t>
      </w:r>
      <w:r w:rsidRPr="00B52D4A">
        <w:rPr>
          <w:lang w:eastAsia="ja-JP"/>
        </w:rPr>
        <w:t>2021</w:t>
      </w:r>
      <w:r w:rsidRPr="00B52D4A">
        <w:rPr>
          <w:lang w:eastAsia="ja-JP"/>
        </w:rPr>
        <w:t>年</w:t>
      </w:r>
      <w:r w:rsidRPr="00B52D4A">
        <w:rPr>
          <w:lang w:eastAsia="ja-JP"/>
        </w:rPr>
        <w:t>12</w:t>
      </w:r>
      <w:r w:rsidRPr="00B52D4A">
        <w:rPr>
          <w:lang w:eastAsia="ja-JP"/>
        </w:rPr>
        <w:t>月</w:t>
      </w:r>
      <w:r>
        <w:rPr>
          <w:lang w:eastAsia="ja-JP"/>
        </w:rPr>
        <w:t>2</w:t>
      </w:r>
      <w:r>
        <w:rPr>
          <w:lang w:eastAsia="ja-JP"/>
        </w:rPr>
        <w:t>日の三国同盟合意</w:t>
      </w:r>
      <w:r w:rsidRPr="00B52D4A">
        <w:rPr>
          <w:lang w:eastAsia="ja-JP"/>
        </w:rPr>
        <w:t>］</w:t>
      </w:r>
      <w:r>
        <w:rPr>
          <w:lang w:eastAsia="ja-JP"/>
        </w:rPr>
        <w:t>。</w:t>
      </w:r>
    </w:p>
  </w:footnote>
  <w:footnote w:id="40">
    <w:p w14:paraId="4F9CBFB8" w14:textId="77777777" w:rsidR="0038775E" w:rsidRDefault="00877B9C">
      <w:pPr>
        <w:pStyle w:val="aff"/>
      </w:pPr>
      <w:r>
        <w:rPr>
          <w:rStyle w:val="afa"/>
        </w:rPr>
        <w:footnoteRef/>
      </w:r>
      <w:r w:rsidRPr="00287860">
        <w:tab/>
      </w:r>
      <w:r w:rsidRPr="004027D8">
        <w:t>EU</w:t>
      </w:r>
      <w:r w:rsidRPr="004027D8">
        <w:t>行動計画</w:t>
      </w:r>
      <w:r w:rsidRPr="00416030">
        <w:rPr>
          <w:i/>
        </w:rPr>
        <w:t xml:space="preserve">Towards zero pollution for air, water and soil </w:t>
      </w:r>
      <w:r>
        <w:t>(COM(</w:t>
      </w:r>
      <w:r w:rsidRPr="00C873C0">
        <w:t>2021</w:t>
      </w:r>
      <w:r>
        <w:t>)</w:t>
      </w:r>
      <w:r w:rsidRPr="00C873C0">
        <w:t>400 final)</w:t>
      </w:r>
      <w:r w:rsidRPr="00EC0E40">
        <w:rPr>
          <w:iCs/>
        </w:rPr>
        <w:t>や</w:t>
      </w:r>
      <w:r>
        <w:rPr>
          <w:i/>
        </w:rPr>
        <w:t xml:space="preserve">Chemicals Strategy for Sustainability </w:t>
      </w:r>
      <w:r>
        <w:t>(</w:t>
      </w:r>
      <w:r w:rsidRPr="00C873C0">
        <w:t>COM(</w:t>
      </w:r>
      <w:r>
        <w:t>2020)667 final)</w:t>
      </w:r>
      <w:r>
        <w:t>で定められているように、</w:t>
      </w:r>
      <w:r w:rsidRPr="004027D8">
        <w:t>生産と消費において汚染ゼロ目標を受け入れることが求められている。</w:t>
      </w:r>
    </w:p>
  </w:footnote>
  <w:footnote w:id="41">
    <w:p w14:paraId="4B73DB99" w14:textId="77777777" w:rsidR="0038775E" w:rsidRDefault="00877B9C">
      <w:pPr>
        <w:pStyle w:val="aff"/>
        <w:rPr>
          <w:lang w:eastAsia="ja-JP"/>
        </w:rPr>
      </w:pPr>
      <w:r>
        <w:rPr>
          <w:rStyle w:val="afa"/>
        </w:rPr>
        <w:footnoteRef/>
      </w:r>
      <w:r w:rsidRPr="00F84A92">
        <w:rPr>
          <w:lang w:eastAsia="ja-JP"/>
        </w:rPr>
        <w:tab/>
      </w:r>
      <w:r>
        <w:rPr>
          <w:lang w:eastAsia="ja-JP"/>
        </w:rPr>
        <w:t>特に</w:t>
      </w:r>
      <w:r>
        <w:rPr>
          <w:lang w:eastAsia="ja-JP"/>
        </w:rPr>
        <w:t>SDG12</w:t>
      </w:r>
      <w:r>
        <w:rPr>
          <w:lang w:eastAsia="ja-JP"/>
        </w:rPr>
        <w:t>（「責任ある消費と生産」）のターゲットが含まれます。</w:t>
      </w:r>
    </w:p>
  </w:footnote>
  <w:footnote w:id="42">
    <w:p w14:paraId="36BC49AF" w14:textId="77777777" w:rsidR="0038775E" w:rsidRDefault="00877B9C">
      <w:pPr>
        <w:pStyle w:val="aff"/>
        <w:rPr>
          <w:lang w:eastAsia="ja-JP"/>
        </w:rPr>
      </w:pPr>
      <w:r>
        <w:rPr>
          <w:rStyle w:val="afa"/>
        </w:rPr>
        <w:footnoteRef/>
      </w:r>
      <w:r w:rsidRPr="000728B3">
        <w:rPr>
          <w:lang w:eastAsia="ja-JP"/>
        </w:rPr>
        <w:tab/>
      </w:r>
      <w:r w:rsidRPr="000728B3">
        <w:rPr>
          <w:lang w:eastAsia="ja-JP"/>
        </w:rPr>
        <w:t>エネルギーラベルの枠組みを設定し、</w:t>
      </w:r>
      <w:r>
        <w:rPr>
          <w:lang w:eastAsia="ja-JP"/>
        </w:rPr>
        <w:t>指令</w:t>
      </w:r>
      <w:r>
        <w:rPr>
          <w:lang w:eastAsia="ja-JP"/>
        </w:rPr>
        <w:t>2010/30/EU</w:t>
      </w:r>
      <w:r>
        <w:rPr>
          <w:lang w:eastAsia="ja-JP"/>
        </w:rPr>
        <w:t>を</w:t>
      </w:r>
      <w:r w:rsidRPr="000728B3">
        <w:rPr>
          <w:lang w:eastAsia="ja-JP"/>
        </w:rPr>
        <w:tab/>
      </w:r>
      <w:r w:rsidRPr="000728B3">
        <w:rPr>
          <w:lang w:eastAsia="ja-JP"/>
        </w:rPr>
        <w:t>廃止する</w:t>
      </w:r>
      <w:r w:rsidRPr="000728B3">
        <w:rPr>
          <w:lang w:eastAsia="ja-JP"/>
        </w:rPr>
        <w:t>2017</w:t>
      </w:r>
      <w:r w:rsidRPr="000728B3">
        <w:rPr>
          <w:lang w:eastAsia="ja-JP"/>
        </w:rPr>
        <w:t>年</w:t>
      </w:r>
      <w:r w:rsidRPr="000728B3">
        <w:rPr>
          <w:lang w:eastAsia="ja-JP"/>
        </w:rPr>
        <w:t>7</w:t>
      </w:r>
      <w:r w:rsidRPr="000728B3">
        <w:rPr>
          <w:lang w:eastAsia="ja-JP"/>
        </w:rPr>
        <w:t>月</w:t>
      </w:r>
      <w:r w:rsidRPr="000728B3">
        <w:rPr>
          <w:lang w:eastAsia="ja-JP"/>
        </w:rPr>
        <w:t>4</w:t>
      </w:r>
      <w:r w:rsidRPr="000728B3">
        <w:rPr>
          <w:lang w:eastAsia="ja-JP"/>
        </w:rPr>
        <w:t>日の欧州議会および理事会の規則（</w:t>
      </w:r>
      <w:r w:rsidRPr="000728B3">
        <w:rPr>
          <w:lang w:eastAsia="ja-JP"/>
        </w:rPr>
        <w:t>EU</w:t>
      </w:r>
      <w:r w:rsidRPr="000728B3">
        <w:rPr>
          <w:lang w:eastAsia="ja-JP"/>
        </w:rPr>
        <w:t>）</w:t>
      </w:r>
      <w:r w:rsidRPr="000728B3">
        <w:rPr>
          <w:lang w:eastAsia="ja-JP"/>
        </w:rPr>
        <w:t>2017/1369</w:t>
      </w:r>
      <w:r>
        <w:rPr>
          <w:lang w:eastAsia="ja-JP"/>
        </w:rPr>
        <w:t>（</w:t>
      </w:r>
      <w:r>
        <w:rPr>
          <w:lang w:eastAsia="ja-JP"/>
        </w:rPr>
        <w:t>OJ L 198, 28.7.2017, p. 1</w:t>
      </w:r>
      <w:r>
        <w:rPr>
          <w:lang w:eastAsia="ja-JP"/>
        </w:rPr>
        <w:t>）</w:t>
      </w:r>
      <w:r>
        <w:rPr>
          <w:lang w:eastAsia="ja-JP"/>
        </w:rPr>
        <w:t>.</w:t>
      </w:r>
    </w:p>
  </w:footnote>
  <w:footnote w:id="43">
    <w:p w14:paraId="706394E4" w14:textId="77777777" w:rsidR="0038775E" w:rsidRDefault="00877B9C">
      <w:pPr>
        <w:pStyle w:val="aff"/>
        <w:rPr>
          <w:lang w:eastAsia="ja-JP"/>
        </w:rPr>
      </w:pPr>
      <w:r>
        <w:rPr>
          <w:rStyle w:val="afa"/>
        </w:rPr>
        <w:footnoteRef/>
      </w:r>
      <w:r w:rsidRPr="00BA4E97">
        <w:rPr>
          <w:lang w:eastAsia="ja-JP"/>
        </w:rPr>
        <w:tab/>
      </w:r>
      <w:r w:rsidRPr="00E33890">
        <w:rPr>
          <w:lang w:eastAsia="ja-JP"/>
        </w:rPr>
        <w:t>EU</w:t>
      </w:r>
      <w:r w:rsidRPr="00E33890">
        <w:rPr>
          <w:lang w:eastAsia="ja-JP"/>
        </w:rPr>
        <w:t>エコラベルに関する</w:t>
      </w:r>
      <w:r w:rsidRPr="00E33890">
        <w:rPr>
          <w:lang w:eastAsia="ja-JP"/>
        </w:rPr>
        <w:t>20</w:t>
      </w:r>
      <w:r w:rsidRPr="00E33890">
        <w:rPr>
          <w:lang w:eastAsia="ja-JP"/>
        </w:rPr>
        <w:t>09</w:t>
      </w:r>
      <w:r w:rsidRPr="00E33890">
        <w:rPr>
          <w:lang w:eastAsia="ja-JP"/>
        </w:rPr>
        <w:t>年</w:t>
      </w:r>
      <w:r w:rsidRPr="00E33890">
        <w:rPr>
          <w:lang w:eastAsia="ja-JP"/>
        </w:rPr>
        <w:t>11</w:t>
      </w:r>
      <w:r w:rsidRPr="00E33890">
        <w:rPr>
          <w:lang w:eastAsia="ja-JP"/>
        </w:rPr>
        <w:t>月</w:t>
      </w:r>
      <w:r w:rsidRPr="00E33890">
        <w:rPr>
          <w:lang w:eastAsia="ja-JP"/>
        </w:rPr>
        <w:t>25</w:t>
      </w:r>
      <w:r w:rsidRPr="00E33890">
        <w:rPr>
          <w:lang w:eastAsia="ja-JP"/>
        </w:rPr>
        <w:t>日の欧州議会および理事会の規則（</w:t>
      </w:r>
      <w:r w:rsidRPr="00E33890">
        <w:rPr>
          <w:lang w:eastAsia="ja-JP"/>
        </w:rPr>
        <w:t>EC</w:t>
      </w:r>
      <w:r w:rsidRPr="00E33890">
        <w:rPr>
          <w:lang w:eastAsia="ja-JP"/>
        </w:rPr>
        <w:t>）</w:t>
      </w:r>
      <w:r w:rsidRPr="00E33890">
        <w:rPr>
          <w:lang w:eastAsia="ja-JP"/>
        </w:rPr>
        <w:t>No 66/2010</w:t>
      </w:r>
      <w:r w:rsidRPr="00E33890">
        <w:rPr>
          <w:lang w:eastAsia="ja-JP"/>
        </w:rPr>
        <w:t>（</w:t>
      </w:r>
      <w:r w:rsidRPr="00E33890">
        <w:rPr>
          <w:lang w:eastAsia="ja-JP"/>
        </w:rPr>
        <w:t>OJ L 27, 30.1.2010, p. 1</w:t>
      </w:r>
      <w:r>
        <w:rPr>
          <w:lang w:eastAsia="ja-JP"/>
        </w:rPr>
        <w:t>）</w:t>
      </w:r>
      <w:r w:rsidRPr="00E33890">
        <w:rPr>
          <w:lang w:eastAsia="ja-JP"/>
        </w:rPr>
        <w:t>。</w:t>
      </w:r>
    </w:p>
  </w:footnote>
  <w:footnote w:id="44">
    <w:p w14:paraId="3753D242" w14:textId="77777777" w:rsidR="0038775E" w:rsidRDefault="00877B9C">
      <w:pPr>
        <w:pStyle w:val="aff"/>
        <w:rPr>
          <w:lang w:eastAsia="ja-JP"/>
        </w:rPr>
      </w:pPr>
      <w:r>
        <w:rPr>
          <w:rStyle w:val="afa"/>
        </w:rPr>
        <w:footnoteRef/>
      </w:r>
      <w:r w:rsidRPr="00CB2DB1">
        <w:rPr>
          <w:lang w:eastAsia="ja-JP"/>
        </w:rPr>
        <w:tab/>
      </w:r>
      <w:r w:rsidRPr="00F634C6">
        <w:rPr>
          <w:lang w:eastAsia="ja-JP"/>
        </w:rPr>
        <w:t>コミュニケーション「より良い環境のための公共調達」（</w:t>
      </w:r>
      <w:r w:rsidRPr="00F634C6">
        <w:rPr>
          <w:lang w:eastAsia="ja-JP"/>
        </w:rPr>
        <w:t>COM (2008) 400</w:t>
      </w:r>
      <w:r w:rsidRPr="00F634C6">
        <w:rPr>
          <w:lang w:eastAsia="ja-JP"/>
        </w:rPr>
        <w:t>）</w:t>
      </w:r>
      <w:r w:rsidRPr="00F634C6">
        <w:rPr>
          <w:lang w:eastAsia="ja-JP"/>
        </w:rPr>
        <w:t xml:space="preserve"> </w:t>
      </w:r>
      <w:hyperlink r:id="rId11" w:history="1">
        <w:r w:rsidRPr="00253723">
          <w:rPr>
            <w:rStyle w:val="a6"/>
            <w:lang w:eastAsia="ja-JP"/>
          </w:rPr>
          <w:t>https://ec.europa.eu/environment/gpp/eu_gpp_criteria_en.htm</w:t>
        </w:r>
      </w:hyperlink>
    </w:p>
  </w:footnote>
  <w:footnote w:id="45">
    <w:p w14:paraId="25B60951" w14:textId="77777777" w:rsidR="0038775E" w:rsidRDefault="00877B9C">
      <w:pPr>
        <w:pStyle w:val="aff"/>
        <w:rPr>
          <w:lang w:eastAsia="ja-JP"/>
        </w:rPr>
      </w:pPr>
      <w:r>
        <w:rPr>
          <w:rStyle w:val="afa"/>
        </w:rPr>
        <w:footnoteRef/>
      </w:r>
      <w:r w:rsidRPr="00F37D26">
        <w:rPr>
          <w:lang w:eastAsia="ja-JP"/>
        </w:rPr>
        <w:tab/>
        <w:t>2002</w:t>
      </w:r>
      <w:r w:rsidRPr="00F37D26">
        <w:rPr>
          <w:lang w:eastAsia="ja-JP"/>
        </w:rPr>
        <w:t>年</w:t>
      </w:r>
      <w:r w:rsidRPr="00F37D26">
        <w:rPr>
          <w:lang w:eastAsia="ja-JP"/>
        </w:rPr>
        <w:t>1</w:t>
      </w:r>
      <w:r w:rsidRPr="00F37D26">
        <w:rPr>
          <w:lang w:eastAsia="ja-JP"/>
        </w:rPr>
        <w:t>月</w:t>
      </w:r>
      <w:r w:rsidRPr="00F37D26">
        <w:rPr>
          <w:lang w:eastAsia="ja-JP"/>
        </w:rPr>
        <w:t>28</w:t>
      </w:r>
      <w:r w:rsidRPr="00F37D26">
        <w:rPr>
          <w:lang w:eastAsia="ja-JP"/>
        </w:rPr>
        <w:t>日付欧州議会および理事会規則（</w:t>
      </w:r>
      <w:r w:rsidRPr="00F37D26">
        <w:rPr>
          <w:lang w:eastAsia="ja-JP"/>
        </w:rPr>
        <w:t>EC</w:t>
      </w:r>
      <w:r w:rsidRPr="00F37D26">
        <w:rPr>
          <w:lang w:eastAsia="ja-JP"/>
        </w:rPr>
        <w:t>）</w:t>
      </w:r>
      <w:r w:rsidRPr="00F37D26">
        <w:rPr>
          <w:lang w:eastAsia="ja-JP"/>
        </w:rPr>
        <w:t>No 178/2002</w:t>
      </w:r>
      <w:r w:rsidRPr="00F37D26">
        <w:rPr>
          <w:lang w:eastAsia="ja-JP"/>
        </w:rPr>
        <w:t>は、食品法の一般原則および要件を定め、欧州食品安全機関を設立し、食品安全に関する手続きを定めている（</w:t>
      </w:r>
      <w:r w:rsidRPr="00F37D26">
        <w:rPr>
          <w:lang w:eastAsia="ja-JP"/>
        </w:rPr>
        <w:t>OJ L 31, 1.2.2002, p. 1</w:t>
      </w:r>
      <w:r>
        <w:rPr>
          <w:lang w:eastAsia="ja-JP"/>
        </w:rPr>
        <w:t>）。</w:t>
      </w:r>
    </w:p>
  </w:footnote>
  <w:footnote w:id="46">
    <w:p w14:paraId="53902C03" w14:textId="77777777" w:rsidR="0038775E" w:rsidRDefault="00877B9C">
      <w:pPr>
        <w:pStyle w:val="aff"/>
        <w:rPr>
          <w:lang w:eastAsia="ja-JP"/>
        </w:rPr>
      </w:pPr>
      <w:r>
        <w:rPr>
          <w:rStyle w:val="afa"/>
        </w:rPr>
        <w:footnoteRef/>
      </w:r>
      <w:r w:rsidRPr="00F37D26">
        <w:rPr>
          <w:lang w:eastAsia="ja-JP"/>
        </w:rPr>
        <w:tab/>
      </w:r>
      <w:r w:rsidRPr="00F37D26">
        <w:rPr>
          <w:lang w:eastAsia="ja-JP"/>
        </w:rPr>
        <w:t>ヒトに使用する医薬品に関する共同体規約に関する</w:t>
      </w:r>
      <w:r w:rsidRPr="00F37D26">
        <w:rPr>
          <w:lang w:eastAsia="ja-JP"/>
        </w:rPr>
        <w:t>2001</w:t>
      </w:r>
      <w:r w:rsidRPr="00F37D26">
        <w:rPr>
          <w:lang w:eastAsia="ja-JP"/>
        </w:rPr>
        <w:t>年</w:t>
      </w:r>
      <w:r w:rsidRPr="00F37D26">
        <w:rPr>
          <w:lang w:eastAsia="ja-JP"/>
        </w:rPr>
        <w:t>11</w:t>
      </w:r>
      <w:r w:rsidRPr="00F37D26">
        <w:rPr>
          <w:lang w:eastAsia="ja-JP"/>
        </w:rPr>
        <w:t>月</w:t>
      </w:r>
      <w:r w:rsidRPr="00F37D26">
        <w:rPr>
          <w:lang w:eastAsia="ja-JP"/>
        </w:rPr>
        <w:t>6</w:t>
      </w:r>
      <w:r w:rsidRPr="00F37D26">
        <w:rPr>
          <w:lang w:eastAsia="ja-JP"/>
        </w:rPr>
        <w:t>日の欧州議会および理事会の指令</w:t>
      </w:r>
      <w:r w:rsidRPr="00F37D26">
        <w:rPr>
          <w:lang w:eastAsia="ja-JP"/>
        </w:rPr>
        <w:t>2001/83/EC</w:t>
      </w:r>
      <w:r>
        <w:rPr>
          <w:lang w:eastAsia="ja-JP"/>
        </w:rPr>
        <w:t>（</w:t>
      </w:r>
      <w:r w:rsidRPr="00F37D26">
        <w:rPr>
          <w:lang w:eastAsia="ja-JP"/>
        </w:rPr>
        <w:t>OJ L 311, 28.11.2001, p. 67</w:t>
      </w:r>
      <w:r>
        <w:rPr>
          <w:lang w:eastAsia="ja-JP"/>
        </w:rPr>
        <w:t>）。</w:t>
      </w:r>
    </w:p>
  </w:footnote>
  <w:footnote w:id="47">
    <w:p w14:paraId="5CF542C9" w14:textId="77777777" w:rsidR="0038775E" w:rsidRDefault="00877B9C">
      <w:pPr>
        <w:pStyle w:val="aff"/>
        <w:rPr>
          <w:lang w:eastAsia="ja-JP"/>
        </w:rPr>
      </w:pPr>
      <w:r>
        <w:rPr>
          <w:rStyle w:val="afa"/>
        </w:rPr>
        <w:footnoteRef/>
      </w:r>
      <w:r w:rsidRPr="00F37D26">
        <w:rPr>
          <w:lang w:eastAsia="ja-JP"/>
        </w:rPr>
        <w:tab/>
      </w:r>
      <w:r w:rsidRPr="00F37D26">
        <w:rPr>
          <w:lang w:eastAsia="ja-JP"/>
        </w:rPr>
        <w:t>動物用医薬品に関する</w:t>
      </w:r>
      <w:r w:rsidRPr="00F37D26">
        <w:rPr>
          <w:lang w:eastAsia="ja-JP"/>
        </w:rPr>
        <w:t>2018</w:t>
      </w:r>
      <w:r w:rsidRPr="00F37D26">
        <w:rPr>
          <w:lang w:eastAsia="ja-JP"/>
        </w:rPr>
        <w:t>年</w:t>
      </w:r>
      <w:r w:rsidRPr="00F37D26">
        <w:rPr>
          <w:lang w:eastAsia="ja-JP"/>
        </w:rPr>
        <w:t>12</w:t>
      </w:r>
      <w:r w:rsidRPr="00F37D26">
        <w:rPr>
          <w:lang w:eastAsia="ja-JP"/>
        </w:rPr>
        <w:t>月</w:t>
      </w:r>
      <w:r w:rsidRPr="00F37D26">
        <w:rPr>
          <w:lang w:eastAsia="ja-JP"/>
        </w:rPr>
        <w:t>11</w:t>
      </w:r>
      <w:r w:rsidRPr="00F37D26">
        <w:rPr>
          <w:lang w:eastAsia="ja-JP"/>
        </w:rPr>
        <w:t>日の欧州議会</w:t>
      </w:r>
      <w:r w:rsidRPr="00F37D26">
        <w:rPr>
          <w:lang w:eastAsia="ja-JP"/>
        </w:rPr>
        <w:t>および理事会の規則（</w:t>
      </w:r>
      <w:r w:rsidRPr="00F37D26">
        <w:rPr>
          <w:lang w:eastAsia="ja-JP"/>
        </w:rPr>
        <w:t>EU</w:t>
      </w:r>
      <w:r w:rsidRPr="00F37D26">
        <w:rPr>
          <w:lang w:eastAsia="ja-JP"/>
        </w:rPr>
        <w:t>）</w:t>
      </w:r>
      <w:r w:rsidRPr="00F37D26">
        <w:rPr>
          <w:lang w:eastAsia="ja-JP"/>
        </w:rPr>
        <w:t>2019/6</w:t>
      </w:r>
      <w:r w:rsidRPr="00F37D26">
        <w:rPr>
          <w:lang w:eastAsia="ja-JP"/>
        </w:rPr>
        <w:t>および指令</w:t>
      </w:r>
      <w:r w:rsidRPr="00F37D26">
        <w:rPr>
          <w:lang w:eastAsia="ja-JP"/>
        </w:rPr>
        <w:t>2001/82/EC</w:t>
      </w:r>
      <w:r w:rsidRPr="00F37D26">
        <w:rPr>
          <w:lang w:eastAsia="ja-JP"/>
        </w:rPr>
        <w:t>の廃止</w:t>
      </w:r>
      <w:r>
        <w:rPr>
          <w:lang w:eastAsia="ja-JP"/>
        </w:rPr>
        <w:t>（</w:t>
      </w:r>
      <w:r w:rsidRPr="00F37D26">
        <w:rPr>
          <w:lang w:eastAsia="ja-JP"/>
        </w:rPr>
        <w:t>OJ L 4, 7.1.2019, p.</w:t>
      </w:r>
      <w:r>
        <w:rPr>
          <w:lang w:eastAsia="ja-JP"/>
        </w:rPr>
        <w:t>43</w:t>
      </w:r>
      <w:r>
        <w:rPr>
          <w:lang w:eastAsia="ja-JP"/>
        </w:rPr>
        <w:t>）</w:t>
      </w:r>
      <w:r>
        <w:rPr>
          <w:lang w:eastAsia="ja-JP"/>
        </w:rPr>
        <w:t>.</w:t>
      </w:r>
    </w:p>
  </w:footnote>
  <w:footnote w:id="48">
    <w:p w14:paraId="480FEEBD" w14:textId="77777777" w:rsidR="0038775E" w:rsidRDefault="00877B9C">
      <w:pPr>
        <w:pStyle w:val="aff"/>
        <w:rPr>
          <w:lang w:eastAsia="ja-JP"/>
        </w:rPr>
      </w:pPr>
      <w:r>
        <w:rPr>
          <w:rStyle w:val="afa"/>
        </w:rPr>
        <w:footnoteRef/>
      </w:r>
      <w:r w:rsidRPr="00A844F2">
        <w:rPr>
          <w:lang w:eastAsia="ja-JP"/>
        </w:rPr>
        <w:tab/>
      </w:r>
      <w:r>
        <w:rPr>
          <w:lang w:eastAsia="ja-JP"/>
        </w:rPr>
        <w:t>COM</w:t>
      </w:r>
      <w:r>
        <w:rPr>
          <w:lang w:eastAsia="ja-JP"/>
        </w:rPr>
        <w:t>（</w:t>
      </w:r>
      <w:r>
        <w:rPr>
          <w:lang w:eastAsia="ja-JP"/>
        </w:rPr>
        <w:t>2021</w:t>
      </w:r>
      <w:r>
        <w:rPr>
          <w:lang w:eastAsia="ja-JP"/>
        </w:rPr>
        <w:t>）</w:t>
      </w:r>
      <w:r>
        <w:rPr>
          <w:lang w:eastAsia="ja-JP"/>
        </w:rPr>
        <w:t>802 final.</w:t>
      </w:r>
    </w:p>
  </w:footnote>
  <w:footnote w:id="49">
    <w:p w14:paraId="26469AB5" w14:textId="77777777" w:rsidR="0038775E" w:rsidRDefault="00877B9C">
      <w:pPr>
        <w:pStyle w:val="aff"/>
        <w:rPr>
          <w:lang w:eastAsia="ja-JP"/>
        </w:rPr>
      </w:pPr>
      <w:r>
        <w:rPr>
          <w:rStyle w:val="afa"/>
        </w:rPr>
        <w:footnoteRef/>
      </w:r>
      <w:r w:rsidRPr="00345D15">
        <w:rPr>
          <w:lang w:eastAsia="ja-JP"/>
        </w:rPr>
        <w:t>2009</w:t>
      </w:r>
      <w:r w:rsidRPr="00345D15">
        <w:rPr>
          <w:lang w:eastAsia="ja-JP"/>
        </w:rPr>
        <w:t>年</w:t>
      </w:r>
      <w:r w:rsidRPr="00226F55">
        <w:rPr>
          <w:lang w:eastAsia="ja-JP"/>
        </w:rPr>
        <w:tab/>
        <w:t>7</w:t>
      </w:r>
      <w:r w:rsidRPr="00226F55">
        <w:rPr>
          <w:lang w:eastAsia="ja-JP"/>
        </w:rPr>
        <w:t>月</w:t>
      </w:r>
      <w:r w:rsidRPr="00226F55">
        <w:rPr>
          <w:lang w:eastAsia="ja-JP"/>
        </w:rPr>
        <w:t>13</w:t>
      </w:r>
      <w:r w:rsidRPr="00226F55">
        <w:rPr>
          <w:lang w:eastAsia="ja-JP"/>
        </w:rPr>
        <w:t>日付欧州議会および理事会指令</w:t>
      </w:r>
      <w:r w:rsidRPr="00226F55">
        <w:rPr>
          <w:lang w:eastAsia="ja-JP"/>
        </w:rPr>
        <w:t>2009/81/EC</w:t>
      </w:r>
      <w:r w:rsidRPr="00226F55">
        <w:rPr>
          <w:lang w:eastAsia="ja-JP"/>
        </w:rPr>
        <w:t>は、</w:t>
      </w:r>
      <w:r w:rsidRPr="00345D15">
        <w:rPr>
          <w:lang w:eastAsia="ja-JP"/>
        </w:rPr>
        <w:t>防衛および安全保障分野における契約当局または団体による特定の工事契約、供給契約およびサービス契約の締結手続きの調整、ならびに指令</w:t>
      </w:r>
      <w:r w:rsidRPr="00345D15">
        <w:rPr>
          <w:lang w:eastAsia="ja-JP"/>
        </w:rPr>
        <w:t>2004/17/EC</w:t>
      </w:r>
      <w:r w:rsidRPr="00345D15">
        <w:rPr>
          <w:lang w:eastAsia="ja-JP"/>
        </w:rPr>
        <w:t>および</w:t>
      </w:r>
      <w:r w:rsidRPr="00345D15">
        <w:rPr>
          <w:lang w:eastAsia="ja-JP"/>
        </w:rPr>
        <w:t>2004/18/EC</w:t>
      </w:r>
      <w:r w:rsidRPr="00345D15">
        <w:rPr>
          <w:lang w:eastAsia="ja-JP"/>
        </w:rPr>
        <w:t>の修正に関するものである（</w:t>
      </w:r>
      <w:r w:rsidRPr="00345D15">
        <w:rPr>
          <w:lang w:eastAsia="ja-JP"/>
        </w:rPr>
        <w:t xml:space="preserve">OJ L </w:t>
      </w:r>
      <w:r w:rsidRPr="001321C5">
        <w:rPr>
          <w:lang w:eastAsia="ja-JP"/>
        </w:rPr>
        <w:t>216, 20.8.2009, p. 76</w:t>
      </w:r>
      <w:r>
        <w:rPr>
          <w:lang w:eastAsia="ja-JP"/>
        </w:rPr>
        <w:t>）。</w:t>
      </w:r>
    </w:p>
  </w:footnote>
  <w:footnote w:id="50">
    <w:p w14:paraId="7DA9E79E" w14:textId="77777777" w:rsidR="0038775E" w:rsidRDefault="00877B9C">
      <w:pPr>
        <w:pStyle w:val="aff"/>
        <w:rPr>
          <w:lang w:eastAsia="ja-JP"/>
        </w:rPr>
      </w:pPr>
      <w:r>
        <w:rPr>
          <w:rStyle w:val="afa"/>
        </w:rPr>
        <w:footnoteRef/>
      </w:r>
      <w:r w:rsidRPr="00ED3523">
        <w:rPr>
          <w:lang w:eastAsia="ja-JP"/>
        </w:rPr>
        <w:t>医療機器</w:t>
      </w:r>
      <w:r w:rsidRPr="00ED3523">
        <w:rPr>
          <w:lang w:eastAsia="ja-JP"/>
        </w:rPr>
        <w:t>に関する</w:t>
      </w:r>
      <w:r>
        <w:rPr>
          <w:lang w:eastAsia="ja-JP"/>
        </w:rPr>
        <w:tab/>
        <w:t>2017</w:t>
      </w:r>
      <w:r>
        <w:rPr>
          <w:lang w:eastAsia="ja-JP"/>
        </w:rPr>
        <w:t>年</w:t>
      </w:r>
      <w:r>
        <w:rPr>
          <w:lang w:eastAsia="ja-JP"/>
        </w:rPr>
        <w:t>4</w:t>
      </w:r>
      <w:r>
        <w:rPr>
          <w:lang w:eastAsia="ja-JP"/>
        </w:rPr>
        <w:t>月</w:t>
      </w:r>
      <w:r>
        <w:rPr>
          <w:lang w:eastAsia="ja-JP"/>
        </w:rPr>
        <w:t>5</w:t>
      </w:r>
      <w:r>
        <w:rPr>
          <w:lang w:eastAsia="ja-JP"/>
        </w:rPr>
        <w:t>日の欧州議会および理事会の規則（</w:t>
      </w:r>
      <w:r>
        <w:rPr>
          <w:lang w:eastAsia="ja-JP"/>
        </w:rPr>
        <w:t>EU</w:t>
      </w:r>
      <w:r>
        <w:rPr>
          <w:lang w:eastAsia="ja-JP"/>
        </w:rPr>
        <w:t>）</w:t>
      </w:r>
      <w:r>
        <w:rPr>
          <w:lang w:eastAsia="ja-JP"/>
        </w:rPr>
        <w:t>2017/745</w:t>
      </w:r>
      <w:r w:rsidRPr="00ED3523">
        <w:rPr>
          <w:lang w:eastAsia="ja-JP"/>
        </w:rPr>
        <w:t>は、指令</w:t>
      </w:r>
      <w:r w:rsidRPr="00ED3523">
        <w:rPr>
          <w:lang w:eastAsia="ja-JP"/>
        </w:rPr>
        <w:t>2001/83/EC</w:t>
      </w:r>
      <w:r w:rsidRPr="00ED3523">
        <w:rPr>
          <w:lang w:eastAsia="ja-JP"/>
        </w:rPr>
        <w:t>、規則（</w:t>
      </w:r>
      <w:r w:rsidRPr="00ED3523">
        <w:rPr>
          <w:lang w:eastAsia="ja-JP"/>
        </w:rPr>
        <w:t>EC</w:t>
      </w:r>
      <w:r w:rsidRPr="00ED3523">
        <w:rPr>
          <w:lang w:eastAsia="ja-JP"/>
        </w:rPr>
        <w:t>）</w:t>
      </w:r>
      <w:r w:rsidRPr="00ED3523">
        <w:rPr>
          <w:lang w:eastAsia="ja-JP"/>
        </w:rPr>
        <w:t>No 178/2002</w:t>
      </w:r>
      <w:r w:rsidRPr="00ED3523">
        <w:rPr>
          <w:lang w:eastAsia="ja-JP"/>
        </w:rPr>
        <w:t>および規則（</w:t>
      </w:r>
      <w:r w:rsidRPr="00ED3523">
        <w:rPr>
          <w:lang w:eastAsia="ja-JP"/>
        </w:rPr>
        <w:t>EC</w:t>
      </w:r>
      <w:r w:rsidRPr="00ED3523">
        <w:rPr>
          <w:lang w:eastAsia="ja-JP"/>
        </w:rPr>
        <w:t>）</w:t>
      </w:r>
      <w:r w:rsidRPr="00ED3523">
        <w:rPr>
          <w:lang w:eastAsia="ja-JP"/>
        </w:rPr>
        <w:t>No 1223/2009</w:t>
      </w:r>
      <w:r w:rsidRPr="00ED3523">
        <w:rPr>
          <w:lang w:eastAsia="ja-JP"/>
        </w:rPr>
        <w:t>を改正し、理事会指令</w:t>
      </w:r>
      <w:r w:rsidRPr="00ED3523">
        <w:rPr>
          <w:lang w:eastAsia="ja-JP"/>
        </w:rPr>
        <w:t>90/385/EC</w:t>
      </w:r>
      <w:r w:rsidRPr="00ED3523">
        <w:rPr>
          <w:lang w:eastAsia="ja-JP"/>
        </w:rPr>
        <w:t>および</w:t>
      </w:r>
      <w:r w:rsidRPr="00ED3523">
        <w:rPr>
          <w:lang w:eastAsia="ja-JP"/>
        </w:rPr>
        <w:t>93/42/EC</w:t>
      </w:r>
      <w:r>
        <w:rPr>
          <w:lang w:eastAsia="ja-JP"/>
        </w:rPr>
        <w:t>（</w:t>
      </w:r>
      <w:r w:rsidRPr="00ED3523">
        <w:rPr>
          <w:lang w:eastAsia="ja-JP"/>
        </w:rPr>
        <w:t>OJ L 117 2017.5.1, p. 1</w:t>
      </w:r>
      <w:r w:rsidRPr="00ED3523">
        <w:rPr>
          <w:lang w:eastAsia="ja-JP"/>
        </w:rPr>
        <w:t>）を撤廃しています</w:t>
      </w:r>
      <w:r>
        <w:rPr>
          <w:lang w:eastAsia="ja-JP"/>
        </w:rPr>
        <w:t>。</w:t>
      </w:r>
    </w:p>
  </w:footnote>
  <w:footnote w:id="51">
    <w:p w14:paraId="7A279EBE" w14:textId="77777777" w:rsidR="0038775E" w:rsidRDefault="00877B9C">
      <w:pPr>
        <w:pStyle w:val="aff"/>
        <w:rPr>
          <w:lang w:eastAsia="ja-JP"/>
        </w:rPr>
      </w:pPr>
      <w:r>
        <w:rPr>
          <w:rStyle w:val="afa"/>
        </w:rPr>
        <w:footnoteRef/>
      </w:r>
      <w:r w:rsidRPr="00F84A92">
        <w:rPr>
          <w:lang w:eastAsia="ja-JP"/>
        </w:rPr>
        <w:tab/>
      </w:r>
      <w:r w:rsidRPr="004C0AFF">
        <w:rPr>
          <w:i/>
          <w:lang w:eastAsia="ja-JP"/>
        </w:rPr>
        <w:t>体外</w:t>
      </w:r>
      <w:r w:rsidRPr="008F43A9">
        <w:rPr>
          <w:lang w:eastAsia="ja-JP"/>
        </w:rPr>
        <w:t>診断用医療機器に関する</w:t>
      </w:r>
      <w:r w:rsidRPr="008F43A9">
        <w:rPr>
          <w:lang w:eastAsia="ja-JP"/>
        </w:rPr>
        <w:t>2017</w:t>
      </w:r>
      <w:r w:rsidRPr="008F43A9">
        <w:rPr>
          <w:lang w:eastAsia="ja-JP"/>
        </w:rPr>
        <w:t>年</w:t>
      </w:r>
      <w:r w:rsidRPr="008F43A9">
        <w:rPr>
          <w:lang w:eastAsia="ja-JP"/>
        </w:rPr>
        <w:t>4</w:t>
      </w:r>
      <w:r w:rsidRPr="008F43A9">
        <w:rPr>
          <w:lang w:eastAsia="ja-JP"/>
        </w:rPr>
        <w:t>月</w:t>
      </w:r>
      <w:r w:rsidRPr="008F43A9">
        <w:rPr>
          <w:lang w:eastAsia="ja-JP"/>
        </w:rPr>
        <w:t>5</w:t>
      </w:r>
      <w:r w:rsidRPr="008F43A9">
        <w:rPr>
          <w:lang w:eastAsia="ja-JP"/>
        </w:rPr>
        <w:t>日の欧州議会および理事会の規則（</w:t>
      </w:r>
      <w:r w:rsidRPr="008F43A9">
        <w:rPr>
          <w:lang w:eastAsia="ja-JP"/>
        </w:rPr>
        <w:t>EU</w:t>
      </w:r>
      <w:r w:rsidRPr="008F43A9">
        <w:rPr>
          <w:lang w:eastAsia="ja-JP"/>
        </w:rPr>
        <w:t>）</w:t>
      </w:r>
      <w:r w:rsidRPr="008F43A9">
        <w:rPr>
          <w:lang w:eastAsia="ja-JP"/>
        </w:rPr>
        <w:t>2017/746</w:t>
      </w:r>
      <w:r w:rsidRPr="008F43A9">
        <w:rPr>
          <w:lang w:eastAsia="ja-JP"/>
        </w:rPr>
        <w:t>で</w:t>
      </w:r>
      <w:r w:rsidRPr="008F43A9">
        <w:rPr>
          <w:lang w:eastAsia="ja-JP"/>
        </w:rPr>
        <w:t>あり、指令</w:t>
      </w:r>
      <w:r w:rsidRPr="008F43A9">
        <w:rPr>
          <w:lang w:eastAsia="ja-JP"/>
        </w:rPr>
        <w:t>98/79/EC</w:t>
      </w:r>
      <w:r w:rsidRPr="008F43A9">
        <w:rPr>
          <w:lang w:eastAsia="ja-JP"/>
        </w:rPr>
        <w:t>および委員会決定</w:t>
      </w:r>
      <w:r w:rsidRPr="008F43A9">
        <w:rPr>
          <w:lang w:eastAsia="ja-JP"/>
        </w:rPr>
        <w:t>2010/227/EU</w:t>
      </w:r>
      <w:r w:rsidRPr="008F43A9">
        <w:rPr>
          <w:lang w:eastAsia="ja-JP"/>
        </w:rPr>
        <w:t>を廃止する</w:t>
      </w:r>
      <w:r>
        <w:rPr>
          <w:lang w:eastAsia="ja-JP"/>
        </w:rPr>
        <w:t>（</w:t>
      </w:r>
      <w:r w:rsidRPr="008F43A9">
        <w:rPr>
          <w:lang w:eastAsia="ja-JP"/>
        </w:rPr>
        <w:t xml:space="preserve">OJ L 117, 5.5.2017, p. </w:t>
      </w:r>
      <w:r>
        <w:rPr>
          <w:lang w:eastAsia="ja-JP"/>
        </w:rPr>
        <w:t>176</w:t>
      </w:r>
      <w:r>
        <w:rPr>
          <w:lang w:eastAsia="ja-JP"/>
        </w:rPr>
        <w:t>）</w:t>
      </w:r>
      <w:r>
        <w:rPr>
          <w:lang w:eastAsia="ja-JP"/>
        </w:rPr>
        <w:t>.</w:t>
      </w:r>
    </w:p>
  </w:footnote>
  <w:footnote w:id="52">
    <w:p w14:paraId="5D01D316" w14:textId="77777777" w:rsidR="0038775E" w:rsidRDefault="00877B9C">
      <w:pPr>
        <w:pStyle w:val="aff"/>
        <w:rPr>
          <w:lang w:eastAsia="ja-JP"/>
        </w:rPr>
      </w:pPr>
      <w:r>
        <w:rPr>
          <w:rStyle w:val="afa"/>
        </w:rPr>
        <w:footnoteRef/>
      </w:r>
      <w:r w:rsidRPr="00DD3CD5">
        <w:rPr>
          <w:lang w:eastAsia="ja-JP"/>
        </w:rPr>
        <w:tab/>
      </w:r>
      <w:r>
        <w:rPr>
          <w:lang w:eastAsia="ja-JP"/>
        </w:rPr>
        <w:t>欧州委員会から欧州議会、理事会、欧州経済社会委員会及び地域委員会に対する</w:t>
      </w:r>
      <w:r w:rsidRPr="00A4330D">
        <w:rPr>
          <w:i/>
          <w:lang w:eastAsia="ja-JP"/>
        </w:rPr>
        <w:t>、循環経済パッケージの実施に関する</w:t>
      </w:r>
      <w:r>
        <w:rPr>
          <w:lang w:eastAsia="ja-JP"/>
        </w:rPr>
        <w:t>コミュニケーション</w:t>
      </w:r>
      <w:r>
        <w:rPr>
          <w:i/>
          <w:lang w:eastAsia="ja-JP"/>
        </w:rPr>
        <w:t>-</w:t>
      </w:r>
      <w:r w:rsidRPr="00A4330D">
        <w:rPr>
          <w:i/>
          <w:lang w:eastAsia="ja-JP"/>
        </w:rPr>
        <w:t>化学物質、製品及び廃棄物に関する法律間のインターフェースに対処するオプション</w:t>
      </w:r>
      <w:r>
        <w:rPr>
          <w:lang w:eastAsia="ja-JP"/>
        </w:rPr>
        <w:t>（</w:t>
      </w:r>
      <w:r>
        <w:rPr>
          <w:lang w:eastAsia="ja-JP"/>
        </w:rPr>
        <w:t>COM</w:t>
      </w:r>
      <w:r>
        <w:rPr>
          <w:lang w:eastAsia="ja-JP"/>
        </w:rPr>
        <w:t>（</w:t>
      </w:r>
      <w:r>
        <w:rPr>
          <w:lang w:eastAsia="ja-JP"/>
        </w:rPr>
        <w:t>2018</w:t>
      </w:r>
      <w:r>
        <w:rPr>
          <w:lang w:eastAsia="ja-JP"/>
        </w:rPr>
        <w:t>）</w:t>
      </w:r>
      <w:r>
        <w:rPr>
          <w:lang w:eastAsia="ja-JP"/>
        </w:rPr>
        <w:t>32 final</w:t>
      </w:r>
      <w:r>
        <w:rPr>
          <w:lang w:eastAsia="ja-JP"/>
        </w:rPr>
        <w:t>）．</w:t>
      </w:r>
    </w:p>
  </w:footnote>
  <w:footnote w:id="53">
    <w:p w14:paraId="2A0BDAC5" w14:textId="77777777" w:rsidR="0038775E" w:rsidRDefault="00877B9C">
      <w:pPr>
        <w:pStyle w:val="aff"/>
        <w:rPr>
          <w:lang w:eastAsia="ja-JP"/>
        </w:rPr>
      </w:pPr>
      <w:r>
        <w:rPr>
          <w:rStyle w:val="afa"/>
        </w:rPr>
        <w:footnoteRef/>
      </w:r>
      <w:r w:rsidRPr="00F84A92">
        <w:rPr>
          <w:lang w:eastAsia="ja-JP"/>
        </w:rPr>
        <w:tab/>
      </w:r>
      <w:r w:rsidRPr="003E7FCF">
        <w:rPr>
          <w:lang w:val="en-IE" w:eastAsia="ja-JP"/>
        </w:rPr>
        <w:t>EU</w:t>
      </w:r>
      <w:r w:rsidRPr="003E7FCF">
        <w:rPr>
          <w:lang w:val="en-IE" w:eastAsia="ja-JP"/>
        </w:rPr>
        <w:t>エコラベルに関する</w:t>
      </w:r>
      <w:r w:rsidRPr="003E7FCF">
        <w:rPr>
          <w:lang w:val="en-IE" w:eastAsia="ja-JP"/>
        </w:rPr>
        <w:t>2009</w:t>
      </w:r>
      <w:r w:rsidRPr="003E7FCF">
        <w:rPr>
          <w:lang w:val="en-IE" w:eastAsia="ja-JP"/>
        </w:rPr>
        <w:t>年</w:t>
      </w:r>
      <w:r w:rsidRPr="003E7FCF">
        <w:rPr>
          <w:lang w:val="en-IE" w:eastAsia="ja-JP"/>
        </w:rPr>
        <w:t>11</w:t>
      </w:r>
      <w:r w:rsidRPr="003E7FCF">
        <w:rPr>
          <w:lang w:val="en-IE" w:eastAsia="ja-JP"/>
        </w:rPr>
        <w:t>月</w:t>
      </w:r>
      <w:r w:rsidRPr="003E7FCF">
        <w:rPr>
          <w:lang w:val="en-IE" w:eastAsia="ja-JP"/>
        </w:rPr>
        <w:t>25</w:t>
      </w:r>
      <w:r w:rsidRPr="003E7FCF">
        <w:rPr>
          <w:lang w:val="en-IE" w:eastAsia="ja-JP"/>
        </w:rPr>
        <w:t>日の欧州議会および理事会の規則（</w:t>
      </w:r>
      <w:r w:rsidRPr="003E7FCF">
        <w:rPr>
          <w:lang w:val="en-IE" w:eastAsia="ja-JP"/>
        </w:rPr>
        <w:t>EC</w:t>
      </w:r>
      <w:r w:rsidRPr="003E7FCF">
        <w:rPr>
          <w:lang w:val="en-IE" w:eastAsia="ja-JP"/>
        </w:rPr>
        <w:t>）</w:t>
      </w:r>
      <w:r w:rsidRPr="003E7FCF">
        <w:rPr>
          <w:lang w:val="en-IE" w:eastAsia="ja-JP"/>
        </w:rPr>
        <w:t>No 66/2010</w:t>
      </w:r>
      <w:r w:rsidRPr="003E7FCF">
        <w:rPr>
          <w:lang w:val="en-IE" w:eastAsia="ja-JP"/>
        </w:rPr>
        <w:t>（</w:t>
      </w:r>
      <w:r w:rsidRPr="003E7FCF">
        <w:rPr>
          <w:lang w:val="en-IE" w:eastAsia="ja-JP"/>
        </w:rPr>
        <w:t>OJ L 27, 30.</w:t>
      </w:r>
      <w:r w:rsidRPr="003E7FCF">
        <w:rPr>
          <w:lang w:val="en-IE" w:eastAsia="ja-JP"/>
        </w:rPr>
        <w:t>1.2010, p. 1</w:t>
      </w:r>
      <w:r w:rsidRPr="003E7FCF">
        <w:rPr>
          <w:lang w:val="en-IE" w:eastAsia="ja-JP"/>
        </w:rPr>
        <w:t>）。</w:t>
      </w:r>
    </w:p>
  </w:footnote>
  <w:footnote w:id="54">
    <w:p w14:paraId="23D48100" w14:textId="77777777" w:rsidR="0038775E" w:rsidRDefault="00877B9C">
      <w:pPr>
        <w:pStyle w:val="aff"/>
        <w:rPr>
          <w:lang w:eastAsia="ja-JP"/>
        </w:rPr>
      </w:pPr>
      <w:r>
        <w:rPr>
          <w:rStyle w:val="afa"/>
        </w:rPr>
        <w:footnoteRef/>
      </w:r>
      <w:r w:rsidRPr="00F84A92">
        <w:rPr>
          <w:lang w:eastAsia="ja-JP"/>
        </w:rPr>
        <w:tab/>
      </w:r>
      <w:r w:rsidRPr="003E7FCF">
        <w:rPr>
          <w:lang w:val="en-IE" w:eastAsia="ja-JP"/>
        </w:rPr>
        <w:t>産業排出物（統合的汚染防止</w:t>
      </w:r>
      <w:r>
        <w:rPr>
          <w:lang w:val="en-IE" w:eastAsia="ja-JP"/>
        </w:rPr>
        <w:t>および管理</w:t>
      </w:r>
      <w:r w:rsidRPr="003E7FCF">
        <w:rPr>
          <w:lang w:val="en-IE" w:eastAsia="ja-JP"/>
        </w:rPr>
        <w:t>）に関する</w:t>
      </w:r>
      <w:r w:rsidRPr="003E7FCF">
        <w:rPr>
          <w:lang w:val="en-IE" w:eastAsia="ja-JP"/>
        </w:rPr>
        <w:t>2010</w:t>
      </w:r>
      <w:r w:rsidRPr="003E7FCF">
        <w:rPr>
          <w:lang w:val="en-IE" w:eastAsia="ja-JP"/>
        </w:rPr>
        <w:t>年</w:t>
      </w:r>
      <w:r w:rsidRPr="003E7FCF">
        <w:rPr>
          <w:lang w:val="en-IE" w:eastAsia="ja-JP"/>
        </w:rPr>
        <w:t>11</w:t>
      </w:r>
      <w:r w:rsidRPr="003E7FCF">
        <w:rPr>
          <w:lang w:val="en-IE" w:eastAsia="ja-JP"/>
        </w:rPr>
        <w:t>月</w:t>
      </w:r>
      <w:r w:rsidRPr="003E7FCF">
        <w:rPr>
          <w:lang w:val="en-IE" w:eastAsia="ja-JP"/>
        </w:rPr>
        <w:t>24</w:t>
      </w:r>
      <w:r w:rsidRPr="003E7FCF">
        <w:rPr>
          <w:lang w:val="en-IE" w:eastAsia="ja-JP"/>
        </w:rPr>
        <w:t>日の欧州議会および理事会指令</w:t>
      </w:r>
      <w:r w:rsidRPr="003E7FCF">
        <w:rPr>
          <w:lang w:val="en-IE" w:eastAsia="ja-JP"/>
        </w:rPr>
        <w:t>2010/75/EU</w:t>
      </w:r>
      <w:r>
        <w:rPr>
          <w:lang w:val="en-IE" w:eastAsia="ja-JP"/>
        </w:rPr>
        <w:t>（</w:t>
      </w:r>
      <w:r w:rsidRPr="003E7FCF">
        <w:rPr>
          <w:lang w:val="en-IE" w:eastAsia="ja-JP"/>
        </w:rPr>
        <w:t>OJ L 334, 17.12.2010, p. 17</w:t>
      </w:r>
      <w:r>
        <w:rPr>
          <w:lang w:val="en-IE" w:eastAsia="ja-JP"/>
        </w:rPr>
        <w:t>）。</w:t>
      </w:r>
    </w:p>
  </w:footnote>
  <w:footnote w:id="55">
    <w:p w14:paraId="2A6590C7" w14:textId="77777777" w:rsidR="0038775E" w:rsidRDefault="00877B9C">
      <w:pPr>
        <w:pStyle w:val="aff"/>
        <w:rPr>
          <w:lang w:eastAsia="ja-JP"/>
        </w:rPr>
      </w:pPr>
      <w:r>
        <w:rPr>
          <w:rStyle w:val="afa"/>
        </w:rPr>
        <w:footnoteRef/>
      </w:r>
      <w:r w:rsidRPr="00F84A92">
        <w:rPr>
          <w:lang w:eastAsia="ja-JP"/>
        </w:rPr>
        <w:tab/>
      </w:r>
      <w:r w:rsidRPr="00543EBD">
        <w:rPr>
          <w:lang w:val="en-IE" w:eastAsia="ja-JP"/>
        </w:rPr>
        <w:t>持続可能な投資を促進するための枠組みの構築及び規則（</w:t>
      </w:r>
      <w:r w:rsidRPr="00543EBD">
        <w:rPr>
          <w:lang w:val="en-IE" w:eastAsia="ja-JP"/>
        </w:rPr>
        <w:t>EU</w:t>
      </w:r>
      <w:r w:rsidRPr="00543EBD">
        <w:rPr>
          <w:lang w:val="en-IE" w:eastAsia="ja-JP"/>
        </w:rPr>
        <w:t>）</w:t>
      </w:r>
      <w:r w:rsidRPr="00543EBD">
        <w:rPr>
          <w:lang w:val="en-IE" w:eastAsia="ja-JP"/>
        </w:rPr>
        <w:t>2019/2088</w:t>
      </w:r>
      <w:r w:rsidRPr="00543EBD">
        <w:rPr>
          <w:lang w:val="en-IE" w:eastAsia="ja-JP"/>
        </w:rPr>
        <w:t>の改正に関する</w:t>
      </w:r>
      <w:r w:rsidRPr="00543EBD">
        <w:rPr>
          <w:lang w:val="en-IE" w:eastAsia="ja-JP"/>
        </w:rPr>
        <w:t>2020</w:t>
      </w:r>
      <w:r w:rsidRPr="00543EBD">
        <w:rPr>
          <w:lang w:val="en-IE" w:eastAsia="ja-JP"/>
        </w:rPr>
        <w:t>年</w:t>
      </w:r>
      <w:r w:rsidRPr="00543EBD">
        <w:rPr>
          <w:lang w:val="en-IE" w:eastAsia="ja-JP"/>
        </w:rPr>
        <w:t>6</w:t>
      </w:r>
      <w:r w:rsidRPr="00543EBD">
        <w:rPr>
          <w:lang w:val="en-IE" w:eastAsia="ja-JP"/>
        </w:rPr>
        <w:t>月</w:t>
      </w:r>
      <w:r w:rsidRPr="00543EBD">
        <w:rPr>
          <w:lang w:val="en-IE" w:eastAsia="ja-JP"/>
        </w:rPr>
        <w:t>18</w:t>
      </w:r>
      <w:r w:rsidRPr="00543EBD">
        <w:rPr>
          <w:lang w:val="en-IE" w:eastAsia="ja-JP"/>
        </w:rPr>
        <w:t>日の欧州議会及び理事会の規則（</w:t>
      </w:r>
      <w:r w:rsidRPr="00543EBD">
        <w:rPr>
          <w:lang w:val="en-IE" w:eastAsia="ja-JP"/>
        </w:rPr>
        <w:t>EU</w:t>
      </w:r>
      <w:r w:rsidRPr="00543EBD">
        <w:rPr>
          <w:lang w:val="en-IE" w:eastAsia="ja-JP"/>
        </w:rPr>
        <w:t>）</w:t>
      </w:r>
      <w:r w:rsidRPr="00543EBD">
        <w:rPr>
          <w:lang w:val="en-IE" w:eastAsia="ja-JP"/>
        </w:rPr>
        <w:t>2020/852</w:t>
      </w:r>
      <w:r>
        <w:rPr>
          <w:lang w:val="en-IE" w:eastAsia="ja-JP"/>
        </w:rPr>
        <w:t>（</w:t>
      </w:r>
      <w:r w:rsidRPr="003E7FCF">
        <w:rPr>
          <w:lang w:val="en-IE" w:eastAsia="ja-JP"/>
        </w:rPr>
        <w:t>OJ L 198, 22.6.2020, p.</w:t>
      </w:r>
      <w:r>
        <w:rPr>
          <w:lang w:val="en-IE" w:eastAsia="ja-JP"/>
        </w:rPr>
        <w:t>13</w:t>
      </w:r>
      <w:r>
        <w:rPr>
          <w:lang w:val="en-IE" w:eastAsia="ja-JP"/>
        </w:rPr>
        <w:t>）</w:t>
      </w:r>
      <w:r>
        <w:rPr>
          <w:lang w:val="en-IE" w:eastAsia="ja-JP"/>
        </w:rPr>
        <w:t>.</w:t>
      </w:r>
    </w:p>
  </w:footnote>
  <w:footnote w:id="56">
    <w:p w14:paraId="156FE97A" w14:textId="77777777" w:rsidR="0038775E" w:rsidRDefault="00877B9C">
      <w:pPr>
        <w:pStyle w:val="aff"/>
        <w:rPr>
          <w:lang w:eastAsia="ja-JP"/>
        </w:rPr>
      </w:pPr>
      <w:r>
        <w:rPr>
          <w:rStyle w:val="afa"/>
        </w:rPr>
        <w:footnoteRef/>
      </w:r>
      <w:r w:rsidRPr="00CB2DB1">
        <w:rPr>
          <w:lang w:eastAsia="ja-JP"/>
        </w:rPr>
        <w:tab/>
      </w:r>
      <w:r w:rsidRPr="00F634C6">
        <w:rPr>
          <w:lang w:eastAsia="ja-JP"/>
        </w:rPr>
        <w:t>コミュニケーション「より良い環境のための公共調達」</w:t>
      </w:r>
      <w:r w:rsidRPr="00F634C6">
        <w:rPr>
          <w:lang w:eastAsia="ja-JP"/>
        </w:rPr>
        <w:t>(COM (2008) 400)</w:t>
      </w:r>
    </w:p>
  </w:footnote>
  <w:footnote w:id="57">
    <w:p w14:paraId="015CB63B" w14:textId="77777777" w:rsidR="0038775E" w:rsidRDefault="00877B9C">
      <w:pPr>
        <w:pStyle w:val="aff"/>
        <w:rPr>
          <w:lang w:eastAsia="ja-JP"/>
        </w:rPr>
      </w:pPr>
      <w:r>
        <w:rPr>
          <w:rStyle w:val="afa"/>
        </w:rPr>
        <w:footnoteRef/>
      </w:r>
      <w:r w:rsidRPr="00BA4E97">
        <w:rPr>
          <w:lang w:eastAsia="ja-JP"/>
        </w:rPr>
        <w:tab/>
      </w:r>
      <w:r>
        <w:rPr>
          <w:lang w:eastAsia="ja-JP"/>
        </w:rPr>
        <w:t>製品や組織のライフサイクル環境パフォーマンスを測定・伝達するための環境フットプリント手法の使用に関する</w:t>
      </w:r>
      <w:r>
        <w:rPr>
          <w:lang w:eastAsia="ja-JP"/>
        </w:rPr>
        <w:t>2021</w:t>
      </w:r>
      <w:r>
        <w:rPr>
          <w:lang w:eastAsia="ja-JP"/>
        </w:rPr>
        <w:t>年</w:t>
      </w:r>
      <w:r>
        <w:rPr>
          <w:lang w:eastAsia="ja-JP"/>
        </w:rPr>
        <w:t>12</w:t>
      </w:r>
      <w:r>
        <w:rPr>
          <w:lang w:eastAsia="ja-JP"/>
        </w:rPr>
        <w:t>月</w:t>
      </w:r>
      <w:r>
        <w:rPr>
          <w:lang w:eastAsia="ja-JP"/>
        </w:rPr>
        <w:t>15</w:t>
      </w:r>
      <w:r>
        <w:rPr>
          <w:lang w:eastAsia="ja-JP"/>
        </w:rPr>
        <w:t>日付欧州委員会勧告（</w:t>
      </w:r>
      <w:r>
        <w:rPr>
          <w:lang w:eastAsia="ja-JP"/>
        </w:rPr>
        <w:t>EU</w:t>
      </w:r>
      <w:r>
        <w:rPr>
          <w:lang w:eastAsia="ja-JP"/>
        </w:rPr>
        <w:t>）</w:t>
      </w:r>
      <w:r>
        <w:rPr>
          <w:lang w:eastAsia="ja-JP"/>
        </w:rPr>
        <w:t>2021/2279</w:t>
      </w:r>
      <w:r>
        <w:rPr>
          <w:lang w:eastAsia="ja-JP"/>
        </w:rPr>
        <w:t>。</w:t>
      </w:r>
    </w:p>
  </w:footnote>
  <w:footnote w:id="58">
    <w:p w14:paraId="5CC79ECB" w14:textId="77777777" w:rsidR="0038775E" w:rsidRDefault="00877B9C">
      <w:pPr>
        <w:pStyle w:val="aff"/>
        <w:rPr>
          <w:lang w:eastAsia="ja-JP"/>
        </w:rPr>
      </w:pPr>
      <w:r>
        <w:rPr>
          <w:rStyle w:val="afa"/>
        </w:rPr>
        <w:footnoteRef/>
      </w:r>
      <w:r>
        <w:rPr>
          <w:lang w:eastAsia="ja-JP"/>
        </w:rPr>
        <w:tab/>
      </w:r>
      <w:r>
        <w:rPr>
          <w:lang w:eastAsia="ja-JP"/>
        </w:rPr>
        <w:t>包装および包装廃棄物に関する</w:t>
      </w:r>
      <w:r>
        <w:rPr>
          <w:lang w:eastAsia="ja-JP"/>
        </w:rPr>
        <w:t>1994</w:t>
      </w:r>
      <w:r>
        <w:rPr>
          <w:lang w:eastAsia="ja-JP"/>
        </w:rPr>
        <w:t>年</w:t>
      </w:r>
      <w:r>
        <w:rPr>
          <w:lang w:eastAsia="ja-JP"/>
        </w:rPr>
        <w:t>12</w:t>
      </w:r>
      <w:r>
        <w:rPr>
          <w:lang w:eastAsia="ja-JP"/>
        </w:rPr>
        <w:t>月</w:t>
      </w:r>
      <w:r>
        <w:rPr>
          <w:lang w:eastAsia="ja-JP"/>
        </w:rPr>
        <w:t>20</w:t>
      </w:r>
      <w:r>
        <w:rPr>
          <w:lang w:eastAsia="ja-JP"/>
        </w:rPr>
        <w:t>日の欧州議会および理事会指令</w:t>
      </w:r>
      <w:r>
        <w:rPr>
          <w:lang w:eastAsia="ja-JP"/>
        </w:rPr>
        <w:t>94/62/EC (OJ L 365, 31.12.1994, p. 10).</w:t>
      </w:r>
    </w:p>
  </w:footnote>
  <w:footnote w:id="59">
    <w:p w14:paraId="7123B5C6" w14:textId="77777777" w:rsidR="0038775E" w:rsidRDefault="00877B9C">
      <w:pPr>
        <w:pStyle w:val="aff"/>
        <w:rPr>
          <w:lang w:eastAsia="ja-JP"/>
        </w:rPr>
      </w:pPr>
      <w:r>
        <w:rPr>
          <w:rStyle w:val="afa"/>
        </w:rPr>
        <w:footnoteRef/>
      </w:r>
      <w:r w:rsidRPr="00F11751">
        <w:rPr>
          <w:lang w:eastAsia="ja-JP"/>
        </w:rPr>
        <w:tab/>
      </w:r>
      <w:r w:rsidRPr="00F11751">
        <w:rPr>
          <w:lang w:eastAsia="ja-JP"/>
        </w:rPr>
        <w:t>食品と接触することを意図した材料および物品に関する</w:t>
      </w:r>
      <w:r w:rsidRPr="00F11751">
        <w:rPr>
          <w:lang w:eastAsia="ja-JP"/>
        </w:rPr>
        <w:t>2004</w:t>
      </w:r>
      <w:r w:rsidRPr="00F11751">
        <w:rPr>
          <w:lang w:eastAsia="ja-JP"/>
        </w:rPr>
        <w:t>年</w:t>
      </w:r>
      <w:r w:rsidRPr="00F11751">
        <w:rPr>
          <w:lang w:eastAsia="ja-JP"/>
        </w:rPr>
        <w:t>10</w:t>
      </w:r>
      <w:r w:rsidRPr="00F11751">
        <w:rPr>
          <w:lang w:eastAsia="ja-JP"/>
        </w:rPr>
        <w:t>月</w:t>
      </w:r>
      <w:r w:rsidRPr="00F11751">
        <w:rPr>
          <w:lang w:eastAsia="ja-JP"/>
        </w:rPr>
        <w:t>27</w:t>
      </w:r>
      <w:r w:rsidRPr="00F11751">
        <w:rPr>
          <w:lang w:eastAsia="ja-JP"/>
        </w:rPr>
        <w:t>日付欧州議会および理</w:t>
      </w:r>
      <w:r w:rsidRPr="00F11751">
        <w:rPr>
          <w:lang w:eastAsia="ja-JP"/>
        </w:rPr>
        <w:t>事会規則（</w:t>
      </w:r>
      <w:r w:rsidRPr="00F11751">
        <w:rPr>
          <w:lang w:eastAsia="ja-JP"/>
        </w:rPr>
        <w:t>EC</w:t>
      </w:r>
      <w:r w:rsidRPr="00F11751">
        <w:rPr>
          <w:lang w:eastAsia="ja-JP"/>
        </w:rPr>
        <w:t>）</w:t>
      </w:r>
      <w:r w:rsidRPr="00F11751">
        <w:rPr>
          <w:lang w:eastAsia="ja-JP"/>
        </w:rPr>
        <w:t>No 1935/2004</w:t>
      </w:r>
      <w:r w:rsidRPr="00F11751">
        <w:rPr>
          <w:lang w:eastAsia="ja-JP"/>
        </w:rPr>
        <w:t>、指令</w:t>
      </w:r>
      <w:r w:rsidRPr="00F11751">
        <w:rPr>
          <w:lang w:eastAsia="ja-JP"/>
        </w:rPr>
        <w:t>80/590/EEC</w:t>
      </w:r>
      <w:r w:rsidRPr="00F11751">
        <w:rPr>
          <w:lang w:eastAsia="ja-JP"/>
        </w:rPr>
        <w:t>および</w:t>
      </w:r>
      <w:r w:rsidRPr="00F11751">
        <w:rPr>
          <w:lang w:eastAsia="ja-JP"/>
        </w:rPr>
        <w:t>89/109/EEC</w:t>
      </w:r>
      <w:r w:rsidRPr="00F11751">
        <w:rPr>
          <w:lang w:eastAsia="ja-JP"/>
        </w:rPr>
        <w:t>を廃止（</w:t>
      </w:r>
      <w:r>
        <w:rPr>
          <w:lang w:eastAsia="ja-JP"/>
        </w:rPr>
        <w:t>OJ L 338, 13.11.2004, p.4</w:t>
      </w:r>
      <w:r>
        <w:rPr>
          <w:lang w:eastAsia="ja-JP"/>
        </w:rPr>
        <w:t>）．</w:t>
      </w:r>
    </w:p>
  </w:footnote>
  <w:footnote w:id="60">
    <w:p w14:paraId="0201650B" w14:textId="77777777" w:rsidR="0038775E" w:rsidRDefault="00877B9C">
      <w:pPr>
        <w:pStyle w:val="aff"/>
        <w:rPr>
          <w:lang w:eastAsia="ja-JP"/>
        </w:rPr>
      </w:pPr>
      <w:r>
        <w:rPr>
          <w:rStyle w:val="afa"/>
        </w:rPr>
        <w:footnoteRef/>
      </w:r>
      <w:r w:rsidRPr="00F11751">
        <w:rPr>
          <w:lang w:eastAsia="ja-JP"/>
        </w:rPr>
        <w:tab/>
      </w:r>
      <w:r w:rsidRPr="00F11751">
        <w:rPr>
          <w:lang w:eastAsia="ja-JP"/>
        </w:rPr>
        <w:t>化学物質の登録、評価、認可および制限（</w:t>
      </w:r>
      <w:r w:rsidRPr="00F11751">
        <w:rPr>
          <w:lang w:eastAsia="ja-JP"/>
        </w:rPr>
        <w:t>REACH</w:t>
      </w:r>
      <w:r w:rsidRPr="00F11751">
        <w:rPr>
          <w:lang w:eastAsia="ja-JP"/>
        </w:rPr>
        <w:t>）に関する</w:t>
      </w:r>
      <w:r w:rsidRPr="00F11751">
        <w:rPr>
          <w:lang w:eastAsia="ja-JP"/>
        </w:rPr>
        <w:t>2006</w:t>
      </w:r>
      <w:r w:rsidRPr="00F11751">
        <w:rPr>
          <w:lang w:eastAsia="ja-JP"/>
        </w:rPr>
        <w:t>年</w:t>
      </w:r>
      <w:r w:rsidRPr="00F11751">
        <w:rPr>
          <w:lang w:eastAsia="ja-JP"/>
        </w:rPr>
        <w:t>12</w:t>
      </w:r>
      <w:r w:rsidRPr="00F11751">
        <w:rPr>
          <w:lang w:eastAsia="ja-JP"/>
        </w:rPr>
        <w:t>月</w:t>
      </w:r>
      <w:r w:rsidRPr="00F11751">
        <w:rPr>
          <w:lang w:eastAsia="ja-JP"/>
        </w:rPr>
        <w:t>18</w:t>
      </w:r>
      <w:r w:rsidRPr="00F11751">
        <w:rPr>
          <w:lang w:eastAsia="ja-JP"/>
        </w:rPr>
        <w:t>日の欧州議会および理事会規則（</w:t>
      </w:r>
      <w:r w:rsidRPr="00F11751">
        <w:rPr>
          <w:lang w:eastAsia="ja-JP"/>
        </w:rPr>
        <w:t>EC</w:t>
      </w:r>
      <w:r w:rsidRPr="00F11751">
        <w:rPr>
          <w:lang w:eastAsia="ja-JP"/>
        </w:rPr>
        <w:t>）</w:t>
      </w:r>
      <w:r w:rsidRPr="00F11751">
        <w:rPr>
          <w:lang w:eastAsia="ja-JP"/>
        </w:rPr>
        <w:t>No 1907/2006</w:t>
      </w:r>
      <w:r w:rsidRPr="00F11751">
        <w:rPr>
          <w:lang w:eastAsia="ja-JP"/>
        </w:rPr>
        <w:t>は、欧州化学物質庁を設立し、指令</w:t>
      </w:r>
      <w:r w:rsidRPr="00F11751">
        <w:rPr>
          <w:lang w:eastAsia="ja-JP"/>
        </w:rPr>
        <w:t>1999/45/EC</w:t>
      </w:r>
      <w:r w:rsidRPr="00F11751">
        <w:rPr>
          <w:lang w:eastAsia="ja-JP"/>
        </w:rPr>
        <w:t>を改正し、理事会規則（</w:t>
      </w:r>
      <w:r w:rsidRPr="00F11751">
        <w:rPr>
          <w:lang w:eastAsia="ja-JP"/>
        </w:rPr>
        <w:t>EEC</w:t>
      </w:r>
      <w:r w:rsidRPr="00F11751">
        <w:rPr>
          <w:lang w:eastAsia="ja-JP"/>
        </w:rPr>
        <w:t>）</w:t>
      </w:r>
      <w:r w:rsidRPr="00F11751">
        <w:rPr>
          <w:lang w:eastAsia="ja-JP"/>
        </w:rPr>
        <w:t>No 793/93</w:t>
      </w:r>
      <w:r w:rsidRPr="00F11751">
        <w:rPr>
          <w:lang w:eastAsia="ja-JP"/>
        </w:rPr>
        <w:t>および委員会規則（</w:t>
      </w:r>
      <w:r w:rsidRPr="00F11751">
        <w:rPr>
          <w:lang w:eastAsia="ja-JP"/>
        </w:rPr>
        <w:t>EC</w:t>
      </w:r>
      <w:r w:rsidRPr="00F11751">
        <w:rPr>
          <w:lang w:eastAsia="ja-JP"/>
        </w:rPr>
        <w:t>）</w:t>
      </w:r>
      <w:r w:rsidRPr="00F11751">
        <w:rPr>
          <w:lang w:eastAsia="ja-JP"/>
        </w:rPr>
        <w:t>No 1488/94</w:t>
      </w:r>
      <w:r w:rsidRPr="00F11751">
        <w:rPr>
          <w:lang w:eastAsia="ja-JP"/>
        </w:rPr>
        <w:t>、ならびに理事会指令</w:t>
      </w:r>
      <w:r w:rsidRPr="00F11751">
        <w:rPr>
          <w:lang w:eastAsia="ja-JP"/>
        </w:rPr>
        <w:t>76/769/EEC</w:t>
      </w:r>
      <w:r w:rsidRPr="00F11751">
        <w:rPr>
          <w:lang w:eastAsia="ja-JP"/>
        </w:rPr>
        <w:t>および委員会指令</w:t>
      </w:r>
      <w:r w:rsidRPr="00F11751">
        <w:rPr>
          <w:lang w:eastAsia="ja-JP"/>
        </w:rPr>
        <w:t>91/155/</w:t>
      </w:r>
      <w:r w:rsidRPr="00F11751">
        <w:rPr>
          <w:lang w:eastAsia="ja-JP"/>
        </w:rPr>
        <w:t>EC</w:t>
      </w:r>
      <w:r w:rsidRPr="00F11751">
        <w:rPr>
          <w:lang w:eastAsia="ja-JP"/>
        </w:rPr>
        <w:t>、</w:t>
      </w:r>
      <w:r w:rsidRPr="00F11751">
        <w:rPr>
          <w:lang w:eastAsia="ja-JP"/>
        </w:rPr>
        <w:t>93/67/EC</w:t>
      </w:r>
      <w:r w:rsidRPr="00F11751">
        <w:rPr>
          <w:lang w:eastAsia="ja-JP"/>
        </w:rPr>
        <w:t>、</w:t>
      </w:r>
      <w:r w:rsidRPr="00F11751">
        <w:rPr>
          <w:lang w:eastAsia="ja-JP"/>
        </w:rPr>
        <w:t>93/105/EC</w:t>
      </w:r>
      <w:r w:rsidRPr="00F11751">
        <w:rPr>
          <w:lang w:eastAsia="ja-JP"/>
        </w:rPr>
        <w:t>および</w:t>
      </w:r>
      <w:r w:rsidRPr="00F11751">
        <w:rPr>
          <w:lang w:eastAsia="ja-JP"/>
        </w:rPr>
        <w:t>2000/21/EC</w:t>
      </w:r>
      <w:r>
        <w:rPr>
          <w:lang w:eastAsia="ja-JP"/>
        </w:rPr>
        <w:t>（</w:t>
      </w:r>
      <w:r w:rsidRPr="00F11751">
        <w:rPr>
          <w:lang w:eastAsia="ja-JP"/>
        </w:rPr>
        <w:t>OJ L 396, 30.12.2006, p.1</w:t>
      </w:r>
      <w:r>
        <w:rPr>
          <w:lang w:eastAsia="ja-JP"/>
        </w:rPr>
        <w:t xml:space="preserve">) </w:t>
      </w:r>
      <w:r>
        <w:rPr>
          <w:lang w:eastAsia="ja-JP"/>
        </w:rPr>
        <w:t>を</w:t>
      </w:r>
      <w:r w:rsidRPr="00F11751">
        <w:rPr>
          <w:lang w:eastAsia="ja-JP"/>
        </w:rPr>
        <w:tab/>
      </w:r>
      <w:r w:rsidRPr="00F11751">
        <w:rPr>
          <w:lang w:eastAsia="ja-JP"/>
        </w:rPr>
        <w:t>廃止する。</w:t>
      </w:r>
    </w:p>
  </w:footnote>
  <w:footnote w:id="61">
    <w:p w14:paraId="0A8E1112" w14:textId="77777777" w:rsidR="0038775E" w:rsidRDefault="00877B9C">
      <w:pPr>
        <w:pStyle w:val="aff"/>
        <w:rPr>
          <w:lang w:eastAsia="ja-JP"/>
        </w:rPr>
      </w:pPr>
      <w:r>
        <w:rPr>
          <w:rStyle w:val="afa"/>
        </w:rPr>
        <w:footnoteRef/>
      </w:r>
      <w:r w:rsidRPr="000728B3">
        <w:rPr>
          <w:lang w:eastAsia="ja-JP"/>
        </w:rPr>
        <w:tab/>
      </w:r>
      <w:r w:rsidRPr="000728B3">
        <w:rPr>
          <w:lang w:eastAsia="ja-JP"/>
        </w:rPr>
        <w:t>化粧品に関する</w:t>
      </w:r>
      <w:r w:rsidRPr="000728B3">
        <w:rPr>
          <w:lang w:eastAsia="ja-JP"/>
        </w:rPr>
        <w:t>2009</w:t>
      </w:r>
      <w:r w:rsidRPr="000728B3">
        <w:rPr>
          <w:lang w:eastAsia="ja-JP"/>
        </w:rPr>
        <w:t>年</w:t>
      </w:r>
      <w:r w:rsidRPr="000728B3">
        <w:rPr>
          <w:lang w:eastAsia="ja-JP"/>
        </w:rPr>
        <w:t>11</w:t>
      </w:r>
      <w:r w:rsidRPr="000728B3">
        <w:rPr>
          <w:lang w:eastAsia="ja-JP"/>
        </w:rPr>
        <w:t>月</w:t>
      </w:r>
      <w:r w:rsidRPr="000728B3">
        <w:rPr>
          <w:lang w:eastAsia="ja-JP"/>
        </w:rPr>
        <w:t>30</w:t>
      </w:r>
      <w:r w:rsidRPr="000728B3">
        <w:rPr>
          <w:lang w:eastAsia="ja-JP"/>
        </w:rPr>
        <w:t>日の欧州議会および理事会の規則（</w:t>
      </w:r>
      <w:r w:rsidRPr="000728B3">
        <w:rPr>
          <w:lang w:eastAsia="ja-JP"/>
        </w:rPr>
        <w:t>EC</w:t>
      </w:r>
      <w:r w:rsidRPr="000728B3">
        <w:rPr>
          <w:lang w:eastAsia="ja-JP"/>
        </w:rPr>
        <w:t>）</w:t>
      </w:r>
      <w:r w:rsidRPr="000728B3">
        <w:rPr>
          <w:lang w:eastAsia="ja-JP"/>
        </w:rPr>
        <w:t>No 1223/2009</w:t>
      </w:r>
      <w:r w:rsidRPr="000728B3">
        <w:rPr>
          <w:lang w:eastAsia="ja-JP"/>
        </w:rPr>
        <w:t>（</w:t>
      </w:r>
      <w:r w:rsidRPr="000728B3">
        <w:rPr>
          <w:lang w:eastAsia="ja-JP"/>
        </w:rPr>
        <w:t>OJ L 342, 22.12.2009, p. 59</w:t>
      </w:r>
      <w:r>
        <w:rPr>
          <w:lang w:eastAsia="ja-JP"/>
        </w:rPr>
        <w:t>）。</w:t>
      </w:r>
    </w:p>
  </w:footnote>
  <w:footnote w:id="62">
    <w:p w14:paraId="07318A41" w14:textId="77777777" w:rsidR="0038775E" w:rsidRDefault="00877B9C">
      <w:pPr>
        <w:pStyle w:val="aff"/>
        <w:rPr>
          <w:lang w:eastAsia="ja-JP"/>
        </w:rPr>
      </w:pPr>
      <w:r>
        <w:rPr>
          <w:rStyle w:val="afa"/>
        </w:rPr>
        <w:footnoteRef/>
      </w:r>
      <w:r w:rsidRPr="008F43A9">
        <w:rPr>
          <w:lang w:eastAsia="ja-JP"/>
        </w:rPr>
        <w:tab/>
      </w:r>
      <w:r w:rsidRPr="008F43A9">
        <w:rPr>
          <w:lang w:eastAsia="ja-JP"/>
        </w:rPr>
        <w:t>体外診断用医療機器に関する</w:t>
      </w:r>
      <w:r w:rsidRPr="008F43A9">
        <w:rPr>
          <w:lang w:eastAsia="ja-JP"/>
        </w:rPr>
        <w:t>2017</w:t>
      </w:r>
      <w:r w:rsidRPr="008F43A9">
        <w:rPr>
          <w:lang w:eastAsia="ja-JP"/>
        </w:rPr>
        <w:t>年</w:t>
      </w:r>
      <w:r w:rsidRPr="008F43A9">
        <w:rPr>
          <w:lang w:eastAsia="ja-JP"/>
        </w:rPr>
        <w:t>4</w:t>
      </w:r>
      <w:r w:rsidRPr="008F43A9">
        <w:rPr>
          <w:lang w:eastAsia="ja-JP"/>
        </w:rPr>
        <w:t>月</w:t>
      </w:r>
      <w:r w:rsidRPr="008F43A9">
        <w:rPr>
          <w:lang w:eastAsia="ja-JP"/>
        </w:rPr>
        <w:t>5</w:t>
      </w:r>
      <w:r w:rsidRPr="008F43A9">
        <w:rPr>
          <w:lang w:eastAsia="ja-JP"/>
        </w:rPr>
        <w:t>日の欧州議会および理事会の規則（</w:t>
      </w:r>
      <w:r w:rsidRPr="008F43A9">
        <w:rPr>
          <w:lang w:eastAsia="ja-JP"/>
        </w:rPr>
        <w:t>EU</w:t>
      </w:r>
      <w:r w:rsidRPr="008F43A9">
        <w:rPr>
          <w:lang w:eastAsia="ja-JP"/>
        </w:rPr>
        <w:t>）</w:t>
      </w:r>
      <w:r w:rsidRPr="008F43A9">
        <w:rPr>
          <w:lang w:eastAsia="ja-JP"/>
        </w:rPr>
        <w:t>2017/746</w:t>
      </w:r>
      <w:r w:rsidRPr="008F43A9">
        <w:rPr>
          <w:lang w:eastAsia="ja-JP"/>
        </w:rPr>
        <w:t>であり、指令</w:t>
      </w:r>
      <w:r w:rsidRPr="008F43A9">
        <w:rPr>
          <w:lang w:eastAsia="ja-JP"/>
        </w:rPr>
        <w:t>98/79/EC</w:t>
      </w:r>
      <w:r w:rsidRPr="008F43A9">
        <w:rPr>
          <w:lang w:eastAsia="ja-JP"/>
        </w:rPr>
        <w:t>および委員会決定</w:t>
      </w:r>
      <w:r w:rsidRPr="008F43A9">
        <w:rPr>
          <w:lang w:eastAsia="ja-JP"/>
        </w:rPr>
        <w:t>2010/227/EU</w:t>
      </w:r>
      <w:r w:rsidRPr="008F43A9">
        <w:rPr>
          <w:lang w:eastAsia="ja-JP"/>
        </w:rPr>
        <w:t>を廃止する</w:t>
      </w:r>
      <w:r>
        <w:rPr>
          <w:lang w:eastAsia="ja-JP"/>
        </w:rPr>
        <w:t>（</w:t>
      </w:r>
      <w:r w:rsidRPr="008F43A9">
        <w:rPr>
          <w:lang w:eastAsia="ja-JP"/>
        </w:rPr>
        <w:t>OJ L 117, 5.5.20</w:t>
      </w:r>
      <w:r w:rsidRPr="008F43A9">
        <w:rPr>
          <w:lang w:eastAsia="ja-JP"/>
        </w:rPr>
        <w:t xml:space="preserve">17, p. </w:t>
      </w:r>
      <w:r>
        <w:rPr>
          <w:lang w:eastAsia="ja-JP"/>
        </w:rPr>
        <w:t>176</w:t>
      </w:r>
      <w:r>
        <w:rPr>
          <w:lang w:eastAsia="ja-JP"/>
        </w:rPr>
        <w:t>）</w:t>
      </w:r>
      <w:r>
        <w:rPr>
          <w:lang w:eastAsia="ja-JP"/>
        </w:rPr>
        <w:t>.</w:t>
      </w:r>
    </w:p>
  </w:footnote>
  <w:footnote w:id="63">
    <w:p w14:paraId="12919841" w14:textId="77777777" w:rsidR="0038775E" w:rsidRDefault="00877B9C">
      <w:pPr>
        <w:pStyle w:val="aff"/>
        <w:rPr>
          <w:lang w:eastAsia="ja-JP"/>
        </w:rPr>
      </w:pPr>
      <w:r>
        <w:rPr>
          <w:rStyle w:val="afa"/>
        </w:rPr>
        <w:footnoteRef/>
      </w:r>
      <w:r w:rsidRPr="00F11751">
        <w:rPr>
          <w:lang w:eastAsia="ja-JP"/>
        </w:rPr>
        <w:tab/>
      </w:r>
      <w:r w:rsidRPr="00F11751">
        <w:rPr>
          <w:lang w:eastAsia="ja-JP"/>
        </w:rPr>
        <w:t>玩具の安全性に関する</w:t>
      </w:r>
      <w:r w:rsidRPr="00F11751">
        <w:rPr>
          <w:lang w:eastAsia="ja-JP"/>
        </w:rPr>
        <w:t>2009</w:t>
      </w:r>
      <w:r w:rsidRPr="00F11751">
        <w:rPr>
          <w:lang w:eastAsia="ja-JP"/>
        </w:rPr>
        <w:t>年</w:t>
      </w:r>
      <w:r w:rsidRPr="00F11751">
        <w:rPr>
          <w:lang w:eastAsia="ja-JP"/>
        </w:rPr>
        <w:t>6</w:t>
      </w:r>
      <w:r w:rsidRPr="00F11751">
        <w:rPr>
          <w:lang w:eastAsia="ja-JP"/>
        </w:rPr>
        <w:t>月</w:t>
      </w:r>
      <w:r w:rsidRPr="00F11751">
        <w:rPr>
          <w:lang w:eastAsia="ja-JP"/>
        </w:rPr>
        <w:t>18</w:t>
      </w:r>
      <w:r w:rsidRPr="00F11751">
        <w:rPr>
          <w:lang w:eastAsia="ja-JP"/>
        </w:rPr>
        <w:t>日の欧州議会および理事会の指令</w:t>
      </w:r>
      <w:r w:rsidRPr="00F11751">
        <w:rPr>
          <w:lang w:eastAsia="ja-JP"/>
        </w:rPr>
        <w:t>2009/48/EC</w:t>
      </w:r>
      <w:r>
        <w:rPr>
          <w:lang w:eastAsia="ja-JP"/>
        </w:rPr>
        <w:t>（</w:t>
      </w:r>
      <w:r w:rsidRPr="00F11751">
        <w:rPr>
          <w:lang w:eastAsia="ja-JP"/>
        </w:rPr>
        <w:t>OJ L 170, 30.6</w:t>
      </w:r>
      <w:r>
        <w:rPr>
          <w:lang w:eastAsia="ja-JP"/>
        </w:rPr>
        <w:t>.2009, p. 1</w:t>
      </w:r>
      <w:r>
        <w:rPr>
          <w:lang w:eastAsia="ja-JP"/>
        </w:rPr>
        <w:t>）。</w:t>
      </w:r>
    </w:p>
  </w:footnote>
  <w:footnote w:id="64">
    <w:p w14:paraId="768AA61E" w14:textId="77777777" w:rsidR="0038775E" w:rsidRDefault="00877B9C">
      <w:pPr>
        <w:pStyle w:val="aff"/>
        <w:rPr>
          <w:lang w:eastAsia="ja-JP"/>
        </w:rPr>
      </w:pPr>
      <w:r>
        <w:rPr>
          <w:rStyle w:val="afa"/>
        </w:rPr>
        <w:footnoteRef/>
      </w:r>
      <w:r w:rsidRPr="00906F3B">
        <w:rPr>
          <w:lang w:eastAsia="ja-JP"/>
        </w:rPr>
        <w:tab/>
      </w:r>
      <w:r w:rsidRPr="00906F3B">
        <w:rPr>
          <w:lang w:eastAsia="ja-JP"/>
        </w:rPr>
        <w:t>電気・電子機器における特定有害物質の使用制限に関する</w:t>
      </w:r>
      <w:r w:rsidRPr="00906F3B">
        <w:rPr>
          <w:lang w:eastAsia="ja-JP"/>
        </w:rPr>
        <w:t>2011</w:t>
      </w:r>
      <w:r w:rsidRPr="00906F3B">
        <w:rPr>
          <w:lang w:eastAsia="ja-JP"/>
        </w:rPr>
        <w:t>年</w:t>
      </w:r>
      <w:r w:rsidRPr="00906F3B">
        <w:rPr>
          <w:lang w:eastAsia="ja-JP"/>
        </w:rPr>
        <w:t>6</w:t>
      </w:r>
      <w:r w:rsidRPr="00906F3B">
        <w:rPr>
          <w:lang w:eastAsia="ja-JP"/>
        </w:rPr>
        <w:t>月</w:t>
      </w:r>
      <w:r w:rsidRPr="00906F3B">
        <w:rPr>
          <w:lang w:eastAsia="ja-JP"/>
        </w:rPr>
        <w:t>8</w:t>
      </w:r>
      <w:r w:rsidRPr="00906F3B">
        <w:rPr>
          <w:lang w:eastAsia="ja-JP"/>
        </w:rPr>
        <w:t>日の欧州議会および理事会指令</w:t>
      </w:r>
      <w:r w:rsidRPr="00906F3B">
        <w:rPr>
          <w:lang w:eastAsia="ja-JP"/>
        </w:rPr>
        <w:t>2011/65/EU</w:t>
      </w:r>
      <w:r>
        <w:rPr>
          <w:lang w:eastAsia="ja-JP"/>
        </w:rPr>
        <w:t>（</w:t>
      </w:r>
      <w:r>
        <w:rPr>
          <w:lang w:eastAsia="ja-JP"/>
        </w:rPr>
        <w:t xml:space="preserve">OJ L 174, 1.7.2011, p. </w:t>
      </w:r>
      <w:r w:rsidRPr="00906F3B">
        <w:rPr>
          <w:lang w:eastAsia="ja-JP"/>
        </w:rPr>
        <w:t>88</w:t>
      </w:r>
      <w:r>
        <w:rPr>
          <w:lang w:eastAsia="ja-JP"/>
        </w:rPr>
        <w:t>）。</w:t>
      </w:r>
    </w:p>
  </w:footnote>
  <w:footnote w:id="65">
    <w:p w14:paraId="4013C229" w14:textId="77777777" w:rsidR="0038775E" w:rsidRDefault="00877B9C">
      <w:pPr>
        <w:pStyle w:val="aff"/>
        <w:rPr>
          <w:lang w:eastAsia="ja-JP"/>
        </w:rPr>
      </w:pPr>
      <w:r>
        <w:rPr>
          <w:rStyle w:val="afa"/>
        </w:rPr>
        <w:footnoteRef/>
      </w:r>
      <w:r w:rsidRPr="00F84A92">
        <w:rPr>
          <w:lang w:eastAsia="ja-JP"/>
        </w:rPr>
        <w:tab/>
      </w:r>
      <w:r>
        <w:rPr>
          <w:lang w:eastAsia="ja-JP"/>
        </w:rPr>
        <w:t>欧州委員会から欧州議会、理事会、欧州経済社会委員会、地域委員会へのコミュニケーション</w:t>
      </w:r>
      <w:r>
        <w:rPr>
          <w:lang w:eastAsia="ja-JP"/>
        </w:rPr>
        <w:t xml:space="preserve"> </w:t>
      </w:r>
      <w:r w:rsidRPr="00D4569B">
        <w:rPr>
          <w:i/>
          <w:lang w:eastAsia="ja-JP"/>
        </w:rPr>
        <w:t>持続可能性のための化学物質戦略</w:t>
      </w:r>
      <w:r w:rsidRPr="00D4569B">
        <w:rPr>
          <w:i/>
          <w:lang w:eastAsia="ja-JP"/>
        </w:rPr>
        <w:t xml:space="preserve"> </w:t>
      </w:r>
      <w:r w:rsidRPr="00D4569B">
        <w:rPr>
          <w:i/>
          <w:lang w:eastAsia="ja-JP"/>
        </w:rPr>
        <w:t>無毒な環境に向けて</w:t>
      </w:r>
      <w:r w:rsidRPr="00D4569B">
        <w:rPr>
          <w:i/>
          <w:lang w:eastAsia="ja-JP"/>
        </w:rPr>
        <w:t xml:space="preserve"> </w:t>
      </w:r>
      <w:r w:rsidRPr="00C873C0">
        <w:rPr>
          <w:lang w:eastAsia="ja-JP"/>
        </w:rPr>
        <w:t>COM(</w:t>
      </w:r>
      <w:r>
        <w:rPr>
          <w:lang w:eastAsia="ja-JP"/>
        </w:rPr>
        <w:t>2020)667 final.</w:t>
      </w:r>
    </w:p>
  </w:footnote>
  <w:footnote w:id="66">
    <w:p w14:paraId="510C8313" w14:textId="77777777" w:rsidR="0038775E" w:rsidRDefault="00877B9C">
      <w:pPr>
        <w:pStyle w:val="aff"/>
        <w:rPr>
          <w:lang w:eastAsia="ja-JP"/>
        </w:rPr>
      </w:pPr>
      <w:r>
        <w:rPr>
          <w:rStyle w:val="afa"/>
        </w:rPr>
        <w:footnoteRef/>
      </w:r>
      <w:r w:rsidRPr="000728B3">
        <w:rPr>
          <w:lang w:eastAsia="ja-JP"/>
        </w:rPr>
        <w:tab/>
      </w:r>
      <w:r w:rsidRPr="000728B3">
        <w:rPr>
          <w:lang w:eastAsia="ja-JP"/>
        </w:rPr>
        <w:t>物質および混合物の分類、表示および包装に関する</w:t>
      </w:r>
      <w:r w:rsidRPr="000728B3">
        <w:rPr>
          <w:lang w:eastAsia="ja-JP"/>
        </w:rPr>
        <w:t>2008</w:t>
      </w:r>
      <w:r w:rsidRPr="000728B3">
        <w:rPr>
          <w:lang w:eastAsia="ja-JP"/>
        </w:rPr>
        <w:t>年</w:t>
      </w:r>
      <w:r w:rsidRPr="000728B3">
        <w:rPr>
          <w:lang w:eastAsia="ja-JP"/>
        </w:rPr>
        <w:t>12</w:t>
      </w:r>
      <w:r w:rsidRPr="000728B3">
        <w:rPr>
          <w:lang w:eastAsia="ja-JP"/>
        </w:rPr>
        <w:t>月</w:t>
      </w:r>
      <w:r w:rsidRPr="000728B3">
        <w:rPr>
          <w:lang w:eastAsia="ja-JP"/>
        </w:rPr>
        <w:t>16</w:t>
      </w:r>
      <w:r w:rsidRPr="000728B3">
        <w:rPr>
          <w:lang w:eastAsia="ja-JP"/>
        </w:rPr>
        <w:t>日付欧州議会および理事会規則（</w:t>
      </w:r>
      <w:r w:rsidRPr="000728B3">
        <w:rPr>
          <w:lang w:eastAsia="ja-JP"/>
        </w:rPr>
        <w:t>EC</w:t>
      </w:r>
      <w:r w:rsidRPr="000728B3">
        <w:rPr>
          <w:lang w:eastAsia="ja-JP"/>
        </w:rPr>
        <w:t>）</w:t>
      </w:r>
      <w:r w:rsidRPr="000728B3">
        <w:rPr>
          <w:lang w:eastAsia="ja-JP"/>
        </w:rPr>
        <w:t>No 1272/2008</w:t>
      </w:r>
      <w:r w:rsidRPr="000728B3">
        <w:rPr>
          <w:lang w:eastAsia="ja-JP"/>
        </w:rPr>
        <w:t>、指令</w:t>
      </w:r>
      <w:r w:rsidRPr="000728B3">
        <w:rPr>
          <w:lang w:eastAsia="ja-JP"/>
        </w:rPr>
        <w:t>67/548/EEC</w:t>
      </w:r>
      <w:r w:rsidRPr="000728B3">
        <w:rPr>
          <w:lang w:eastAsia="ja-JP"/>
        </w:rPr>
        <w:t>および</w:t>
      </w:r>
      <w:r w:rsidRPr="000728B3">
        <w:rPr>
          <w:lang w:eastAsia="ja-JP"/>
        </w:rPr>
        <w:t>1999/45/EC</w:t>
      </w:r>
      <w:r w:rsidRPr="000728B3">
        <w:rPr>
          <w:lang w:eastAsia="ja-JP"/>
        </w:rPr>
        <w:t>の修正および廃止、規則（</w:t>
      </w:r>
      <w:r w:rsidRPr="000728B3">
        <w:rPr>
          <w:lang w:eastAsia="ja-JP"/>
        </w:rPr>
        <w:t>EC</w:t>
      </w:r>
      <w:r w:rsidRPr="000728B3">
        <w:rPr>
          <w:lang w:eastAsia="ja-JP"/>
        </w:rPr>
        <w:t>）</w:t>
      </w:r>
      <w:r w:rsidRPr="000728B3">
        <w:rPr>
          <w:lang w:eastAsia="ja-JP"/>
        </w:rPr>
        <w:t>No 1907/2006</w:t>
      </w:r>
      <w:r w:rsidRPr="000728B3">
        <w:rPr>
          <w:lang w:eastAsia="ja-JP"/>
        </w:rPr>
        <w:t>の修正</w:t>
      </w:r>
      <w:r>
        <w:rPr>
          <w:lang w:eastAsia="ja-JP"/>
        </w:rPr>
        <w:t>（</w:t>
      </w:r>
      <w:r>
        <w:rPr>
          <w:lang w:eastAsia="ja-JP"/>
        </w:rPr>
        <w:t xml:space="preserve">OJ L 353, 31.12.2008, p. </w:t>
      </w:r>
      <w:r w:rsidRPr="000728B3">
        <w:rPr>
          <w:lang w:eastAsia="ja-JP"/>
        </w:rPr>
        <w:t>1</w:t>
      </w:r>
      <w:r>
        <w:rPr>
          <w:lang w:eastAsia="ja-JP"/>
        </w:rPr>
        <w:t>）。</w:t>
      </w:r>
    </w:p>
  </w:footnote>
  <w:footnote w:id="67">
    <w:p w14:paraId="680D441F" w14:textId="77777777" w:rsidR="0038775E" w:rsidRDefault="00877B9C">
      <w:pPr>
        <w:pStyle w:val="aff"/>
        <w:rPr>
          <w:lang w:eastAsia="ja-JP"/>
        </w:rPr>
      </w:pPr>
      <w:r>
        <w:rPr>
          <w:rStyle w:val="afa"/>
        </w:rPr>
        <w:footnoteRef/>
      </w:r>
      <w:r w:rsidRPr="00D17BF9">
        <w:rPr>
          <w:lang w:eastAsia="ja-JP"/>
        </w:rPr>
        <w:tab/>
      </w:r>
      <w:r w:rsidRPr="00D17BF9">
        <w:rPr>
          <w:lang w:eastAsia="ja-JP"/>
        </w:rPr>
        <w:t>個人データの処理に関する自然</w:t>
      </w:r>
      <w:r w:rsidRPr="00D17BF9">
        <w:rPr>
          <w:lang w:eastAsia="ja-JP"/>
        </w:rPr>
        <w:t>人の保護及び当該データの自由な移動に関する</w:t>
      </w:r>
      <w:r w:rsidRPr="00D17BF9">
        <w:rPr>
          <w:lang w:eastAsia="ja-JP"/>
        </w:rPr>
        <w:t>2016</w:t>
      </w:r>
      <w:r w:rsidRPr="00D17BF9">
        <w:rPr>
          <w:lang w:eastAsia="ja-JP"/>
        </w:rPr>
        <w:t>年</w:t>
      </w:r>
      <w:r w:rsidRPr="00D17BF9">
        <w:rPr>
          <w:lang w:eastAsia="ja-JP"/>
        </w:rPr>
        <w:t>4</w:t>
      </w:r>
      <w:r w:rsidRPr="00D17BF9">
        <w:rPr>
          <w:lang w:eastAsia="ja-JP"/>
        </w:rPr>
        <w:t>月</w:t>
      </w:r>
      <w:r w:rsidRPr="00D17BF9">
        <w:rPr>
          <w:lang w:eastAsia="ja-JP"/>
        </w:rPr>
        <w:t>27</w:t>
      </w:r>
      <w:r w:rsidRPr="00D17BF9">
        <w:rPr>
          <w:lang w:eastAsia="ja-JP"/>
        </w:rPr>
        <w:t>日の欧州議会及び理事会の規則（</w:t>
      </w:r>
      <w:r w:rsidRPr="00D17BF9">
        <w:rPr>
          <w:lang w:eastAsia="ja-JP"/>
        </w:rPr>
        <w:t>EU</w:t>
      </w:r>
      <w:r w:rsidRPr="00D17BF9">
        <w:rPr>
          <w:lang w:eastAsia="ja-JP"/>
        </w:rPr>
        <w:t>）</w:t>
      </w:r>
      <w:r w:rsidRPr="00D17BF9">
        <w:rPr>
          <w:lang w:eastAsia="ja-JP"/>
        </w:rPr>
        <w:t>2016/679</w:t>
      </w:r>
      <w:r w:rsidRPr="00D17BF9">
        <w:rPr>
          <w:lang w:eastAsia="ja-JP"/>
        </w:rPr>
        <w:t>、並びに指令</w:t>
      </w:r>
      <w:r w:rsidRPr="00D17BF9">
        <w:rPr>
          <w:lang w:eastAsia="ja-JP"/>
        </w:rPr>
        <w:t>95/46/EC</w:t>
      </w:r>
      <w:r w:rsidRPr="00D17BF9">
        <w:rPr>
          <w:lang w:eastAsia="ja-JP"/>
        </w:rPr>
        <w:t>の廃止（</w:t>
      </w:r>
      <w:r w:rsidRPr="00D17BF9">
        <w:rPr>
          <w:lang w:eastAsia="ja-JP"/>
        </w:rPr>
        <w:t>OJ L 119, 4.5.2016, p. 1</w:t>
      </w:r>
      <w:r w:rsidRPr="00D17BF9">
        <w:rPr>
          <w:lang w:eastAsia="ja-JP"/>
        </w:rPr>
        <w:t>）</w:t>
      </w:r>
      <w:r w:rsidRPr="00D17BF9">
        <w:rPr>
          <w:lang w:eastAsia="ja-JP"/>
        </w:rPr>
        <w:t>.</w:t>
      </w:r>
    </w:p>
  </w:footnote>
  <w:footnote w:id="68">
    <w:p w14:paraId="5FFB3965" w14:textId="77777777" w:rsidR="0038775E" w:rsidRDefault="00877B9C">
      <w:pPr>
        <w:pStyle w:val="aff"/>
        <w:rPr>
          <w:lang w:eastAsia="ja-JP"/>
        </w:rPr>
      </w:pPr>
      <w:r w:rsidRPr="00D17BF9">
        <w:rPr>
          <w:rStyle w:val="afa"/>
        </w:rPr>
        <w:footnoteRef/>
      </w:r>
      <w:r w:rsidRPr="00D17BF9">
        <w:rPr>
          <w:lang w:eastAsia="ja-JP"/>
        </w:rPr>
        <w:tab/>
      </w:r>
      <w:r w:rsidRPr="00D17BF9">
        <w:rPr>
          <w:lang w:eastAsia="ja-JP"/>
        </w:rPr>
        <w:t>欧州連合機関、団体、事務所及び機関による個人データの処理に関する自然人の保護並びに当該データの自由移動に関する</w:t>
      </w:r>
      <w:r w:rsidRPr="00D17BF9">
        <w:rPr>
          <w:lang w:eastAsia="ja-JP"/>
        </w:rPr>
        <w:t>2018</w:t>
      </w:r>
      <w:r w:rsidRPr="00D17BF9">
        <w:rPr>
          <w:lang w:eastAsia="ja-JP"/>
        </w:rPr>
        <w:t>年</w:t>
      </w:r>
      <w:r w:rsidRPr="00D17BF9">
        <w:rPr>
          <w:lang w:eastAsia="ja-JP"/>
        </w:rPr>
        <w:t>10</w:t>
      </w:r>
      <w:r w:rsidRPr="00D17BF9">
        <w:rPr>
          <w:lang w:eastAsia="ja-JP"/>
        </w:rPr>
        <w:t>月</w:t>
      </w:r>
      <w:r w:rsidRPr="00D17BF9">
        <w:rPr>
          <w:lang w:eastAsia="ja-JP"/>
        </w:rPr>
        <w:t>23</w:t>
      </w:r>
      <w:r w:rsidRPr="00D17BF9">
        <w:rPr>
          <w:lang w:eastAsia="ja-JP"/>
        </w:rPr>
        <w:t>日の欧州議会及び理事会の規則（</w:t>
      </w:r>
      <w:r w:rsidRPr="00D17BF9">
        <w:rPr>
          <w:lang w:eastAsia="ja-JP"/>
        </w:rPr>
        <w:t>EU</w:t>
      </w:r>
      <w:r w:rsidRPr="00D17BF9">
        <w:rPr>
          <w:lang w:eastAsia="ja-JP"/>
        </w:rPr>
        <w:t>）</w:t>
      </w:r>
      <w:r w:rsidRPr="00D17BF9">
        <w:rPr>
          <w:lang w:eastAsia="ja-JP"/>
        </w:rPr>
        <w:t>2018/1725</w:t>
      </w:r>
      <w:r w:rsidRPr="00D17BF9">
        <w:rPr>
          <w:lang w:eastAsia="ja-JP"/>
        </w:rPr>
        <w:t>、並びに規則（</w:t>
      </w:r>
      <w:r w:rsidRPr="00D17BF9">
        <w:rPr>
          <w:lang w:eastAsia="ja-JP"/>
        </w:rPr>
        <w:t>EC</w:t>
      </w:r>
      <w:r w:rsidRPr="00D17BF9">
        <w:rPr>
          <w:lang w:eastAsia="ja-JP"/>
        </w:rPr>
        <w:t>）</w:t>
      </w:r>
      <w:r w:rsidRPr="00D17BF9">
        <w:rPr>
          <w:lang w:eastAsia="ja-JP"/>
        </w:rPr>
        <w:t>No 45/2001</w:t>
      </w:r>
      <w:r w:rsidRPr="00D17BF9">
        <w:rPr>
          <w:lang w:eastAsia="ja-JP"/>
        </w:rPr>
        <w:t>及び決定</w:t>
      </w:r>
      <w:r w:rsidRPr="00D17BF9">
        <w:rPr>
          <w:lang w:eastAsia="ja-JP"/>
        </w:rPr>
        <w:t>No 1247/2002/EC</w:t>
      </w:r>
      <w:r w:rsidRPr="00D17BF9">
        <w:rPr>
          <w:lang w:eastAsia="ja-JP"/>
        </w:rPr>
        <w:t>を廃止（</w:t>
      </w:r>
      <w:r w:rsidRPr="00D17BF9">
        <w:rPr>
          <w:lang w:eastAsia="ja-JP"/>
        </w:rPr>
        <w:t>OJ L 295, 21.11.20</w:t>
      </w:r>
      <w:r w:rsidRPr="00D17BF9">
        <w:rPr>
          <w:lang w:eastAsia="ja-JP"/>
        </w:rPr>
        <w:t>18, p.39</w:t>
      </w:r>
      <w:r w:rsidRPr="00D17BF9">
        <w:rPr>
          <w:lang w:eastAsia="ja-JP"/>
        </w:rPr>
        <w:t>）</w:t>
      </w:r>
      <w:r w:rsidRPr="00D17BF9">
        <w:rPr>
          <w:lang w:eastAsia="ja-JP"/>
        </w:rPr>
        <w:t>.</w:t>
      </w:r>
    </w:p>
  </w:footnote>
  <w:footnote w:id="69">
    <w:p w14:paraId="43D5B341" w14:textId="77777777" w:rsidR="0038775E" w:rsidRDefault="00877B9C">
      <w:pPr>
        <w:pStyle w:val="aff"/>
        <w:rPr>
          <w:lang w:eastAsia="ja-JP"/>
        </w:rPr>
      </w:pPr>
      <w:r>
        <w:rPr>
          <w:rStyle w:val="afa"/>
        </w:rPr>
        <w:footnoteRef/>
      </w:r>
      <w:r w:rsidRPr="00F32EC6">
        <w:rPr>
          <w:lang w:eastAsia="ja-JP"/>
        </w:rPr>
        <w:tab/>
        <w:t>2013</w:t>
      </w:r>
      <w:r w:rsidRPr="00F32EC6">
        <w:rPr>
          <w:lang w:eastAsia="ja-JP"/>
        </w:rPr>
        <w:t>年</w:t>
      </w:r>
      <w:r w:rsidRPr="00F32EC6">
        <w:rPr>
          <w:lang w:eastAsia="ja-JP"/>
        </w:rPr>
        <w:t>10</w:t>
      </w:r>
      <w:r w:rsidRPr="00F32EC6">
        <w:rPr>
          <w:lang w:eastAsia="ja-JP"/>
        </w:rPr>
        <w:t>月</w:t>
      </w:r>
      <w:r w:rsidRPr="00F32EC6">
        <w:rPr>
          <w:lang w:eastAsia="ja-JP"/>
        </w:rPr>
        <w:t>9</w:t>
      </w:r>
      <w:r w:rsidRPr="00F32EC6">
        <w:rPr>
          <w:lang w:eastAsia="ja-JP"/>
        </w:rPr>
        <w:t>日の欧州議会および理事会の規則（</w:t>
      </w:r>
      <w:r w:rsidRPr="00F32EC6">
        <w:rPr>
          <w:lang w:eastAsia="ja-JP"/>
        </w:rPr>
        <w:t>EU</w:t>
      </w:r>
      <w:r w:rsidRPr="00F32EC6">
        <w:rPr>
          <w:lang w:eastAsia="ja-JP"/>
        </w:rPr>
        <w:t>）</w:t>
      </w:r>
      <w:r w:rsidRPr="00F32EC6">
        <w:rPr>
          <w:lang w:eastAsia="ja-JP"/>
        </w:rPr>
        <w:t>No 952/2013</w:t>
      </w:r>
      <w:r w:rsidRPr="00F32EC6">
        <w:rPr>
          <w:lang w:eastAsia="ja-JP"/>
        </w:rPr>
        <w:t>は、連合関税法を定めるものである</w:t>
      </w:r>
      <w:r>
        <w:rPr>
          <w:lang w:eastAsia="ja-JP"/>
        </w:rPr>
        <w:t>（</w:t>
      </w:r>
      <w:r w:rsidRPr="00F32EC6">
        <w:rPr>
          <w:lang w:eastAsia="ja-JP"/>
        </w:rPr>
        <w:t>OJ L 269, 10.10.2013, p. 1</w:t>
      </w:r>
      <w:r>
        <w:rPr>
          <w:lang w:eastAsia="ja-JP"/>
        </w:rPr>
        <w:t>）。</w:t>
      </w:r>
    </w:p>
  </w:footnote>
  <w:footnote w:id="70">
    <w:p w14:paraId="784A9D1A" w14:textId="77777777" w:rsidR="0038775E" w:rsidRDefault="00877B9C">
      <w:pPr>
        <w:pStyle w:val="aff"/>
        <w:rPr>
          <w:lang w:eastAsia="ja-JP"/>
        </w:rPr>
      </w:pPr>
      <w:r>
        <w:rPr>
          <w:rStyle w:val="afa"/>
        </w:rPr>
        <w:footnoteRef/>
      </w:r>
      <w:r w:rsidRPr="00F84A92">
        <w:rPr>
          <w:lang w:eastAsia="ja-JP"/>
        </w:rPr>
        <w:tab/>
      </w:r>
      <w:r w:rsidRPr="00F84A92">
        <w:rPr>
          <w:lang w:eastAsia="ja-JP"/>
        </w:rPr>
        <w:t>商品の販売に関する契約に関する特定の側面に関する欧州議会及び理事会の指令（</w:t>
      </w:r>
      <w:r w:rsidRPr="00F84A92">
        <w:rPr>
          <w:lang w:eastAsia="ja-JP"/>
        </w:rPr>
        <w:t>EU</w:t>
      </w:r>
      <w:r w:rsidRPr="00F84A92">
        <w:rPr>
          <w:lang w:eastAsia="ja-JP"/>
        </w:rPr>
        <w:t>）</w:t>
      </w:r>
      <w:r w:rsidRPr="00F84A92">
        <w:rPr>
          <w:lang w:eastAsia="ja-JP"/>
        </w:rPr>
        <w:t>2019/771 f 2019</w:t>
      </w:r>
      <w:r w:rsidRPr="00F84A92">
        <w:rPr>
          <w:lang w:eastAsia="ja-JP"/>
        </w:rPr>
        <w:t>年</w:t>
      </w:r>
      <w:r w:rsidRPr="00F84A92">
        <w:rPr>
          <w:lang w:eastAsia="ja-JP"/>
        </w:rPr>
        <w:t>5</w:t>
      </w:r>
      <w:r w:rsidRPr="00F84A92">
        <w:rPr>
          <w:lang w:eastAsia="ja-JP"/>
        </w:rPr>
        <w:t>月</w:t>
      </w:r>
      <w:r w:rsidRPr="00F84A92">
        <w:rPr>
          <w:lang w:eastAsia="ja-JP"/>
        </w:rPr>
        <w:t>20</w:t>
      </w:r>
      <w:r w:rsidRPr="00F84A92">
        <w:rPr>
          <w:lang w:eastAsia="ja-JP"/>
        </w:rPr>
        <w:t>日、規則（</w:t>
      </w:r>
      <w:r w:rsidRPr="00F84A92">
        <w:rPr>
          <w:lang w:eastAsia="ja-JP"/>
        </w:rPr>
        <w:t>EU</w:t>
      </w:r>
      <w:r w:rsidRPr="00F84A92">
        <w:rPr>
          <w:lang w:eastAsia="ja-JP"/>
        </w:rPr>
        <w:t>）</w:t>
      </w:r>
      <w:r w:rsidRPr="00F84A92">
        <w:rPr>
          <w:lang w:eastAsia="ja-JP"/>
        </w:rPr>
        <w:t>2017/2394</w:t>
      </w:r>
      <w:r w:rsidRPr="00F84A92">
        <w:rPr>
          <w:lang w:eastAsia="ja-JP"/>
        </w:rPr>
        <w:t>及び指令</w:t>
      </w:r>
      <w:r w:rsidRPr="00F84A92">
        <w:rPr>
          <w:lang w:eastAsia="ja-JP"/>
        </w:rPr>
        <w:t>2009/22/EC</w:t>
      </w:r>
      <w:r w:rsidRPr="00F84A92">
        <w:rPr>
          <w:lang w:eastAsia="ja-JP"/>
        </w:rPr>
        <w:t>を修正し、指令</w:t>
      </w:r>
      <w:r w:rsidRPr="00F84A92">
        <w:rPr>
          <w:lang w:eastAsia="ja-JP"/>
        </w:rPr>
        <w:t>1999/44/EC</w:t>
      </w:r>
      <w:r w:rsidRPr="00F84A92">
        <w:rPr>
          <w:lang w:eastAsia="ja-JP"/>
        </w:rPr>
        <w:t>を廃止</w:t>
      </w:r>
      <w:r>
        <w:rPr>
          <w:lang w:eastAsia="ja-JP"/>
        </w:rPr>
        <w:t>（</w:t>
      </w:r>
      <w:r>
        <w:rPr>
          <w:lang w:eastAsia="ja-JP"/>
        </w:rPr>
        <w:t>OJ L 136, 22.5.2019, p.6</w:t>
      </w:r>
      <w:r>
        <w:rPr>
          <w:lang w:eastAsia="ja-JP"/>
        </w:rPr>
        <w:t>）</w:t>
      </w:r>
      <w:r>
        <w:rPr>
          <w:lang w:eastAsia="ja-JP"/>
        </w:rPr>
        <w:t>.</w:t>
      </w:r>
    </w:p>
  </w:footnote>
  <w:footnote w:id="71">
    <w:p w14:paraId="6179DC23" w14:textId="77777777" w:rsidR="0038775E" w:rsidRDefault="00877B9C">
      <w:pPr>
        <w:pStyle w:val="aff"/>
        <w:rPr>
          <w:lang w:eastAsia="ja-JP"/>
        </w:rPr>
      </w:pPr>
      <w:r>
        <w:rPr>
          <w:rStyle w:val="afa"/>
        </w:rPr>
        <w:footnoteRef/>
      </w:r>
      <w:r w:rsidRPr="00F84A92">
        <w:rPr>
          <w:lang w:eastAsia="ja-JP"/>
        </w:rPr>
        <w:tab/>
      </w:r>
      <w:r w:rsidRPr="00F84A92">
        <w:rPr>
          <w:lang w:eastAsia="ja-JP"/>
        </w:rPr>
        <w:t>消費者の権利に関する</w:t>
      </w:r>
      <w:r w:rsidRPr="00F84A92">
        <w:rPr>
          <w:lang w:eastAsia="ja-JP"/>
        </w:rPr>
        <w:t>2011</w:t>
      </w:r>
      <w:r w:rsidRPr="00F84A92">
        <w:rPr>
          <w:lang w:eastAsia="ja-JP"/>
        </w:rPr>
        <w:t>年</w:t>
      </w:r>
      <w:r w:rsidRPr="00F84A92">
        <w:rPr>
          <w:lang w:eastAsia="ja-JP"/>
        </w:rPr>
        <w:t>10</w:t>
      </w:r>
      <w:r w:rsidRPr="00F84A92">
        <w:rPr>
          <w:lang w:eastAsia="ja-JP"/>
        </w:rPr>
        <w:t>月</w:t>
      </w:r>
      <w:r w:rsidRPr="00F84A92">
        <w:rPr>
          <w:lang w:eastAsia="ja-JP"/>
        </w:rPr>
        <w:t>25</w:t>
      </w:r>
      <w:r w:rsidRPr="00F84A92">
        <w:rPr>
          <w:lang w:eastAsia="ja-JP"/>
        </w:rPr>
        <w:t>日の欧州議会および理事会の指令</w:t>
      </w:r>
      <w:r w:rsidRPr="00F84A92">
        <w:rPr>
          <w:lang w:eastAsia="ja-JP"/>
        </w:rPr>
        <w:t>2011/83/EU</w:t>
      </w:r>
      <w:r w:rsidRPr="00F84A92">
        <w:rPr>
          <w:lang w:eastAsia="ja-JP"/>
        </w:rPr>
        <w:t>は、欧州議会および理事会の理事会指令</w:t>
      </w:r>
      <w:r w:rsidRPr="00F84A92">
        <w:rPr>
          <w:lang w:eastAsia="ja-JP"/>
        </w:rPr>
        <w:t>93/13/EEC</w:t>
      </w:r>
      <w:r w:rsidRPr="00F84A92">
        <w:rPr>
          <w:lang w:eastAsia="ja-JP"/>
        </w:rPr>
        <w:t>および指令</w:t>
      </w:r>
      <w:r w:rsidRPr="00F84A92">
        <w:rPr>
          <w:lang w:eastAsia="ja-JP"/>
        </w:rPr>
        <w:t>1999/44/EC</w:t>
      </w:r>
      <w:r w:rsidRPr="00F84A92">
        <w:rPr>
          <w:lang w:eastAsia="ja-JP"/>
        </w:rPr>
        <w:t>を修正し、欧州議会および理事会の理事会指令</w:t>
      </w:r>
      <w:r w:rsidRPr="00F84A92">
        <w:rPr>
          <w:lang w:eastAsia="ja-JP"/>
        </w:rPr>
        <w:t>85/577/EC</w:t>
      </w:r>
      <w:r w:rsidRPr="00F84A92">
        <w:rPr>
          <w:lang w:eastAsia="ja-JP"/>
        </w:rPr>
        <w:t>および指令</w:t>
      </w:r>
      <w:r w:rsidRPr="00F84A92">
        <w:rPr>
          <w:lang w:eastAsia="ja-JP"/>
        </w:rPr>
        <w:t>97/7/EC</w:t>
      </w:r>
      <w:r w:rsidRPr="00F84A92">
        <w:rPr>
          <w:lang w:eastAsia="ja-JP"/>
        </w:rPr>
        <w:t>を廃止する</w:t>
      </w:r>
      <w:r>
        <w:rPr>
          <w:lang w:eastAsia="ja-JP"/>
        </w:rPr>
        <w:t>（</w:t>
      </w:r>
      <w:r>
        <w:rPr>
          <w:lang w:eastAsia="ja-JP"/>
        </w:rPr>
        <w:t>OJ L 304, 22.11.2011, p. 64</w:t>
      </w:r>
      <w:r>
        <w:rPr>
          <w:lang w:eastAsia="ja-JP"/>
        </w:rPr>
        <w:t>）</w:t>
      </w:r>
      <w:r>
        <w:rPr>
          <w:lang w:eastAsia="ja-JP"/>
        </w:rPr>
        <w:t xml:space="preserve">. </w:t>
      </w:r>
    </w:p>
  </w:footnote>
  <w:footnote w:id="72">
    <w:p w14:paraId="1AFF27EC" w14:textId="77777777" w:rsidR="0038775E" w:rsidRDefault="00877B9C">
      <w:pPr>
        <w:pStyle w:val="aff"/>
        <w:rPr>
          <w:lang w:eastAsia="ja-JP"/>
        </w:rPr>
      </w:pPr>
      <w:r>
        <w:rPr>
          <w:rStyle w:val="afa"/>
        </w:rPr>
        <w:footnoteRef/>
      </w:r>
      <w:r w:rsidRPr="00F4434C">
        <w:rPr>
          <w:lang w:eastAsia="ja-JP"/>
        </w:rPr>
        <w:tab/>
      </w:r>
      <w:r>
        <w:rPr>
          <w:lang w:eastAsia="ja-JP"/>
        </w:rPr>
        <w:t>2013</w:t>
      </w:r>
      <w:r>
        <w:rPr>
          <w:lang w:eastAsia="ja-JP"/>
        </w:rPr>
        <w:t>年</w:t>
      </w:r>
      <w:r>
        <w:rPr>
          <w:lang w:eastAsia="ja-JP"/>
        </w:rPr>
        <w:t>6</w:t>
      </w:r>
      <w:r>
        <w:rPr>
          <w:lang w:eastAsia="ja-JP"/>
        </w:rPr>
        <w:t>月</w:t>
      </w:r>
      <w:r>
        <w:rPr>
          <w:lang w:eastAsia="ja-JP"/>
        </w:rPr>
        <w:t>26</w:t>
      </w:r>
      <w:r>
        <w:rPr>
          <w:lang w:eastAsia="ja-JP"/>
        </w:rPr>
        <w:t>日付欧州議会及び理事会指令</w:t>
      </w:r>
      <w:r>
        <w:rPr>
          <w:lang w:eastAsia="ja-JP"/>
        </w:rPr>
        <w:t>2013/34/EU</w:t>
      </w:r>
      <w:r>
        <w:rPr>
          <w:lang w:eastAsia="ja-JP"/>
        </w:rPr>
        <w:t>（特定の種類の事業体の年次財務諸表、連結財務諸表及び関連報告書に関するもので、欧州議会及び理事会指令</w:t>
      </w:r>
      <w:r>
        <w:rPr>
          <w:lang w:eastAsia="ja-JP"/>
        </w:rPr>
        <w:t>2006/43/EC</w:t>
      </w:r>
      <w:r>
        <w:rPr>
          <w:lang w:eastAsia="ja-JP"/>
        </w:rPr>
        <w:t>を修正し、理事会指令</w:t>
      </w:r>
      <w:r>
        <w:rPr>
          <w:lang w:eastAsia="ja-JP"/>
        </w:rPr>
        <w:t>7</w:t>
      </w:r>
      <w:r>
        <w:rPr>
          <w:lang w:eastAsia="ja-JP"/>
        </w:rPr>
        <w:t>8/660/EC</w:t>
      </w:r>
      <w:r>
        <w:rPr>
          <w:lang w:eastAsia="ja-JP"/>
        </w:rPr>
        <w:t>及び</w:t>
      </w:r>
      <w:r>
        <w:rPr>
          <w:lang w:eastAsia="ja-JP"/>
        </w:rPr>
        <w:t>83/349/EC</w:t>
      </w:r>
      <w:r>
        <w:rPr>
          <w:lang w:eastAsia="ja-JP"/>
        </w:rPr>
        <w:t>（</w:t>
      </w:r>
      <w:r w:rsidRPr="00904054">
        <w:rPr>
          <w:lang w:eastAsia="ja-JP"/>
        </w:rPr>
        <w:t>OJ L 182, 29.6.2013, p. 19</w:t>
      </w:r>
      <w:r w:rsidRPr="00904054">
        <w:rPr>
          <w:lang w:eastAsia="ja-JP"/>
        </w:rPr>
        <w:t>）を廃止</w:t>
      </w:r>
      <w:r>
        <w:rPr>
          <w:lang w:eastAsia="ja-JP"/>
        </w:rPr>
        <w:t>）。</w:t>
      </w:r>
    </w:p>
  </w:footnote>
  <w:footnote w:id="73">
    <w:p w14:paraId="49AB5037" w14:textId="77777777" w:rsidR="0038775E" w:rsidRDefault="00877B9C">
      <w:pPr>
        <w:pStyle w:val="aff"/>
        <w:rPr>
          <w:lang w:eastAsia="ja-JP"/>
        </w:rPr>
      </w:pPr>
      <w:r>
        <w:rPr>
          <w:rStyle w:val="afa"/>
        </w:rPr>
        <w:footnoteRef/>
      </w:r>
      <w:r>
        <w:rPr>
          <w:lang w:eastAsia="ja-JP"/>
        </w:rPr>
        <w:tab/>
        <w:t>2000</w:t>
      </w:r>
      <w:r>
        <w:rPr>
          <w:lang w:eastAsia="ja-JP"/>
        </w:rPr>
        <w:t>年</w:t>
      </w:r>
      <w:r>
        <w:rPr>
          <w:lang w:eastAsia="ja-JP"/>
        </w:rPr>
        <w:t>6</w:t>
      </w:r>
      <w:r>
        <w:rPr>
          <w:lang w:eastAsia="ja-JP"/>
        </w:rPr>
        <w:t>月</w:t>
      </w:r>
      <w:r>
        <w:rPr>
          <w:lang w:eastAsia="ja-JP"/>
        </w:rPr>
        <w:t>8</w:t>
      </w:r>
      <w:r>
        <w:rPr>
          <w:lang w:eastAsia="ja-JP"/>
        </w:rPr>
        <w:t>日付欧州議会および理事会指令</w:t>
      </w:r>
      <w:r>
        <w:rPr>
          <w:lang w:eastAsia="ja-JP"/>
        </w:rPr>
        <w:t>2000/31/EC</w:t>
      </w:r>
      <w:r>
        <w:rPr>
          <w:lang w:eastAsia="ja-JP"/>
        </w:rPr>
        <w:t>（内部市場における情報社会サービス、特に電子商取引に関する特定の法的側面に関する指令）（</w:t>
      </w:r>
      <w:r>
        <w:rPr>
          <w:lang w:eastAsia="ja-JP"/>
        </w:rPr>
        <w:t>OJ L 178, 17.7.2000, p. 1</w:t>
      </w:r>
      <w:r>
        <w:rPr>
          <w:lang w:eastAsia="ja-JP"/>
        </w:rPr>
        <w:t>）</w:t>
      </w:r>
      <w:r>
        <w:rPr>
          <w:lang w:eastAsia="ja-JP"/>
        </w:rPr>
        <w:t>.</w:t>
      </w:r>
    </w:p>
  </w:footnote>
  <w:footnote w:id="74">
    <w:p w14:paraId="4C3132C2" w14:textId="77777777" w:rsidR="0038775E" w:rsidRDefault="00877B9C">
      <w:pPr>
        <w:pStyle w:val="aff"/>
        <w:rPr>
          <w:lang w:eastAsia="ja-JP"/>
        </w:rPr>
      </w:pPr>
      <w:r>
        <w:rPr>
          <w:rStyle w:val="afa"/>
        </w:rPr>
        <w:footnoteRef/>
      </w:r>
      <w:r>
        <w:rPr>
          <w:lang w:eastAsia="ja-JP"/>
        </w:rPr>
        <w:tab/>
        <w:t>[</w:t>
      </w:r>
      <w:r>
        <w:rPr>
          <w:lang w:eastAsia="ja-JP"/>
        </w:rPr>
        <w:t>デジタルサービスの単一市場に関する欧州議会および理事会の規則（デジタルサービス法）および指令</w:t>
      </w:r>
      <w:r>
        <w:rPr>
          <w:lang w:eastAsia="ja-JP"/>
        </w:rPr>
        <w:t>2000/31/EC</w:t>
      </w:r>
      <w:r>
        <w:rPr>
          <w:lang w:eastAsia="ja-JP"/>
        </w:rPr>
        <w:t>の改正に関する提案（</w:t>
      </w:r>
      <w:r>
        <w:rPr>
          <w:lang w:eastAsia="ja-JP"/>
        </w:rPr>
        <w:t>COM</w:t>
      </w:r>
      <w:r>
        <w:rPr>
          <w:lang w:eastAsia="ja-JP"/>
        </w:rPr>
        <w:t>（</w:t>
      </w:r>
      <w:r>
        <w:rPr>
          <w:lang w:eastAsia="ja-JP"/>
        </w:rPr>
        <w:t>2020</w:t>
      </w:r>
      <w:r>
        <w:rPr>
          <w:lang w:eastAsia="ja-JP"/>
        </w:rPr>
        <w:t>）</w:t>
      </w:r>
      <w:r>
        <w:rPr>
          <w:lang w:eastAsia="ja-JP"/>
        </w:rPr>
        <w:t>825 final</w:t>
      </w:r>
      <w:r>
        <w:rPr>
          <w:lang w:eastAsia="ja-JP"/>
        </w:rPr>
        <w:t>）が採択された際に参</w:t>
      </w:r>
      <w:r>
        <w:rPr>
          <w:lang w:eastAsia="ja-JP"/>
        </w:rPr>
        <w:t>照を追加する</w:t>
      </w:r>
      <w:r>
        <w:rPr>
          <w:lang w:eastAsia="ja-JP"/>
        </w:rPr>
        <w:t>]</w:t>
      </w:r>
      <w:r>
        <w:rPr>
          <w:lang w:eastAsia="ja-JP"/>
        </w:rPr>
        <w:t>。</w:t>
      </w:r>
    </w:p>
  </w:footnote>
  <w:footnote w:id="75">
    <w:p w14:paraId="16752215" w14:textId="77777777" w:rsidR="0038775E" w:rsidRDefault="00877B9C">
      <w:pPr>
        <w:pStyle w:val="aff"/>
        <w:rPr>
          <w:lang w:eastAsia="ja-JP"/>
        </w:rPr>
      </w:pPr>
      <w:r>
        <w:rPr>
          <w:rStyle w:val="afa"/>
        </w:rPr>
        <w:footnoteRef/>
      </w:r>
      <w:r w:rsidRPr="00B54BA8">
        <w:rPr>
          <w:lang w:eastAsia="ja-JP"/>
        </w:rPr>
        <w:tab/>
      </w:r>
      <w:r w:rsidRPr="00930BD5">
        <w:rPr>
          <w:lang w:eastAsia="ja-JP"/>
        </w:rPr>
        <w:t>製品の市場監視及びコンプライアンスに関する</w:t>
      </w:r>
      <w:r w:rsidRPr="00930BD5">
        <w:rPr>
          <w:lang w:eastAsia="ja-JP"/>
        </w:rPr>
        <w:t>2019</w:t>
      </w:r>
      <w:r w:rsidRPr="00930BD5">
        <w:rPr>
          <w:lang w:eastAsia="ja-JP"/>
        </w:rPr>
        <w:t>年</w:t>
      </w:r>
      <w:r w:rsidRPr="00930BD5">
        <w:rPr>
          <w:lang w:eastAsia="ja-JP"/>
        </w:rPr>
        <w:t>6</w:t>
      </w:r>
      <w:r w:rsidRPr="00930BD5">
        <w:rPr>
          <w:lang w:eastAsia="ja-JP"/>
        </w:rPr>
        <w:t>月</w:t>
      </w:r>
      <w:r w:rsidRPr="00930BD5">
        <w:rPr>
          <w:lang w:eastAsia="ja-JP"/>
        </w:rPr>
        <w:t>20</w:t>
      </w:r>
      <w:r w:rsidRPr="00930BD5">
        <w:rPr>
          <w:lang w:eastAsia="ja-JP"/>
        </w:rPr>
        <w:t>日付欧州議会及び理事会規則（</w:t>
      </w:r>
      <w:r w:rsidRPr="00930BD5">
        <w:rPr>
          <w:lang w:eastAsia="ja-JP"/>
        </w:rPr>
        <w:t>EU</w:t>
      </w:r>
      <w:r w:rsidRPr="00930BD5">
        <w:rPr>
          <w:lang w:eastAsia="ja-JP"/>
        </w:rPr>
        <w:t>）</w:t>
      </w:r>
      <w:r w:rsidRPr="00930BD5">
        <w:rPr>
          <w:lang w:eastAsia="ja-JP"/>
        </w:rPr>
        <w:t>2019/1020</w:t>
      </w:r>
      <w:r w:rsidRPr="00930BD5">
        <w:rPr>
          <w:lang w:eastAsia="ja-JP"/>
        </w:rPr>
        <w:t>、並びに指令</w:t>
      </w:r>
      <w:r w:rsidRPr="00930BD5">
        <w:rPr>
          <w:lang w:eastAsia="ja-JP"/>
        </w:rPr>
        <w:t>2004/42/EC</w:t>
      </w:r>
      <w:r w:rsidRPr="00930BD5">
        <w:rPr>
          <w:lang w:eastAsia="ja-JP"/>
        </w:rPr>
        <w:t>及び規則（</w:t>
      </w:r>
      <w:r w:rsidRPr="00930BD5">
        <w:rPr>
          <w:lang w:eastAsia="ja-JP"/>
        </w:rPr>
        <w:t>EC</w:t>
      </w:r>
      <w:r w:rsidRPr="00930BD5">
        <w:rPr>
          <w:lang w:eastAsia="ja-JP"/>
        </w:rPr>
        <w:t>）</w:t>
      </w:r>
      <w:r w:rsidRPr="00930BD5">
        <w:rPr>
          <w:lang w:eastAsia="ja-JP"/>
        </w:rPr>
        <w:t>No765/2008</w:t>
      </w:r>
      <w:r w:rsidRPr="00930BD5">
        <w:rPr>
          <w:lang w:eastAsia="ja-JP"/>
        </w:rPr>
        <w:t>及び（</w:t>
      </w:r>
      <w:r w:rsidRPr="00930BD5">
        <w:rPr>
          <w:lang w:eastAsia="ja-JP"/>
        </w:rPr>
        <w:t>EU</w:t>
      </w:r>
      <w:r w:rsidRPr="00930BD5">
        <w:rPr>
          <w:lang w:eastAsia="ja-JP"/>
        </w:rPr>
        <w:t>）</w:t>
      </w:r>
      <w:r w:rsidRPr="00930BD5">
        <w:rPr>
          <w:lang w:eastAsia="ja-JP"/>
        </w:rPr>
        <w:t>No305/2011</w:t>
      </w:r>
      <w:r w:rsidRPr="00930BD5">
        <w:rPr>
          <w:lang w:eastAsia="ja-JP"/>
        </w:rPr>
        <w:t>を改正（</w:t>
      </w:r>
      <w:r w:rsidRPr="00930BD5">
        <w:rPr>
          <w:lang w:eastAsia="ja-JP"/>
        </w:rPr>
        <w:t>OJ L169, 25.6.2019, p. 1</w:t>
      </w:r>
      <w:r w:rsidRPr="00930BD5">
        <w:rPr>
          <w:lang w:eastAsia="ja-JP"/>
        </w:rPr>
        <w:t>）</w:t>
      </w:r>
      <w:r>
        <w:rPr>
          <w:lang w:eastAsia="ja-JP"/>
        </w:rPr>
        <w:t>.</w:t>
      </w:r>
    </w:p>
  </w:footnote>
  <w:footnote w:id="76">
    <w:p w14:paraId="26A93ECC" w14:textId="77777777" w:rsidR="0038775E" w:rsidRDefault="00877B9C">
      <w:pPr>
        <w:pStyle w:val="aff"/>
        <w:rPr>
          <w:lang w:eastAsia="ja-JP"/>
        </w:rPr>
      </w:pPr>
      <w:r>
        <w:rPr>
          <w:rStyle w:val="afa"/>
        </w:rPr>
        <w:footnoteRef/>
      </w:r>
      <w:r w:rsidRPr="003B1393">
        <w:rPr>
          <w:lang w:eastAsia="ja-JP"/>
        </w:rPr>
        <w:tab/>
      </w:r>
      <w:r w:rsidRPr="003B1393">
        <w:rPr>
          <w:lang w:eastAsia="ja-JP"/>
        </w:rPr>
        <w:t>欧州標準化に関する</w:t>
      </w:r>
      <w:r w:rsidRPr="003B1393">
        <w:rPr>
          <w:lang w:eastAsia="ja-JP"/>
        </w:rPr>
        <w:t xml:space="preserve"> 2012 </w:t>
      </w:r>
      <w:r w:rsidRPr="003B1393">
        <w:rPr>
          <w:lang w:eastAsia="ja-JP"/>
        </w:rPr>
        <w:t>年</w:t>
      </w:r>
      <w:r w:rsidRPr="003B1393">
        <w:rPr>
          <w:lang w:eastAsia="ja-JP"/>
        </w:rPr>
        <w:t xml:space="preserve"> 10 </w:t>
      </w:r>
      <w:r w:rsidRPr="003B1393">
        <w:rPr>
          <w:lang w:eastAsia="ja-JP"/>
        </w:rPr>
        <w:t>月</w:t>
      </w:r>
      <w:r w:rsidRPr="003B1393">
        <w:rPr>
          <w:lang w:eastAsia="ja-JP"/>
        </w:rPr>
        <w:t xml:space="preserve"> 25 </w:t>
      </w:r>
      <w:r w:rsidRPr="003B1393">
        <w:rPr>
          <w:lang w:eastAsia="ja-JP"/>
        </w:rPr>
        <w:t>日付欧州議会及び理事会規則（</w:t>
      </w:r>
      <w:r w:rsidRPr="003B1393">
        <w:rPr>
          <w:lang w:eastAsia="ja-JP"/>
        </w:rPr>
        <w:t>EU</w:t>
      </w:r>
      <w:r w:rsidRPr="003B1393">
        <w:rPr>
          <w:lang w:eastAsia="ja-JP"/>
        </w:rPr>
        <w:t>）</w:t>
      </w:r>
      <w:r w:rsidRPr="003B1393">
        <w:rPr>
          <w:lang w:eastAsia="ja-JP"/>
        </w:rPr>
        <w:t xml:space="preserve">No 1025/2012 </w:t>
      </w:r>
      <w:r w:rsidRPr="003B1393">
        <w:rPr>
          <w:lang w:eastAsia="ja-JP"/>
        </w:rPr>
        <w:t>は，理事会指令</w:t>
      </w:r>
      <w:r w:rsidRPr="003B1393">
        <w:rPr>
          <w:lang w:eastAsia="ja-JP"/>
        </w:rPr>
        <w:t xml:space="preserve"> 89/686/EEC </w:t>
      </w:r>
      <w:r w:rsidRPr="003B1393">
        <w:rPr>
          <w:lang w:eastAsia="ja-JP"/>
        </w:rPr>
        <w:t>及び</w:t>
      </w:r>
      <w:r w:rsidRPr="003B1393">
        <w:rPr>
          <w:lang w:eastAsia="ja-JP"/>
        </w:rPr>
        <w:t xml:space="preserve"> 93/15/EEC </w:t>
      </w:r>
      <w:r w:rsidRPr="003B1393">
        <w:rPr>
          <w:lang w:eastAsia="ja-JP"/>
        </w:rPr>
        <w:t>並びに指令</w:t>
      </w:r>
      <w:r w:rsidRPr="003B1393">
        <w:rPr>
          <w:lang w:eastAsia="ja-JP"/>
        </w:rPr>
        <w:t xml:space="preserve"> 94/9/EC</w:t>
      </w:r>
      <w:r w:rsidRPr="003B1393">
        <w:rPr>
          <w:lang w:eastAsia="ja-JP"/>
        </w:rPr>
        <w:t>，</w:t>
      </w:r>
      <w:r w:rsidRPr="003B1393">
        <w:rPr>
          <w:lang w:eastAsia="ja-JP"/>
        </w:rPr>
        <w:t>94/25</w:t>
      </w:r>
      <w:r w:rsidRPr="003B1393">
        <w:rPr>
          <w:lang w:eastAsia="ja-JP"/>
        </w:rPr>
        <w:t>/EC</w:t>
      </w:r>
      <w:r w:rsidRPr="003B1393">
        <w:rPr>
          <w:lang w:eastAsia="ja-JP"/>
        </w:rPr>
        <w:t>，</w:t>
      </w:r>
      <w:r w:rsidRPr="003B1393">
        <w:rPr>
          <w:lang w:eastAsia="ja-JP"/>
        </w:rPr>
        <w:t>95/16/EC</w:t>
      </w:r>
      <w:r w:rsidRPr="003B1393">
        <w:rPr>
          <w:lang w:eastAsia="ja-JP"/>
        </w:rPr>
        <w:t>，</w:t>
      </w:r>
      <w:r w:rsidRPr="003B1393">
        <w:rPr>
          <w:lang w:eastAsia="ja-JP"/>
        </w:rPr>
        <w:t>97/23/EC</w:t>
      </w:r>
      <w:r w:rsidRPr="003B1393">
        <w:rPr>
          <w:lang w:eastAsia="ja-JP"/>
        </w:rPr>
        <w:t>，</w:t>
      </w:r>
      <w:r w:rsidRPr="003B1393">
        <w:rPr>
          <w:lang w:eastAsia="ja-JP"/>
        </w:rPr>
        <w:t>98/34/EC</w:t>
      </w:r>
      <w:r w:rsidRPr="003B1393">
        <w:rPr>
          <w:lang w:eastAsia="ja-JP"/>
        </w:rPr>
        <w:t>，</w:t>
      </w:r>
      <w:r w:rsidRPr="003B1393">
        <w:rPr>
          <w:lang w:eastAsia="ja-JP"/>
        </w:rPr>
        <w:t xml:space="preserve"> 2004/22/EC</w:t>
      </w:r>
      <w:r w:rsidRPr="003B1393">
        <w:rPr>
          <w:lang w:eastAsia="ja-JP"/>
        </w:rPr>
        <w:t>，</w:t>
      </w:r>
      <w:r w:rsidRPr="003B1393">
        <w:rPr>
          <w:lang w:eastAsia="ja-JP"/>
        </w:rPr>
        <w:t>2007/23/EC</w:t>
      </w:r>
      <w:r w:rsidRPr="003B1393">
        <w:rPr>
          <w:lang w:eastAsia="ja-JP"/>
        </w:rPr>
        <w:t>，</w:t>
      </w:r>
      <w:r w:rsidRPr="003B1393">
        <w:rPr>
          <w:lang w:eastAsia="ja-JP"/>
        </w:rPr>
        <w:t>2009/23/EC</w:t>
      </w:r>
      <w:r w:rsidRPr="003B1393">
        <w:rPr>
          <w:lang w:eastAsia="ja-JP"/>
        </w:rPr>
        <w:t>及び</w:t>
      </w:r>
      <w:r w:rsidRPr="003B1393">
        <w:rPr>
          <w:lang w:eastAsia="ja-JP"/>
        </w:rPr>
        <w:t xml:space="preserve"> 2009/105/EC </w:t>
      </w:r>
      <w:r w:rsidRPr="003B1393">
        <w:rPr>
          <w:lang w:eastAsia="ja-JP"/>
        </w:rPr>
        <w:t>の修正並びに欧州議会及び理事会決定</w:t>
      </w:r>
      <w:r w:rsidRPr="003B1393">
        <w:rPr>
          <w:lang w:eastAsia="ja-JP"/>
        </w:rPr>
        <w:t xml:space="preserve"> 87/95/EEC </w:t>
      </w:r>
      <w:r w:rsidRPr="003B1393">
        <w:rPr>
          <w:lang w:eastAsia="ja-JP"/>
        </w:rPr>
        <w:t>及び決定</w:t>
      </w:r>
      <w:r w:rsidRPr="003B1393">
        <w:rPr>
          <w:lang w:eastAsia="ja-JP"/>
        </w:rPr>
        <w:t xml:space="preserve"> 1673/2006/EC </w:t>
      </w:r>
      <w:r w:rsidRPr="003B1393">
        <w:rPr>
          <w:lang w:eastAsia="ja-JP"/>
        </w:rPr>
        <w:t>の撤廃</w:t>
      </w:r>
      <w:r>
        <w:rPr>
          <w:lang w:eastAsia="ja-JP"/>
        </w:rPr>
        <w:t>（</w:t>
      </w:r>
      <w:r w:rsidRPr="003B1393">
        <w:rPr>
          <w:lang w:eastAsia="ja-JP"/>
        </w:rPr>
        <w:t>OJ L 316, 14.11.2012, p. 12</w:t>
      </w:r>
      <w:r>
        <w:rPr>
          <w:lang w:eastAsia="ja-JP"/>
        </w:rPr>
        <w:t>).</w:t>
      </w:r>
    </w:p>
  </w:footnote>
  <w:footnote w:id="77">
    <w:p w14:paraId="45DAD04E" w14:textId="77777777" w:rsidR="0038775E" w:rsidRDefault="00877B9C">
      <w:pPr>
        <w:pStyle w:val="aff"/>
        <w:rPr>
          <w:lang w:eastAsia="ja-JP"/>
        </w:rPr>
      </w:pPr>
      <w:r>
        <w:rPr>
          <w:rStyle w:val="afa"/>
        </w:rPr>
        <w:footnoteRef/>
      </w:r>
      <w:r w:rsidRPr="00C06418">
        <w:rPr>
          <w:lang w:eastAsia="ja-JP"/>
        </w:rPr>
        <w:tab/>
      </w:r>
      <w:r w:rsidRPr="00C06418">
        <w:rPr>
          <w:lang w:eastAsia="ja-JP"/>
        </w:rPr>
        <w:t>製品のマーケティングに関する共通の枠組みに関する</w:t>
      </w:r>
      <w:r w:rsidRPr="00C06418">
        <w:rPr>
          <w:lang w:eastAsia="ja-JP"/>
        </w:rPr>
        <w:t>2008</w:t>
      </w:r>
      <w:r w:rsidRPr="00C06418">
        <w:rPr>
          <w:lang w:eastAsia="ja-JP"/>
        </w:rPr>
        <w:t>年</w:t>
      </w:r>
      <w:r w:rsidRPr="00C06418">
        <w:rPr>
          <w:lang w:eastAsia="ja-JP"/>
        </w:rPr>
        <w:t>7</w:t>
      </w:r>
      <w:r w:rsidRPr="00C06418">
        <w:rPr>
          <w:lang w:eastAsia="ja-JP"/>
        </w:rPr>
        <w:t>月</w:t>
      </w:r>
      <w:r w:rsidRPr="00C06418">
        <w:rPr>
          <w:lang w:eastAsia="ja-JP"/>
        </w:rPr>
        <w:t>9</w:t>
      </w:r>
      <w:r w:rsidRPr="00C06418">
        <w:rPr>
          <w:lang w:eastAsia="ja-JP"/>
        </w:rPr>
        <w:t>日の欧州議会および理事会の決定</w:t>
      </w:r>
      <w:r w:rsidRPr="00C06418">
        <w:rPr>
          <w:lang w:eastAsia="ja-JP"/>
        </w:rPr>
        <w:t>No.768/2008/EC</w:t>
      </w:r>
      <w:r w:rsidRPr="00C06418">
        <w:rPr>
          <w:lang w:eastAsia="ja-JP"/>
        </w:rPr>
        <w:t>、および理事会決定</w:t>
      </w:r>
      <w:r w:rsidRPr="00C06418">
        <w:rPr>
          <w:lang w:eastAsia="ja-JP"/>
        </w:rPr>
        <w:t>93/465/EEC</w:t>
      </w:r>
      <w:r w:rsidRPr="00C06418">
        <w:rPr>
          <w:lang w:eastAsia="ja-JP"/>
        </w:rPr>
        <w:t>を廃止</w:t>
      </w:r>
      <w:r>
        <w:rPr>
          <w:lang w:eastAsia="ja-JP"/>
        </w:rPr>
        <w:t>（</w:t>
      </w:r>
      <w:r>
        <w:rPr>
          <w:lang w:eastAsia="ja-JP"/>
        </w:rPr>
        <w:t>OJ L 218, 1</w:t>
      </w:r>
      <w:r>
        <w:rPr>
          <w:lang w:eastAsia="ja-JP"/>
        </w:rPr>
        <w:t>3.8.2008, p. 82</w:t>
      </w:r>
      <w:r>
        <w:rPr>
          <w:lang w:eastAsia="ja-JP"/>
        </w:rPr>
        <w:t>）。</w:t>
      </w:r>
    </w:p>
  </w:footnote>
  <w:footnote w:id="78">
    <w:p w14:paraId="76762303" w14:textId="77777777" w:rsidR="0038775E" w:rsidRDefault="00877B9C">
      <w:pPr>
        <w:pStyle w:val="aff"/>
        <w:rPr>
          <w:lang w:eastAsia="ja-JP"/>
        </w:rPr>
      </w:pPr>
      <w:r>
        <w:rPr>
          <w:rStyle w:val="afa"/>
        </w:rPr>
        <w:footnoteRef/>
      </w:r>
      <w:r w:rsidRPr="00F21D4A">
        <w:rPr>
          <w:lang w:eastAsia="ja-JP"/>
        </w:rPr>
        <w:tab/>
        <w:t>2008</w:t>
      </w:r>
      <w:r w:rsidRPr="00F21D4A">
        <w:rPr>
          <w:lang w:eastAsia="ja-JP"/>
        </w:rPr>
        <w:t>年</w:t>
      </w:r>
      <w:r w:rsidRPr="00F21D4A">
        <w:rPr>
          <w:lang w:eastAsia="ja-JP"/>
        </w:rPr>
        <w:t>7</w:t>
      </w:r>
      <w:r w:rsidRPr="00F21D4A">
        <w:rPr>
          <w:lang w:eastAsia="ja-JP"/>
        </w:rPr>
        <w:t>月</w:t>
      </w:r>
      <w:r w:rsidRPr="00F21D4A">
        <w:rPr>
          <w:lang w:eastAsia="ja-JP"/>
        </w:rPr>
        <w:t>9</w:t>
      </w:r>
      <w:r w:rsidRPr="00F21D4A">
        <w:rPr>
          <w:lang w:eastAsia="ja-JP"/>
        </w:rPr>
        <w:t>日付欧州議会および理事会規則（</w:t>
      </w:r>
      <w:r w:rsidRPr="00F21D4A">
        <w:rPr>
          <w:lang w:eastAsia="ja-JP"/>
        </w:rPr>
        <w:t>EC</w:t>
      </w:r>
      <w:r w:rsidRPr="00F21D4A">
        <w:rPr>
          <w:lang w:eastAsia="ja-JP"/>
        </w:rPr>
        <w:t>）</w:t>
      </w:r>
      <w:r w:rsidRPr="00F21D4A">
        <w:rPr>
          <w:lang w:eastAsia="ja-JP"/>
        </w:rPr>
        <w:t>No765/2008</w:t>
      </w:r>
      <w:r w:rsidRPr="00F21D4A">
        <w:rPr>
          <w:lang w:eastAsia="ja-JP"/>
        </w:rPr>
        <w:t>は、製品のマーケティングに関する認定および市場監視の要件を定め、規則（</w:t>
      </w:r>
      <w:r w:rsidRPr="00F21D4A">
        <w:rPr>
          <w:lang w:eastAsia="ja-JP"/>
        </w:rPr>
        <w:t>EEC</w:t>
      </w:r>
      <w:r w:rsidRPr="00F21D4A">
        <w:rPr>
          <w:lang w:eastAsia="ja-JP"/>
        </w:rPr>
        <w:t>）</w:t>
      </w:r>
      <w:r w:rsidRPr="00F21D4A">
        <w:rPr>
          <w:lang w:eastAsia="ja-JP"/>
        </w:rPr>
        <w:t>No339/93</w:t>
      </w:r>
      <w:r w:rsidRPr="00F21D4A">
        <w:rPr>
          <w:lang w:eastAsia="ja-JP"/>
        </w:rPr>
        <w:t>を</w:t>
      </w:r>
      <w:r>
        <w:rPr>
          <w:lang w:eastAsia="ja-JP"/>
        </w:rPr>
        <w:t>廃止した</w:t>
      </w:r>
      <w:r w:rsidRPr="00F21D4A">
        <w:rPr>
          <w:lang w:eastAsia="ja-JP"/>
        </w:rPr>
        <w:t>（</w:t>
      </w:r>
      <w:r w:rsidRPr="00F21D4A">
        <w:rPr>
          <w:lang w:eastAsia="ja-JP"/>
        </w:rPr>
        <w:t>OJ L 218, 13.8.2008, p.</w:t>
      </w:r>
      <w:r>
        <w:rPr>
          <w:lang w:eastAsia="ja-JP"/>
        </w:rPr>
        <w:t>30</w:t>
      </w:r>
      <w:r>
        <w:rPr>
          <w:lang w:eastAsia="ja-JP"/>
        </w:rPr>
        <w:t>）</w:t>
      </w:r>
      <w:r>
        <w:rPr>
          <w:lang w:eastAsia="ja-JP"/>
        </w:rPr>
        <w:t>.</w:t>
      </w:r>
    </w:p>
  </w:footnote>
  <w:footnote w:id="79">
    <w:p w14:paraId="2D2A32C3" w14:textId="77777777" w:rsidR="0038775E" w:rsidRDefault="00877B9C">
      <w:pPr>
        <w:pStyle w:val="aff"/>
        <w:rPr>
          <w:lang w:eastAsia="ja-JP"/>
        </w:rPr>
      </w:pPr>
      <w:r>
        <w:rPr>
          <w:rStyle w:val="afa"/>
        </w:rPr>
        <w:footnoteRef/>
      </w:r>
      <w:r w:rsidRPr="00803B38">
        <w:rPr>
          <w:lang w:eastAsia="ja-JP"/>
        </w:rPr>
        <w:tab/>
      </w:r>
      <w:r w:rsidRPr="00803B38">
        <w:rPr>
          <w:lang w:eastAsia="ja-JP"/>
        </w:rPr>
        <w:t>公共調達に関する</w:t>
      </w:r>
      <w:r w:rsidRPr="00803B38">
        <w:rPr>
          <w:lang w:eastAsia="ja-JP"/>
        </w:rPr>
        <w:t>2014</w:t>
      </w:r>
      <w:r w:rsidRPr="00803B38">
        <w:rPr>
          <w:lang w:eastAsia="ja-JP"/>
        </w:rPr>
        <w:t>年</w:t>
      </w:r>
      <w:r w:rsidRPr="00803B38">
        <w:rPr>
          <w:lang w:eastAsia="ja-JP"/>
        </w:rPr>
        <w:t>2</w:t>
      </w:r>
      <w:r w:rsidRPr="00803B38">
        <w:rPr>
          <w:lang w:eastAsia="ja-JP"/>
        </w:rPr>
        <w:t>月</w:t>
      </w:r>
      <w:r w:rsidRPr="00803B38">
        <w:rPr>
          <w:lang w:eastAsia="ja-JP"/>
        </w:rPr>
        <w:t>26</w:t>
      </w:r>
      <w:r w:rsidRPr="00803B38">
        <w:rPr>
          <w:lang w:eastAsia="ja-JP"/>
        </w:rPr>
        <w:t>日付欧州議会及び理事会指令</w:t>
      </w:r>
      <w:r w:rsidRPr="00803B38">
        <w:rPr>
          <w:lang w:eastAsia="ja-JP"/>
        </w:rPr>
        <w:t>2014/24/EU</w:t>
      </w:r>
      <w:r w:rsidRPr="00803B38">
        <w:rPr>
          <w:lang w:eastAsia="ja-JP"/>
        </w:rPr>
        <w:t>、指令</w:t>
      </w:r>
      <w:r w:rsidRPr="00803B38">
        <w:rPr>
          <w:lang w:eastAsia="ja-JP"/>
        </w:rPr>
        <w:t>2004/18/EC</w:t>
      </w:r>
      <w:r w:rsidRPr="00803B38">
        <w:rPr>
          <w:lang w:eastAsia="ja-JP"/>
        </w:rPr>
        <w:t>の廃止</w:t>
      </w:r>
      <w:r>
        <w:rPr>
          <w:lang w:eastAsia="ja-JP"/>
        </w:rPr>
        <w:t>（</w:t>
      </w:r>
      <w:r w:rsidRPr="00803B38">
        <w:rPr>
          <w:lang w:eastAsia="ja-JP"/>
        </w:rPr>
        <w:t>OJ L 94, 28.3.2014, p.</w:t>
      </w:r>
      <w:r>
        <w:rPr>
          <w:lang w:eastAsia="ja-JP"/>
        </w:rPr>
        <w:t>65</w:t>
      </w:r>
      <w:r>
        <w:rPr>
          <w:lang w:eastAsia="ja-JP"/>
        </w:rPr>
        <w:t>）</w:t>
      </w:r>
      <w:r>
        <w:rPr>
          <w:lang w:eastAsia="ja-JP"/>
        </w:rPr>
        <w:t>.</w:t>
      </w:r>
    </w:p>
  </w:footnote>
  <w:footnote w:id="80">
    <w:p w14:paraId="46EA224E" w14:textId="77777777" w:rsidR="0038775E" w:rsidRDefault="00877B9C">
      <w:pPr>
        <w:pStyle w:val="aff"/>
        <w:rPr>
          <w:lang w:eastAsia="ja-JP"/>
        </w:rPr>
      </w:pPr>
      <w:r>
        <w:rPr>
          <w:rStyle w:val="afa"/>
        </w:rPr>
        <w:footnoteRef/>
      </w:r>
      <w:r w:rsidRPr="00803B38">
        <w:rPr>
          <w:lang w:eastAsia="ja-JP"/>
        </w:rPr>
        <w:tab/>
      </w:r>
      <w:r w:rsidRPr="00803B38">
        <w:rPr>
          <w:lang w:eastAsia="ja-JP"/>
        </w:rPr>
        <w:t>水、エネルギー、輸送、郵便サービス分野で活動する事業体による調達と指令</w:t>
      </w:r>
      <w:r w:rsidRPr="00803B38">
        <w:rPr>
          <w:lang w:eastAsia="ja-JP"/>
        </w:rPr>
        <w:t>2004/17/EC</w:t>
      </w:r>
      <w:r w:rsidRPr="00803B38">
        <w:rPr>
          <w:lang w:eastAsia="ja-JP"/>
        </w:rPr>
        <w:t>の廃止に関する</w:t>
      </w:r>
      <w:r w:rsidRPr="00803B38">
        <w:rPr>
          <w:lang w:eastAsia="ja-JP"/>
        </w:rPr>
        <w:t>2014</w:t>
      </w:r>
      <w:r w:rsidRPr="00803B38">
        <w:rPr>
          <w:lang w:eastAsia="ja-JP"/>
        </w:rPr>
        <w:t>年</w:t>
      </w:r>
      <w:r w:rsidRPr="00803B38">
        <w:rPr>
          <w:lang w:eastAsia="ja-JP"/>
        </w:rPr>
        <w:t>2</w:t>
      </w:r>
      <w:r w:rsidRPr="00803B38">
        <w:rPr>
          <w:lang w:eastAsia="ja-JP"/>
        </w:rPr>
        <w:t>月</w:t>
      </w:r>
      <w:r w:rsidRPr="00803B38">
        <w:rPr>
          <w:lang w:eastAsia="ja-JP"/>
        </w:rPr>
        <w:t>26</w:t>
      </w:r>
      <w:r w:rsidRPr="00803B38">
        <w:rPr>
          <w:lang w:eastAsia="ja-JP"/>
        </w:rPr>
        <w:t>日の欧州議会および理事会の指令</w:t>
      </w:r>
      <w:r w:rsidRPr="00803B38">
        <w:rPr>
          <w:lang w:eastAsia="ja-JP"/>
        </w:rPr>
        <w:t>2014/25/EU</w:t>
      </w:r>
      <w:r>
        <w:rPr>
          <w:lang w:eastAsia="ja-JP"/>
        </w:rPr>
        <w:t>（</w:t>
      </w:r>
      <w:r w:rsidRPr="00803B38">
        <w:rPr>
          <w:lang w:eastAsia="ja-JP"/>
        </w:rPr>
        <w:t>OJ L 94, 28.3.2014, p.</w:t>
      </w:r>
      <w:r>
        <w:rPr>
          <w:lang w:eastAsia="ja-JP"/>
        </w:rPr>
        <w:t>243</w:t>
      </w:r>
      <w:r>
        <w:rPr>
          <w:lang w:eastAsia="ja-JP"/>
        </w:rPr>
        <w:t>）</w:t>
      </w:r>
      <w:r>
        <w:rPr>
          <w:lang w:eastAsia="ja-JP"/>
        </w:rPr>
        <w:t>.</w:t>
      </w:r>
    </w:p>
  </w:footnote>
  <w:footnote w:id="81">
    <w:p w14:paraId="1F32DE68" w14:textId="77777777" w:rsidR="0038775E" w:rsidRDefault="00877B9C">
      <w:pPr>
        <w:pStyle w:val="aff"/>
        <w:rPr>
          <w:lang w:eastAsia="ja-JP"/>
        </w:rPr>
      </w:pPr>
      <w:r>
        <w:rPr>
          <w:rStyle w:val="afa"/>
        </w:rPr>
        <w:footnoteRef/>
      </w:r>
      <w:r w:rsidRPr="00382F9A">
        <w:rPr>
          <w:lang w:eastAsia="ja-JP"/>
        </w:rPr>
        <w:tab/>
      </w:r>
      <w:r>
        <w:rPr>
          <w:lang w:eastAsia="ja-JP"/>
        </w:rPr>
        <w:t>関税および農業に関する法律の正しい適用を確保するための加盟国の行政当局間の相互援助および加盟国と欧州委員会との協力に関する</w:t>
      </w:r>
      <w:r>
        <w:rPr>
          <w:lang w:eastAsia="ja-JP"/>
        </w:rPr>
        <w:t>1997</w:t>
      </w:r>
      <w:r>
        <w:rPr>
          <w:lang w:eastAsia="ja-JP"/>
        </w:rPr>
        <w:t>年</w:t>
      </w:r>
      <w:r>
        <w:rPr>
          <w:lang w:eastAsia="ja-JP"/>
        </w:rPr>
        <w:t>3</w:t>
      </w:r>
      <w:r>
        <w:rPr>
          <w:lang w:eastAsia="ja-JP"/>
        </w:rPr>
        <w:t>月</w:t>
      </w:r>
      <w:r>
        <w:rPr>
          <w:lang w:eastAsia="ja-JP"/>
        </w:rPr>
        <w:t>13</w:t>
      </w:r>
      <w:r>
        <w:rPr>
          <w:lang w:eastAsia="ja-JP"/>
        </w:rPr>
        <w:t>日の理事会規則（</w:t>
      </w:r>
      <w:r>
        <w:rPr>
          <w:lang w:eastAsia="ja-JP"/>
        </w:rPr>
        <w:t>EC</w:t>
      </w:r>
      <w:r>
        <w:rPr>
          <w:lang w:eastAsia="ja-JP"/>
        </w:rPr>
        <w:t>）第</w:t>
      </w:r>
      <w:r>
        <w:rPr>
          <w:lang w:eastAsia="ja-JP"/>
        </w:rPr>
        <w:t>515/97</w:t>
      </w:r>
      <w:r>
        <w:rPr>
          <w:lang w:eastAsia="ja-JP"/>
        </w:rPr>
        <w:t>号（</w:t>
      </w:r>
      <w:r>
        <w:rPr>
          <w:lang w:eastAsia="ja-JP"/>
        </w:rPr>
        <w:t>OJ L 82, 22.3.1997, p. 1</w:t>
      </w:r>
      <w:r>
        <w:rPr>
          <w:lang w:eastAsia="ja-JP"/>
        </w:rPr>
        <w:t>）．</w:t>
      </w:r>
      <w:r>
        <w:rPr>
          <w:lang w:eastAsia="ja-JP"/>
        </w:rPr>
        <w:t xml:space="preserve"> </w:t>
      </w:r>
    </w:p>
  </w:footnote>
  <w:footnote w:id="82">
    <w:p w14:paraId="7D8B0DF9" w14:textId="77777777" w:rsidR="0038775E" w:rsidRDefault="00877B9C">
      <w:pPr>
        <w:pStyle w:val="aff"/>
        <w:rPr>
          <w:lang w:eastAsia="ja-JP"/>
        </w:rPr>
      </w:pPr>
      <w:r>
        <w:rPr>
          <w:rStyle w:val="afa"/>
        </w:rPr>
        <w:footnoteRef/>
      </w:r>
      <w:r w:rsidRPr="00322485">
        <w:rPr>
          <w:lang w:eastAsia="ja-JP"/>
        </w:rPr>
        <w:tab/>
      </w:r>
      <w:r w:rsidRPr="00E202D7">
        <w:rPr>
          <w:lang w:val="en-US" w:eastAsia="ja-JP"/>
        </w:rPr>
        <w:t>OJ L123, 12.5.2016,</w:t>
      </w:r>
      <w:r w:rsidRPr="00E202D7">
        <w:rPr>
          <w:lang w:val="en-US" w:eastAsia="ja-JP"/>
        </w:rPr>
        <w:t xml:space="preserve"> p. 1.</w:t>
      </w:r>
    </w:p>
  </w:footnote>
  <w:footnote w:id="83">
    <w:p w14:paraId="5AA413A0" w14:textId="77777777" w:rsidR="0038775E" w:rsidRDefault="00877B9C">
      <w:pPr>
        <w:pStyle w:val="aff"/>
        <w:rPr>
          <w:lang w:eastAsia="ja-JP"/>
        </w:rPr>
      </w:pPr>
      <w:r>
        <w:rPr>
          <w:rStyle w:val="afa"/>
        </w:rPr>
        <w:footnoteRef/>
      </w:r>
      <w:r w:rsidRPr="006B2A80">
        <w:rPr>
          <w:lang w:eastAsia="ja-JP"/>
        </w:rPr>
        <w:tab/>
      </w:r>
      <w:r>
        <w:rPr>
          <w:lang w:eastAsia="ja-JP"/>
        </w:rPr>
        <w:t>欧州委員会による実施権の行使を加盟国が管理する仕組みに関する規則および一般原則を定めた</w:t>
      </w:r>
      <w:r>
        <w:rPr>
          <w:lang w:eastAsia="ja-JP"/>
        </w:rPr>
        <w:t>2011</w:t>
      </w:r>
      <w:r>
        <w:rPr>
          <w:lang w:eastAsia="ja-JP"/>
        </w:rPr>
        <w:t>年</w:t>
      </w:r>
      <w:r>
        <w:rPr>
          <w:lang w:eastAsia="ja-JP"/>
        </w:rPr>
        <w:t>2</w:t>
      </w:r>
      <w:r>
        <w:rPr>
          <w:lang w:eastAsia="ja-JP"/>
        </w:rPr>
        <w:t>月</w:t>
      </w:r>
      <w:r>
        <w:rPr>
          <w:lang w:eastAsia="ja-JP"/>
        </w:rPr>
        <w:t>16</w:t>
      </w:r>
      <w:r>
        <w:rPr>
          <w:lang w:eastAsia="ja-JP"/>
        </w:rPr>
        <w:t>日付欧州議会および理事会規則（</w:t>
      </w:r>
      <w:r>
        <w:rPr>
          <w:lang w:eastAsia="ja-JP"/>
        </w:rPr>
        <w:t>EU</w:t>
      </w:r>
      <w:r>
        <w:rPr>
          <w:lang w:eastAsia="ja-JP"/>
        </w:rPr>
        <w:t>）第</w:t>
      </w:r>
      <w:r>
        <w:rPr>
          <w:lang w:eastAsia="ja-JP"/>
        </w:rPr>
        <w:t>182/2011</w:t>
      </w:r>
      <w:r>
        <w:rPr>
          <w:lang w:eastAsia="ja-JP"/>
        </w:rPr>
        <w:t>号（</w:t>
      </w:r>
      <w:hyperlink r:id="rId12" w:history="1">
        <w:r>
          <w:rPr>
            <w:rStyle w:val="a6"/>
            <w:lang w:eastAsia="ja-JP"/>
          </w:rPr>
          <w:t>OJ L 55, 28.2.2011, p. 13</w:t>
        </w:r>
      </w:hyperlink>
      <w:r>
        <w:rPr>
          <w:lang w:eastAsia="ja-JP"/>
        </w:rPr>
        <w:t>）。</w:t>
      </w:r>
    </w:p>
  </w:footnote>
  <w:footnote w:id="84">
    <w:p w14:paraId="6391B8DD" w14:textId="77777777" w:rsidR="0038775E" w:rsidRDefault="00877B9C">
      <w:pPr>
        <w:pStyle w:val="aff"/>
        <w:rPr>
          <w:lang w:eastAsia="ja-JP"/>
        </w:rPr>
      </w:pPr>
      <w:r>
        <w:rPr>
          <w:rStyle w:val="afa"/>
        </w:rPr>
        <w:footnoteRef/>
      </w:r>
      <w:r w:rsidRPr="001F2788">
        <w:rPr>
          <w:lang w:eastAsia="ja-JP"/>
        </w:rPr>
        <w:tab/>
      </w:r>
      <w:r w:rsidRPr="00CB585A">
        <w:rPr>
          <w:lang w:val="en-IE" w:eastAsia="ja-JP"/>
        </w:rPr>
        <w:t>廃棄物に関する</w:t>
      </w:r>
      <w:r w:rsidRPr="00CB585A">
        <w:rPr>
          <w:lang w:val="en-IE" w:eastAsia="ja-JP"/>
        </w:rPr>
        <w:t>2008</w:t>
      </w:r>
      <w:r w:rsidRPr="00CB585A">
        <w:rPr>
          <w:lang w:val="en-IE" w:eastAsia="ja-JP"/>
        </w:rPr>
        <w:t>年</w:t>
      </w:r>
      <w:r w:rsidRPr="00CB585A">
        <w:rPr>
          <w:lang w:val="en-IE" w:eastAsia="ja-JP"/>
        </w:rPr>
        <w:t>11</w:t>
      </w:r>
      <w:r w:rsidRPr="00CB585A">
        <w:rPr>
          <w:lang w:val="en-IE" w:eastAsia="ja-JP"/>
        </w:rPr>
        <w:t>月</w:t>
      </w:r>
      <w:r w:rsidRPr="00CB585A">
        <w:rPr>
          <w:lang w:val="en-IE" w:eastAsia="ja-JP"/>
        </w:rPr>
        <w:t>1</w:t>
      </w:r>
      <w:r w:rsidRPr="00CB585A">
        <w:rPr>
          <w:lang w:val="en-IE" w:eastAsia="ja-JP"/>
        </w:rPr>
        <w:t>9</w:t>
      </w:r>
      <w:r w:rsidRPr="00CB585A">
        <w:rPr>
          <w:lang w:val="en-IE" w:eastAsia="ja-JP"/>
        </w:rPr>
        <w:t>日付欧州議会および理事会指令</w:t>
      </w:r>
      <w:r w:rsidRPr="00CB585A">
        <w:rPr>
          <w:lang w:val="en-IE" w:eastAsia="ja-JP"/>
        </w:rPr>
        <w:t>2008/98/EC</w:t>
      </w:r>
      <w:r w:rsidRPr="00CB585A">
        <w:rPr>
          <w:lang w:val="en-IE" w:eastAsia="ja-JP"/>
        </w:rPr>
        <w:t>および特定の</w:t>
      </w:r>
      <w:r>
        <w:rPr>
          <w:lang w:val="en-IE" w:eastAsia="ja-JP"/>
        </w:rPr>
        <w:t>指令の</w:t>
      </w:r>
      <w:r w:rsidRPr="00CB585A">
        <w:rPr>
          <w:lang w:val="en-IE" w:eastAsia="ja-JP"/>
        </w:rPr>
        <w:t>廃止</w:t>
      </w:r>
      <w:r>
        <w:rPr>
          <w:lang w:val="en-IE" w:eastAsia="ja-JP"/>
        </w:rPr>
        <w:t>（</w:t>
      </w:r>
      <w:r w:rsidRPr="00CB585A">
        <w:rPr>
          <w:lang w:val="en-IE" w:eastAsia="ja-JP"/>
        </w:rPr>
        <w:t>OJ L 312, 22.11.2008, p.3</w:t>
      </w:r>
      <w:r>
        <w:rPr>
          <w:lang w:val="en-IE" w:eastAsia="ja-JP"/>
        </w:rPr>
        <w:t>）。</w:t>
      </w:r>
    </w:p>
  </w:footnote>
  <w:footnote w:id="85">
    <w:p w14:paraId="686DEB05" w14:textId="77777777" w:rsidR="0038775E" w:rsidRDefault="00877B9C">
      <w:pPr>
        <w:pStyle w:val="aff"/>
        <w:rPr>
          <w:lang w:eastAsia="ja-JP"/>
        </w:rPr>
      </w:pPr>
      <w:r>
        <w:rPr>
          <w:rStyle w:val="afa"/>
        </w:rPr>
        <w:footnoteRef/>
      </w:r>
      <w:r w:rsidRPr="007225F9">
        <w:rPr>
          <w:lang w:eastAsia="ja-JP"/>
        </w:rPr>
        <w:tab/>
      </w:r>
      <w:r w:rsidRPr="00CB585A">
        <w:rPr>
          <w:lang w:val="en-IE" w:eastAsia="ja-JP"/>
        </w:rPr>
        <w:t>零細・中小企業の定義に関する</w:t>
      </w:r>
      <w:r w:rsidRPr="00CB585A">
        <w:rPr>
          <w:lang w:val="en-IE" w:eastAsia="ja-JP"/>
        </w:rPr>
        <w:t>2003</w:t>
      </w:r>
      <w:r w:rsidRPr="00CB585A">
        <w:rPr>
          <w:lang w:val="en-IE" w:eastAsia="ja-JP"/>
        </w:rPr>
        <w:t>年</w:t>
      </w:r>
      <w:r w:rsidRPr="00CB585A">
        <w:rPr>
          <w:lang w:val="en-IE" w:eastAsia="ja-JP"/>
        </w:rPr>
        <w:t>5</w:t>
      </w:r>
      <w:r w:rsidRPr="00CB585A">
        <w:rPr>
          <w:lang w:val="en-IE" w:eastAsia="ja-JP"/>
        </w:rPr>
        <w:t>月</w:t>
      </w:r>
      <w:r w:rsidRPr="00CB585A">
        <w:rPr>
          <w:lang w:val="en-IE" w:eastAsia="ja-JP"/>
        </w:rPr>
        <w:t>6</w:t>
      </w:r>
      <w:r w:rsidRPr="00CB585A">
        <w:rPr>
          <w:lang w:val="en-IE" w:eastAsia="ja-JP"/>
        </w:rPr>
        <w:t>日の欧州委員会勧告</w:t>
      </w:r>
      <w:r>
        <w:rPr>
          <w:lang w:val="en-IE" w:eastAsia="ja-JP"/>
        </w:rPr>
        <w:t>（</w:t>
      </w:r>
      <w:r w:rsidRPr="00CB585A">
        <w:rPr>
          <w:lang w:val="en-IE" w:eastAsia="ja-JP"/>
        </w:rPr>
        <w:t>OJ L 124, 20.5.2003, p.</w:t>
      </w:r>
      <w:r>
        <w:rPr>
          <w:lang w:val="en-IE" w:eastAsia="ja-JP"/>
        </w:rPr>
        <w:t>36</w:t>
      </w:r>
      <w:r>
        <w:rPr>
          <w:lang w:val="en-IE" w:eastAsia="ja-JP"/>
        </w:rPr>
        <w:t>）</w:t>
      </w:r>
      <w:r>
        <w:rPr>
          <w:lang w:val="en-IE" w:eastAsia="ja-JP"/>
        </w:rPr>
        <w:t>.</w:t>
      </w:r>
    </w:p>
  </w:footnote>
  <w:footnote w:id="86">
    <w:p w14:paraId="5BDE1EDE" w14:textId="77777777" w:rsidR="0038775E" w:rsidRDefault="00877B9C">
      <w:pPr>
        <w:pStyle w:val="aff"/>
        <w:rPr>
          <w:lang w:val="en-IE" w:eastAsia="ja-JP"/>
        </w:rPr>
      </w:pPr>
      <w:r>
        <w:rPr>
          <w:rStyle w:val="afa"/>
        </w:rPr>
        <w:footnoteRef/>
      </w:r>
      <w:r>
        <w:rPr>
          <w:lang w:val="en-IE" w:eastAsia="ja-JP"/>
        </w:rPr>
        <w:tab/>
      </w:r>
      <w:r w:rsidRPr="00DA1886">
        <w:rPr>
          <w:lang w:val="en-IE" w:eastAsia="ja-JP"/>
        </w:rPr>
        <w:t>建物のエネルギー性能に関する</w:t>
      </w:r>
      <w:r w:rsidRPr="00DA1886">
        <w:rPr>
          <w:lang w:val="en-IE" w:eastAsia="ja-JP"/>
        </w:rPr>
        <w:t>2010</w:t>
      </w:r>
      <w:r w:rsidRPr="00DA1886">
        <w:rPr>
          <w:lang w:val="en-IE" w:eastAsia="ja-JP"/>
        </w:rPr>
        <w:t>年</w:t>
      </w:r>
      <w:r w:rsidRPr="00DA1886">
        <w:rPr>
          <w:lang w:val="en-IE" w:eastAsia="ja-JP"/>
        </w:rPr>
        <w:t>5</w:t>
      </w:r>
      <w:r w:rsidRPr="00DA1886">
        <w:rPr>
          <w:lang w:val="en-IE" w:eastAsia="ja-JP"/>
        </w:rPr>
        <w:t>月</w:t>
      </w:r>
      <w:r w:rsidRPr="00DA1886">
        <w:rPr>
          <w:lang w:val="en-IE" w:eastAsia="ja-JP"/>
        </w:rPr>
        <w:t>19</w:t>
      </w:r>
      <w:r w:rsidRPr="00DA1886">
        <w:rPr>
          <w:lang w:val="en-IE" w:eastAsia="ja-JP"/>
        </w:rPr>
        <w:t>日の欧州議会および理事会の指令</w:t>
      </w:r>
      <w:r w:rsidRPr="00DA1886">
        <w:rPr>
          <w:lang w:val="en-IE" w:eastAsia="ja-JP"/>
        </w:rPr>
        <w:t>2010/31/EU</w:t>
      </w:r>
      <w:r w:rsidRPr="00DA1886">
        <w:rPr>
          <w:lang w:val="en-IE" w:eastAsia="ja-JP"/>
        </w:rPr>
        <w:t>（</w:t>
      </w:r>
      <w:r w:rsidRPr="00DA1886">
        <w:rPr>
          <w:lang w:val="en-IE" w:eastAsia="ja-JP"/>
        </w:rPr>
        <w:t>OJ L 153, 18.6.2010, p. 13</w:t>
      </w:r>
      <w:r w:rsidRPr="00DA1886">
        <w:rPr>
          <w:lang w:val="en-IE" w:eastAsia="ja-JP"/>
        </w:rPr>
        <w:t>）。</w:t>
      </w:r>
    </w:p>
  </w:footnote>
  <w:footnote w:id="87">
    <w:p w14:paraId="735314BE" w14:textId="77777777" w:rsidR="0038775E" w:rsidRDefault="00877B9C">
      <w:pPr>
        <w:pStyle w:val="aff"/>
        <w:rPr>
          <w:lang w:eastAsia="ja-JP"/>
        </w:rPr>
      </w:pPr>
      <w:r>
        <w:rPr>
          <w:rStyle w:val="afa"/>
        </w:rPr>
        <w:footnoteRef/>
      </w:r>
      <w:r w:rsidRPr="00C41ADE">
        <w:rPr>
          <w:lang w:eastAsia="ja-JP"/>
        </w:rPr>
        <w:tab/>
      </w:r>
      <w:r>
        <w:rPr>
          <w:lang w:eastAsia="ja-JP"/>
        </w:rPr>
        <w:t>金融規制法第</w:t>
      </w:r>
      <w:r>
        <w:rPr>
          <w:lang w:eastAsia="ja-JP"/>
        </w:rPr>
        <w:t>58</w:t>
      </w:r>
      <w:r>
        <w:rPr>
          <w:lang w:eastAsia="ja-JP"/>
        </w:rPr>
        <w:t>条第</w:t>
      </w:r>
      <w:r>
        <w:rPr>
          <w:lang w:eastAsia="ja-JP"/>
        </w:rPr>
        <w:t>2</w:t>
      </w:r>
      <w:r>
        <w:rPr>
          <w:lang w:eastAsia="ja-JP"/>
        </w:rPr>
        <w:t>項（</w:t>
      </w:r>
      <w:r>
        <w:rPr>
          <w:lang w:eastAsia="ja-JP"/>
        </w:rPr>
        <w:t>a</w:t>
      </w:r>
      <w:r>
        <w:rPr>
          <w:lang w:eastAsia="ja-JP"/>
        </w:rPr>
        <w:t>）または（</w:t>
      </w:r>
      <w:r>
        <w:rPr>
          <w:lang w:eastAsia="ja-JP"/>
        </w:rPr>
        <w:t>b</w:t>
      </w:r>
      <w:r>
        <w:rPr>
          <w:lang w:eastAsia="ja-JP"/>
        </w:rPr>
        <w:t>）に規定するとおりです。</w:t>
      </w:r>
    </w:p>
  </w:footnote>
  <w:footnote w:id="88">
    <w:p w14:paraId="554FC504" w14:textId="77777777" w:rsidR="0038775E" w:rsidRDefault="00877B9C">
      <w:pPr>
        <w:pStyle w:val="aff"/>
        <w:jc w:val="left"/>
        <w:rPr>
          <w:szCs w:val="24"/>
        </w:rPr>
      </w:pPr>
      <w:r>
        <w:rPr>
          <w:rStyle w:val="afa"/>
        </w:rPr>
        <w:footnoteRef/>
      </w:r>
      <w:r>
        <w:tab/>
      </w:r>
      <w:r>
        <w:t>経営形態の詳細および財務規則への言及は、</w:t>
      </w:r>
      <w:r>
        <w:t>BudgWeb</w:t>
      </w:r>
      <w:r>
        <w:t>サイト</w:t>
      </w:r>
      <w:r>
        <w:rPr>
          <w:szCs w:val="24"/>
        </w:rPr>
        <w:t>（</w:t>
      </w:r>
      <w:r>
        <w:rPr>
          <w:szCs w:val="24"/>
        </w:rPr>
        <w:t>https://myintracomm.ec.europa.eu/budgweb/EN/man/budgmanag/Pages/budgmanag.aspx</w:t>
      </w:r>
      <w:r>
        <w:rPr>
          <w:szCs w:val="24"/>
        </w:rPr>
        <w:t>）でご覧いただけます</w:t>
      </w:r>
      <w:hyperlink r:id="rId13" w:history="1">
        <w:r>
          <w:rPr>
            <w:rStyle w:val="a6"/>
            <w:szCs w:val="24"/>
          </w:rPr>
          <w:t>。</w:t>
        </w:r>
        <w:r>
          <w:rPr>
            <w:rStyle w:val="a6"/>
            <w:szCs w:val="24"/>
          </w:rPr>
          <w:t xml:space="preserve"> </w:t>
        </w:r>
      </w:hyperlink>
    </w:p>
  </w:footnote>
  <w:footnote w:id="89">
    <w:p w14:paraId="70461E5D" w14:textId="77777777" w:rsidR="0038775E" w:rsidRDefault="00877B9C">
      <w:pPr>
        <w:pStyle w:val="aff"/>
      </w:pPr>
      <w:r>
        <w:rPr>
          <w:rStyle w:val="afa"/>
        </w:rPr>
        <w:footnoteRef/>
      </w:r>
      <w:r w:rsidRPr="008B78E1">
        <w:tab/>
      </w:r>
      <w:r>
        <w:t>Diff.</w:t>
      </w:r>
      <w:r>
        <w:t>＝差分充当／</w:t>
      </w:r>
      <w:r>
        <w:t>Non-diff.</w:t>
      </w:r>
      <w:r>
        <w:t>＝非差分充当。</w:t>
      </w:r>
    </w:p>
  </w:footnote>
  <w:footnote w:id="90">
    <w:p w14:paraId="4D07D5E9" w14:textId="77777777" w:rsidR="0038775E" w:rsidRDefault="00877B9C">
      <w:pPr>
        <w:pStyle w:val="aff"/>
      </w:pPr>
      <w:r>
        <w:rPr>
          <w:rStyle w:val="afa"/>
        </w:rPr>
        <w:footnoteRef/>
      </w:r>
      <w:r w:rsidRPr="008B78E1">
        <w:tab/>
      </w:r>
      <w:r>
        <w:t>EFTA</w:t>
      </w:r>
      <w:r>
        <w:t>：</w:t>
      </w:r>
      <w:r>
        <w:t>European Free Trade Association</w:t>
      </w:r>
      <w:r>
        <w:t>（欧州自由貿易連合）。</w:t>
      </w:r>
    </w:p>
  </w:footnote>
  <w:footnote w:id="91">
    <w:p w14:paraId="40A63CDD" w14:textId="77777777" w:rsidR="0038775E" w:rsidRDefault="00877B9C">
      <w:pPr>
        <w:pStyle w:val="aff"/>
        <w:rPr>
          <w:lang w:eastAsia="ja-JP"/>
        </w:rPr>
      </w:pPr>
      <w:r>
        <w:rPr>
          <w:rStyle w:val="afa"/>
        </w:rPr>
        <w:footnoteRef/>
      </w:r>
      <w:r w:rsidRPr="008B78E1">
        <w:rPr>
          <w:lang w:eastAsia="ja-JP"/>
        </w:rPr>
        <w:tab/>
      </w:r>
      <w:r>
        <w:rPr>
          <w:lang w:eastAsia="ja-JP"/>
        </w:rPr>
        <w:t>候補国、および該当する場合、西バルカン諸国からの潜在的な候補者。</w:t>
      </w:r>
    </w:p>
  </w:footnote>
  <w:footnote w:id="92">
    <w:p w14:paraId="4479AF5E" w14:textId="77777777" w:rsidR="0038775E" w:rsidRDefault="00877B9C">
      <w:pPr>
        <w:pStyle w:val="aff"/>
        <w:rPr>
          <w:lang w:eastAsia="ja-JP"/>
        </w:rPr>
      </w:pPr>
      <w:r>
        <w:rPr>
          <w:rStyle w:val="afa"/>
        </w:rPr>
        <w:footnoteRef/>
      </w:r>
      <w:r w:rsidRPr="00F16935">
        <w:rPr>
          <w:lang w:eastAsia="ja-JP"/>
        </w:rPr>
        <w:tab/>
      </w:r>
      <w:r w:rsidRPr="008E7015">
        <w:rPr>
          <w:lang w:val="en-IE" w:eastAsia="ja-JP"/>
        </w:rPr>
        <w:t>候補</w:t>
      </w:r>
      <w:r>
        <w:rPr>
          <w:lang w:val="en-IE" w:eastAsia="ja-JP"/>
        </w:rPr>
        <w:t>国および第三国</w:t>
      </w:r>
      <w:r>
        <w:rPr>
          <w:lang w:val="en-IE" w:eastAsia="ja-JP"/>
        </w:rPr>
        <w:t>の単一</w:t>
      </w:r>
      <w:r w:rsidRPr="008E7015">
        <w:rPr>
          <w:lang w:val="en-IE" w:eastAsia="ja-JP"/>
        </w:rPr>
        <w:t>市場プログラムへの加盟交渉が</w:t>
      </w:r>
      <w:r>
        <w:rPr>
          <w:lang w:val="en-IE" w:eastAsia="ja-JP"/>
        </w:rPr>
        <w:t>進行中。</w:t>
      </w:r>
    </w:p>
  </w:footnote>
  <w:footnote w:id="93">
    <w:p w14:paraId="0B499520" w14:textId="77777777" w:rsidR="0038775E" w:rsidRDefault="00877B9C">
      <w:pPr>
        <w:pStyle w:val="aff"/>
        <w:rPr>
          <w:lang w:eastAsia="ja-JP"/>
        </w:rPr>
      </w:pPr>
      <w:r>
        <w:rPr>
          <w:rStyle w:val="afa"/>
        </w:rPr>
        <w:footnoteRef/>
      </w:r>
      <w:r w:rsidRPr="008B78E1">
        <w:rPr>
          <w:lang w:eastAsia="ja-JP"/>
        </w:rPr>
        <w:tab/>
      </w:r>
      <w:r w:rsidRPr="007974DD">
        <w:rPr>
          <w:sz w:val="18"/>
          <w:szCs w:val="18"/>
          <w:lang w:eastAsia="ja-JP"/>
        </w:rPr>
        <w:t>公式の予算命名法による</w:t>
      </w:r>
      <w:r>
        <w:rPr>
          <w:sz w:val="18"/>
          <w:szCs w:val="18"/>
          <w:lang w:eastAsia="ja-JP"/>
        </w:rPr>
        <w:t>。</w:t>
      </w:r>
    </w:p>
  </w:footnote>
  <w:footnote w:id="94">
    <w:p w14:paraId="20EA964A" w14:textId="77777777" w:rsidR="0038775E" w:rsidRDefault="00877B9C">
      <w:pPr>
        <w:pStyle w:val="aff"/>
        <w:rPr>
          <w:lang w:eastAsia="ja-JP"/>
        </w:rPr>
      </w:pPr>
      <w:r>
        <w:rPr>
          <w:rStyle w:val="afa"/>
        </w:rPr>
        <w:footnoteRef/>
      </w:r>
      <w:r w:rsidRPr="008B78E1">
        <w:rPr>
          <w:lang w:eastAsia="ja-JP"/>
        </w:rPr>
        <w:tab/>
      </w:r>
      <w:r w:rsidRPr="007974DD">
        <w:rPr>
          <w:sz w:val="18"/>
          <w:szCs w:val="18"/>
          <w:lang w:eastAsia="ja-JP"/>
        </w:rPr>
        <w:t>EU</w:t>
      </w:r>
      <w:r w:rsidRPr="007974DD">
        <w:rPr>
          <w:sz w:val="18"/>
          <w:szCs w:val="18"/>
          <w:lang w:eastAsia="ja-JP"/>
        </w:rPr>
        <w:t>のプログラムおよび</w:t>
      </w:r>
      <w:r w:rsidRPr="007974DD">
        <w:rPr>
          <w:sz w:val="18"/>
          <w:szCs w:val="18"/>
          <w:lang w:eastAsia="ja-JP"/>
        </w:rPr>
        <w:t>/</w:t>
      </w:r>
      <w:r w:rsidRPr="007974DD">
        <w:rPr>
          <w:sz w:val="18"/>
          <w:szCs w:val="18"/>
          <w:lang w:eastAsia="ja-JP"/>
        </w:rPr>
        <w:t>またはアクション（旧</w:t>
      </w:r>
      <w:r w:rsidRPr="007974DD">
        <w:rPr>
          <w:sz w:val="18"/>
          <w:szCs w:val="18"/>
          <w:lang w:eastAsia="ja-JP"/>
        </w:rPr>
        <w:t>BA</w:t>
      </w:r>
      <w:r w:rsidRPr="007974DD">
        <w:rPr>
          <w:sz w:val="18"/>
          <w:szCs w:val="18"/>
          <w:lang w:eastAsia="ja-JP"/>
        </w:rPr>
        <w:t>ライン）の実施を支援するための技術的および</w:t>
      </w:r>
      <w:r w:rsidRPr="007974DD">
        <w:rPr>
          <w:sz w:val="18"/>
          <w:szCs w:val="18"/>
          <w:lang w:eastAsia="ja-JP"/>
        </w:rPr>
        <w:t>/</w:t>
      </w:r>
      <w:r w:rsidRPr="007974DD">
        <w:rPr>
          <w:sz w:val="18"/>
          <w:szCs w:val="18"/>
          <w:lang w:eastAsia="ja-JP"/>
        </w:rPr>
        <w:t>または事務的支援および支出、間接研究、直接研究。</w:t>
      </w:r>
    </w:p>
  </w:footnote>
  <w:footnote w:id="95">
    <w:p w14:paraId="6294480F" w14:textId="77777777" w:rsidR="0038775E" w:rsidRDefault="00877B9C">
      <w:pPr>
        <w:pStyle w:val="aff"/>
        <w:rPr>
          <w:lang w:eastAsia="ja-JP"/>
        </w:rPr>
      </w:pPr>
      <w:r>
        <w:rPr>
          <w:rStyle w:val="afa"/>
        </w:rPr>
        <w:footnoteRef/>
      </w:r>
      <w:r w:rsidRPr="008B78E1">
        <w:rPr>
          <w:lang w:eastAsia="ja-JP"/>
        </w:rPr>
        <w:tab/>
      </w:r>
      <w:r w:rsidRPr="007974DD">
        <w:rPr>
          <w:sz w:val="18"/>
          <w:szCs w:val="18"/>
          <w:lang w:eastAsia="ja-JP"/>
        </w:rPr>
        <w:t>公式の予算命名法による</w:t>
      </w:r>
      <w:r>
        <w:rPr>
          <w:sz w:val="18"/>
          <w:szCs w:val="18"/>
          <w:lang w:eastAsia="ja-JP"/>
        </w:rPr>
        <w:t>。</w:t>
      </w:r>
    </w:p>
  </w:footnote>
  <w:footnote w:id="96">
    <w:p w14:paraId="6D9D439C" w14:textId="77777777" w:rsidR="0038775E" w:rsidRDefault="00877B9C">
      <w:pPr>
        <w:pStyle w:val="aff"/>
        <w:rPr>
          <w:lang w:eastAsia="ja-JP"/>
        </w:rPr>
      </w:pPr>
      <w:r>
        <w:rPr>
          <w:rStyle w:val="afa"/>
        </w:rPr>
        <w:footnoteRef/>
      </w:r>
      <w:r w:rsidRPr="008B78E1">
        <w:rPr>
          <w:lang w:eastAsia="ja-JP"/>
        </w:rPr>
        <w:tab/>
      </w:r>
      <w:r w:rsidRPr="008F218C">
        <w:rPr>
          <w:sz w:val="18"/>
          <w:szCs w:val="18"/>
          <w:lang w:val="en-IE" w:eastAsia="ja-JP"/>
        </w:rPr>
        <w:t>この提案は、</w:t>
      </w:r>
      <w:r w:rsidRPr="00DF12CD">
        <w:rPr>
          <w:sz w:val="18"/>
          <w:szCs w:val="18"/>
          <w:lang w:val="en-IE" w:eastAsia="ja-JP"/>
        </w:rPr>
        <w:t>輸入製品に対する製品要件の実施を促進し、</w:t>
      </w:r>
      <w:r w:rsidRPr="008F218C">
        <w:rPr>
          <w:sz w:val="18"/>
          <w:szCs w:val="18"/>
          <w:lang w:val="en-IE" w:eastAsia="ja-JP"/>
        </w:rPr>
        <w:t>デジタル製品パスポートとの</w:t>
      </w:r>
      <w:r w:rsidRPr="00DF12CD">
        <w:rPr>
          <w:sz w:val="18"/>
          <w:szCs w:val="18"/>
          <w:lang w:val="en-IE" w:eastAsia="ja-JP"/>
        </w:rPr>
        <w:t>相互運用性を確保するために、税関のための</w:t>
      </w:r>
      <w:r w:rsidRPr="008F218C">
        <w:rPr>
          <w:sz w:val="18"/>
          <w:szCs w:val="18"/>
          <w:lang w:val="en-IE" w:eastAsia="ja-JP"/>
        </w:rPr>
        <w:t>EU</w:t>
      </w:r>
      <w:r w:rsidRPr="00DF12CD">
        <w:rPr>
          <w:sz w:val="18"/>
          <w:szCs w:val="18"/>
          <w:lang w:val="en-IE" w:eastAsia="ja-JP"/>
        </w:rPr>
        <w:t>シングルウィンドウ環境における</w:t>
      </w:r>
      <w:r w:rsidRPr="008F218C">
        <w:rPr>
          <w:sz w:val="18"/>
          <w:szCs w:val="18"/>
          <w:lang w:val="en-IE" w:eastAsia="ja-JP"/>
        </w:rPr>
        <w:t>IT</w:t>
      </w:r>
      <w:r w:rsidRPr="008F218C">
        <w:rPr>
          <w:sz w:val="18"/>
          <w:szCs w:val="18"/>
          <w:lang w:val="en-IE" w:eastAsia="ja-JP"/>
        </w:rPr>
        <w:t>開発を予見しています。このような作業には、</w:t>
      </w:r>
      <w:r w:rsidRPr="00DF12CD">
        <w:rPr>
          <w:sz w:val="18"/>
          <w:szCs w:val="18"/>
          <w:lang w:val="en-IE" w:eastAsia="ja-JP"/>
        </w:rPr>
        <w:t>DG TAXUD</w:t>
      </w:r>
      <w:r w:rsidRPr="00DF12CD">
        <w:rPr>
          <w:sz w:val="18"/>
          <w:szCs w:val="18"/>
          <w:lang w:val="en-IE" w:eastAsia="ja-JP"/>
        </w:rPr>
        <w:t>が利用できる</w:t>
      </w:r>
      <w:r w:rsidRPr="008F218C">
        <w:rPr>
          <w:sz w:val="18"/>
          <w:szCs w:val="18"/>
          <w:lang w:val="en-IE" w:eastAsia="ja-JP"/>
        </w:rPr>
        <w:t>財源が必要である。</w:t>
      </w:r>
      <w:r w:rsidRPr="00DF12CD">
        <w:rPr>
          <w:sz w:val="18"/>
          <w:szCs w:val="18"/>
          <w:lang w:val="en-IE" w:eastAsia="ja-JP"/>
        </w:rPr>
        <w:t>現在、このよう</w:t>
      </w:r>
      <w:r w:rsidRPr="00DF12CD">
        <w:rPr>
          <w:sz w:val="18"/>
          <w:szCs w:val="18"/>
          <w:lang w:val="en-IE" w:eastAsia="ja-JP"/>
        </w:rPr>
        <w:t>な作業に対する適切なリソースのレベルは確実に決定することはできませんが、</w:t>
      </w:r>
      <w:r>
        <w:rPr>
          <w:sz w:val="18"/>
          <w:szCs w:val="18"/>
          <w:lang w:val="en-IE" w:eastAsia="ja-JP"/>
        </w:rPr>
        <w:t>2024</w:t>
      </w:r>
      <w:r w:rsidRPr="00196CE6">
        <w:rPr>
          <w:sz w:val="18"/>
          <w:szCs w:val="18"/>
          <w:lang w:val="en-IE" w:eastAsia="ja-JP"/>
        </w:rPr>
        <w:t>年から</w:t>
      </w:r>
      <w:r w:rsidRPr="00196CE6">
        <w:rPr>
          <w:sz w:val="18"/>
          <w:szCs w:val="18"/>
          <w:lang w:val="en-IE" w:eastAsia="ja-JP"/>
        </w:rPr>
        <w:t>2027</w:t>
      </w:r>
      <w:r w:rsidRPr="00196CE6">
        <w:rPr>
          <w:sz w:val="18"/>
          <w:szCs w:val="18"/>
          <w:lang w:val="en-IE" w:eastAsia="ja-JP"/>
        </w:rPr>
        <w:t>年の期間には最大で</w:t>
      </w:r>
      <w:r w:rsidRPr="00196CE6">
        <w:rPr>
          <w:sz w:val="18"/>
          <w:szCs w:val="18"/>
          <w:lang w:val="en-IE" w:eastAsia="ja-JP"/>
        </w:rPr>
        <w:t>12</w:t>
      </w:r>
      <w:r w:rsidRPr="00196CE6">
        <w:rPr>
          <w:sz w:val="18"/>
          <w:szCs w:val="18"/>
          <w:lang w:val="en-IE" w:eastAsia="ja-JP"/>
        </w:rPr>
        <w:t>億</w:t>
      </w:r>
      <w:r w:rsidRPr="00196CE6">
        <w:rPr>
          <w:sz w:val="18"/>
          <w:szCs w:val="18"/>
          <w:lang w:val="en-IE" w:eastAsia="ja-JP"/>
        </w:rPr>
        <w:t>5000</w:t>
      </w:r>
      <w:r w:rsidRPr="00196CE6">
        <w:rPr>
          <w:sz w:val="18"/>
          <w:szCs w:val="18"/>
          <w:lang w:val="en-IE" w:eastAsia="ja-JP"/>
        </w:rPr>
        <w:t>万ユーロの見積もり予算が</w:t>
      </w:r>
      <w:r w:rsidRPr="00DF12CD">
        <w:rPr>
          <w:sz w:val="18"/>
          <w:szCs w:val="18"/>
          <w:lang w:val="en-IE" w:eastAsia="ja-JP"/>
        </w:rPr>
        <w:t>必要となり</w:t>
      </w:r>
      <w:r w:rsidRPr="00196CE6">
        <w:rPr>
          <w:sz w:val="18"/>
          <w:szCs w:val="18"/>
          <w:lang w:val="en-IE" w:eastAsia="ja-JP"/>
        </w:rPr>
        <w:t>、それ以降は毎年</w:t>
      </w:r>
      <w:r w:rsidRPr="00196CE6">
        <w:rPr>
          <w:sz w:val="18"/>
          <w:szCs w:val="18"/>
          <w:lang w:val="en-IE" w:eastAsia="ja-JP"/>
        </w:rPr>
        <w:t>0.160</w:t>
      </w:r>
      <w:r w:rsidRPr="00196CE6">
        <w:rPr>
          <w:sz w:val="18"/>
          <w:szCs w:val="18"/>
          <w:lang w:val="en-IE" w:eastAsia="ja-JP"/>
        </w:rPr>
        <w:t>万ユーロのメンテナンス料が必要になると推定されます。</w:t>
      </w:r>
      <w:r w:rsidRPr="008F218C">
        <w:rPr>
          <w:sz w:val="18"/>
          <w:szCs w:val="18"/>
          <w:lang w:val="en-IE" w:eastAsia="ja-JP"/>
        </w:rPr>
        <w:t>IT</w:t>
      </w:r>
      <w:r w:rsidRPr="008F218C">
        <w:rPr>
          <w:sz w:val="18"/>
          <w:szCs w:val="18"/>
          <w:lang w:val="en-IE" w:eastAsia="ja-JP"/>
        </w:rPr>
        <w:t>開発および調達の選択は、欧州委員会の情報技術・サイバーセキュリティ委員会による事前承認が必要となる。</w:t>
      </w:r>
    </w:p>
  </w:footnote>
  <w:footnote w:id="97">
    <w:p w14:paraId="4537A18C" w14:textId="77777777" w:rsidR="0038775E" w:rsidRDefault="00877B9C">
      <w:pPr>
        <w:pStyle w:val="aff"/>
        <w:rPr>
          <w:lang w:eastAsia="ja-JP"/>
        </w:rPr>
      </w:pPr>
      <w:r>
        <w:rPr>
          <w:rStyle w:val="afa"/>
        </w:rPr>
        <w:footnoteRef/>
      </w:r>
      <w:r w:rsidRPr="008B78E1">
        <w:rPr>
          <w:lang w:eastAsia="ja-JP"/>
        </w:rPr>
        <w:tab/>
      </w:r>
      <w:r w:rsidRPr="007974DD">
        <w:rPr>
          <w:sz w:val="18"/>
          <w:szCs w:val="18"/>
          <w:lang w:eastAsia="ja-JP"/>
        </w:rPr>
        <w:t>EU</w:t>
      </w:r>
      <w:r w:rsidRPr="007974DD">
        <w:rPr>
          <w:sz w:val="18"/>
          <w:szCs w:val="18"/>
          <w:lang w:eastAsia="ja-JP"/>
        </w:rPr>
        <w:t>のプログラムおよび</w:t>
      </w:r>
      <w:r w:rsidRPr="007974DD">
        <w:rPr>
          <w:sz w:val="18"/>
          <w:szCs w:val="18"/>
          <w:lang w:eastAsia="ja-JP"/>
        </w:rPr>
        <w:t>/</w:t>
      </w:r>
      <w:r w:rsidRPr="007974DD">
        <w:rPr>
          <w:sz w:val="18"/>
          <w:szCs w:val="18"/>
          <w:lang w:eastAsia="ja-JP"/>
        </w:rPr>
        <w:t>またはアクション（旧</w:t>
      </w:r>
      <w:r w:rsidRPr="007974DD">
        <w:rPr>
          <w:sz w:val="18"/>
          <w:szCs w:val="18"/>
          <w:lang w:eastAsia="ja-JP"/>
        </w:rPr>
        <w:t>BA</w:t>
      </w:r>
      <w:r w:rsidRPr="007974DD">
        <w:rPr>
          <w:sz w:val="18"/>
          <w:szCs w:val="18"/>
          <w:lang w:eastAsia="ja-JP"/>
        </w:rPr>
        <w:t>ライン）の実施を支援するための技術的および</w:t>
      </w:r>
      <w:r w:rsidRPr="007974DD">
        <w:rPr>
          <w:sz w:val="18"/>
          <w:szCs w:val="18"/>
          <w:lang w:eastAsia="ja-JP"/>
        </w:rPr>
        <w:t>/</w:t>
      </w:r>
      <w:r w:rsidRPr="007974DD">
        <w:rPr>
          <w:sz w:val="18"/>
          <w:szCs w:val="18"/>
          <w:lang w:eastAsia="ja-JP"/>
        </w:rPr>
        <w:t>または事務的支援および支出、間接研究、直接研究。</w:t>
      </w:r>
    </w:p>
  </w:footnote>
  <w:footnote w:id="98">
    <w:p w14:paraId="023D44AA" w14:textId="77777777" w:rsidR="0038775E" w:rsidRDefault="00877B9C">
      <w:pPr>
        <w:pStyle w:val="aff"/>
        <w:rPr>
          <w:lang w:eastAsia="ja-JP"/>
        </w:rPr>
      </w:pPr>
      <w:r>
        <w:rPr>
          <w:rStyle w:val="afa"/>
        </w:rPr>
        <w:footnoteRef/>
      </w:r>
      <w:r w:rsidRPr="008B78E1">
        <w:rPr>
          <w:lang w:eastAsia="ja-JP"/>
        </w:rPr>
        <w:tab/>
      </w:r>
      <w:r w:rsidRPr="007974DD">
        <w:rPr>
          <w:sz w:val="18"/>
          <w:szCs w:val="18"/>
          <w:lang w:eastAsia="ja-JP"/>
        </w:rPr>
        <w:t>公式の予算命名法に</w:t>
      </w:r>
      <w:r w:rsidRPr="007974DD">
        <w:rPr>
          <w:sz w:val="18"/>
          <w:szCs w:val="18"/>
          <w:lang w:eastAsia="ja-JP"/>
        </w:rPr>
        <w:t>よる</w:t>
      </w:r>
      <w:r>
        <w:rPr>
          <w:sz w:val="18"/>
          <w:szCs w:val="18"/>
          <w:lang w:eastAsia="ja-JP"/>
        </w:rPr>
        <w:t>。</w:t>
      </w:r>
    </w:p>
  </w:footnote>
  <w:footnote w:id="99">
    <w:p w14:paraId="037FE835" w14:textId="77777777" w:rsidR="0038775E" w:rsidRDefault="00877B9C">
      <w:pPr>
        <w:pStyle w:val="aff"/>
        <w:rPr>
          <w:lang w:eastAsia="ja-JP"/>
        </w:rPr>
      </w:pPr>
      <w:r>
        <w:rPr>
          <w:rStyle w:val="afa"/>
        </w:rPr>
        <w:footnoteRef/>
      </w:r>
      <w:r w:rsidRPr="008B78E1">
        <w:rPr>
          <w:lang w:eastAsia="ja-JP"/>
        </w:rPr>
        <w:tab/>
      </w:r>
      <w:r w:rsidRPr="007974DD">
        <w:rPr>
          <w:sz w:val="18"/>
          <w:szCs w:val="18"/>
          <w:lang w:eastAsia="ja-JP"/>
        </w:rPr>
        <w:t>EU</w:t>
      </w:r>
      <w:r w:rsidRPr="007974DD">
        <w:rPr>
          <w:sz w:val="18"/>
          <w:szCs w:val="18"/>
          <w:lang w:eastAsia="ja-JP"/>
        </w:rPr>
        <w:t>のプログラムおよび</w:t>
      </w:r>
      <w:r w:rsidRPr="007974DD">
        <w:rPr>
          <w:sz w:val="18"/>
          <w:szCs w:val="18"/>
          <w:lang w:eastAsia="ja-JP"/>
        </w:rPr>
        <w:t>/</w:t>
      </w:r>
      <w:r w:rsidRPr="007974DD">
        <w:rPr>
          <w:sz w:val="18"/>
          <w:szCs w:val="18"/>
          <w:lang w:eastAsia="ja-JP"/>
        </w:rPr>
        <w:t>またはアクション（旧</w:t>
      </w:r>
      <w:r w:rsidRPr="007974DD">
        <w:rPr>
          <w:sz w:val="18"/>
          <w:szCs w:val="18"/>
          <w:lang w:eastAsia="ja-JP"/>
        </w:rPr>
        <w:t>BA</w:t>
      </w:r>
      <w:r w:rsidRPr="007974DD">
        <w:rPr>
          <w:sz w:val="18"/>
          <w:szCs w:val="18"/>
          <w:lang w:eastAsia="ja-JP"/>
        </w:rPr>
        <w:t>ライン）の実施を支援するための技術的および</w:t>
      </w:r>
      <w:r w:rsidRPr="007974DD">
        <w:rPr>
          <w:sz w:val="18"/>
          <w:szCs w:val="18"/>
          <w:lang w:eastAsia="ja-JP"/>
        </w:rPr>
        <w:t>/</w:t>
      </w:r>
      <w:r w:rsidRPr="007974DD">
        <w:rPr>
          <w:sz w:val="18"/>
          <w:szCs w:val="18"/>
          <w:lang w:eastAsia="ja-JP"/>
        </w:rPr>
        <w:t>または事務的支援および支出、間接研究、直接研究。</w:t>
      </w:r>
    </w:p>
  </w:footnote>
  <w:footnote w:id="100">
    <w:p w14:paraId="5CFBE071" w14:textId="77777777" w:rsidR="0038775E" w:rsidRDefault="00877B9C">
      <w:pPr>
        <w:pStyle w:val="aff"/>
        <w:rPr>
          <w:lang w:eastAsia="ja-JP"/>
        </w:rPr>
      </w:pPr>
      <w:r>
        <w:rPr>
          <w:rStyle w:val="afa"/>
        </w:rPr>
        <w:footnoteRef/>
      </w:r>
      <w:r w:rsidRPr="008B78E1">
        <w:rPr>
          <w:lang w:eastAsia="ja-JP"/>
        </w:rPr>
        <w:tab/>
      </w:r>
      <w:r>
        <w:rPr>
          <w:lang w:eastAsia="ja-JP"/>
        </w:rPr>
        <w:t>アウトプットとは、供給される製品やサービスのことです（例：資金を提供した学生交流の数、建設した道路のキロ数など）。</w:t>
      </w:r>
    </w:p>
  </w:footnote>
  <w:footnote w:id="101">
    <w:p w14:paraId="45DE3FCF" w14:textId="77777777" w:rsidR="0038775E" w:rsidRDefault="00877B9C">
      <w:pPr>
        <w:pStyle w:val="aff"/>
        <w:rPr>
          <w:lang w:eastAsia="ja-JP"/>
        </w:rPr>
      </w:pPr>
      <w:r>
        <w:rPr>
          <w:rStyle w:val="afa"/>
        </w:rPr>
        <w:footnoteRef/>
      </w:r>
      <w:r w:rsidRPr="008B78E1">
        <w:rPr>
          <w:lang w:eastAsia="ja-JP"/>
        </w:rPr>
        <w:tab/>
      </w:r>
      <w:r>
        <w:rPr>
          <w:lang w:eastAsia="ja-JP"/>
        </w:rPr>
        <w:t>1.4.2</w:t>
      </w:r>
      <w:r>
        <w:rPr>
          <w:lang w:eastAsia="ja-JP"/>
        </w:rPr>
        <w:t>項に記載されているとおり。具体的な目的</w:t>
      </w:r>
      <w:r>
        <w:rPr>
          <w:lang w:eastAsia="ja-JP"/>
        </w:rPr>
        <w:t>(s)...</w:t>
      </w:r>
      <w:r>
        <w:rPr>
          <w:lang w:eastAsia="ja-JP"/>
        </w:rPr>
        <w:t>」とある。</w:t>
      </w:r>
    </w:p>
  </w:footnote>
  <w:footnote w:id="102">
    <w:p w14:paraId="7A42C0E9" w14:textId="77777777" w:rsidR="0038775E" w:rsidRDefault="00877B9C">
      <w:pPr>
        <w:pStyle w:val="aff"/>
        <w:rPr>
          <w:lang w:eastAsia="ja-JP"/>
        </w:rPr>
      </w:pPr>
      <w:r>
        <w:rPr>
          <w:rStyle w:val="afa"/>
        </w:rPr>
        <w:footnoteRef/>
      </w:r>
      <w:r w:rsidRPr="0052414F">
        <w:rPr>
          <w:lang w:eastAsia="ja-JP"/>
        </w:rPr>
        <w:tab/>
      </w:r>
      <w:r>
        <w:rPr>
          <w:noProof/>
          <w:lang w:eastAsia="ja-JP"/>
        </w:rPr>
        <w:t>欧州循環ビジネスハブは、製品の設計や製造に循環性を取り入れる際の経済主体間の経験交換を支援する必要がある。</w:t>
      </w:r>
    </w:p>
  </w:footnote>
  <w:footnote w:id="103">
    <w:p w14:paraId="6DEFAD3E" w14:textId="77777777" w:rsidR="0038775E" w:rsidRDefault="00877B9C">
      <w:pPr>
        <w:pStyle w:val="aff"/>
        <w:rPr>
          <w:lang w:eastAsia="ja-JP"/>
        </w:rPr>
      </w:pPr>
      <w:r>
        <w:rPr>
          <w:rStyle w:val="afa"/>
        </w:rPr>
        <w:footnoteRef/>
      </w:r>
      <w:r w:rsidRPr="008B78E1">
        <w:rPr>
          <w:lang w:eastAsia="ja-JP"/>
        </w:rPr>
        <w:tab/>
      </w:r>
      <w:r w:rsidRPr="007974DD">
        <w:rPr>
          <w:sz w:val="18"/>
          <w:szCs w:val="18"/>
          <w:lang w:eastAsia="ja-JP"/>
        </w:rPr>
        <w:t>EU</w:t>
      </w:r>
      <w:r w:rsidRPr="007974DD">
        <w:rPr>
          <w:sz w:val="18"/>
          <w:szCs w:val="18"/>
          <w:lang w:eastAsia="ja-JP"/>
        </w:rPr>
        <w:t>のプログラムおよび</w:t>
      </w:r>
      <w:r w:rsidRPr="007974DD">
        <w:rPr>
          <w:sz w:val="18"/>
          <w:szCs w:val="18"/>
          <w:lang w:eastAsia="ja-JP"/>
        </w:rPr>
        <w:t>/</w:t>
      </w:r>
      <w:r w:rsidRPr="007974DD">
        <w:rPr>
          <w:sz w:val="18"/>
          <w:szCs w:val="18"/>
          <w:lang w:eastAsia="ja-JP"/>
        </w:rPr>
        <w:t>またはアクション（旧</w:t>
      </w:r>
      <w:r w:rsidRPr="007974DD">
        <w:rPr>
          <w:sz w:val="18"/>
          <w:szCs w:val="18"/>
          <w:lang w:eastAsia="ja-JP"/>
        </w:rPr>
        <w:t>BA</w:t>
      </w:r>
      <w:r w:rsidRPr="007974DD">
        <w:rPr>
          <w:sz w:val="18"/>
          <w:szCs w:val="18"/>
          <w:lang w:eastAsia="ja-JP"/>
        </w:rPr>
        <w:t>ライン）の実施を支援するための技術的および</w:t>
      </w:r>
      <w:r w:rsidRPr="007974DD">
        <w:rPr>
          <w:sz w:val="18"/>
          <w:szCs w:val="18"/>
          <w:lang w:eastAsia="ja-JP"/>
        </w:rPr>
        <w:t>/</w:t>
      </w:r>
      <w:r w:rsidRPr="007974DD">
        <w:rPr>
          <w:sz w:val="18"/>
          <w:szCs w:val="18"/>
          <w:lang w:eastAsia="ja-JP"/>
        </w:rPr>
        <w:t>または事務的支援および支出、間接研究、直接研究。</w:t>
      </w:r>
    </w:p>
  </w:footnote>
  <w:footnote w:id="104">
    <w:p w14:paraId="1ED61471" w14:textId="77777777" w:rsidR="0038775E" w:rsidRDefault="00877B9C">
      <w:pPr>
        <w:pStyle w:val="aff"/>
        <w:rPr>
          <w:lang w:eastAsia="ja-JP"/>
        </w:rPr>
      </w:pPr>
      <w:r>
        <w:rPr>
          <w:rStyle w:val="afa"/>
        </w:rPr>
        <w:footnoteRef/>
      </w:r>
      <w:r w:rsidRPr="008B78E1">
        <w:rPr>
          <w:lang w:eastAsia="ja-JP"/>
        </w:rPr>
        <w:tab/>
      </w:r>
      <w:r>
        <w:rPr>
          <w:lang w:eastAsia="ja-JP"/>
        </w:rPr>
        <w:t>AC=</w:t>
      </w:r>
      <w:r>
        <w:rPr>
          <w:lang w:eastAsia="ja-JP"/>
        </w:rPr>
        <w:t>契約スタッフ、</w:t>
      </w:r>
      <w:r>
        <w:rPr>
          <w:lang w:eastAsia="ja-JP"/>
        </w:rPr>
        <w:t>AL=</w:t>
      </w:r>
      <w:r>
        <w:rPr>
          <w:lang w:eastAsia="ja-JP"/>
        </w:rPr>
        <w:t>現地スタッフ、</w:t>
      </w:r>
      <w:r>
        <w:rPr>
          <w:lang w:eastAsia="ja-JP"/>
        </w:rPr>
        <w:t>END=</w:t>
      </w:r>
      <w:r>
        <w:rPr>
          <w:lang w:eastAsia="ja-JP"/>
        </w:rPr>
        <w:t>出向者国内専門家、</w:t>
      </w:r>
      <w:r>
        <w:rPr>
          <w:lang w:eastAsia="ja-JP"/>
        </w:rPr>
        <w:t>INT=</w:t>
      </w:r>
      <w:r>
        <w:rPr>
          <w:lang w:eastAsia="ja-JP"/>
        </w:rPr>
        <w:t>代理店スタッフ、</w:t>
      </w:r>
      <w:r>
        <w:rPr>
          <w:lang w:eastAsia="ja-JP"/>
        </w:rPr>
        <w:t>JPD=</w:t>
      </w:r>
      <w:r>
        <w:rPr>
          <w:lang w:eastAsia="ja-JP"/>
        </w:rPr>
        <w:t>出向者ジュニア専門家。</w:t>
      </w:r>
    </w:p>
  </w:footnote>
  <w:footnote w:id="105">
    <w:p w14:paraId="15DB02B4" w14:textId="77777777" w:rsidR="0038775E" w:rsidRDefault="00877B9C">
      <w:pPr>
        <w:pStyle w:val="aff"/>
        <w:rPr>
          <w:szCs w:val="24"/>
          <w:lang w:eastAsia="ja-JP"/>
        </w:rPr>
      </w:pPr>
      <w:r>
        <w:rPr>
          <w:rStyle w:val="afa"/>
        </w:rPr>
        <w:footnoteRef/>
      </w:r>
      <w:r w:rsidRPr="004C3D41">
        <w:rPr>
          <w:lang w:eastAsia="ja-JP"/>
        </w:rPr>
        <w:tab/>
      </w:r>
      <w:r>
        <w:rPr>
          <w:lang w:eastAsia="ja-JP"/>
        </w:rPr>
        <w:t>運営費交付金（旧「</w:t>
      </w:r>
      <w:r>
        <w:rPr>
          <w:lang w:eastAsia="ja-JP"/>
        </w:rPr>
        <w:t>BA</w:t>
      </w:r>
      <w:r>
        <w:rPr>
          <w:lang w:eastAsia="ja-JP"/>
        </w:rPr>
        <w:t>」ライン）で賄われる外部スタッフのための小天井。</w:t>
      </w:r>
    </w:p>
  </w:footnote>
  <w:footnote w:id="106">
    <w:p w14:paraId="0E036A17" w14:textId="77777777" w:rsidR="0038775E" w:rsidRDefault="00877B9C">
      <w:pPr>
        <w:pStyle w:val="aff"/>
        <w:rPr>
          <w:lang w:eastAsia="ja-JP"/>
        </w:rPr>
      </w:pPr>
      <w:r>
        <w:rPr>
          <w:rStyle w:val="afa"/>
        </w:rPr>
        <w:footnoteRef/>
      </w:r>
      <w:r w:rsidRPr="004C3D41">
        <w:rPr>
          <w:lang w:eastAsia="ja-JP"/>
        </w:rPr>
        <w:tab/>
      </w:r>
      <w:r>
        <w:rPr>
          <w:lang w:eastAsia="ja-JP"/>
        </w:rPr>
        <w:t>N</w:t>
      </w:r>
      <w:r>
        <w:rPr>
          <w:lang w:eastAsia="ja-JP"/>
        </w:rPr>
        <w:t>年は、提案</w:t>
      </w:r>
      <w:r>
        <w:rPr>
          <w:lang w:eastAsia="ja-JP"/>
        </w:rPr>
        <w:t>/</w:t>
      </w:r>
      <w:r>
        <w:rPr>
          <w:lang w:eastAsia="ja-JP"/>
        </w:rPr>
        <w:t>イニシアチブの実施が開始される年です。</w:t>
      </w:r>
      <w:r>
        <w:rPr>
          <w:lang w:eastAsia="ja-JP"/>
        </w:rPr>
        <w:t>N</w:t>
      </w:r>
      <w:r>
        <w:rPr>
          <w:lang w:eastAsia="ja-JP"/>
        </w:rPr>
        <w:t>」を実施予定初年度に置き換えてください（例：</w:t>
      </w:r>
      <w:r>
        <w:rPr>
          <w:lang w:eastAsia="ja-JP"/>
        </w:rPr>
        <w:t>2021</w:t>
      </w:r>
      <w:r>
        <w:rPr>
          <w:lang w:eastAsia="ja-JP"/>
        </w:rPr>
        <w:t>年）。次の年についても同様です。</w:t>
      </w:r>
    </w:p>
  </w:footnote>
  <w:footnote w:id="107">
    <w:p w14:paraId="3409BEC3" w14:textId="77777777" w:rsidR="0038775E" w:rsidRDefault="00877B9C">
      <w:pPr>
        <w:pStyle w:val="aff"/>
        <w:rPr>
          <w:szCs w:val="24"/>
          <w:lang w:eastAsia="ja-JP"/>
        </w:rPr>
      </w:pPr>
      <w:r>
        <w:rPr>
          <w:rStyle w:val="afa"/>
        </w:rPr>
        <w:footnoteRef/>
      </w:r>
      <w:r w:rsidRPr="004C3D41">
        <w:rPr>
          <w:lang w:eastAsia="ja-JP"/>
        </w:rPr>
        <w:tab/>
      </w:r>
      <w:r>
        <w:rPr>
          <w:lang w:eastAsia="ja-JP"/>
        </w:rPr>
        <w:t>伝統的な自己財源（関税、砂糖税）については、表示された金額は純額、すなわち徴収費用の</w:t>
      </w:r>
      <w:r w:rsidRPr="009B753E">
        <w:rPr>
          <w:lang w:eastAsia="ja-JP"/>
        </w:rPr>
        <w:t>20</w:t>
      </w:r>
      <w:r w:rsidRPr="009B753E">
        <w:rPr>
          <w:lang w:eastAsia="ja-JP"/>
        </w:rPr>
        <w:t>％を</w:t>
      </w:r>
      <w:r>
        <w:rPr>
          <w:lang w:eastAsia="ja-JP"/>
        </w:rPr>
        <w:t>差し引いた総額のことでなければなりません。</w:t>
      </w:r>
    </w:p>
  </w:footnote>
  <w:footnote w:id="108">
    <w:p w14:paraId="74E80079" w14:textId="77777777" w:rsidR="0038775E" w:rsidRDefault="00877B9C">
      <w:pPr>
        <w:pStyle w:val="aff"/>
        <w:rPr>
          <w:lang w:eastAsia="ja-JP"/>
        </w:rPr>
      </w:pPr>
      <w:r>
        <w:rPr>
          <w:rStyle w:val="afa"/>
        </w:rPr>
        <w:footnoteRef/>
      </w:r>
      <w:r w:rsidRPr="00F16891">
        <w:rPr>
          <w:lang w:eastAsia="ja-JP"/>
        </w:rPr>
        <w:tab/>
      </w:r>
      <w:r w:rsidRPr="00F16891">
        <w:rPr>
          <w:lang w:eastAsia="ja-JP"/>
        </w:rPr>
        <w:t>関税・統計名目および共通関税率に関する</w:t>
      </w:r>
      <w:r w:rsidRPr="00F16891">
        <w:rPr>
          <w:lang w:eastAsia="ja-JP"/>
        </w:rPr>
        <w:t>1987</w:t>
      </w:r>
      <w:r w:rsidRPr="00F16891">
        <w:rPr>
          <w:lang w:eastAsia="ja-JP"/>
        </w:rPr>
        <w:t>年</w:t>
      </w:r>
      <w:r w:rsidRPr="00F16891">
        <w:rPr>
          <w:lang w:eastAsia="ja-JP"/>
        </w:rPr>
        <w:t>7</w:t>
      </w:r>
      <w:r w:rsidRPr="00F16891">
        <w:rPr>
          <w:lang w:eastAsia="ja-JP"/>
        </w:rPr>
        <w:t>月</w:t>
      </w:r>
      <w:r w:rsidRPr="00F16891">
        <w:rPr>
          <w:lang w:eastAsia="ja-JP"/>
        </w:rPr>
        <w:t>23</w:t>
      </w:r>
      <w:r w:rsidRPr="00F16891">
        <w:rPr>
          <w:lang w:eastAsia="ja-JP"/>
        </w:rPr>
        <w:t>日理事会規則（</w:t>
      </w:r>
      <w:r w:rsidRPr="00F16891">
        <w:rPr>
          <w:lang w:eastAsia="ja-JP"/>
        </w:rPr>
        <w:t>EEC</w:t>
      </w:r>
      <w:r w:rsidRPr="00F16891">
        <w:rPr>
          <w:lang w:eastAsia="ja-JP"/>
        </w:rPr>
        <w:t>）</w:t>
      </w:r>
      <w:r w:rsidRPr="00F16891">
        <w:rPr>
          <w:lang w:eastAsia="ja-JP"/>
        </w:rPr>
        <w:t>No2658/87</w:t>
      </w:r>
      <w:r>
        <w:rPr>
          <w:lang w:eastAsia="ja-JP"/>
        </w:rPr>
        <w:t>（</w:t>
      </w:r>
      <w:r w:rsidRPr="00F16891">
        <w:rPr>
          <w:lang w:eastAsia="ja-JP"/>
        </w:rPr>
        <w:t>OJ L 256, 7.9.1987, p. 1</w:t>
      </w:r>
      <w:r>
        <w:rPr>
          <w:lang w:eastAsia="ja-JP"/>
        </w:rPr>
        <w:t>）</w:t>
      </w:r>
      <w:r>
        <w:rPr>
          <w:lang w:eastAsia="ja-JP"/>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1F5B9" w14:textId="77777777" w:rsidR="008B42B0" w:rsidRPr="008B42B0" w:rsidRDefault="008B42B0" w:rsidP="008B42B0">
    <w:pPr>
      <w:pStyle w:val="HeaderLandscap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9F9A6" w14:textId="77777777" w:rsidR="008B42B0" w:rsidRPr="008B42B0" w:rsidRDefault="008B42B0" w:rsidP="008B42B0">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77E2D" w14:textId="77777777" w:rsidR="008B42B0" w:rsidRPr="008B42B0" w:rsidRDefault="008B42B0" w:rsidP="008B42B0">
    <w:pPr>
      <w:pStyle w:val="afb"/>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E17FE" w14:textId="77777777" w:rsidR="008B42B0" w:rsidRPr="008B42B0" w:rsidRDefault="008B42B0" w:rsidP="008B42B0">
    <w:pPr>
      <w:pStyle w:val="af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90263EB"/>
    <w:multiLevelType w:val="hybridMultilevel"/>
    <w:tmpl w:val="2B8AA7EC"/>
    <w:lvl w:ilvl="0" w:tplc="9EA46DB6">
      <w:start w:val="1"/>
      <w:numFmt w:val="lowerLetter"/>
      <w:pStyle w:val="nor"/>
      <w:lvlText w:val="(%1)"/>
      <w:lvlJc w:val="left"/>
      <w:pPr>
        <w:ind w:left="1570" w:hanging="360"/>
      </w:pPr>
      <w:rPr>
        <w:rFonts w:hint="default"/>
      </w:r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9" w15:restartNumberingAfterBreak="0">
    <w:nsid w:val="2F191641"/>
    <w:multiLevelType w:val="multilevel"/>
    <w:tmpl w:val="B67C4E92"/>
    <w:lvl w:ilvl="0">
      <w:start w:val="1"/>
      <w:numFmt w:val="decimal"/>
      <w:pStyle w:val="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1" w15:restartNumberingAfterBreak="0">
    <w:nsid w:val="38863A66"/>
    <w:multiLevelType w:val="multilevel"/>
    <w:tmpl w:val="19C2B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8C015E"/>
    <w:multiLevelType w:val="multilevel"/>
    <w:tmpl w:val="027A66BA"/>
    <w:name w:val="List Dash 4"/>
    <w:lvl w:ilvl="0">
      <w:start w:val="1"/>
      <w:numFmt w:val="decimal"/>
      <w:pStyle w:val="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8"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9" w15:restartNumberingAfterBreak="0">
    <w:nsid w:val="542A1204"/>
    <w:multiLevelType w:val="multilevel"/>
    <w:tmpl w:val="BC1E8404"/>
    <w:lvl w:ilvl="0">
      <w:start w:val="1"/>
      <w:numFmt w:val="decimal"/>
      <w:pStyle w:val="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5B0B0635"/>
    <w:multiLevelType w:val="singleLevel"/>
    <w:tmpl w:val="017E7CEE"/>
    <w:lvl w:ilvl="0">
      <w:start w:val="1"/>
      <w:numFmt w:val="bullet"/>
      <w:lvlRestart w:val="0"/>
      <w:pStyle w:val="40"/>
      <w:lvlText w:val=""/>
      <w:lvlJc w:val="left"/>
      <w:pPr>
        <w:tabs>
          <w:tab w:val="num" w:pos="1134"/>
        </w:tabs>
        <w:ind w:left="1134" w:hanging="283"/>
      </w:pPr>
      <w:rPr>
        <w:rFonts w:ascii="Symbol" w:hAnsi="Symbol" w:hint="default"/>
      </w:rPr>
    </w:lvl>
  </w:abstractNum>
  <w:abstractNum w:abstractNumId="22"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3"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15:restartNumberingAfterBreak="0">
    <w:nsid w:val="5DF84969"/>
    <w:multiLevelType w:val="singleLevel"/>
    <w:tmpl w:val="1E12021A"/>
    <w:lvl w:ilvl="0">
      <w:start w:val="1"/>
      <w:numFmt w:val="bullet"/>
      <w:pStyle w:val="a"/>
      <w:lvlText w:val=""/>
      <w:lvlJc w:val="left"/>
      <w:pPr>
        <w:tabs>
          <w:tab w:val="num" w:pos="283"/>
        </w:tabs>
        <w:ind w:left="283" w:hanging="283"/>
      </w:pPr>
      <w:rPr>
        <w:rFonts w:ascii="Symbol" w:hAnsi="Symbol" w:hint="default"/>
      </w:rPr>
    </w:lvl>
  </w:abstractNum>
  <w:abstractNum w:abstractNumId="26" w15:restartNumberingAfterBreak="0">
    <w:nsid w:val="64A12FA4"/>
    <w:multiLevelType w:val="multilevel"/>
    <w:tmpl w:val="428ECF3E"/>
    <w:name w:val="Heading"/>
    <w:lvl w:ilvl="0">
      <w:start w:val="1"/>
      <w:numFmt w:val="decimal"/>
      <w:lvlRestart w:val="0"/>
      <w:pStyle w:val="1"/>
      <w:lvlText w:val="%1."/>
      <w:lvlJc w:val="left"/>
      <w:pPr>
        <w:tabs>
          <w:tab w:val="num" w:pos="850"/>
        </w:tabs>
        <w:ind w:left="850" w:hanging="850"/>
      </w:pPr>
    </w:lvl>
    <w:lvl w:ilvl="1">
      <w:start w:val="1"/>
      <w:numFmt w:val="decimal"/>
      <w:pStyle w:val="20"/>
      <w:lvlText w:val="%1.%2."/>
      <w:lvlJc w:val="left"/>
      <w:pPr>
        <w:tabs>
          <w:tab w:val="num" w:pos="850"/>
        </w:tabs>
        <w:ind w:left="850" w:hanging="850"/>
      </w:pPr>
    </w:lvl>
    <w:lvl w:ilvl="2">
      <w:start w:val="1"/>
      <w:numFmt w:val="decimal"/>
      <w:pStyle w:val="30"/>
      <w:lvlText w:val="%1.%2.%3."/>
      <w:lvlJc w:val="left"/>
      <w:pPr>
        <w:tabs>
          <w:tab w:val="num" w:pos="850"/>
        </w:tabs>
        <w:ind w:left="850" w:hanging="850"/>
      </w:pPr>
    </w:lvl>
    <w:lvl w:ilvl="3">
      <w:start w:val="1"/>
      <w:numFmt w:val="decimal"/>
      <w:pStyle w:val="41"/>
      <w:lvlText w:val="%1.%2.%3.%4."/>
      <w:lvlJc w:val="left"/>
      <w:pPr>
        <w:tabs>
          <w:tab w:val="num" w:pos="850"/>
        </w:tabs>
        <w:ind w:left="850" w:hanging="850"/>
      </w:pPr>
    </w:lvl>
    <w:lvl w:ilvl="4">
      <w:start w:val="1"/>
      <w:numFmt w:val="decimal"/>
      <w:pStyle w:val="5"/>
      <w:lvlText w:val="%1.%2.%3.%4.%5."/>
      <w:lvlJc w:val="left"/>
      <w:pPr>
        <w:tabs>
          <w:tab w:val="num" w:pos="1417"/>
        </w:tabs>
        <w:ind w:left="1417" w:hanging="1417"/>
      </w:pPr>
    </w:lvl>
    <w:lvl w:ilvl="5">
      <w:start w:val="1"/>
      <w:numFmt w:val="decimal"/>
      <w:pStyle w:val="6"/>
      <w:lvlText w:val="%1.%2.%3.%4.%5.%6."/>
      <w:lvlJc w:val="left"/>
      <w:pPr>
        <w:tabs>
          <w:tab w:val="num" w:pos="1417"/>
        </w:tabs>
        <w:ind w:left="1417" w:hanging="1417"/>
      </w:pPr>
    </w:lvl>
    <w:lvl w:ilvl="6">
      <w:start w:val="1"/>
      <w:numFmt w:val="decimal"/>
      <w:pStyle w:val="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8" w15:restartNumberingAfterBreak="0">
    <w:nsid w:val="71F06166"/>
    <w:multiLevelType w:val="multilevel"/>
    <w:tmpl w:val="C08066D2"/>
    <w:name w:val="0.6719891"/>
    <w:lvl w:ilvl="0">
      <w:start w:val="1"/>
      <w:numFmt w:val="decimal"/>
      <w:lvlRestart w:val="0"/>
      <w:pStyle w:val="a0"/>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3D73F7A"/>
    <w:multiLevelType w:val="singleLevel"/>
    <w:tmpl w:val="26365734"/>
    <w:lvl w:ilvl="0">
      <w:start w:val="1"/>
      <w:numFmt w:val="bullet"/>
      <w:pStyle w:val="21"/>
      <w:lvlText w:val=""/>
      <w:lvlJc w:val="left"/>
      <w:pPr>
        <w:tabs>
          <w:tab w:val="num" w:pos="1134"/>
        </w:tabs>
        <w:ind w:left="1134" w:hanging="283"/>
      </w:pPr>
      <w:rPr>
        <w:rFonts w:ascii="Symbol" w:hAnsi="Symbol" w:hint="default"/>
      </w:rPr>
    </w:lvl>
  </w:abstractNum>
  <w:abstractNum w:abstractNumId="30" w15:restartNumberingAfterBreak="0">
    <w:nsid w:val="76BC5C11"/>
    <w:multiLevelType w:val="singleLevel"/>
    <w:tmpl w:val="E44CE82E"/>
    <w:lvl w:ilvl="0">
      <w:start w:val="1"/>
      <w:numFmt w:val="bullet"/>
      <w:pStyle w:val="31"/>
      <w:lvlText w:val=""/>
      <w:lvlJc w:val="left"/>
      <w:pPr>
        <w:tabs>
          <w:tab w:val="num" w:pos="1134"/>
        </w:tabs>
        <w:ind w:left="1134" w:hanging="283"/>
      </w:pPr>
      <w:rPr>
        <w:rFonts w:ascii="Symbol" w:hAnsi="Symbol" w:hint="default"/>
      </w:rPr>
    </w:lvl>
  </w:abstractNum>
  <w:abstractNum w:abstractNumId="3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2139300524">
    <w:abstractNumId w:val="4"/>
  </w:num>
  <w:num w:numId="2" w16cid:durableId="930086973">
    <w:abstractNumId w:val="3"/>
  </w:num>
  <w:num w:numId="3" w16cid:durableId="710232781">
    <w:abstractNumId w:val="31"/>
    <w:lvlOverride w:ilvl="0">
      <w:startOverride w:val="1"/>
    </w:lvlOverride>
  </w:num>
  <w:num w:numId="4" w16cid:durableId="1882746672">
    <w:abstractNumId w:val="0"/>
  </w:num>
  <w:num w:numId="5" w16cid:durableId="2084253524">
    <w:abstractNumId w:val="21"/>
  </w:num>
  <w:num w:numId="6" w16cid:durableId="794131506">
    <w:abstractNumId w:val="8"/>
  </w:num>
  <w:num w:numId="7" w16cid:durableId="1939630823">
    <w:abstractNumId w:val="18"/>
  </w:num>
  <w:num w:numId="8" w16cid:durableId="1731689972">
    <w:abstractNumId w:val="17"/>
  </w:num>
  <w:num w:numId="9" w16cid:durableId="1927182931">
    <w:abstractNumId w:val="28"/>
  </w:num>
  <w:num w:numId="10" w16cid:durableId="936986928">
    <w:abstractNumId w:val="25"/>
  </w:num>
  <w:num w:numId="11" w16cid:durableId="662512563">
    <w:abstractNumId w:val="29"/>
  </w:num>
  <w:num w:numId="12" w16cid:durableId="2099211670">
    <w:abstractNumId w:val="30"/>
  </w:num>
  <w:num w:numId="13" w16cid:durableId="1285429041">
    <w:abstractNumId w:val="1"/>
  </w:num>
  <w:num w:numId="14" w16cid:durableId="457603959">
    <w:abstractNumId w:val="10"/>
  </w:num>
  <w:num w:numId="15" w16cid:durableId="297031545">
    <w:abstractNumId w:val="2"/>
  </w:num>
  <w:num w:numId="16" w16cid:durableId="1145439874">
    <w:abstractNumId w:val="12"/>
  </w:num>
  <w:num w:numId="17" w16cid:durableId="424229366">
    <w:abstractNumId w:val="9"/>
  </w:num>
  <w:num w:numId="18" w16cid:durableId="941181335">
    <w:abstractNumId w:val="19"/>
  </w:num>
  <w:num w:numId="19" w16cid:durableId="1188983668">
    <w:abstractNumId w:val="3"/>
  </w:num>
  <w:num w:numId="20" w16cid:durableId="8786619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080841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32998281">
    <w:abstractNumId w:val="3"/>
    <w:lvlOverride w:ilvl="0">
      <w:startOverride w:val="50"/>
    </w:lvlOverride>
    <w:lvlOverride w:ilvl="1">
      <w:startOverride w:val="1"/>
    </w:lvlOverride>
    <w:lvlOverride w:ilvl="2">
      <w:startOverride w:val="1"/>
    </w:lvlOverride>
    <w:lvlOverride w:ilvl="3">
      <w:startOverride w:val="6"/>
    </w:lvlOverride>
    <w:lvlOverride w:ilvl="4">
      <w:startOverride w:val="1"/>
    </w:lvlOverride>
    <w:lvlOverride w:ilvl="5">
      <w:startOverride w:val="35"/>
    </w:lvlOverride>
    <w:lvlOverride w:ilvl="6">
      <w:startOverride w:val="1"/>
    </w:lvlOverride>
    <w:lvlOverride w:ilvl="7">
      <w:startOverride w:val="1"/>
    </w:lvlOverride>
    <w:lvlOverride w:ilvl="8">
      <w:startOverride w:val="1"/>
    </w:lvlOverride>
  </w:num>
  <w:num w:numId="23" w16cid:durableId="13361116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28257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9773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950290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348044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581037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613653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928962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774263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777783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184680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878041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612766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468111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403681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13311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254553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657921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780277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223997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792898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68524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014310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748243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042312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997506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358523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920078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783952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93380950">
    <w:abstractNumId w:val="3"/>
    <w:lvlOverride w:ilvl="0">
      <w:startOverride w:val="2"/>
    </w:lvlOverride>
    <w:lvlOverride w:ilvl="1">
      <w:startOverride w:val="1"/>
    </w:lvlOverride>
    <w:lvlOverride w:ilvl="2">
      <w:startOverride w:val="1"/>
    </w:lvlOverride>
    <w:lvlOverride w:ilvl="3">
      <w:startOverride w:val="6"/>
    </w:lvlOverride>
    <w:lvlOverride w:ilvl="4">
      <w:startOverride w:val="1"/>
    </w:lvlOverride>
    <w:lvlOverride w:ilvl="5">
      <w:startOverride w:val="9"/>
    </w:lvlOverride>
    <w:lvlOverride w:ilvl="6">
      <w:startOverride w:val="1"/>
    </w:lvlOverride>
    <w:lvlOverride w:ilvl="7">
      <w:startOverride w:val="1"/>
    </w:lvlOverride>
    <w:lvlOverride w:ilvl="8">
      <w:startOverride w:val="1"/>
    </w:lvlOverride>
  </w:num>
  <w:num w:numId="53" w16cid:durableId="78801342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9"/>
    </w:lvlOverride>
    <w:lvlOverride w:ilvl="6">
      <w:startOverride w:val="1"/>
    </w:lvlOverride>
    <w:lvlOverride w:ilvl="7">
      <w:startOverride w:val="1"/>
    </w:lvlOverride>
    <w:lvlOverride w:ilvl="8">
      <w:startOverride w:val="1"/>
    </w:lvlOverride>
  </w:num>
  <w:num w:numId="54" w16cid:durableId="25594466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215347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16419386">
    <w:abstractNumId w:val="4"/>
  </w:num>
  <w:num w:numId="57" w16cid:durableId="449469565">
    <w:abstractNumId w:val="3"/>
  </w:num>
  <w:num w:numId="58" w16cid:durableId="922150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1981613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5541958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363429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710743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2954066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3324932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4558303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3568840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8551501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7940146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6924118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8871838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8220409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217883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9754029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2552886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7535015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820551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103452747">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9"/>
    </w:lvlOverride>
    <w:lvlOverride w:ilvl="6">
      <w:startOverride w:val="1"/>
    </w:lvlOverride>
    <w:lvlOverride w:ilvl="7">
      <w:startOverride w:val="1"/>
    </w:lvlOverride>
    <w:lvlOverride w:ilvl="8">
      <w:startOverride w:val="1"/>
    </w:lvlOverride>
  </w:num>
  <w:num w:numId="78" w16cid:durableId="10269519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9428775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1729860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995187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7174627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4336746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5649463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9523985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3409333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5924726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9961078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980383160">
    <w:abstractNumId w:val="24"/>
    <w:lvlOverride w:ilvl="0">
      <w:startOverride w:val="1"/>
    </w:lvlOverride>
  </w:num>
  <w:num w:numId="90" w16cid:durableId="977958774">
    <w:abstractNumId w:val="27"/>
    <w:lvlOverride w:ilvl="0">
      <w:startOverride w:val="1"/>
    </w:lvlOverride>
  </w:num>
  <w:num w:numId="91" w16cid:durableId="11608030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835418176">
    <w:abstractNumId w:val="22"/>
    <w:lvlOverride w:ilvl="0">
      <w:startOverride w:val="1"/>
    </w:lvlOverride>
  </w:num>
  <w:num w:numId="93" w16cid:durableId="1224829160">
    <w:abstractNumId w:val="13"/>
    <w:lvlOverride w:ilvl="0">
      <w:startOverride w:val="1"/>
    </w:lvlOverride>
  </w:num>
  <w:num w:numId="94" w16cid:durableId="387268800">
    <w:abstractNumId w:val="23"/>
    <w:lvlOverride w:ilvl="0">
      <w:startOverride w:val="1"/>
    </w:lvlOverride>
  </w:num>
  <w:num w:numId="95" w16cid:durableId="93477991">
    <w:abstractNumId w:val="3"/>
  </w:num>
  <w:num w:numId="96" w16cid:durableId="1323370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2136601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7348176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668111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9181303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21377234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06481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9274279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7377046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3383892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9658468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4144687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0678456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20339957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653679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3394991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8692981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5626418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2647299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5999954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8232020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3321778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2884379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635896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403442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5887755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5388599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9183168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4884783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2672283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9564027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1043079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6838985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8970855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20535289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7817329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4302063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2531308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919752200">
    <w:abstractNumId w:val="5"/>
  </w:num>
  <w:num w:numId="135" w16cid:durableId="20340716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864533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5266779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21254946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7981817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9602336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9503618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0892776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3507153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20994782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1366012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2604598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4075825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5355807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83337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94736172">
    <w:abstractNumId w:val="24"/>
  </w:num>
  <w:num w:numId="151" w16cid:durableId="1282539890">
    <w:abstractNumId w:val="13"/>
  </w:num>
  <w:num w:numId="152" w16cid:durableId="1975283583">
    <w:abstractNumId w:val="27"/>
  </w:num>
  <w:num w:numId="153" w16cid:durableId="1222332179">
    <w:abstractNumId w:val="7"/>
  </w:num>
  <w:num w:numId="154" w16cid:durableId="2113502496">
    <w:abstractNumId w:val="14"/>
  </w:num>
  <w:num w:numId="155" w16cid:durableId="1746369780">
    <w:abstractNumId w:val="15"/>
  </w:num>
  <w:num w:numId="156" w16cid:durableId="520315081">
    <w:abstractNumId w:val="4"/>
  </w:num>
  <w:num w:numId="157" w16cid:durableId="1373533475">
    <w:abstractNumId w:val="26"/>
  </w:num>
  <w:num w:numId="158" w16cid:durableId="99883515">
    <w:abstractNumId w:val="3"/>
  </w:num>
  <w:num w:numId="159" w16cid:durableId="1073619862">
    <w:abstractNumId w:val="16"/>
  </w:num>
  <w:num w:numId="160" w16cid:durableId="584732310">
    <w:abstractNumId w:val="22"/>
  </w:num>
  <w:num w:numId="161" w16cid:durableId="2054769238">
    <w:abstractNumId w:val="23"/>
  </w:num>
  <w:num w:numId="162" w16cid:durableId="689642400">
    <w:abstractNumId w:val="6"/>
  </w:num>
  <w:num w:numId="163" w16cid:durableId="637295434">
    <w:abstractNumId w:val="20"/>
  </w:num>
  <w:num w:numId="164" w16cid:durableId="1389916696">
    <w:abstractNumId w:val="31"/>
  </w:num>
  <w:num w:numId="165" w16cid:durableId="108625822">
    <w:abstractNumId w:val="11"/>
  </w:num>
  <w:numIdMacAtCleanup w:val="1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activeWritingStyle w:appName="MSWord" w:lang="fr-BE" w:vendorID="64" w:dllVersion="6"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fr-FR" w:vendorID="64" w:dllVersion="6" w:nlCheck="1" w:checkStyle="0"/>
  <w:activeWritingStyle w:appName="MSWord" w:lang="it-IT" w:vendorID="64" w:dllVersion="6"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fr-BE" w:vendorID="64" w:dllVersion="0" w:nlCheck="1" w:checkStyle="0"/>
  <w:activeWritingStyle w:appName="MSWord" w:lang="fr-FR" w:vendorID="64" w:dllVersion="0" w:nlCheck="1" w:checkStyle="0"/>
  <w:attachedTemplate r:id="rId1"/>
  <w:defaultTabStop w:val="720"/>
  <w:hyphenationZone w:val="425"/>
  <w:characterSpacingControl w:val="doNotCompress"/>
  <w:hdrShapeDefaults>
    <o:shapedefaults v:ext="edit" spidmax="16588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R_RefLast" w:val="0"/>
    <w:docVar w:name="DQCDateTime" w:val="2022-03-24 12:03:28"/>
    <w:docVar w:name="DQCNUMB_100" w:val="684"/>
    <w:docVar w:name="DQCNUMB_101" w:val="685"/>
    <w:docVar w:name="DQCNUMB_102" w:val="686"/>
    <w:docVar w:name="DQCNUMB_103" w:val="687"/>
    <w:docVar w:name="DQCNUMB_104" w:val="688"/>
    <w:docVar w:name="DQCNUMB_105" w:val="689"/>
    <w:docVar w:name="DQCNUMB_106" w:val="690"/>
    <w:docVar w:name="DQCNUMB_107" w:val="692"/>
    <w:docVar w:name="DQCNUMB_108" w:val="693"/>
    <w:docVar w:name="DQCNUMB_109" w:val="696"/>
    <w:docVar w:name="DQCNUMB_110" w:val="700"/>
    <w:docVar w:name="DQCNUMB_111" w:val="701"/>
    <w:docVar w:name="DQCNUMB_112" w:val="702"/>
    <w:docVar w:name="DQCNUMB_113" w:val="703"/>
    <w:docVar w:name="DQCNUMB_114" w:val="711"/>
    <w:docVar w:name="DQCNUMB_115" w:val="712"/>
    <w:docVar w:name="DQCNUMB_116" w:val="713"/>
    <w:docVar w:name="DQCNUMB_117" w:val="714"/>
    <w:docVar w:name="DQCNUMB_118" w:val="715"/>
    <w:docVar w:name="DQCNUMB_217" w:val="1035"/>
    <w:docVar w:name="DQCNUMB_218" w:val="1036"/>
    <w:docVar w:name="DQCNUMB_219" w:val="1048"/>
    <w:docVar w:name="DQCNUMB_81" w:val="606"/>
    <w:docVar w:name="DQCNUMB_82" w:val="607"/>
    <w:docVar w:name="DQCNUMB_83" w:val="608"/>
    <w:docVar w:name="DQCNUMB_84" w:val="609"/>
    <w:docVar w:name="DQCNUMB_85" w:val="610"/>
    <w:docVar w:name="DQCNUMB_86" w:val="623"/>
    <w:docVar w:name="DQCNUMB_87" w:val="624"/>
    <w:docVar w:name="DQCNUMB_89" w:val="628"/>
    <w:docVar w:name="DQCNUMB_97" w:val="681"/>
    <w:docVar w:name="DQCNUMB_98" w:val="682"/>
    <w:docVar w:name="DQCNUMB_99" w:val="683"/>
    <w:docVar w:name="DQCResult_Distribution" w:val="0;0"/>
    <w:docVar w:name="DQCResult_DocumentContent" w:val="0;0"/>
    <w:docVar w:name="DQCResult_DocumentSize" w:val="0;0"/>
    <w:docVar w:name="DQCResult_InvalidFootnotes" w:val="0;0"/>
    <w:docVar w:name="DQCResult_LinkedStyles" w:val="0;0"/>
    <w:docVar w:name="DQCResult_ModifiedMarkers" w:val="0;0"/>
    <w:docVar w:name="DQCResult_ModifiedNumbering" w:val="0;0"/>
    <w:docVar w:name="DQCResult_Objects" w:val="0;0"/>
    <w:docVar w:name="DQCResult_StructureCheck" w:val="0;0"/>
    <w:docVar w:name="DQCResult_UnknownFonts" w:val="0;0"/>
    <w:docVar w:name="DQCStatus" w:val="Yellow"/>
    <w:docVar w:name="DQCVersion" w:val="3"/>
    <w:docVar w:name="DQCWithWarnings" w:val="0"/>
    <w:docVar w:name="LW_CORRIGENDUM" w:val="&lt;UNUSED&gt;"/>
    <w:docVar w:name="LW_COVERPAGE_EXISTS" w:val="True"/>
    <w:docVar w:name="LW_COVERPAGE_GUID" w:val="3FC02D69-6A93-407E-9ED2-9617677A2F39"/>
    <w:docVar w:name="LW_COVERPAGE_TYPE" w:val="1"/>
    <w:docVar w:name="LW_CROSSREFERENCE" w:val="{SEC(2022) 165 final} - {SWD(2022) 81 final} - {SWD(2022) 82 final} - {SWD(2022) 83 final}"/>
    <w:docVar w:name="LW_DocType" w:val="COM"/>
    <w:docVar w:name="LW_EMISSION" w:val="30.3.2022"/>
    <w:docVar w:name="LW_EMISSION_ISODATE" w:val="2022-03-30"/>
    <w:docVar w:name="LW_EMISSION_LOCATION" w:val="BRX"/>
    <w:docVar w:name="LW_EMISSION_PREFIX" w:val="Brussels,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Text with EEA relevance)"/>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095"/>
    <w:docVar w:name="LW_REF.II.NEW.CP_YEAR" w:val="2022"/>
    <w:docVar w:name="LW_REF.INST.NEW" w:val="COM"/>
    <w:docVar w:name="LW_REF.INST.NEW_ADOPTED" w:val="final"/>
    <w:docVar w:name="LW_REF.INST.NEW_TEXT" w:val="(2022) 14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establishing a framework for setting ecodesign requirements for sustainable products and repealing Directive 2009/125/EC"/>
    <w:docVar w:name="LW_TYPE.DOC.CP" w:val="REGULATION OF THE EUROPEAN PARLIAMENT AND OF THE COUNCIL"/>
    <w:docVar w:name="LwApiVersions" w:val="LW4CoDe 1.23.2.0; LW 8.0, Build 20211117"/>
  </w:docVars>
  <w:rsids>
    <w:rsidRoot w:val="005879E3"/>
    <w:rsid w:val="00000166"/>
    <w:rsid w:val="00000798"/>
    <w:rsid w:val="00001911"/>
    <w:rsid w:val="00001D9C"/>
    <w:rsid w:val="00002369"/>
    <w:rsid w:val="0000272D"/>
    <w:rsid w:val="00002849"/>
    <w:rsid w:val="00002979"/>
    <w:rsid w:val="00003BEC"/>
    <w:rsid w:val="00003FAC"/>
    <w:rsid w:val="00004004"/>
    <w:rsid w:val="00004518"/>
    <w:rsid w:val="000050AD"/>
    <w:rsid w:val="000056B8"/>
    <w:rsid w:val="000056EE"/>
    <w:rsid w:val="00006AD7"/>
    <w:rsid w:val="00007077"/>
    <w:rsid w:val="000072C8"/>
    <w:rsid w:val="000073B9"/>
    <w:rsid w:val="0000743B"/>
    <w:rsid w:val="000076FE"/>
    <w:rsid w:val="00007760"/>
    <w:rsid w:val="00007E43"/>
    <w:rsid w:val="000105ED"/>
    <w:rsid w:val="0001068C"/>
    <w:rsid w:val="000108BB"/>
    <w:rsid w:val="00010AF8"/>
    <w:rsid w:val="0001103D"/>
    <w:rsid w:val="00011079"/>
    <w:rsid w:val="0001160A"/>
    <w:rsid w:val="0001163C"/>
    <w:rsid w:val="00011CEA"/>
    <w:rsid w:val="0001231F"/>
    <w:rsid w:val="00012D36"/>
    <w:rsid w:val="000135CF"/>
    <w:rsid w:val="00013D91"/>
    <w:rsid w:val="00014108"/>
    <w:rsid w:val="000141EB"/>
    <w:rsid w:val="00014428"/>
    <w:rsid w:val="0001469F"/>
    <w:rsid w:val="00014A6A"/>
    <w:rsid w:val="000152AC"/>
    <w:rsid w:val="000152FC"/>
    <w:rsid w:val="0001617E"/>
    <w:rsid w:val="000163A9"/>
    <w:rsid w:val="000166E1"/>
    <w:rsid w:val="00016927"/>
    <w:rsid w:val="0001695C"/>
    <w:rsid w:val="00016993"/>
    <w:rsid w:val="00017131"/>
    <w:rsid w:val="00017473"/>
    <w:rsid w:val="00017C67"/>
    <w:rsid w:val="000202CA"/>
    <w:rsid w:val="000206E0"/>
    <w:rsid w:val="000211AA"/>
    <w:rsid w:val="00021245"/>
    <w:rsid w:val="0002154F"/>
    <w:rsid w:val="00021645"/>
    <w:rsid w:val="000216B5"/>
    <w:rsid w:val="000217FC"/>
    <w:rsid w:val="000218B6"/>
    <w:rsid w:val="00021925"/>
    <w:rsid w:val="00022086"/>
    <w:rsid w:val="00022A03"/>
    <w:rsid w:val="00022DD0"/>
    <w:rsid w:val="000231F0"/>
    <w:rsid w:val="00023255"/>
    <w:rsid w:val="00023810"/>
    <w:rsid w:val="0002391D"/>
    <w:rsid w:val="000240C6"/>
    <w:rsid w:val="00024267"/>
    <w:rsid w:val="000248FB"/>
    <w:rsid w:val="000249FA"/>
    <w:rsid w:val="00024C87"/>
    <w:rsid w:val="0002560C"/>
    <w:rsid w:val="00025CD3"/>
    <w:rsid w:val="00026871"/>
    <w:rsid w:val="00027330"/>
    <w:rsid w:val="00027414"/>
    <w:rsid w:val="00027892"/>
    <w:rsid w:val="00027FC6"/>
    <w:rsid w:val="00030426"/>
    <w:rsid w:val="00030C51"/>
    <w:rsid w:val="000311E3"/>
    <w:rsid w:val="000318B6"/>
    <w:rsid w:val="00032027"/>
    <w:rsid w:val="00032E5A"/>
    <w:rsid w:val="00033744"/>
    <w:rsid w:val="00034E9B"/>
    <w:rsid w:val="00035210"/>
    <w:rsid w:val="00035275"/>
    <w:rsid w:val="00035826"/>
    <w:rsid w:val="00035D2F"/>
    <w:rsid w:val="00036149"/>
    <w:rsid w:val="00036374"/>
    <w:rsid w:val="00037201"/>
    <w:rsid w:val="00037565"/>
    <w:rsid w:val="00040429"/>
    <w:rsid w:val="00040760"/>
    <w:rsid w:val="00040F91"/>
    <w:rsid w:val="00040FE1"/>
    <w:rsid w:val="0004115F"/>
    <w:rsid w:val="000422B5"/>
    <w:rsid w:val="0004278D"/>
    <w:rsid w:val="0004362C"/>
    <w:rsid w:val="0004389F"/>
    <w:rsid w:val="00043BB5"/>
    <w:rsid w:val="00043C4C"/>
    <w:rsid w:val="00043DBB"/>
    <w:rsid w:val="00044CC9"/>
    <w:rsid w:val="00045461"/>
    <w:rsid w:val="00045D38"/>
    <w:rsid w:val="00046245"/>
    <w:rsid w:val="0004799F"/>
    <w:rsid w:val="00047E5C"/>
    <w:rsid w:val="0005094E"/>
    <w:rsid w:val="00051151"/>
    <w:rsid w:val="00051FCA"/>
    <w:rsid w:val="00052686"/>
    <w:rsid w:val="00052B7E"/>
    <w:rsid w:val="000534E9"/>
    <w:rsid w:val="0005411C"/>
    <w:rsid w:val="0005510B"/>
    <w:rsid w:val="00055532"/>
    <w:rsid w:val="00055DD0"/>
    <w:rsid w:val="00056585"/>
    <w:rsid w:val="00056BCA"/>
    <w:rsid w:val="00056FEB"/>
    <w:rsid w:val="000579A6"/>
    <w:rsid w:val="000579EB"/>
    <w:rsid w:val="00057A0B"/>
    <w:rsid w:val="00057CC0"/>
    <w:rsid w:val="00057F5E"/>
    <w:rsid w:val="00060419"/>
    <w:rsid w:val="00060803"/>
    <w:rsid w:val="00060B3D"/>
    <w:rsid w:val="00060C17"/>
    <w:rsid w:val="00061F2C"/>
    <w:rsid w:val="0006202B"/>
    <w:rsid w:val="00062910"/>
    <w:rsid w:val="0006294D"/>
    <w:rsid w:val="000632A7"/>
    <w:rsid w:val="00063DBD"/>
    <w:rsid w:val="00063E2F"/>
    <w:rsid w:val="00064393"/>
    <w:rsid w:val="000649DE"/>
    <w:rsid w:val="00065352"/>
    <w:rsid w:val="000658DE"/>
    <w:rsid w:val="00065953"/>
    <w:rsid w:val="00065E58"/>
    <w:rsid w:val="0006711A"/>
    <w:rsid w:val="00067FB1"/>
    <w:rsid w:val="00070735"/>
    <w:rsid w:val="00070AC9"/>
    <w:rsid w:val="00070BD5"/>
    <w:rsid w:val="00070C0E"/>
    <w:rsid w:val="00071154"/>
    <w:rsid w:val="000714A4"/>
    <w:rsid w:val="00071515"/>
    <w:rsid w:val="000718B8"/>
    <w:rsid w:val="000719D5"/>
    <w:rsid w:val="00071A84"/>
    <w:rsid w:val="000723D9"/>
    <w:rsid w:val="000728B3"/>
    <w:rsid w:val="00072AF4"/>
    <w:rsid w:val="0007337F"/>
    <w:rsid w:val="000736EF"/>
    <w:rsid w:val="00073A81"/>
    <w:rsid w:val="000740DC"/>
    <w:rsid w:val="00074879"/>
    <w:rsid w:val="00074F71"/>
    <w:rsid w:val="00075322"/>
    <w:rsid w:val="000758A5"/>
    <w:rsid w:val="00075A80"/>
    <w:rsid w:val="00075AAD"/>
    <w:rsid w:val="00075FD6"/>
    <w:rsid w:val="00076617"/>
    <w:rsid w:val="00076CC4"/>
    <w:rsid w:val="00076CF8"/>
    <w:rsid w:val="000770E3"/>
    <w:rsid w:val="00077550"/>
    <w:rsid w:val="000777EA"/>
    <w:rsid w:val="00080268"/>
    <w:rsid w:val="000806D4"/>
    <w:rsid w:val="00080F70"/>
    <w:rsid w:val="000810A4"/>
    <w:rsid w:val="00081A4B"/>
    <w:rsid w:val="00081DEE"/>
    <w:rsid w:val="000821AF"/>
    <w:rsid w:val="00082792"/>
    <w:rsid w:val="000828EE"/>
    <w:rsid w:val="00082DF1"/>
    <w:rsid w:val="00083214"/>
    <w:rsid w:val="00083402"/>
    <w:rsid w:val="000834EA"/>
    <w:rsid w:val="000836D2"/>
    <w:rsid w:val="00083AF9"/>
    <w:rsid w:val="00083D37"/>
    <w:rsid w:val="0008494F"/>
    <w:rsid w:val="000853D9"/>
    <w:rsid w:val="00085652"/>
    <w:rsid w:val="00085847"/>
    <w:rsid w:val="00085A32"/>
    <w:rsid w:val="00086F46"/>
    <w:rsid w:val="0008799C"/>
    <w:rsid w:val="000908E3"/>
    <w:rsid w:val="0009111E"/>
    <w:rsid w:val="000914C8"/>
    <w:rsid w:val="00091B25"/>
    <w:rsid w:val="00091F93"/>
    <w:rsid w:val="00092811"/>
    <w:rsid w:val="00092BCE"/>
    <w:rsid w:val="00092EB0"/>
    <w:rsid w:val="0009332A"/>
    <w:rsid w:val="00093C90"/>
    <w:rsid w:val="00094606"/>
    <w:rsid w:val="000946C5"/>
    <w:rsid w:val="00094E72"/>
    <w:rsid w:val="00095F2D"/>
    <w:rsid w:val="00096408"/>
    <w:rsid w:val="00096502"/>
    <w:rsid w:val="00096D07"/>
    <w:rsid w:val="00097322"/>
    <w:rsid w:val="0009770F"/>
    <w:rsid w:val="000A0047"/>
    <w:rsid w:val="000A184C"/>
    <w:rsid w:val="000A18B4"/>
    <w:rsid w:val="000A1AC3"/>
    <w:rsid w:val="000A242B"/>
    <w:rsid w:val="000A2454"/>
    <w:rsid w:val="000A2CA9"/>
    <w:rsid w:val="000A2DD2"/>
    <w:rsid w:val="000A43EA"/>
    <w:rsid w:val="000A4931"/>
    <w:rsid w:val="000A61CF"/>
    <w:rsid w:val="000A620A"/>
    <w:rsid w:val="000A64D4"/>
    <w:rsid w:val="000A6A88"/>
    <w:rsid w:val="000A713B"/>
    <w:rsid w:val="000A7517"/>
    <w:rsid w:val="000A7A3E"/>
    <w:rsid w:val="000A7DA3"/>
    <w:rsid w:val="000A7FE4"/>
    <w:rsid w:val="000B05AD"/>
    <w:rsid w:val="000B072D"/>
    <w:rsid w:val="000B1061"/>
    <w:rsid w:val="000B193F"/>
    <w:rsid w:val="000B1AA5"/>
    <w:rsid w:val="000B201A"/>
    <w:rsid w:val="000B26B5"/>
    <w:rsid w:val="000B299A"/>
    <w:rsid w:val="000B30C0"/>
    <w:rsid w:val="000B30F0"/>
    <w:rsid w:val="000B3694"/>
    <w:rsid w:val="000B52AD"/>
    <w:rsid w:val="000B58AD"/>
    <w:rsid w:val="000B5A76"/>
    <w:rsid w:val="000B5C08"/>
    <w:rsid w:val="000B68BF"/>
    <w:rsid w:val="000B719A"/>
    <w:rsid w:val="000B76A4"/>
    <w:rsid w:val="000C03E4"/>
    <w:rsid w:val="000C065C"/>
    <w:rsid w:val="000C06F9"/>
    <w:rsid w:val="000C0BE7"/>
    <w:rsid w:val="000C124C"/>
    <w:rsid w:val="000C1672"/>
    <w:rsid w:val="000C1779"/>
    <w:rsid w:val="000C1C20"/>
    <w:rsid w:val="000C24A0"/>
    <w:rsid w:val="000C25FB"/>
    <w:rsid w:val="000C2959"/>
    <w:rsid w:val="000C2C4F"/>
    <w:rsid w:val="000C2F80"/>
    <w:rsid w:val="000C35D9"/>
    <w:rsid w:val="000C3657"/>
    <w:rsid w:val="000C3A0E"/>
    <w:rsid w:val="000C3B73"/>
    <w:rsid w:val="000C3D25"/>
    <w:rsid w:val="000C3D57"/>
    <w:rsid w:val="000C424B"/>
    <w:rsid w:val="000C4392"/>
    <w:rsid w:val="000C4BED"/>
    <w:rsid w:val="000C4BF5"/>
    <w:rsid w:val="000C52AD"/>
    <w:rsid w:val="000C5770"/>
    <w:rsid w:val="000C5B65"/>
    <w:rsid w:val="000C5C59"/>
    <w:rsid w:val="000C6B16"/>
    <w:rsid w:val="000C70C8"/>
    <w:rsid w:val="000C7942"/>
    <w:rsid w:val="000C7A25"/>
    <w:rsid w:val="000D00CD"/>
    <w:rsid w:val="000D02C7"/>
    <w:rsid w:val="000D05BA"/>
    <w:rsid w:val="000D06DA"/>
    <w:rsid w:val="000D0868"/>
    <w:rsid w:val="000D0EF5"/>
    <w:rsid w:val="000D11AD"/>
    <w:rsid w:val="000D1B62"/>
    <w:rsid w:val="000D2476"/>
    <w:rsid w:val="000D2A6B"/>
    <w:rsid w:val="000D2B2E"/>
    <w:rsid w:val="000D2C37"/>
    <w:rsid w:val="000D3C09"/>
    <w:rsid w:val="000D42A4"/>
    <w:rsid w:val="000D48E2"/>
    <w:rsid w:val="000D49DE"/>
    <w:rsid w:val="000D4A46"/>
    <w:rsid w:val="000D4B00"/>
    <w:rsid w:val="000D4B64"/>
    <w:rsid w:val="000D4CE5"/>
    <w:rsid w:val="000D5142"/>
    <w:rsid w:val="000D5615"/>
    <w:rsid w:val="000D5CA5"/>
    <w:rsid w:val="000D5D64"/>
    <w:rsid w:val="000D63B4"/>
    <w:rsid w:val="000D650E"/>
    <w:rsid w:val="000D697D"/>
    <w:rsid w:val="000D6B51"/>
    <w:rsid w:val="000D7ABB"/>
    <w:rsid w:val="000D7D5A"/>
    <w:rsid w:val="000E01D1"/>
    <w:rsid w:val="000E0C94"/>
    <w:rsid w:val="000E1050"/>
    <w:rsid w:val="000E12F6"/>
    <w:rsid w:val="000E198E"/>
    <w:rsid w:val="000E1E30"/>
    <w:rsid w:val="000E276E"/>
    <w:rsid w:val="000E277E"/>
    <w:rsid w:val="000E2A0F"/>
    <w:rsid w:val="000E2C9B"/>
    <w:rsid w:val="000E3FB6"/>
    <w:rsid w:val="000E42CC"/>
    <w:rsid w:val="000E43F0"/>
    <w:rsid w:val="000E46E7"/>
    <w:rsid w:val="000E64C2"/>
    <w:rsid w:val="000E7084"/>
    <w:rsid w:val="000E70B3"/>
    <w:rsid w:val="000E715C"/>
    <w:rsid w:val="000E71D4"/>
    <w:rsid w:val="000E78FD"/>
    <w:rsid w:val="000F0753"/>
    <w:rsid w:val="000F0A02"/>
    <w:rsid w:val="000F0A3D"/>
    <w:rsid w:val="000F1024"/>
    <w:rsid w:val="000F1477"/>
    <w:rsid w:val="000F1803"/>
    <w:rsid w:val="000F2812"/>
    <w:rsid w:val="000F2AFD"/>
    <w:rsid w:val="000F2F56"/>
    <w:rsid w:val="000F2FE8"/>
    <w:rsid w:val="000F3690"/>
    <w:rsid w:val="000F3A0F"/>
    <w:rsid w:val="000F3A2C"/>
    <w:rsid w:val="000F40E0"/>
    <w:rsid w:val="000F4EB9"/>
    <w:rsid w:val="000F51EB"/>
    <w:rsid w:val="000F5771"/>
    <w:rsid w:val="000F5EFF"/>
    <w:rsid w:val="000F6330"/>
    <w:rsid w:val="000F6739"/>
    <w:rsid w:val="000F72AF"/>
    <w:rsid w:val="000F7697"/>
    <w:rsid w:val="000F7AA4"/>
    <w:rsid w:val="000F7C50"/>
    <w:rsid w:val="000F7C89"/>
    <w:rsid w:val="000F7E39"/>
    <w:rsid w:val="00100ABB"/>
    <w:rsid w:val="0010127C"/>
    <w:rsid w:val="001013FB"/>
    <w:rsid w:val="001023ED"/>
    <w:rsid w:val="00102852"/>
    <w:rsid w:val="00102D5D"/>
    <w:rsid w:val="00103571"/>
    <w:rsid w:val="00103913"/>
    <w:rsid w:val="00103942"/>
    <w:rsid w:val="00104AA9"/>
    <w:rsid w:val="001057BC"/>
    <w:rsid w:val="0010591B"/>
    <w:rsid w:val="0010671D"/>
    <w:rsid w:val="00106FCD"/>
    <w:rsid w:val="001070D8"/>
    <w:rsid w:val="00107136"/>
    <w:rsid w:val="00107B9D"/>
    <w:rsid w:val="001105BC"/>
    <w:rsid w:val="00110627"/>
    <w:rsid w:val="001114D3"/>
    <w:rsid w:val="00111532"/>
    <w:rsid w:val="00111877"/>
    <w:rsid w:val="00111952"/>
    <w:rsid w:val="00111C6F"/>
    <w:rsid w:val="001125E2"/>
    <w:rsid w:val="0011283F"/>
    <w:rsid w:val="001135FD"/>
    <w:rsid w:val="00113900"/>
    <w:rsid w:val="001139DA"/>
    <w:rsid w:val="001139E4"/>
    <w:rsid w:val="00113B80"/>
    <w:rsid w:val="00113C90"/>
    <w:rsid w:val="00114680"/>
    <w:rsid w:val="001146DE"/>
    <w:rsid w:val="00114891"/>
    <w:rsid w:val="00114D1E"/>
    <w:rsid w:val="00115910"/>
    <w:rsid w:val="00116756"/>
    <w:rsid w:val="001169B6"/>
    <w:rsid w:val="00116B33"/>
    <w:rsid w:val="00116D09"/>
    <w:rsid w:val="00117133"/>
    <w:rsid w:val="00117753"/>
    <w:rsid w:val="001179C0"/>
    <w:rsid w:val="0012015E"/>
    <w:rsid w:val="001202B2"/>
    <w:rsid w:val="00120A25"/>
    <w:rsid w:val="00121070"/>
    <w:rsid w:val="00121761"/>
    <w:rsid w:val="00121A30"/>
    <w:rsid w:val="00121FC6"/>
    <w:rsid w:val="00122220"/>
    <w:rsid w:val="0012225E"/>
    <w:rsid w:val="00122F7D"/>
    <w:rsid w:val="0012307D"/>
    <w:rsid w:val="00123D3E"/>
    <w:rsid w:val="0012410C"/>
    <w:rsid w:val="0012435D"/>
    <w:rsid w:val="001247AD"/>
    <w:rsid w:val="001247B1"/>
    <w:rsid w:val="00124E7D"/>
    <w:rsid w:val="0012519F"/>
    <w:rsid w:val="0012527A"/>
    <w:rsid w:val="001260FF"/>
    <w:rsid w:val="00126111"/>
    <w:rsid w:val="001264BB"/>
    <w:rsid w:val="00127877"/>
    <w:rsid w:val="001278B5"/>
    <w:rsid w:val="00127AB6"/>
    <w:rsid w:val="00130498"/>
    <w:rsid w:val="0013077C"/>
    <w:rsid w:val="001307F8"/>
    <w:rsid w:val="00131276"/>
    <w:rsid w:val="001312C3"/>
    <w:rsid w:val="001319B8"/>
    <w:rsid w:val="00131C35"/>
    <w:rsid w:val="00131DC8"/>
    <w:rsid w:val="00132152"/>
    <w:rsid w:val="00132173"/>
    <w:rsid w:val="001321AD"/>
    <w:rsid w:val="001323BC"/>
    <w:rsid w:val="0013252A"/>
    <w:rsid w:val="00132790"/>
    <w:rsid w:val="0013285B"/>
    <w:rsid w:val="001329E2"/>
    <w:rsid w:val="00132B6B"/>
    <w:rsid w:val="0013327C"/>
    <w:rsid w:val="001332E2"/>
    <w:rsid w:val="0013330D"/>
    <w:rsid w:val="00134437"/>
    <w:rsid w:val="00134A7F"/>
    <w:rsid w:val="00134C4B"/>
    <w:rsid w:val="00135249"/>
    <w:rsid w:val="00135506"/>
    <w:rsid w:val="0013607B"/>
    <w:rsid w:val="00136415"/>
    <w:rsid w:val="00136656"/>
    <w:rsid w:val="001369AB"/>
    <w:rsid w:val="00137517"/>
    <w:rsid w:val="001377C4"/>
    <w:rsid w:val="00137B9D"/>
    <w:rsid w:val="00137D92"/>
    <w:rsid w:val="001402BD"/>
    <w:rsid w:val="00140C2C"/>
    <w:rsid w:val="00140D9E"/>
    <w:rsid w:val="001415A9"/>
    <w:rsid w:val="0014202D"/>
    <w:rsid w:val="00143CA9"/>
    <w:rsid w:val="00143F5B"/>
    <w:rsid w:val="00144147"/>
    <w:rsid w:val="00144505"/>
    <w:rsid w:val="00144BE8"/>
    <w:rsid w:val="00144EA5"/>
    <w:rsid w:val="0014553D"/>
    <w:rsid w:val="0014617F"/>
    <w:rsid w:val="00146351"/>
    <w:rsid w:val="00146D05"/>
    <w:rsid w:val="00147E72"/>
    <w:rsid w:val="00150BAB"/>
    <w:rsid w:val="00150D00"/>
    <w:rsid w:val="00151870"/>
    <w:rsid w:val="00151D9C"/>
    <w:rsid w:val="00151F6C"/>
    <w:rsid w:val="00152378"/>
    <w:rsid w:val="001525B5"/>
    <w:rsid w:val="00152BEA"/>
    <w:rsid w:val="00152EF2"/>
    <w:rsid w:val="00152F11"/>
    <w:rsid w:val="00153041"/>
    <w:rsid w:val="001534B1"/>
    <w:rsid w:val="00153627"/>
    <w:rsid w:val="00153B4C"/>
    <w:rsid w:val="00154397"/>
    <w:rsid w:val="001545AB"/>
    <w:rsid w:val="001546F2"/>
    <w:rsid w:val="00154B2C"/>
    <w:rsid w:val="00155B5C"/>
    <w:rsid w:val="00155CB6"/>
    <w:rsid w:val="00155D05"/>
    <w:rsid w:val="00155F4A"/>
    <w:rsid w:val="0015621E"/>
    <w:rsid w:val="001567F7"/>
    <w:rsid w:val="00157022"/>
    <w:rsid w:val="001579F5"/>
    <w:rsid w:val="0016047A"/>
    <w:rsid w:val="0016083A"/>
    <w:rsid w:val="00160C97"/>
    <w:rsid w:val="00160DBF"/>
    <w:rsid w:val="001612C4"/>
    <w:rsid w:val="00161376"/>
    <w:rsid w:val="001613FD"/>
    <w:rsid w:val="00161964"/>
    <w:rsid w:val="0016210A"/>
    <w:rsid w:val="00162612"/>
    <w:rsid w:val="00162C9E"/>
    <w:rsid w:val="00163579"/>
    <w:rsid w:val="001638A6"/>
    <w:rsid w:val="00163D67"/>
    <w:rsid w:val="00163F23"/>
    <w:rsid w:val="001642AF"/>
    <w:rsid w:val="0016439C"/>
    <w:rsid w:val="001645D3"/>
    <w:rsid w:val="001645E9"/>
    <w:rsid w:val="00164808"/>
    <w:rsid w:val="00164A4B"/>
    <w:rsid w:val="0016551F"/>
    <w:rsid w:val="00165FD1"/>
    <w:rsid w:val="0016629F"/>
    <w:rsid w:val="00167065"/>
    <w:rsid w:val="001670F8"/>
    <w:rsid w:val="0016753B"/>
    <w:rsid w:val="00167E05"/>
    <w:rsid w:val="0017053F"/>
    <w:rsid w:val="0017108A"/>
    <w:rsid w:val="001714D1"/>
    <w:rsid w:val="00171675"/>
    <w:rsid w:val="00171C8A"/>
    <w:rsid w:val="00172A52"/>
    <w:rsid w:val="00173190"/>
    <w:rsid w:val="00173B91"/>
    <w:rsid w:val="00173DA3"/>
    <w:rsid w:val="001741F4"/>
    <w:rsid w:val="001744E3"/>
    <w:rsid w:val="00174571"/>
    <w:rsid w:val="00175201"/>
    <w:rsid w:val="00175516"/>
    <w:rsid w:val="00175A3F"/>
    <w:rsid w:val="0017624F"/>
    <w:rsid w:val="00176A7E"/>
    <w:rsid w:val="00177241"/>
    <w:rsid w:val="001773CB"/>
    <w:rsid w:val="00177824"/>
    <w:rsid w:val="00177A1F"/>
    <w:rsid w:val="00177D8C"/>
    <w:rsid w:val="00177FE6"/>
    <w:rsid w:val="00180CC3"/>
    <w:rsid w:val="00180DA1"/>
    <w:rsid w:val="00181021"/>
    <w:rsid w:val="001815C4"/>
    <w:rsid w:val="00181EDA"/>
    <w:rsid w:val="00182080"/>
    <w:rsid w:val="0018228E"/>
    <w:rsid w:val="00182852"/>
    <w:rsid w:val="0018308D"/>
    <w:rsid w:val="0018382D"/>
    <w:rsid w:val="00183BB6"/>
    <w:rsid w:val="00184DBD"/>
    <w:rsid w:val="00184E48"/>
    <w:rsid w:val="00185790"/>
    <w:rsid w:val="00185E0B"/>
    <w:rsid w:val="00185F33"/>
    <w:rsid w:val="00185F84"/>
    <w:rsid w:val="0018635A"/>
    <w:rsid w:val="001867D3"/>
    <w:rsid w:val="00186F5F"/>
    <w:rsid w:val="00187613"/>
    <w:rsid w:val="00187AA4"/>
    <w:rsid w:val="001908B3"/>
    <w:rsid w:val="001910D3"/>
    <w:rsid w:val="00192EB8"/>
    <w:rsid w:val="00193B12"/>
    <w:rsid w:val="00194055"/>
    <w:rsid w:val="0019457B"/>
    <w:rsid w:val="001946A2"/>
    <w:rsid w:val="001948CB"/>
    <w:rsid w:val="0019494B"/>
    <w:rsid w:val="00194B23"/>
    <w:rsid w:val="00194F61"/>
    <w:rsid w:val="001950A5"/>
    <w:rsid w:val="00195D72"/>
    <w:rsid w:val="001964EE"/>
    <w:rsid w:val="00196A3E"/>
    <w:rsid w:val="00196CE6"/>
    <w:rsid w:val="00196E87"/>
    <w:rsid w:val="001A01B0"/>
    <w:rsid w:val="001A0511"/>
    <w:rsid w:val="001A0A08"/>
    <w:rsid w:val="001A0AEB"/>
    <w:rsid w:val="001A0CAD"/>
    <w:rsid w:val="001A152D"/>
    <w:rsid w:val="001A1555"/>
    <w:rsid w:val="001A15D5"/>
    <w:rsid w:val="001A1995"/>
    <w:rsid w:val="001A1B4E"/>
    <w:rsid w:val="001A1E15"/>
    <w:rsid w:val="001A2323"/>
    <w:rsid w:val="001A2C08"/>
    <w:rsid w:val="001A3130"/>
    <w:rsid w:val="001A3AFD"/>
    <w:rsid w:val="001A3C1C"/>
    <w:rsid w:val="001A44ED"/>
    <w:rsid w:val="001A49E3"/>
    <w:rsid w:val="001A49E8"/>
    <w:rsid w:val="001A4BE8"/>
    <w:rsid w:val="001A5637"/>
    <w:rsid w:val="001A5B14"/>
    <w:rsid w:val="001A5BFD"/>
    <w:rsid w:val="001A5E7B"/>
    <w:rsid w:val="001A6523"/>
    <w:rsid w:val="001A730A"/>
    <w:rsid w:val="001A7D14"/>
    <w:rsid w:val="001B0171"/>
    <w:rsid w:val="001B023B"/>
    <w:rsid w:val="001B0C15"/>
    <w:rsid w:val="001B1FF9"/>
    <w:rsid w:val="001B24CD"/>
    <w:rsid w:val="001B271A"/>
    <w:rsid w:val="001B3503"/>
    <w:rsid w:val="001B3B59"/>
    <w:rsid w:val="001B3E2E"/>
    <w:rsid w:val="001B4609"/>
    <w:rsid w:val="001B4742"/>
    <w:rsid w:val="001B4AF0"/>
    <w:rsid w:val="001B4E06"/>
    <w:rsid w:val="001B4F37"/>
    <w:rsid w:val="001B53FB"/>
    <w:rsid w:val="001B568F"/>
    <w:rsid w:val="001B6152"/>
    <w:rsid w:val="001B619C"/>
    <w:rsid w:val="001B6917"/>
    <w:rsid w:val="001B6FA2"/>
    <w:rsid w:val="001B7A95"/>
    <w:rsid w:val="001B7D47"/>
    <w:rsid w:val="001C021E"/>
    <w:rsid w:val="001C0FF6"/>
    <w:rsid w:val="001C1948"/>
    <w:rsid w:val="001C2816"/>
    <w:rsid w:val="001C2D65"/>
    <w:rsid w:val="001C3006"/>
    <w:rsid w:val="001C3158"/>
    <w:rsid w:val="001C3949"/>
    <w:rsid w:val="001C3ACC"/>
    <w:rsid w:val="001C4207"/>
    <w:rsid w:val="001C44CA"/>
    <w:rsid w:val="001C460D"/>
    <w:rsid w:val="001C4673"/>
    <w:rsid w:val="001C495D"/>
    <w:rsid w:val="001C4A0B"/>
    <w:rsid w:val="001C4B8B"/>
    <w:rsid w:val="001C5764"/>
    <w:rsid w:val="001C5CF6"/>
    <w:rsid w:val="001C5D5A"/>
    <w:rsid w:val="001C5F84"/>
    <w:rsid w:val="001C6360"/>
    <w:rsid w:val="001C68CB"/>
    <w:rsid w:val="001C691A"/>
    <w:rsid w:val="001C724F"/>
    <w:rsid w:val="001C72D9"/>
    <w:rsid w:val="001C7581"/>
    <w:rsid w:val="001C761B"/>
    <w:rsid w:val="001D0202"/>
    <w:rsid w:val="001D02F1"/>
    <w:rsid w:val="001D05F2"/>
    <w:rsid w:val="001D0653"/>
    <w:rsid w:val="001D0916"/>
    <w:rsid w:val="001D0AD1"/>
    <w:rsid w:val="001D1213"/>
    <w:rsid w:val="001D13E3"/>
    <w:rsid w:val="001D1415"/>
    <w:rsid w:val="001D1629"/>
    <w:rsid w:val="001D1A40"/>
    <w:rsid w:val="001D1C77"/>
    <w:rsid w:val="001D1DE3"/>
    <w:rsid w:val="001D1F6C"/>
    <w:rsid w:val="001D29AF"/>
    <w:rsid w:val="001D2BEC"/>
    <w:rsid w:val="001D41D1"/>
    <w:rsid w:val="001D43A0"/>
    <w:rsid w:val="001D4A6E"/>
    <w:rsid w:val="001D572C"/>
    <w:rsid w:val="001D586F"/>
    <w:rsid w:val="001D5A06"/>
    <w:rsid w:val="001D67C2"/>
    <w:rsid w:val="001D68B4"/>
    <w:rsid w:val="001D6C13"/>
    <w:rsid w:val="001E0070"/>
    <w:rsid w:val="001E00C1"/>
    <w:rsid w:val="001E06A2"/>
    <w:rsid w:val="001E0CFB"/>
    <w:rsid w:val="001E0E71"/>
    <w:rsid w:val="001E1514"/>
    <w:rsid w:val="001E1CD9"/>
    <w:rsid w:val="001E1DAA"/>
    <w:rsid w:val="001E1FCF"/>
    <w:rsid w:val="001E2867"/>
    <w:rsid w:val="001E2C2B"/>
    <w:rsid w:val="001E2D31"/>
    <w:rsid w:val="001E4191"/>
    <w:rsid w:val="001E4E57"/>
    <w:rsid w:val="001E51A3"/>
    <w:rsid w:val="001E59FB"/>
    <w:rsid w:val="001E5B04"/>
    <w:rsid w:val="001E5C35"/>
    <w:rsid w:val="001E5DB0"/>
    <w:rsid w:val="001E6AFC"/>
    <w:rsid w:val="001E79A9"/>
    <w:rsid w:val="001F082D"/>
    <w:rsid w:val="001F0AB8"/>
    <w:rsid w:val="001F1365"/>
    <w:rsid w:val="001F1954"/>
    <w:rsid w:val="001F1C83"/>
    <w:rsid w:val="001F1EF3"/>
    <w:rsid w:val="001F2788"/>
    <w:rsid w:val="001F290C"/>
    <w:rsid w:val="001F2AFE"/>
    <w:rsid w:val="001F2C6F"/>
    <w:rsid w:val="001F2D8E"/>
    <w:rsid w:val="001F30A1"/>
    <w:rsid w:val="001F3BA6"/>
    <w:rsid w:val="001F4462"/>
    <w:rsid w:val="001F4BD5"/>
    <w:rsid w:val="001F4C1C"/>
    <w:rsid w:val="001F4F14"/>
    <w:rsid w:val="001F4F4D"/>
    <w:rsid w:val="001F58D3"/>
    <w:rsid w:val="001F676F"/>
    <w:rsid w:val="001F6FC5"/>
    <w:rsid w:val="001F798F"/>
    <w:rsid w:val="001F7AAE"/>
    <w:rsid w:val="0020023D"/>
    <w:rsid w:val="00200DD0"/>
    <w:rsid w:val="00202356"/>
    <w:rsid w:val="00202BCD"/>
    <w:rsid w:val="00202CED"/>
    <w:rsid w:val="0020340B"/>
    <w:rsid w:val="00203BE3"/>
    <w:rsid w:val="00203D36"/>
    <w:rsid w:val="002041D4"/>
    <w:rsid w:val="0020427C"/>
    <w:rsid w:val="002047F0"/>
    <w:rsid w:val="00204882"/>
    <w:rsid w:val="00204AC6"/>
    <w:rsid w:val="00204F7F"/>
    <w:rsid w:val="0020563B"/>
    <w:rsid w:val="00205B03"/>
    <w:rsid w:val="00206C54"/>
    <w:rsid w:val="00206CF7"/>
    <w:rsid w:val="002073B0"/>
    <w:rsid w:val="0021078E"/>
    <w:rsid w:val="00210E8D"/>
    <w:rsid w:val="00210F40"/>
    <w:rsid w:val="002110A1"/>
    <w:rsid w:val="0021183C"/>
    <w:rsid w:val="00211AE3"/>
    <w:rsid w:val="0021320C"/>
    <w:rsid w:val="00213EE5"/>
    <w:rsid w:val="00213F06"/>
    <w:rsid w:val="0021415A"/>
    <w:rsid w:val="00214C38"/>
    <w:rsid w:val="002151DD"/>
    <w:rsid w:val="00215F57"/>
    <w:rsid w:val="00215FE1"/>
    <w:rsid w:val="002164F9"/>
    <w:rsid w:val="0021683D"/>
    <w:rsid w:val="0021698B"/>
    <w:rsid w:val="00216D01"/>
    <w:rsid w:val="00216D0B"/>
    <w:rsid w:val="00216D85"/>
    <w:rsid w:val="00217191"/>
    <w:rsid w:val="00217759"/>
    <w:rsid w:val="00217E6E"/>
    <w:rsid w:val="00217F15"/>
    <w:rsid w:val="0022101A"/>
    <w:rsid w:val="002214BE"/>
    <w:rsid w:val="002214D1"/>
    <w:rsid w:val="00221A66"/>
    <w:rsid w:val="00221ABC"/>
    <w:rsid w:val="00221D26"/>
    <w:rsid w:val="00222572"/>
    <w:rsid w:val="00222723"/>
    <w:rsid w:val="00222761"/>
    <w:rsid w:val="00222ADB"/>
    <w:rsid w:val="0022314E"/>
    <w:rsid w:val="00223B07"/>
    <w:rsid w:val="00223E6F"/>
    <w:rsid w:val="00223F81"/>
    <w:rsid w:val="0022444E"/>
    <w:rsid w:val="00224662"/>
    <w:rsid w:val="00225153"/>
    <w:rsid w:val="00225197"/>
    <w:rsid w:val="0022584D"/>
    <w:rsid w:val="0022585E"/>
    <w:rsid w:val="00225B5F"/>
    <w:rsid w:val="00225F6A"/>
    <w:rsid w:val="002262CC"/>
    <w:rsid w:val="00226312"/>
    <w:rsid w:val="00226D43"/>
    <w:rsid w:val="00226E94"/>
    <w:rsid w:val="00227119"/>
    <w:rsid w:val="00227415"/>
    <w:rsid w:val="002278A8"/>
    <w:rsid w:val="002302E9"/>
    <w:rsid w:val="0023070E"/>
    <w:rsid w:val="00230D4C"/>
    <w:rsid w:val="00231DE0"/>
    <w:rsid w:val="00231FE6"/>
    <w:rsid w:val="00232A99"/>
    <w:rsid w:val="00232CFA"/>
    <w:rsid w:val="00232E98"/>
    <w:rsid w:val="00232F26"/>
    <w:rsid w:val="002332C5"/>
    <w:rsid w:val="002338B9"/>
    <w:rsid w:val="00233F82"/>
    <w:rsid w:val="0023423F"/>
    <w:rsid w:val="00234522"/>
    <w:rsid w:val="00234D14"/>
    <w:rsid w:val="00234E79"/>
    <w:rsid w:val="00235177"/>
    <w:rsid w:val="002353B1"/>
    <w:rsid w:val="0023632F"/>
    <w:rsid w:val="002364E5"/>
    <w:rsid w:val="00236668"/>
    <w:rsid w:val="00236861"/>
    <w:rsid w:val="00236E92"/>
    <w:rsid w:val="00236EB4"/>
    <w:rsid w:val="00237418"/>
    <w:rsid w:val="00237594"/>
    <w:rsid w:val="00237C5C"/>
    <w:rsid w:val="00237DCA"/>
    <w:rsid w:val="002404BE"/>
    <w:rsid w:val="002405A8"/>
    <w:rsid w:val="00240BB8"/>
    <w:rsid w:val="002415DE"/>
    <w:rsid w:val="00241956"/>
    <w:rsid w:val="00241B97"/>
    <w:rsid w:val="00241DD2"/>
    <w:rsid w:val="0024222E"/>
    <w:rsid w:val="002425F1"/>
    <w:rsid w:val="00243823"/>
    <w:rsid w:val="0024383B"/>
    <w:rsid w:val="002438E5"/>
    <w:rsid w:val="00243DD7"/>
    <w:rsid w:val="00243E33"/>
    <w:rsid w:val="00243F50"/>
    <w:rsid w:val="00244073"/>
    <w:rsid w:val="00244960"/>
    <w:rsid w:val="00244A50"/>
    <w:rsid w:val="0024522D"/>
    <w:rsid w:val="00245865"/>
    <w:rsid w:val="00245C2C"/>
    <w:rsid w:val="00245DB6"/>
    <w:rsid w:val="0024613F"/>
    <w:rsid w:val="00246A9C"/>
    <w:rsid w:val="00246B06"/>
    <w:rsid w:val="0024782B"/>
    <w:rsid w:val="00247D4F"/>
    <w:rsid w:val="00247E88"/>
    <w:rsid w:val="00247FBF"/>
    <w:rsid w:val="0025019D"/>
    <w:rsid w:val="002502CA"/>
    <w:rsid w:val="00250514"/>
    <w:rsid w:val="00250F01"/>
    <w:rsid w:val="0025204D"/>
    <w:rsid w:val="002521CA"/>
    <w:rsid w:val="00252C6E"/>
    <w:rsid w:val="00252E36"/>
    <w:rsid w:val="00253238"/>
    <w:rsid w:val="002533F6"/>
    <w:rsid w:val="00253723"/>
    <w:rsid w:val="002537A4"/>
    <w:rsid w:val="00253EFE"/>
    <w:rsid w:val="00254297"/>
    <w:rsid w:val="002544C4"/>
    <w:rsid w:val="00254999"/>
    <w:rsid w:val="00254E56"/>
    <w:rsid w:val="0025517B"/>
    <w:rsid w:val="002558BB"/>
    <w:rsid w:val="002558DB"/>
    <w:rsid w:val="00255F48"/>
    <w:rsid w:val="00256193"/>
    <w:rsid w:val="00256578"/>
    <w:rsid w:val="0025677F"/>
    <w:rsid w:val="00256CEB"/>
    <w:rsid w:val="00256E05"/>
    <w:rsid w:val="00256E78"/>
    <w:rsid w:val="002574C1"/>
    <w:rsid w:val="00257D3B"/>
    <w:rsid w:val="002601AD"/>
    <w:rsid w:val="00260B57"/>
    <w:rsid w:val="00260E61"/>
    <w:rsid w:val="002615E8"/>
    <w:rsid w:val="002618B5"/>
    <w:rsid w:val="00261987"/>
    <w:rsid w:val="00261C7F"/>
    <w:rsid w:val="00262194"/>
    <w:rsid w:val="00262511"/>
    <w:rsid w:val="002628F9"/>
    <w:rsid w:val="002629B5"/>
    <w:rsid w:val="00262E1C"/>
    <w:rsid w:val="00263238"/>
    <w:rsid w:val="00263621"/>
    <w:rsid w:val="002636D4"/>
    <w:rsid w:val="002639DA"/>
    <w:rsid w:val="0026410D"/>
    <w:rsid w:val="00264948"/>
    <w:rsid w:val="0026525E"/>
    <w:rsid w:val="00265409"/>
    <w:rsid w:val="0026581A"/>
    <w:rsid w:val="00265C25"/>
    <w:rsid w:val="00265F1F"/>
    <w:rsid w:val="00266A55"/>
    <w:rsid w:val="00266E8A"/>
    <w:rsid w:val="002673A7"/>
    <w:rsid w:val="002675F3"/>
    <w:rsid w:val="0027031B"/>
    <w:rsid w:val="002706CA"/>
    <w:rsid w:val="00270C9B"/>
    <w:rsid w:val="0027189C"/>
    <w:rsid w:val="002722B7"/>
    <w:rsid w:val="00272823"/>
    <w:rsid w:val="0027342B"/>
    <w:rsid w:val="002734C3"/>
    <w:rsid w:val="00273628"/>
    <w:rsid w:val="00273800"/>
    <w:rsid w:val="00273AC6"/>
    <w:rsid w:val="00273ADB"/>
    <w:rsid w:val="00273FA6"/>
    <w:rsid w:val="00273FE7"/>
    <w:rsid w:val="002741A1"/>
    <w:rsid w:val="00275659"/>
    <w:rsid w:val="002758F1"/>
    <w:rsid w:val="00275A1A"/>
    <w:rsid w:val="00275E5C"/>
    <w:rsid w:val="00276925"/>
    <w:rsid w:val="00277D50"/>
    <w:rsid w:val="00280143"/>
    <w:rsid w:val="002805C7"/>
    <w:rsid w:val="00280B85"/>
    <w:rsid w:val="00280C28"/>
    <w:rsid w:val="002810D9"/>
    <w:rsid w:val="0028128E"/>
    <w:rsid w:val="002816BD"/>
    <w:rsid w:val="00281C99"/>
    <w:rsid w:val="00281CB3"/>
    <w:rsid w:val="0028272D"/>
    <w:rsid w:val="00282C7C"/>
    <w:rsid w:val="00282D87"/>
    <w:rsid w:val="00283196"/>
    <w:rsid w:val="00283506"/>
    <w:rsid w:val="0028395E"/>
    <w:rsid w:val="002847F8"/>
    <w:rsid w:val="0028490E"/>
    <w:rsid w:val="002855DA"/>
    <w:rsid w:val="00286F2D"/>
    <w:rsid w:val="00286FAF"/>
    <w:rsid w:val="00286FE1"/>
    <w:rsid w:val="00287210"/>
    <w:rsid w:val="00287860"/>
    <w:rsid w:val="00287D6E"/>
    <w:rsid w:val="00287D86"/>
    <w:rsid w:val="00287DD5"/>
    <w:rsid w:val="00287EDC"/>
    <w:rsid w:val="0029046F"/>
    <w:rsid w:val="002904CB"/>
    <w:rsid w:val="0029089D"/>
    <w:rsid w:val="00290D6E"/>
    <w:rsid w:val="002913D7"/>
    <w:rsid w:val="00291A00"/>
    <w:rsid w:val="00291D0B"/>
    <w:rsid w:val="002923B4"/>
    <w:rsid w:val="00292785"/>
    <w:rsid w:val="00292CB3"/>
    <w:rsid w:val="00293825"/>
    <w:rsid w:val="00294233"/>
    <w:rsid w:val="0029608A"/>
    <w:rsid w:val="0029629A"/>
    <w:rsid w:val="002965F0"/>
    <w:rsid w:val="00296ACD"/>
    <w:rsid w:val="00296DC4"/>
    <w:rsid w:val="0029732C"/>
    <w:rsid w:val="002978E5"/>
    <w:rsid w:val="00297BA2"/>
    <w:rsid w:val="00297F84"/>
    <w:rsid w:val="002A032D"/>
    <w:rsid w:val="002A0C64"/>
    <w:rsid w:val="002A1680"/>
    <w:rsid w:val="002A1B0F"/>
    <w:rsid w:val="002A248A"/>
    <w:rsid w:val="002A256D"/>
    <w:rsid w:val="002A276E"/>
    <w:rsid w:val="002A2DF8"/>
    <w:rsid w:val="002A2EA0"/>
    <w:rsid w:val="002A3236"/>
    <w:rsid w:val="002A353B"/>
    <w:rsid w:val="002A3A67"/>
    <w:rsid w:val="002A48F6"/>
    <w:rsid w:val="002A4B4F"/>
    <w:rsid w:val="002A4B68"/>
    <w:rsid w:val="002A4C21"/>
    <w:rsid w:val="002A5170"/>
    <w:rsid w:val="002A5A2F"/>
    <w:rsid w:val="002A5D87"/>
    <w:rsid w:val="002A67BD"/>
    <w:rsid w:val="002A6A78"/>
    <w:rsid w:val="002A7144"/>
    <w:rsid w:val="002A76DC"/>
    <w:rsid w:val="002A7DEC"/>
    <w:rsid w:val="002B0A2D"/>
    <w:rsid w:val="002B0F84"/>
    <w:rsid w:val="002B1167"/>
    <w:rsid w:val="002B13A7"/>
    <w:rsid w:val="002B199E"/>
    <w:rsid w:val="002B1A45"/>
    <w:rsid w:val="002B1B9A"/>
    <w:rsid w:val="002B2197"/>
    <w:rsid w:val="002B21A2"/>
    <w:rsid w:val="002B2937"/>
    <w:rsid w:val="002B2999"/>
    <w:rsid w:val="002B328C"/>
    <w:rsid w:val="002B3408"/>
    <w:rsid w:val="002B35B7"/>
    <w:rsid w:val="002B360E"/>
    <w:rsid w:val="002B3C51"/>
    <w:rsid w:val="002B41AE"/>
    <w:rsid w:val="002B455E"/>
    <w:rsid w:val="002B47A9"/>
    <w:rsid w:val="002B48DD"/>
    <w:rsid w:val="002B5BA0"/>
    <w:rsid w:val="002B638C"/>
    <w:rsid w:val="002B664A"/>
    <w:rsid w:val="002B67B0"/>
    <w:rsid w:val="002B686C"/>
    <w:rsid w:val="002B68DD"/>
    <w:rsid w:val="002B725F"/>
    <w:rsid w:val="002B79CC"/>
    <w:rsid w:val="002C00A7"/>
    <w:rsid w:val="002C0BD2"/>
    <w:rsid w:val="002C1316"/>
    <w:rsid w:val="002C1C64"/>
    <w:rsid w:val="002C22DB"/>
    <w:rsid w:val="002C29D5"/>
    <w:rsid w:val="002C2D81"/>
    <w:rsid w:val="002C2EF9"/>
    <w:rsid w:val="002C2FF9"/>
    <w:rsid w:val="002C3356"/>
    <w:rsid w:val="002C3751"/>
    <w:rsid w:val="002C395A"/>
    <w:rsid w:val="002C39B8"/>
    <w:rsid w:val="002C3AF2"/>
    <w:rsid w:val="002C3D25"/>
    <w:rsid w:val="002C4A8C"/>
    <w:rsid w:val="002C4E52"/>
    <w:rsid w:val="002C5271"/>
    <w:rsid w:val="002C57CB"/>
    <w:rsid w:val="002C5A12"/>
    <w:rsid w:val="002C6675"/>
    <w:rsid w:val="002C66EA"/>
    <w:rsid w:val="002C6E51"/>
    <w:rsid w:val="002C78D8"/>
    <w:rsid w:val="002D0C8E"/>
    <w:rsid w:val="002D0E94"/>
    <w:rsid w:val="002D1092"/>
    <w:rsid w:val="002D10D9"/>
    <w:rsid w:val="002D1415"/>
    <w:rsid w:val="002D17BF"/>
    <w:rsid w:val="002D18B0"/>
    <w:rsid w:val="002D1B98"/>
    <w:rsid w:val="002D1DD4"/>
    <w:rsid w:val="002D2F1D"/>
    <w:rsid w:val="002D3987"/>
    <w:rsid w:val="002D3B9B"/>
    <w:rsid w:val="002D3BF5"/>
    <w:rsid w:val="002D4174"/>
    <w:rsid w:val="002D547F"/>
    <w:rsid w:val="002D5B77"/>
    <w:rsid w:val="002D5BA1"/>
    <w:rsid w:val="002D6022"/>
    <w:rsid w:val="002D6964"/>
    <w:rsid w:val="002D6AA1"/>
    <w:rsid w:val="002D7498"/>
    <w:rsid w:val="002D765C"/>
    <w:rsid w:val="002E01E2"/>
    <w:rsid w:val="002E07EE"/>
    <w:rsid w:val="002E0A04"/>
    <w:rsid w:val="002E0DA2"/>
    <w:rsid w:val="002E1741"/>
    <w:rsid w:val="002E207D"/>
    <w:rsid w:val="002E25D0"/>
    <w:rsid w:val="002E26E1"/>
    <w:rsid w:val="002E28D8"/>
    <w:rsid w:val="002E3455"/>
    <w:rsid w:val="002E3EED"/>
    <w:rsid w:val="002E418E"/>
    <w:rsid w:val="002E45C8"/>
    <w:rsid w:val="002E510D"/>
    <w:rsid w:val="002E578F"/>
    <w:rsid w:val="002E5D0D"/>
    <w:rsid w:val="002E5E7D"/>
    <w:rsid w:val="002E62D6"/>
    <w:rsid w:val="002E62DB"/>
    <w:rsid w:val="002E6B31"/>
    <w:rsid w:val="002E7904"/>
    <w:rsid w:val="002E79A8"/>
    <w:rsid w:val="002E7EF4"/>
    <w:rsid w:val="002F074B"/>
    <w:rsid w:val="002F0823"/>
    <w:rsid w:val="002F128D"/>
    <w:rsid w:val="002F1AB1"/>
    <w:rsid w:val="002F1E99"/>
    <w:rsid w:val="002F21DB"/>
    <w:rsid w:val="002F2A3E"/>
    <w:rsid w:val="002F2D4E"/>
    <w:rsid w:val="002F4A8B"/>
    <w:rsid w:val="002F553E"/>
    <w:rsid w:val="002F5548"/>
    <w:rsid w:val="002F6B1D"/>
    <w:rsid w:val="002F6BE6"/>
    <w:rsid w:val="002F7EEC"/>
    <w:rsid w:val="002F7FD5"/>
    <w:rsid w:val="003003FD"/>
    <w:rsid w:val="0030049A"/>
    <w:rsid w:val="00300697"/>
    <w:rsid w:val="003007DB"/>
    <w:rsid w:val="00300991"/>
    <w:rsid w:val="00300992"/>
    <w:rsid w:val="00300A1E"/>
    <w:rsid w:val="00300AA1"/>
    <w:rsid w:val="00300B89"/>
    <w:rsid w:val="00300D5A"/>
    <w:rsid w:val="00300F62"/>
    <w:rsid w:val="00301276"/>
    <w:rsid w:val="00301725"/>
    <w:rsid w:val="00301B7D"/>
    <w:rsid w:val="00302EFA"/>
    <w:rsid w:val="00303365"/>
    <w:rsid w:val="003038AC"/>
    <w:rsid w:val="00303DF2"/>
    <w:rsid w:val="0030402D"/>
    <w:rsid w:val="003050D7"/>
    <w:rsid w:val="003059AE"/>
    <w:rsid w:val="00305ED2"/>
    <w:rsid w:val="00306030"/>
    <w:rsid w:val="00306767"/>
    <w:rsid w:val="003078A5"/>
    <w:rsid w:val="00307C26"/>
    <w:rsid w:val="003102BB"/>
    <w:rsid w:val="00311571"/>
    <w:rsid w:val="00311646"/>
    <w:rsid w:val="003117A0"/>
    <w:rsid w:val="00311A9A"/>
    <w:rsid w:val="00311B0C"/>
    <w:rsid w:val="00311DDF"/>
    <w:rsid w:val="00312360"/>
    <w:rsid w:val="003125E6"/>
    <w:rsid w:val="003127BA"/>
    <w:rsid w:val="00312C16"/>
    <w:rsid w:val="00312D2B"/>
    <w:rsid w:val="00313166"/>
    <w:rsid w:val="0031325D"/>
    <w:rsid w:val="0031360E"/>
    <w:rsid w:val="0031393A"/>
    <w:rsid w:val="00313C2D"/>
    <w:rsid w:val="00314308"/>
    <w:rsid w:val="0031442A"/>
    <w:rsid w:val="0031447E"/>
    <w:rsid w:val="0031462A"/>
    <w:rsid w:val="003146A3"/>
    <w:rsid w:val="0031472E"/>
    <w:rsid w:val="00315177"/>
    <w:rsid w:val="00315F93"/>
    <w:rsid w:val="00316034"/>
    <w:rsid w:val="0031616A"/>
    <w:rsid w:val="003162DC"/>
    <w:rsid w:val="00316427"/>
    <w:rsid w:val="00316527"/>
    <w:rsid w:val="0031654B"/>
    <w:rsid w:val="00316A7C"/>
    <w:rsid w:val="003178D0"/>
    <w:rsid w:val="00317CA2"/>
    <w:rsid w:val="003201C2"/>
    <w:rsid w:val="003201E9"/>
    <w:rsid w:val="00320362"/>
    <w:rsid w:val="0032058E"/>
    <w:rsid w:val="00320782"/>
    <w:rsid w:val="00320B0B"/>
    <w:rsid w:val="00320E5D"/>
    <w:rsid w:val="003211BD"/>
    <w:rsid w:val="00321240"/>
    <w:rsid w:val="00321914"/>
    <w:rsid w:val="00322485"/>
    <w:rsid w:val="00322AD4"/>
    <w:rsid w:val="00322F1D"/>
    <w:rsid w:val="00322FDC"/>
    <w:rsid w:val="003238E6"/>
    <w:rsid w:val="00323A42"/>
    <w:rsid w:val="00323C29"/>
    <w:rsid w:val="0032408E"/>
    <w:rsid w:val="00324333"/>
    <w:rsid w:val="00324A2C"/>
    <w:rsid w:val="00324D15"/>
    <w:rsid w:val="00324D3E"/>
    <w:rsid w:val="00324E52"/>
    <w:rsid w:val="003257DB"/>
    <w:rsid w:val="00325A7D"/>
    <w:rsid w:val="00325E78"/>
    <w:rsid w:val="00326486"/>
    <w:rsid w:val="00326F1D"/>
    <w:rsid w:val="003271F4"/>
    <w:rsid w:val="00327B49"/>
    <w:rsid w:val="00327BE1"/>
    <w:rsid w:val="00330137"/>
    <w:rsid w:val="0033044E"/>
    <w:rsid w:val="00330C91"/>
    <w:rsid w:val="003312E6"/>
    <w:rsid w:val="003316CE"/>
    <w:rsid w:val="00331FA8"/>
    <w:rsid w:val="003328E7"/>
    <w:rsid w:val="00332CF1"/>
    <w:rsid w:val="00332FF6"/>
    <w:rsid w:val="00333748"/>
    <w:rsid w:val="00333BEF"/>
    <w:rsid w:val="00333D04"/>
    <w:rsid w:val="00333F09"/>
    <w:rsid w:val="00335247"/>
    <w:rsid w:val="00335692"/>
    <w:rsid w:val="0033578B"/>
    <w:rsid w:val="0033675C"/>
    <w:rsid w:val="003368D3"/>
    <w:rsid w:val="00336F1C"/>
    <w:rsid w:val="00337569"/>
    <w:rsid w:val="003375D3"/>
    <w:rsid w:val="003375E3"/>
    <w:rsid w:val="00337CD0"/>
    <w:rsid w:val="00340538"/>
    <w:rsid w:val="00340719"/>
    <w:rsid w:val="00340F3F"/>
    <w:rsid w:val="003410ED"/>
    <w:rsid w:val="003414F2"/>
    <w:rsid w:val="00341B33"/>
    <w:rsid w:val="00341ED8"/>
    <w:rsid w:val="00341F62"/>
    <w:rsid w:val="00342916"/>
    <w:rsid w:val="00342F82"/>
    <w:rsid w:val="00343900"/>
    <w:rsid w:val="00344669"/>
    <w:rsid w:val="003448EB"/>
    <w:rsid w:val="00344A5E"/>
    <w:rsid w:val="003455EC"/>
    <w:rsid w:val="003456BB"/>
    <w:rsid w:val="00345B04"/>
    <w:rsid w:val="00345FFC"/>
    <w:rsid w:val="00346750"/>
    <w:rsid w:val="00346810"/>
    <w:rsid w:val="0034726D"/>
    <w:rsid w:val="003477E5"/>
    <w:rsid w:val="00347CEA"/>
    <w:rsid w:val="0035091F"/>
    <w:rsid w:val="00350DD5"/>
    <w:rsid w:val="00350F00"/>
    <w:rsid w:val="003517AF"/>
    <w:rsid w:val="003518A6"/>
    <w:rsid w:val="00352221"/>
    <w:rsid w:val="003529C7"/>
    <w:rsid w:val="00352CE3"/>
    <w:rsid w:val="00353139"/>
    <w:rsid w:val="003534E8"/>
    <w:rsid w:val="003535B9"/>
    <w:rsid w:val="00353AC3"/>
    <w:rsid w:val="00354170"/>
    <w:rsid w:val="003543A6"/>
    <w:rsid w:val="00354CCC"/>
    <w:rsid w:val="00354E9E"/>
    <w:rsid w:val="00355405"/>
    <w:rsid w:val="00355E26"/>
    <w:rsid w:val="00355ED4"/>
    <w:rsid w:val="003562C4"/>
    <w:rsid w:val="00356713"/>
    <w:rsid w:val="00356DD5"/>
    <w:rsid w:val="00356E3E"/>
    <w:rsid w:val="0035707C"/>
    <w:rsid w:val="00357BAD"/>
    <w:rsid w:val="0036065A"/>
    <w:rsid w:val="00361672"/>
    <w:rsid w:val="00361AD6"/>
    <w:rsid w:val="00362D6C"/>
    <w:rsid w:val="003632B1"/>
    <w:rsid w:val="00363608"/>
    <w:rsid w:val="003637BA"/>
    <w:rsid w:val="00363BD6"/>
    <w:rsid w:val="003641F6"/>
    <w:rsid w:val="00364926"/>
    <w:rsid w:val="0036537B"/>
    <w:rsid w:val="00365791"/>
    <w:rsid w:val="003658D9"/>
    <w:rsid w:val="00365A44"/>
    <w:rsid w:val="00365C89"/>
    <w:rsid w:val="00365F11"/>
    <w:rsid w:val="00366064"/>
    <w:rsid w:val="0036620D"/>
    <w:rsid w:val="003663D3"/>
    <w:rsid w:val="0036782F"/>
    <w:rsid w:val="003679A5"/>
    <w:rsid w:val="00367DB2"/>
    <w:rsid w:val="00370303"/>
    <w:rsid w:val="00370577"/>
    <w:rsid w:val="00370974"/>
    <w:rsid w:val="003709C2"/>
    <w:rsid w:val="00370CBE"/>
    <w:rsid w:val="00370CE4"/>
    <w:rsid w:val="00370EED"/>
    <w:rsid w:val="003710AB"/>
    <w:rsid w:val="00371585"/>
    <w:rsid w:val="0037211D"/>
    <w:rsid w:val="00372346"/>
    <w:rsid w:val="00372462"/>
    <w:rsid w:val="00373529"/>
    <w:rsid w:val="0037357F"/>
    <w:rsid w:val="00373BC0"/>
    <w:rsid w:val="003742EA"/>
    <w:rsid w:val="003744A4"/>
    <w:rsid w:val="003751C7"/>
    <w:rsid w:val="00376379"/>
    <w:rsid w:val="00376572"/>
    <w:rsid w:val="00376EF9"/>
    <w:rsid w:val="0037782F"/>
    <w:rsid w:val="00377978"/>
    <w:rsid w:val="00377D01"/>
    <w:rsid w:val="00377F56"/>
    <w:rsid w:val="00380A00"/>
    <w:rsid w:val="00380B5D"/>
    <w:rsid w:val="00381EEC"/>
    <w:rsid w:val="003822CB"/>
    <w:rsid w:val="00382325"/>
    <w:rsid w:val="003829B4"/>
    <w:rsid w:val="00382BEB"/>
    <w:rsid w:val="00382F9A"/>
    <w:rsid w:val="003831C1"/>
    <w:rsid w:val="00383392"/>
    <w:rsid w:val="0038372C"/>
    <w:rsid w:val="00383953"/>
    <w:rsid w:val="00384245"/>
    <w:rsid w:val="0038476E"/>
    <w:rsid w:val="003849AD"/>
    <w:rsid w:val="00386B0C"/>
    <w:rsid w:val="00386CDA"/>
    <w:rsid w:val="0038769C"/>
    <w:rsid w:val="0038775E"/>
    <w:rsid w:val="00387AB7"/>
    <w:rsid w:val="00387FAF"/>
    <w:rsid w:val="00387FEF"/>
    <w:rsid w:val="0039084E"/>
    <w:rsid w:val="003908F1"/>
    <w:rsid w:val="00391520"/>
    <w:rsid w:val="00393092"/>
    <w:rsid w:val="003941D7"/>
    <w:rsid w:val="00394473"/>
    <w:rsid w:val="0039457B"/>
    <w:rsid w:val="003945B9"/>
    <w:rsid w:val="00394792"/>
    <w:rsid w:val="00394EE4"/>
    <w:rsid w:val="00395EEF"/>
    <w:rsid w:val="00396339"/>
    <w:rsid w:val="0039717E"/>
    <w:rsid w:val="003972FC"/>
    <w:rsid w:val="00397ED5"/>
    <w:rsid w:val="003A08B4"/>
    <w:rsid w:val="003A097F"/>
    <w:rsid w:val="003A12BC"/>
    <w:rsid w:val="003A12BF"/>
    <w:rsid w:val="003A13A9"/>
    <w:rsid w:val="003A1B91"/>
    <w:rsid w:val="003A1DDF"/>
    <w:rsid w:val="003A20E3"/>
    <w:rsid w:val="003A3454"/>
    <w:rsid w:val="003A349D"/>
    <w:rsid w:val="003A369A"/>
    <w:rsid w:val="003A3866"/>
    <w:rsid w:val="003A3EA2"/>
    <w:rsid w:val="003A4B25"/>
    <w:rsid w:val="003A4DBF"/>
    <w:rsid w:val="003A5181"/>
    <w:rsid w:val="003A5564"/>
    <w:rsid w:val="003A5619"/>
    <w:rsid w:val="003A6AFB"/>
    <w:rsid w:val="003A6EC3"/>
    <w:rsid w:val="003A6F1A"/>
    <w:rsid w:val="003A763C"/>
    <w:rsid w:val="003B1393"/>
    <w:rsid w:val="003B14F0"/>
    <w:rsid w:val="003B1977"/>
    <w:rsid w:val="003B1A92"/>
    <w:rsid w:val="003B23C5"/>
    <w:rsid w:val="003B25FD"/>
    <w:rsid w:val="003B2703"/>
    <w:rsid w:val="003B3744"/>
    <w:rsid w:val="003B47D8"/>
    <w:rsid w:val="003B4997"/>
    <w:rsid w:val="003B4ABB"/>
    <w:rsid w:val="003B5001"/>
    <w:rsid w:val="003B5671"/>
    <w:rsid w:val="003B56D2"/>
    <w:rsid w:val="003B5745"/>
    <w:rsid w:val="003B594A"/>
    <w:rsid w:val="003B5C0D"/>
    <w:rsid w:val="003B5F30"/>
    <w:rsid w:val="003B66E1"/>
    <w:rsid w:val="003B6E3C"/>
    <w:rsid w:val="003B7849"/>
    <w:rsid w:val="003B795B"/>
    <w:rsid w:val="003C09ED"/>
    <w:rsid w:val="003C0A70"/>
    <w:rsid w:val="003C0A77"/>
    <w:rsid w:val="003C1B7E"/>
    <w:rsid w:val="003C2012"/>
    <w:rsid w:val="003C2388"/>
    <w:rsid w:val="003C2966"/>
    <w:rsid w:val="003C297E"/>
    <w:rsid w:val="003C3172"/>
    <w:rsid w:val="003C342A"/>
    <w:rsid w:val="003C38E8"/>
    <w:rsid w:val="003C3D6D"/>
    <w:rsid w:val="003C3E87"/>
    <w:rsid w:val="003C43B4"/>
    <w:rsid w:val="003C4557"/>
    <w:rsid w:val="003C4B81"/>
    <w:rsid w:val="003C4DF8"/>
    <w:rsid w:val="003C54BB"/>
    <w:rsid w:val="003C586B"/>
    <w:rsid w:val="003C5C98"/>
    <w:rsid w:val="003C6CF3"/>
    <w:rsid w:val="003C6DA6"/>
    <w:rsid w:val="003C6EB1"/>
    <w:rsid w:val="003C7560"/>
    <w:rsid w:val="003C7667"/>
    <w:rsid w:val="003C7AD6"/>
    <w:rsid w:val="003D0476"/>
    <w:rsid w:val="003D07B1"/>
    <w:rsid w:val="003D0BF0"/>
    <w:rsid w:val="003D0EDD"/>
    <w:rsid w:val="003D0F53"/>
    <w:rsid w:val="003D10AC"/>
    <w:rsid w:val="003D1315"/>
    <w:rsid w:val="003D1865"/>
    <w:rsid w:val="003D24EE"/>
    <w:rsid w:val="003D266F"/>
    <w:rsid w:val="003D2715"/>
    <w:rsid w:val="003D2EF1"/>
    <w:rsid w:val="003D33DD"/>
    <w:rsid w:val="003D370E"/>
    <w:rsid w:val="003D3ACD"/>
    <w:rsid w:val="003D3E5D"/>
    <w:rsid w:val="003D463A"/>
    <w:rsid w:val="003D4984"/>
    <w:rsid w:val="003D4B8A"/>
    <w:rsid w:val="003D5BFB"/>
    <w:rsid w:val="003D5C1D"/>
    <w:rsid w:val="003D61E9"/>
    <w:rsid w:val="003D6734"/>
    <w:rsid w:val="003D6858"/>
    <w:rsid w:val="003D6FE1"/>
    <w:rsid w:val="003D7180"/>
    <w:rsid w:val="003D7A3D"/>
    <w:rsid w:val="003E01B5"/>
    <w:rsid w:val="003E0331"/>
    <w:rsid w:val="003E09D6"/>
    <w:rsid w:val="003E19CA"/>
    <w:rsid w:val="003E1B5D"/>
    <w:rsid w:val="003E1D0A"/>
    <w:rsid w:val="003E203E"/>
    <w:rsid w:val="003E20D5"/>
    <w:rsid w:val="003E4016"/>
    <w:rsid w:val="003E403F"/>
    <w:rsid w:val="003E5623"/>
    <w:rsid w:val="003E58B5"/>
    <w:rsid w:val="003E5F3E"/>
    <w:rsid w:val="003E6264"/>
    <w:rsid w:val="003E6604"/>
    <w:rsid w:val="003E688B"/>
    <w:rsid w:val="003E6DB9"/>
    <w:rsid w:val="003E7734"/>
    <w:rsid w:val="003E77E8"/>
    <w:rsid w:val="003E7E96"/>
    <w:rsid w:val="003F06F2"/>
    <w:rsid w:val="003F0963"/>
    <w:rsid w:val="003F0A99"/>
    <w:rsid w:val="003F0D68"/>
    <w:rsid w:val="003F0EC9"/>
    <w:rsid w:val="003F0F2A"/>
    <w:rsid w:val="003F1BE0"/>
    <w:rsid w:val="003F22AF"/>
    <w:rsid w:val="003F2910"/>
    <w:rsid w:val="003F37E0"/>
    <w:rsid w:val="003F4F07"/>
    <w:rsid w:val="003F6A5E"/>
    <w:rsid w:val="003F78C8"/>
    <w:rsid w:val="004001AA"/>
    <w:rsid w:val="0040096D"/>
    <w:rsid w:val="00401159"/>
    <w:rsid w:val="00401634"/>
    <w:rsid w:val="00401706"/>
    <w:rsid w:val="00401941"/>
    <w:rsid w:val="00402585"/>
    <w:rsid w:val="004027B7"/>
    <w:rsid w:val="004027D8"/>
    <w:rsid w:val="0040318A"/>
    <w:rsid w:val="0040325B"/>
    <w:rsid w:val="004036D8"/>
    <w:rsid w:val="00403B58"/>
    <w:rsid w:val="00404312"/>
    <w:rsid w:val="00404C33"/>
    <w:rsid w:val="004055A8"/>
    <w:rsid w:val="0040575F"/>
    <w:rsid w:val="00406199"/>
    <w:rsid w:val="00406C2C"/>
    <w:rsid w:val="00407051"/>
    <w:rsid w:val="00407243"/>
    <w:rsid w:val="00407473"/>
    <w:rsid w:val="004078CB"/>
    <w:rsid w:val="00407EFD"/>
    <w:rsid w:val="004103C2"/>
    <w:rsid w:val="00410434"/>
    <w:rsid w:val="004104BB"/>
    <w:rsid w:val="004111B5"/>
    <w:rsid w:val="00411337"/>
    <w:rsid w:val="00411931"/>
    <w:rsid w:val="004120DA"/>
    <w:rsid w:val="0041239A"/>
    <w:rsid w:val="0041261E"/>
    <w:rsid w:val="00412630"/>
    <w:rsid w:val="00412A42"/>
    <w:rsid w:val="00412ADD"/>
    <w:rsid w:val="00412D59"/>
    <w:rsid w:val="004135AB"/>
    <w:rsid w:val="00413AB3"/>
    <w:rsid w:val="00413BFF"/>
    <w:rsid w:val="004144B9"/>
    <w:rsid w:val="0041482B"/>
    <w:rsid w:val="00414B85"/>
    <w:rsid w:val="00415140"/>
    <w:rsid w:val="00415821"/>
    <w:rsid w:val="00415A13"/>
    <w:rsid w:val="00416030"/>
    <w:rsid w:val="004160D3"/>
    <w:rsid w:val="00416139"/>
    <w:rsid w:val="00416384"/>
    <w:rsid w:val="004165E4"/>
    <w:rsid w:val="00416660"/>
    <w:rsid w:val="00416D9D"/>
    <w:rsid w:val="00417258"/>
    <w:rsid w:val="00417604"/>
    <w:rsid w:val="00417802"/>
    <w:rsid w:val="00417A57"/>
    <w:rsid w:val="00417DED"/>
    <w:rsid w:val="00420B3E"/>
    <w:rsid w:val="00421349"/>
    <w:rsid w:val="00421744"/>
    <w:rsid w:val="00421EA3"/>
    <w:rsid w:val="00422B15"/>
    <w:rsid w:val="00422C8B"/>
    <w:rsid w:val="004231B4"/>
    <w:rsid w:val="0042334F"/>
    <w:rsid w:val="00423406"/>
    <w:rsid w:val="004234F4"/>
    <w:rsid w:val="00424A6F"/>
    <w:rsid w:val="0042505D"/>
    <w:rsid w:val="0042523C"/>
    <w:rsid w:val="0042575D"/>
    <w:rsid w:val="00425AA5"/>
    <w:rsid w:val="00425CAE"/>
    <w:rsid w:val="00426163"/>
    <w:rsid w:val="00426C4E"/>
    <w:rsid w:val="00426E5C"/>
    <w:rsid w:val="00426F62"/>
    <w:rsid w:val="0042706F"/>
    <w:rsid w:val="004277B1"/>
    <w:rsid w:val="004277E6"/>
    <w:rsid w:val="004278B8"/>
    <w:rsid w:val="00430164"/>
    <w:rsid w:val="00430394"/>
    <w:rsid w:val="004304B8"/>
    <w:rsid w:val="00430977"/>
    <w:rsid w:val="00430A51"/>
    <w:rsid w:val="00430C06"/>
    <w:rsid w:val="004311B4"/>
    <w:rsid w:val="004313D0"/>
    <w:rsid w:val="0043190B"/>
    <w:rsid w:val="00431D9B"/>
    <w:rsid w:val="0043211F"/>
    <w:rsid w:val="0043262D"/>
    <w:rsid w:val="00432C77"/>
    <w:rsid w:val="0043319D"/>
    <w:rsid w:val="00433210"/>
    <w:rsid w:val="00433A2F"/>
    <w:rsid w:val="00433AFC"/>
    <w:rsid w:val="00433C5E"/>
    <w:rsid w:val="004346FC"/>
    <w:rsid w:val="00434843"/>
    <w:rsid w:val="004348FA"/>
    <w:rsid w:val="00435BA5"/>
    <w:rsid w:val="00436054"/>
    <w:rsid w:val="0043623F"/>
    <w:rsid w:val="004369A7"/>
    <w:rsid w:val="00436D65"/>
    <w:rsid w:val="004373D7"/>
    <w:rsid w:val="00437A0E"/>
    <w:rsid w:val="00440151"/>
    <w:rsid w:val="004403A0"/>
    <w:rsid w:val="00440686"/>
    <w:rsid w:val="00440D19"/>
    <w:rsid w:val="004412BC"/>
    <w:rsid w:val="004412C1"/>
    <w:rsid w:val="004415E9"/>
    <w:rsid w:val="00441D4F"/>
    <w:rsid w:val="00441EDE"/>
    <w:rsid w:val="00442328"/>
    <w:rsid w:val="00442543"/>
    <w:rsid w:val="00442734"/>
    <w:rsid w:val="00442771"/>
    <w:rsid w:val="004427E3"/>
    <w:rsid w:val="00442A8C"/>
    <w:rsid w:val="00442BAD"/>
    <w:rsid w:val="00442ECD"/>
    <w:rsid w:val="00443416"/>
    <w:rsid w:val="00443BB7"/>
    <w:rsid w:val="00443C17"/>
    <w:rsid w:val="004441AC"/>
    <w:rsid w:val="00444A0F"/>
    <w:rsid w:val="00444F89"/>
    <w:rsid w:val="00445027"/>
    <w:rsid w:val="00445446"/>
    <w:rsid w:val="0044553D"/>
    <w:rsid w:val="004457E3"/>
    <w:rsid w:val="00445D99"/>
    <w:rsid w:val="00446510"/>
    <w:rsid w:val="0044670C"/>
    <w:rsid w:val="00446B0D"/>
    <w:rsid w:val="00446D38"/>
    <w:rsid w:val="00447053"/>
    <w:rsid w:val="004471FD"/>
    <w:rsid w:val="00447A6A"/>
    <w:rsid w:val="00447DC5"/>
    <w:rsid w:val="00447E66"/>
    <w:rsid w:val="004502EA"/>
    <w:rsid w:val="00450513"/>
    <w:rsid w:val="004506C4"/>
    <w:rsid w:val="00450B46"/>
    <w:rsid w:val="00450BE9"/>
    <w:rsid w:val="004510A0"/>
    <w:rsid w:val="00452238"/>
    <w:rsid w:val="00452605"/>
    <w:rsid w:val="00452B7F"/>
    <w:rsid w:val="00452EFA"/>
    <w:rsid w:val="0045416C"/>
    <w:rsid w:val="004541A4"/>
    <w:rsid w:val="004548CD"/>
    <w:rsid w:val="004548EF"/>
    <w:rsid w:val="00454EFF"/>
    <w:rsid w:val="00454F7A"/>
    <w:rsid w:val="00456267"/>
    <w:rsid w:val="004564CF"/>
    <w:rsid w:val="0045737D"/>
    <w:rsid w:val="00457388"/>
    <w:rsid w:val="00457512"/>
    <w:rsid w:val="004577DC"/>
    <w:rsid w:val="004579D3"/>
    <w:rsid w:val="004605C3"/>
    <w:rsid w:val="00460BB9"/>
    <w:rsid w:val="0046101C"/>
    <w:rsid w:val="004611FC"/>
    <w:rsid w:val="00461411"/>
    <w:rsid w:val="0046168B"/>
    <w:rsid w:val="00461A97"/>
    <w:rsid w:val="00462344"/>
    <w:rsid w:val="00462BF2"/>
    <w:rsid w:val="00462C15"/>
    <w:rsid w:val="00462C7B"/>
    <w:rsid w:val="00462FA4"/>
    <w:rsid w:val="0046315E"/>
    <w:rsid w:val="0046320F"/>
    <w:rsid w:val="0046327A"/>
    <w:rsid w:val="0046329C"/>
    <w:rsid w:val="0046349F"/>
    <w:rsid w:val="00463675"/>
    <w:rsid w:val="0046368C"/>
    <w:rsid w:val="00463F48"/>
    <w:rsid w:val="004641F6"/>
    <w:rsid w:val="00464225"/>
    <w:rsid w:val="004645E5"/>
    <w:rsid w:val="004650B4"/>
    <w:rsid w:val="00465D84"/>
    <w:rsid w:val="00465EDA"/>
    <w:rsid w:val="004660A4"/>
    <w:rsid w:val="004667A0"/>
    <w:rsid w:val="00466805"/>
    <w:rsid w:val="00466B06"/>
    <w:rsid w:val="00467544"/>
    <w:rsid w:val="004679CF"/>
    <w:rsid w:val="004705FB"/>
    <w:rsid w:val="00470DCB"/>
    <w:rsid w:val="00471163"/>
    <w:rsid w:val="004713F8"/>
    <w:rsid w:val="00471577"/>
    <w:rsid w:val="004730AE"/>
    <w:rsid w:val="00473391"/>
    <w:rsid w:val="00473543"/>
    <w:rsid w:val="00474046"/>
    <w:rsid w:val="004741EA"/>
    <w:rsid w:val="0047460B"/>
    <w:rsid w:val="00474750"/>
    <w:rsid w:val="00474795"/>
    <w:rsid w:val="00474E19"/>
    <w:rsid w:val="0047568A"/>
    <w:rsid w:val="0047617A"/>
    <w:rsid w:val="004768C1"/>
    <w:rsid w:val="00476A0D"/>
    <w:rsid w:val="00476EA4"/>
    <w:rsid w:val="00477F13"/>
    <w:rsid w:val="00480844"/>
    <w:rsid w:val="00480B0D"/>
    <w:rsid w:val="00480CDE"/>
    <w:rsid w:val="00481712"/>
    <w:rsid w:val="00481B32"/>
    <w:rsid w:val="00482154"/>
    <w:rsid w:val="00482DCE"/>
    <w:rsid w:val="00483316"/>
    <w:rsid w:val="0048363B"/>
    <w:rsid w:val="00484871"/>
    <w:rsid w:val="004849DC"/>
    <w:rsid w:val="00486F34"/>
    <w:rsid w:val="00487BB5"/>
    <w:rsid w:val="00487DA5"/>
    <w:rsid w:val="004903B1"/>
    <w:rsid w:val="004904FD"/>
    <w:rsid w:val="00490695"/>
    <w:rsid w:val="0049094E"/>
    <w:rsid w:val="00490A88"/>
    <w:rsid w:val="00490F6F"/>
    <w:rsid w:val="00490FA8"/>
    <w:rsid w:val="004915AB"/>
    <w:rsid w:val="0049165F"/>
    <w:rsid w:val="00491BEC"/>
    <w:rsid w:val="00491CD7"/>
    <w:rsid w:val="004924E2"/>
    <w:rsid w:val="00492A7A"/>
    <w:rsid w:val="00492BCE"/>
    <w:rsid w:val="00492E4D"/>
    <w:rsid w:val="004935CE"/>
    <w:rsid w:val="00493695"/>
    <w:rsid w:val="004939BE"/>
    <w:rsid w:val="00493ED2"/>
    <w:rsid w:val="0049417D"/>
    <w:rsid w:val="004946A9"/>
    <w:rsid w:val="00494879"/>
    <w:rsid w:val="00494A8D"/>
    <w:rsid w:val="00494EF5"/>
    <w:rsid w:val="004950F2"/>
    <w:rsid w:val="00495B61"/>
    <w:rsid w:val="00495DEF"/>
    <w:rsid w:val="00495EB2"/>
    <w:rsid w:val="0049610F"/>
    <w:rsid w:val="00496122"/>
    <w:rsid w:val="0049643F"/>
    <w:rsid w:val="00496538"/>
    <w:rsid w:val="00497098"/>
    <w:rsid w:val="0049779C"/>
    <w:rsid w:val="004979EF"/>
    <w:rsid w:val="004A0177"/>
    <w:rsid w:val="004A042E"/>
    <w:rsid w:val="004A0DD6"/>
    <w:rsid w:val="004A119E"/>
    <w:rsid w:val="004A14E5"/>
    <w:rsid w:val="004A163A"/>
    <w:rsid w:val="004A1643"/>
    <w:rsid w:val="004A188D"/>
    <w:rsid w:val="004A207D"/>
    <w:rsid w:val="004A3492"/>
    <w:rsid w:val="004A3610"/>
    <w:rsid w:val="004A3681"/>
    <w:rsid w:val="004A3D01"/>
    <w:rsid w:val="004A3ECE"/>
    <w:rsid w:val="004A3F6E"/>
    <w:rsid w:val="004A44E5"/>
    <w:rsid w:val="004A481D"/>
    <w:rsid w:val="004A5983"/>
    <w:rsid w:val="004A5A36"/>
    <w:rsid w:val="004A5CD9"/>
    <w:rsid w:val="004A5F11"/>
    <w:rsid w:val="004A5FDB"/>
    <w:rsid w:val="004A675E"/>
    <w:rsid w:val="004A717C"/>
    <w:rsid w:val="004B00E2"/>
    <w:rsid w:val="004B0528"/>
    <w:rsid w:val="004B060C"/>
    <w:rsid w:val="004B0F3B"/>
    <w:rsid w:val="004B0FB2"/>
    <w:rsid w:val="004B1906"/>
    <w:rsid w:val="004B1ED9"/>
    <w:rsid w:val="004B2568"/>
    <w:rsid w:val="004B2777"/>
    <w:rsid w:val="004B2C8A"/>
    <w:rsid w:val="004B2EE8"/>
    <w:rsid w:val="004B32A8"/>
    <w:rsid w:val="004B3B4B"/>
    <w:rsid w:val="004B458F"/>
    <w:rsid w:val="004B53FF"/>
    <w:rsid w:val="004B5DD4"/>
    <w:rsid w:val="004B5F6D"/>
    <w:rsid w:val="004B629B"/>
    <w:rsid w:val="004B647E"/>
    <w:rsid w:val="004B6826"/>
    <w:rsid w:val="004C054E"/>
    <w:rsid w:val="004C07A6"/>
    <w:rsid w:val="004C104C"/>
    <w:rsid w:val="004C1534"/>
    <w:rsid w:val="004C191B"/>
    <w:rsid w:val="004C1AD7"/>
    <w:rsid w:val="004C1E66"/>
    <w:rsid w:val="004C3A0E"/>
    <w:rsid w:val="004C3B6D"/>
    <w:rsid w:val="004C3BA0"/>
    <w:rsid w:val="004C3C53"/>
    <w:rsid w:val="004C3D41"/>
    <w:rsid w:val="004C42A0"/>
    <w:rsid w:val="004C44B1"/>
    <w:rsid w:val="004C4FAF"/>
    <w:rsid w:val="004C508D"/>
    <w:rsid w:val="004C5456"/>
    <w:rsid w:val="004C6730"/>
    <w:rsid w:val="004C77EA"/>
    <w:rsid w:val="004C7D41"/>
    <w:rsid w:val="004D02E1"/>
    <w:rsid w:val="004D070F"/>
    <w:rsid w:val="004D0870"/>
    <w:rsid w:val="004D22A9"/>
    <w:rsid w:val="004D24FA"/>
    <w:rsid w:val="004D25F5"/>
    <w:rsid w:val="004D262F"/>
    <w:rsid w:val="004D2900"/>
    <w:rsid w:val="004D2ACF"/>
    <w:rsid w:val="004D2F78"/>
    <w:rsid w:val="004D355A"/>
    <w:rsid w:val="004D3A7E"/>
    <w:rsid w:val="004D3B6A"/>
    <w:rsid w:val="004D3CF8"/>
    <w:rsid w:val="004D41BD"/>
    <w:rsid w:val="004D46A5"/>
    <w:rsid w:val="004D4EAE"/>
    <w:rsid w:val="004D5D6E"/>
    <w:rsid w:val="004D60BB"/>
    <w:rsid w:val="004D66C4"/>
    <w:rsid w:val="004D682B"/>
    <w:rsid w:val="004D690D"/>
    <w:rsid w:val="004D6A24"/>
    <w:rsid w:val="004D6F55"/>
    <w:rsid w:val="004D72C8"/>
    <w:rsid w:val="004D777C"/>
    <w:rsid w:val="004D7D88"/>
    <w:rsid w:val="004E0127"/>
    <w:rsid w:val="004E0D62"/>
    <w:rsid w:val="004E0EE0"/>
    <w:rsid w:val="004E127F"/>
    <w:rsid w:val="004E229C"/>
    <w:rsid w:val="004E2498"/>
    <w:rsid w:val="004E2E13"/>
    <w:rsid w:val="004E2F2C"/>
    <w:rsid w:val="004E306C"/>
    <w:rsid w:val="004E3DD0"/>
    <w:rsid w:val="004E40CC"/>
    <w:rsid w:val="004E4822"/>
    <w:rsid w:val="004E4FF5"/>
    <w:rsid w:val="004E50B0"/>
    <w:rsid w:val="004E5412"/>
    <w:rsid w:val="004E5BEE"/>
    <w:rsid w:val="004E63FB"/>
    <w:rsid w:val="004E6539"/>
    <w:rsid w:val="004E7874"/>
    <w:rsid w:val="004E7917"/>
    <w:rsid w:val="004E7A84"/>
    <w:rsid w:val="004E7CB5"/>
    <w:rsid w:val="004E7DA4"/>
    <w:rsid w:val="004F0D8A"/>
    <w:rsid w:val="004F13EF"/>
    <w:rsid w:val="004F19B1"/>
    <w:rsid w:val="004F1F62"/>
    <w:rsid w:val="004F218A"/>
    <w:rsid w:val="004F249B"/>
    <w:rsid w:val="004F2968"/>
    <w:rsid w:val="004F2C69"/>
    <w:rsid w:val="004F2E77"/>
    <w:rsid w:val="004F39CB"/>
    <w:rsid w:val="004F3D80"/>
    <w:rsid w:val="004F3DEB"/>
    <w:rsid w:val="004F3FFF"/>
    <w:rsid w:val="004F49DD"/>
    <w:rsid w:val="004F5BF4"/>
    <w:rsid w:val="004F5C56"/>
    <w:rsid w:val="004F5E59"/>
    <w:rsid w:val="004F6081"/>
    <w:rsid w:val="004F613E"/>
    <w:rsid w:val="004F631C"/>
    <w:rsid w:val="004F686C"/>
    <w:rsid w:val="004F6965"/>
    <w:rsid w:val="004F6A0F"/>
    <w:rsid w:val="004F74D2"/>
    <w:rsid w:val="004F7BE4"/>
    <w:rsid w:val="005002D1"/>
    <w:rsid w:val="0050079B"/>
    <w:rsid w:val="00500851"/>
    <w:rsid w:val="005035B5"/>
    <w:rsid w:val="00504382"/>
    <w:rsid w:val="005045E5"/>
    <w:rsid w:val="00505161"/>
    <w:rsid w:val="00505891"/>
    <w:rsid w:val="00505A61"/>
    <w:rsid w:val="00505C7C"/>
    <w:rsid w:val="00505F11"/>
    <w:rsid w:val="005060E5"/>
    <w:rsid w:val="00506E86"/>
    <w:rsid w:val="00507175"/>
    <w:rsid w:val="0050742C"/>
    <w:rsid w:val="00507D9B"/>
    <w:rsid w:val="005109FC"/>
    <w:rsid w:val="00511032"/>
    <w:rsid w:val="005110D8"/>
    <w:rsid w:val="0051153E"/>
    <w:rsid w:val="00511591"/>
    <w:rsid w:val="00511641"/>
    <w:rsid w:val="0051183C"/>
    <w:rsid w:val="00511840"/>
    <w:rsid w:val="0051338E"/>
    <w:rsid w:val="00513A17"/>
    <w:rsid w:val="00513F3A"/>
    <w:rsid w:val="00513FF2"/>
    <w:rsid w:val="00514B06"/>
    <w:rsid w:val="00515366"/>
    <w:rsid w:val="0051562F"/>
    <w:rsid w:val="0051593F"/>
    <w:rsid w:val="00516254"/>
    <w:rsid w:val="0051634F"/>
    <w:rsid w:val="00516785"/>
    <w:rsid w:val="00516786"/>
    <w:rsid w:val="00516F41"/>
    <w:rsid w:val="005170B2"/>
    <w:rsid w:val="005170D0"/>
    <w:rsid w:val="00517178"/>
    <w:rsid w:val="005179DC"/>
    <w:rsid w:val="00517BF7"/>
    <w:rsid w:val="00517EA8"/>
    <w:rsid w:val="005207B6"/>
    <w:rsid w:val="00520D15"/>
    <w:rsid w:val="00520F38"/>
    <w:rsid w:val="00520F6C"/>
    <w:rsid w:val="00521900"/>
    <w:rsid w:val="005219E8"/>
    <w:rsid w:val="005233F7"/>
    <w:rsid w:val="00523EC3"/>
    <w:rsid w:val="0052414F"/>
    <w:rsid w:val="00524420"/>
    <w:rsid w:val="005254BF"/>
    <w:rsid w:val="005258A8"/>
    <w:rsid w:val="0052601A"/>
    <w:rsid w:val="00526838"/>
    <w:rsid w:val="00526A1F"/>
    <w:rsid w:val="00526D99"/>
    <w:rsid w:val="00526E40"/>
    <w:rsid w:val="00526EB8"/>
    <w:rsid w:val="005275DE"/>
    <w:rsid w:val="00527E84"/>
    <w:rsid w:val="005314F1"/>
    <w:rsid w:val="0053156E"/>
    <w:rsid w:val="00531AB8"/>
    <w:rsid w:val="0053206B"/>
    <w:rsid w:val="0053221C"/>
    <w:rsid w:val="00532408"/>
    <w:rsid w:val="00532428"/>
    <w:rsid w:val="0053279C"/>
    <w:rsid w:val="00532FFA"/>
    <w:rsid w:val="0053300B"/>
    <w:rsid w:val="005333C2"/>
    <w:rsid w:val="005339A6"/>
    <w:rsid w:val="00533B73"/>
    <w:rsid w:val="00534271"/>
    <w:rsid w:val="00534497"/>
    <w:rsid w:val="00534E70"/>
    <w:rsid w:val="00534EDB"/>
    <w:rsid w:val="00535019"/>
    <w:rsid w:val="0053571F"/>
    <w:rsid w:val="00535B3A"/>
    <w:rsid w:val="005364E6"/>
    <w:rsid w:val="0053668E"/>
    <w:rsid w:val="00537053"/>
    <w:rsid w:val="00537E37"/>
    <w:rsid w:val="005400DA"/>
    <w:rsid w:val="0054051E"/>
    <w:rsid w:val="005406F6"/>
    <w:rsid w:val="005413FB"/>
    <w:rsid w:val="005415AB"/>
    <w:rsid w:val="00541877"/>
    <w:rsid w:val="00541ED6"/>
    <w:rsid w:val="005422E6"/>
    <w:rsid w:val="0054262F"/>
    <w:rsid w:val="00542BB4"/>
    <w:rsid w:val="00542D14"/>
    <w:rsid w:val="00542DE3"/>
    <w:rsid w:val="00543776"/>
    <w:rsid w:val="005439C4"/>
    <w:rsid w:val="00544106"/>
    <w:rsid w:val="0054421E"/>
    <w:rsid w:val="00544DD7"/>
    <w:rsid w:val="00545554"/>
    <w:rsid w:val="005455F6"/>
    <w:rsid w:val="005458D1"/>
    <w:rsid w:val="00546214"/>
    <w:rsid w:val="00546525"/>
    <w:rsid w:val="0054679C"/>
    <w:rsid w:val="00546E11"/>
    <w:rsid w:val="00547283"/>
    <w:rsid w:val="00547486"/>
    <w:rsid w:val="005474D5"/>
    <w:rsid w:val="00547A07"/>
    <w:rsid w:val="00547B17"/>
    <w:rsid w:val="00547F14"/>
    <w:rsid w:val="0055088F"/>
    <w:rsid w:val="00550CDA"/>
    <w:rsid w:val="005513EB"/>
    <w:rsid w:val="005515BA"/>
    <w:rsid w:val="00551D27"/>
    <w:rsid w:val="0055208A"/>
    <w:rsid w:val="0055276C"/>
    <w:rsid w:val="00552FE2"/>
    <w:rsid w:val="005539BC"/>
    <w:rsid w:val="00553EC3"/>
    <w:rsid w:val="00554357"/>
    <w:rsid w:val="00554730"/>
    <w:rsid w:val="005547D6"/>
    <w:rsid w:val="005547E5"/>
    <w:rsid w:val="00554C8B"/>
    <w:rsid w:val="005552E1"/>
    <w:rsid w:val="00555E34"/>
    <w:rsid w:val="005566C3"/>
    <w:rsid w:val="0055725E"/>
    <w:rsid w:val="005577B0"/>
    <w:rsid w:val="0056035A"/>
    <w:rsid w:val="0056057B"/>
    <w:rsid w:val="0056076F"/>
    <w:rsid w:val="00560BC8"/>
    <w:rsid w:val="005612BE"/>
    <w:rsid w:val="00561884"/>
    <w:rsid w:val="00561AFE"/>
    <w:rsid w:val="00561C72"/>
    <w:rsid w:val="005620DE"/>
    <w:rsid w:val="005625EA"/>
    <w:rsid w:val="00562B09"/>
    <w:rsid w:val="00562B0B"/>
    <w:rsid w:val="005630AD"/>
    <w:rsid w:val="005631BF"/>
    <w:rsid w:val="005632A0"/>
    <w:rsid w:val="00563981"/>
    <w:rsid w:val="00563EBB"/>
    <w:rsid w:val="005641EE"/>
    <w:rsid w:val="0056488D"/>
    <w:rsid w:val="00564A7F"/>
    <w:rsid w:val="00564DDC"/>
    <w:rsid w:val="00565261"/>
    <w:rsid w:val="00565AFA"/>
    <w:rsid w:val="00565D92"/>
    <w:rsid w:val="00565D97"/>
    <w:rsid w:val="00565F2B"/>
    <w:rsid w:val="00566FF9"/>
    <w:rsid w:val="005670AD"/>
    <w:rsid w:val="0056777A"/>
    <w:rsid w:val="00570777"/>
    <w:rsid w:val="005709C0"/>
    <w:rsid w:val="005712E5"/>
    <w:rsid w:val="00571455"/>
    <w:rsid w:val="00572404"/>
    <w:rsid w:val="00572567"/>
    <w:rsid w:val="00572B39"/>
    <w:rsid w:val="0057415F"/>
    <w:rsid w:val="0057478B"/>
    <w:rsid w:val="00574FAC"/>
    <w:rsid w:val="005753F1"/>
    <w:rsid w:val="005754FE"/>
    <w:rsid w:val="0057567D"/>
    <w:rsid w:val="00575BA3"/>
    <w:rsid w:val="00575C73"/>
    <w:rsid w:val="00575FB3"/>
    <w:rsid w:val="00576C8D"/>
    <w:rsid w:val="00577229"/>
    <w:rsid w:val="00577B0A"/>
    <w:rsid w:val="00577CAB"/>
    <w:rsid w:val="00580254"/>
    <w:rsid w:val="00580779"/>
    <w:rsid w:val="0058113B"/>
    <w:rsid w:val="005811A1"/>
    <w:rsid w:val="005811C8"/>
    <w:rsid w:val="00582003"/>
    <w:rsid w:val="005824DC"/>
    <w:rsid w:val="00582CBB"/>
    <w:rsid w:val="00582F1B"/>
    <w:rsid w:val="00582FCE"/>
    <w:rsid w:val="00584996"/>
    <w:rsid w:val="00584C88"/>
    <w:rsid w:val="00584F93"/>
    <w:rsid w:val="00585344"/>
    <w:rsid w:val="0058537E"/>
    <w:rsid w:val="005854E6"/>
    <w:rsid w:val="00585A41"/>
    <w:rsid w:val="00585CA8"/>
    <w:rsid w:val="00585E69"/>
    <w:rsid w:val="00586170"/>
    <w:rsid w:val="005863AF"/>
    <w:rsid w:val="005865F6"/>
    <w:rsid w:val="005867F4"/>
    <w:rsid w:val="00587283"/>
    <w:rsid w:val="005878C6"/>
    <w:rsid w:val="005879E3"/>
    <w:rsid w:val="00587DDC"/>
    <w:rsid w:val="00587E1B"/>
    <w:rsid w:val="0059000A"/>
    <w:rsid w:val="00590A08"/>
    <w:rsid w:val="005917C4"/>
    <w:rsid w:val="005918CD"/>
    <w:rsid w:val="00591EC0"/>
    <w:rsid w:val="00591F46"/>
    <w:rsid w:val="0059201E"/>
    <w:rsid w:val="00592826"/>
    <w:rsid w:val="00593F15"/>
    <w:rsid w:val="00594997"/>
    <w:rsid w:val="005951A7"/>
    <w:rsid w:val="0059575A"/>
    <w:rsid w:val="00595BBC"/>
    <w:rsid w:val="00595C09"/>
    <w:rsid w:val="00595C9D"/>
    <w:rsid w:val="00595D5D"/>
    <w:rsid w:val="0059661E"/>
    <w:rsid w:val="0059674F"/>
    <w:rsid w:val="00596A7A"/>
    <w:rsid w:val="005974AC"/>
    <w:rsid w:val="0059773E"/>
    <w:rsid w:val="00597C61"/>
    <w:rsid w:val="00597EAF"/>
    <w:rsid w:val="005A0388"/>
    <w:rsid w:val="005A0C4C"/>
    <w:rsid w:val="005A0D78"/>
    <w:rsid w:val="005A0F0D"/>
    <w:rsid w:val="005A0F79"/>
    <w:rsid w:val="005A1147"/>
    <w:rsid w:val="005A143F"/>
    <w:rsid w:val="005A1783"/>
    <w:rsid w:val="005A1A39"/>
    <w:rsid w:val="005A1BF5"/>
    <w:rsid w:val="005A1D41"/>
    <w:rsid w:val="005A2107"/>
    <w:rsid w:val="005A2F35"/>
    <w:rsid w:val="005A34CA"/>
    <w:rsid w:val="005A3A6F"/>
    <w:rsid w:val="005A3BD7"/>
    <w:rsid w:val="005A41F0"/>
    <w:rsid w:val="005A4654"/>
    <w:rsid w:val="005A4CC1"/>
    <w:rsid w:val="005A585D"/>
    <w:rsid w:val="005A58B9"/>
    <w:rsid w:val="005A5D00"/>
    <w:rsid w:val="005A5DAA"/>
    <w:rsid w:val="005A65F0"/>
    <w:rsid w:val="005A673C"/>
    <w:rsid w:val="005A6C72"/>
    <w:rsid w:val="005A6D42"/>
    <w:rsid w:val="005A7A13"/>
    <w:rsid w:val="005A7BE2"/>
    <w:rsid w:val="005B00CD"/>
    <w:rsid w:val="005B0161"/>
    <w:rsid w:val="005B0456"/>
    <w:rsid w:val="005B0FF8"/>
    <w:rsid w:val="005B193F"/>
    <w:rsid w:val="005B1951"/>
    <w:rsid w:val="005B1D3D"/>
    <w:rsid w:val="005B22D6"/>
    <w:rsid w:val="005B2550"/>
    <w:rsid w:val="005B28CF"/>
    <w:rsid w:val="005B29DD"/>
    <w:rsid w:val="005B3066"/>
    <w:rsid w:val="005B38CE"/>
    <w:rsid w:val="005B3F10"/>
    <w:rsid w:val="005B48E8"/>
    <w:rsid w:val="005B4C6F"/>
    <w:rsid w:val="005B4E97"/>
    <w:rsid w:val="005B6230"/>
    <w:rsid w:val="005B688D"/>
    <w:rsid w:val="005B6AA3"/>
    <w:rsid w:val="005B6C0E"/>
    <w:rsid w:val="005B6C1B"/>
    <w:rsid w:val="005B6FA1"/>
    <w:rsid w:val="005B6FAB"/>
    <w:rsid w:val="005B7479"/>
    <w:rsid w:val="005B7885"/>
    <w:rsid w:val="005B7F69"/>
    <w:rsid w:val="005C02F0"/>
    <w:rsid w:val="005C0A1C"/>
    <w:rsid w:val="005C0A62"/>
    <w:rsid w:val="005C1087"/>
    <w:rsid w:val="005C1831"/>
    <w:rsid w:val="005C18F7"/>
    <w:rsid w:val="005C1A00"/>
    <w:rsid w:val="005C2143"/>
    <w:rsid w:val="005C2189"/>
    <w:rsid w:val="005C2B6B"/>
    <w:rsid w:val="005C3083"/>
    <w:rsid w:val="005C33E9"/>
    <w:rsid w:val="005C3958"/>
    <w:rsid w:val="005C3B7D"/>
    <w:rsid w:val="005C3FC1"/>
    <w:rsid w:val="005C4109"/>
    <w:rsid w:val="005C4463"/>
    <w:rsid w:val="005C46F6"/>
    <w:rsid w:val="005C482B"/>
    <w:rsid w:val="005C4CCB"/>
    <w:rsid w:val="005C50E2"/>
    <w:rsid w:val="005C514F"/>
    <w:rsid w:val="005C5E6D"/>
    <w:rsid w:val="005C5ED6"/>
    <w:rsid w:val="005C61BF"/>
    <w:rsid w:val="005C64B4"/>
    <w:rsid w:val="005C6C7B"/>
    <w:rsid w:val="005C7109"/>
    <w:rsid w:val="005C71FE"/>
    <w:rsid w:val="005C7270"/>
    <w:rsid w:val="005C7C0C"/>
    <w:rsid w:val="005D01D4"/>
    <w:rsid w:val="005D034D"/>
    <w:rsid w:val="005D0563"/>
    <w:rsid w:val="005D07A3"/>
    <w:rsid w:val="005D0835"/>
    <w:rsid w:val="005D0971"/>
    <w:rsid w:val="005D0B7F"/>
    <w:rsid w:val="005D0ECA"/>
    <w:rsid w:val="005D1CCB"/>
    <w:rsid w:val="005D1DA0"/>
    <w:rsid w:val="005D205A"/>
    <w:rsid w:val="005D2468"/>
    <w:rsid w:val="005D34BC"/>
    <w:rsid w:val="005D3747"/>
    <w:rsid w:val="005D3B78"/>
    <w:rsid w:val="005D3BEE"/>
    <w:rsid w:val="005D4CF6"/>
    <w:rsid w:val="005D4F67"/>
    <w:rsid w:val="005D4F69"/>
    <w:rsid w:val="005D4FCC"/>
    <w:rsid w:val="005D54D7"/>
    <w:rsid w:val="005D55F3"/>
    <w:rsid w:val="005D5B05"/>
    <w:rsid w:val="005D5BD3"/>
    <w:rsid w:val="005D5D80"/>
    <w:rsid w:val="005D60EA"/>
    <w:rsid w:val="005D7389"/>
    <w:rsid w:val="005D744A"/>
    <w:rsid w:val="005D7BBA"/>
    <w:rsid w:val="005D7DD3"/>
    <w:rsid w:val="005E0510"/>
    <w:rsid w:val="005E0607"/>
    <w:rsid w:val="005E0FE6"/>
    <w:rsid w:val="005E11E7"/>
    <w:rsid w:val="005E1335"/>
    <w:rsid w:val="005E14FB"/>
    <w:rsid w:val="005E1639"/>
    <w:rsid w:val="005E2B3B"/>
    <w:rsid w:val="005E2CF8"/>
    <w:rsid w:val="005E2DC8"/>
    <w:rsid w:val="005E38DB"/>
    <w:rsid w:val="005E4013"/>
    <w:rsid w:val="005E4464"/>
    <w:rsid w:val="005E46E0"/>
    <w:rsid w:val="005E5791"/>
    <w:rsid w:val="005E6075"/>
    <w:rsid w:val="005E6244"/>
    <w:rsid w:val="005E64F6"/>
    <w:rsid w:val="005E663F"/>
    <w:rsid w:val="005E6A33"/>
    <w:rsid w:val="005E6A39"/>
    <w:rsid w:val="005E6B97"/>
    <w:rsid w:val="005E6E06"/>
    <w:rsid w:val="005E713B"/>
    <w:rsid w:val="005E740E"/>
    <w:rsid w:val="005E75BF"/>
    <w:rsid w:val="005E7634"/>
    <w:rsid w:val="005E7771"/>
    <w:rsid w:val="005E77BF"/>
    <w:rsid w:val="005E7EA4"/>
    <w:rsid w:val="005F15FC"/>
    <w:rsid w:val="005F1864"/>
    <w:rsid w:val="005F1BCA"/>
    <w:rsid w:val="005F2316"/>
    <w:rsid w:val="005F2683"/>
    <w:rsid w:val="005F27F7"/>
    <w:rsid w:val="005F2CCD"/>
    <w:rsid w:val="005F310C"/>
    <w:rsid w:val="005F3E6F"/>
    <w:rsid w:val="005F3EE3"/>
    <w:rsid w:val="005F45C9"/>
    <w:rsid w:val="005F4866"/>
    <w:rsid w:val="005F495C"/>
    <w:rsid w:val="005F569C"/>
    <w:rsid w:val="005F611D"/>
    <w:rsid w:val="005F619F"/>
    <w:rsid w:val="005F6455"/>
    <w:rsid w:val="005F6589"/>
    <w:rsid w:val="005F6E81"/>
    <w:rsid w:val="005F7079"/>
    <w:rsid w:val="005F7372"/>
    <w:rsid w:val="005F73F0"/>
    <w:rsid w:val="005F7400"/>
    <w:rsid w:val="005F7B0B"/>
    <w:rsid w:val="006012DA"/>
    <w:rsid w:val="00602984"/>
    <w:rsid w:val="00602C25"/>
    <w:rsid w:val="00603CC3"/>
    <w:rsid w:val="006044B1"/>
    <w:rsid w:val="0060474F"/>
    <w:rsid w:val="00604905"/>
    <w:rsid w:val="0060493B"/>
    <w:rsid w:val="00604AE6"/>
    <w:rsid w:val="006052F9"/>
    <w:rsid w:val="00605AC3"/>
    <w:rsid w:val="00605C5A"/>
    <w:rsid w:val="00605C67"/>
    <w:rsid w:val="00606883"/>
    <w:rsid w:val="0060698F"/>
    <w:rsid w:val="00607065"/>
    <w:rsid w:val="00607307"/>
    <w:rsid w:val="00607990"/>
    <w:rsid w:val="006100D7"/>
    <w:rsid w:val="00610173"/>
    <w:rsid w:val="00610216"/>
    <w:rsid w:val="006103B8"/>
    <w:rsid w:val="00610B52"/>
    <w:rsid w:val="00610E5F"/>
    <w:rsid w:val="0061139F"/>
    <w:rsid w:val="0061167D"/>
    <w:rsid w:val="00611E31"/>
    <w:rsid w:val="0061223F"/>
    <w:rsid w:val="006127A8"/>
    <w:rsid w:val="00612B1B"/>
    <w:rsid w:val="00612E5B"/>
    <w:rsid w:val="00613112"/>
    <w:rsid w:val="0061316F"/>
    <w:rsid w:val="006132D3"/>
    <w:rsid w:val="00614EC8"/>
    <w:rsid w:val="006151DD"/>
    <w:rsid w:val="006152B8"/>
    <w:rsid w:val="00615F0C"/>
    <w:rsid w:val="006160FC"/>
    <w:rsid w:val="0061638D"/>
    <w:rsid w:val="00616545"/>
    <w:rsid w:val="00617840"/>
    <w:rsid w:val="00617B7C"/>
    <w:rsid w:val="00617E14"/>
    <w:rsid w:val="006203A3"/>
    <w:rsid w:val="006204C2"/>
    <w:rsid w:val="00620592"/>
    <w:rsid w:val="00620C29"/>
    <w:rsid w:val="0062113D"/>
    <w:rsid w:val="006213BF"/>
    <w:rsid w:val="00621784"/>
    <w:rsid w:val="00621934"/>
    <w:rsid w:val="00621AF6"/>
    <w:rsid w:val="00622AE9"/>
    <w:rsid w:val="00622DB6"/>
    <w:rsid w:val="00622DFD"/>
    <w:rsid w:val="006230F2"/>
    <w:rsid w:val="006232AF"/>
    <w:rsid w:val="006234AC"/>
    <w:rsid w:val="00623B23"/>
    <w:rsid w:val="00623DED"/>
    <w:rsid w:val="0062422A"/>
    <w:rsid w:val="0062425C"/>
    <w:rsid w:val="0062513D"/>
    <w:rsid w:val="00625260"/>
    <w:rsid w:val="0062537B"/>
    <w:rsid w:val="00625AD8"/>
    <w:rsid w:val="00625E7F"/>
    <w:rsid w:val="00626236"/>
    <w:rsid w:val="006265C6"/>
    <w:rsid w:val="00626C06"/>
    <w:rsid w:val="006272DF"/>
    <w:rsid w:val="006301D7"/>
    <w:rsid w:val="006306EA"/>
    <w:rsid w:val="00631998"/>
    <w:rsid w:val="0063240A"/>
    <w:rsid w:val="00632518"/>
    <w:rsid w:val="00632DCE"/>
    <w:rsid w:val="00633AC5"/>
    <w:rsid w:val="00633C70"/>
    <w:rsid w:val="006344F6"/>
    <w:rsid w:val="0063477F"/>
    <w:rsid w:val="00635455"/>
    <w:rsid w:val="00635A82"/>
    <w:rsid w:val="00635A8B"/>
    <w:rsid w:val="00635F01"/>
    <w:rsid w:val="00635FC3"/>
    <w:rsid w:val="006369CD"/>
    <w:rsid w:val="00636D48"/>
    <w:rsid w:val="006371AB"/>
    <w:rsid w:val="00637918"/>
    <w:rsid w:val="00640C22"/>
    <w:rsid w:val="006417BE"/>
    <w:rsid w:val="00641AAF"/>
    <w:rsid w:val="0064201C"/>
    <w:rsid w:val="00642424"/>
    <w:rsid w:val="00643502"/>
    <w:rsid w:val="00644248"/>
    <w:rsid w:val="00644780"/>
    <w:rsid w:val="00644F36"/>
    <w:rsid w:val="00645389"/>
    <w:rsid w:val="00645F80"/>
    <w:rsid w:val="00646885"/>
    <w:rsid w:val="006468BB"/>
    <w:rsid w:val="00646A1F"/>
    <w:rsid w:val="00646E47"/>
    <w:rsid w:val="00646FC0"/>
    <w:rsid w:val="00647016"/>
    <w:rsid w:val="00647C0B"/>
    <w:rsid w:val="00647D87"/>
    <w:rsid w:val="0065140E"/>
    <w:rsid w:val="00651A0C"/>
    <w:rsid w:val="0065255E"/>
    <w:rsid w:val="0065275B"/>
    <w:rsid w:val="00652ADD"/>
    <w:rsid w:val="006530E7"/>
    <w:rsid w:val="00653236"/>
    <w:rsid w:val="006535AB"/>
    <w:rsid w:val="00653B82"/>
    <w:rsid w:val="00654CE0"/>
    <w:rsid w:val="00654D12"/>
    <w:rsid w:val="0065540A"/>
    <w:rsid w:val="0065589D"/>
    <w:rsid w:val="006559DA"/>
    <w:rsid w:val="006559DF"/>
    <w:rsid w:val="00655D37"/>
    <w:rsid w:val="00655D3E"/>
    <w:rsid w:val="0065710D"/>
    <w:rsid w:val="0065722A"/>
    <w:rsid w:val="0065738C"/>
    <w:rsid w:val="00657719"/>
    <w:rsid w:val="00657AC1"/>
    <w:rsid w:val="006600B1"/>
    <w:rsid w:val="0066099D"/>
    <w:rsid w:val="00660AC7"/>
    <w:rsid w:val="00661049"/>
    <w:rsid w:val="006612E5"/>
    <w:rsid w:val="00661616"/>
    <w:rsid w:val="00661B71"/>
    <w:rsid w:val="006624C2"/>
    <w:rsid w:val="00662C61"/>
    <w:rsid w:val="0066311D"/>
    <w:rsid w:val="00663A03"/>
    <w:rsid w:val="00663CB1"/>
    <w:rsid w:val="00663FA5"/>
    <w:rsid w:val="00664001"/>
    <w:rsid w:val="00665000"/>
    <w:rsid w:val="0066630A"/>
    <w:rsid w:val="00667159"/>
    <w:rsid w:val="0066767C"/>
    <w:rsid w:val="006677DF"/>
    <w:rsid w:val="0067046F"/>
    <w:rsid w:val="0067085E"/>
    <w:rsid w:val="00670926"/>
    <w:rsid w:val="0067098C"/>
    <w:rsid w:val="00671046"/>
    <w:rsid w:val="006711AC"/>
    <w:rsid w:val="006718AD"/>
    <w:rsid w:val="0067220D"/>
    <w:rsid w:val="00673BDF"/>
    <w:rsid w:val="00674383"/>
    <w:rsid w:val="00674A1A"/>
    <w:rsid w:val="00674CB0"/>
    <w:rsid w:val="00674E9E"/>
    <w:rsid w:val="00675054"/>
    <w:rsid w:val="00675154"/>
    <w:rsid w:val="00675286"/>
    <w:rsid w:val="006755A6"/>
    <w:rsid w:val="00675B03"/>
    <w:rsid w:val="00675CC8"/>
    <w:rsid w:val="00675E10"/>
    <w:rsid w:val="00676077"/>
    <w:rsid w:val="006760DA"/>
    <w:rsid w:val="00676401"/>
    <w:rsid w:val="00676BB5"/>
    <w:rsid w:val="00676C8C"/>
    <w:rsid w:val="00676D95"/>
    <w:rsid w:val="00676F0B"/>
    <w:rsid w:val="00676FB8"/>
    <w:rsid w:val="00677439"/>
    <w:rsid w:val="00677CA6"/>
    <w:rsid w:val="0068009D"/>
    <w:rsid w:val="00680454"/>
    <w:rsid w:val="006805F2"/>
    <w:rsid w:val="0068066F"/>
    <w:rsid w:val="0068076C"/>
    <w:rsid w:val="00680860"/>
    <w:rsid w:val="00680B76"/>
    <w:rsid w:val="00680CC3"/>
    <w:rsid w:val="006812BA"/>
    <w:rsid w:val="00681B76"/>
    <w:rsid w:val="006827AB"/>
    <w:rsid w:val="00682C14"/>
    <w:rsid w:val="00683693"/>
    <w:rsid w:val="00683E3B"/>
    <w:rsid w:val="00683FFC"/>
    <w:rsid w:val="0068513F"/>
    <w:rsid w:val="00685422"/>
    <w:rsid w:val="006859F8"/>
    <w:rsid w:val="00685C2C"/>
    <w:rsid w:val="00685F3E"/>
    <w:rsid w:val="0068654D"/>
    <w:rsid w:val="006865EC"/>
    <w:rsid w:val="006868D1"/>
    <w:rsid w:val="00686900"/>
    <w:rsid w:val="00686AB3"/>
    <w:rsid w:val="006870B6"/>
    <w:rsid w:val="0068741A"/>
    <w:rsid w:val="00687A16"/>
    <w:rsid w:val="0069019C"/>
    <w:rsid w:val="00691D74"/>
    <w:rsid w:val="00691DB1"/>
    <w:rsid w:val="006927BE"/>
    <w:rsid w:val="00692ECD"/>
    <w:rsid w:val="006930DC"/>
    <w:rsid w:val="006935DC"/>
    <w:rsid w:val="00694075"/>
    <w:rsid w:val="00695AB2"/>
    <w:rsid w:val="00695E06"/>
    <w:rsid w:val="00695E2F"/>
    <w:rsid w:val="00696024"/>
    <w:rsid w:val="0069640F"/>
    <w:rsid w:val="00696592"/>
    <w:rsid w:val="0069686B"/>
    <w:rsid w:val="0069789C"/>
    <w:rsid w:val="00697A54"/>
    <w:rsid w:val="00697E72"/>
    <w:rsid w:val="006A0C9B"/>
    <w:rsid w:val="006A143E"/>
    <w:rsid w:val="006A156D"/>
    <w:rsid w:val="006A22DA"/>
    <w:rsid w:val="006A2768"/>
    <w:rsid w:val="006A2851"/>
    <w:rsid w:val="006A3A49"/>
    <w:rsid w:val="006A3A5A"/>
    <w:rsid w:val="006A48AD"/>
    <w:rsid w:val="006A4C6A"/>
    <w:rsid w:val="006A53BE"/>
    <w:rsid w:val="006A5715"/>
    <w:rsid w:val="006A5A60"/>
    <w:rsid w:val="006A5D1B"/>
    <w:rsid w:val="006A5F88"/>
    <w:rsid w:val="006A66A0"/>
    <w:rsid w:val="006A675E"/>
    <w:rsid w:val="006A67EB"/>
    <w:rsid w:val="006A6912"/>
    <w:rsid w:val="006A69C6"/>
    <w:rsid w:val="006A6A89"/>
    <w:rsid w:val="006A74C0"/>
    <w:rsid w:val="006A7A8F"/>
    <w:rsid w:val="006A7F46"/>
    <w:rsid w:val="006B0694"/>
    <w:rsid w:val="006B14F3"/>
    <w:rsid w:val="006B1C37"/>
    <w:rsid w:val="006B1F7B"/>
    <w:rsid w:val="006B2A80"/>
    <w:rsid w:val="006B2C4F"/>
    <w:rsid w:val="006B34D4"/>
    <w:rsid w:val="006B39B1"/>
    <w:rsid w:val="006B42E4"/>
    <w:rsid w:val="006B4932"/>
    <w:rsid w:val="006B49F0"/>
    <w:rsid w:val="006B4C35"/>
    <w:rsid w:val="006B4D5A"/>
    <w:rsid w:val="006B4EAB"/>
    <w:rsid w:val="006B51FF"/>
    <w:rsid w:val="006B52BB"/>
    <w:rsid w:val="006B569C"/>
    <w:rsid w:val="006B61BD"/>
    <w:rsid w:val="006B62FF"/>
    <w:rsid w:val="006B6792"/>
    <w:rsid w:val="006B6CD8"/>
    <w:rsid w:val="006B76F3"/>
    <w:rsid w:val="006B79AB"/>
    <w:rsid w:val="006C03D8"/>
    <w:rsid w:val="006C3C34"/>
    <w:rsid w:val="006C4182"/>
    <w:rsid w:val="006C438F"/>
    <w:rsid w:val="006C52F9"/>
    <w:rsid w:val="006C6343"/>
    <w:rsid w:val="006C74DB"/>
    <w:rsid w:val="006C7882"/>
    <w:rsid w:val="006C7ACF"/>
    <w:rsid w:val="006C7D06"/>
    <w:rsid w:val="006C7D92"/>
    <w:rsid w:val="006D0503"/>
    <w:rsid w:val="006D071F"/>
    <w:rsid w:val="006D2E77"/>
    <w:rsid w:val="006D2FC4"/>
    <w:rsid w:val="006D3731"/>
    <w:rsid w:val="006D3FA0"/>
    <w:rsid w:val="006D4A94"/>
    <w:rsid w:val="006D4B9C"/>
    <w:rsid w:val="006D50C2"/>
    <w:rsid w:val="006D5B09"/>
    <w:rsid w:val="006D62AC"/>
    <w:rsid w:val="006D62C0"/>
    <w:rsid w:val="006D63C0"/>
    <w:rsid w:val="006D6587"/>
    <w:rsid w:val="006D728F"/>
    <w:rsid w:val="006D729A"/>
    <w:rsid w:val="006D7619"/>
    <w:rsid w:val="006E045E"/>
    <w:rsid w:val="006E09F7"/>
    <w:rsid w:val="006E1022"/>
    <w:rsid w:val="006E1D5A"/>
    <w:rsid w:val="006E2DB2"/>
    <w:rsid w:val="006E318D"/>
    <w:rsid w:val="006E321C"/>
    <w:rsid w:val="006E3777"/>
    <w:rsid w:val="006E39F2"/>
    <w:rsid w:val="006E3D06"/>
    <w:rsid w:val="006E4CC8"/>
    <w:rsid w:val="006E4D9F"/>
    <w:rsid w:val="006E574F"/>
    <w:rsid w:val="006E5BB4"/>
    <w:rsid w:val="006E5FBA"/>
    <w:rsid w:val="006E6276"/>
    <w:rsid w:val="006E6DC7"/>
    <w:rsid w:val="006E6DDD"/>
    <w:rsid w:val="006E6F36"/>
    <w:rsid w:val="006E750D"/>
    <w:rsid w:val="006E7B77"/>
    <w:rsid w:val="006F0097"/>
    <w:rsid w:val="006F13A4"/>
    <w:rsid w:val="006F1B73"/>
    <w:rsid w:val="006F1F32"/>
    <w:rsid w:val="006F20CB"/>
    <w:rsid w:val="006F2886"/>
    <w:rsid w:val="006F31BE"/>
    <w:rsid w:val="006F3224"/>
    <w:rsid w:val="006F3802"/>
    <w:rsid w:val="006F3846"/>
    <w:rsid w:val="006F408A"/>
    <w:rsid w:val="006F41A1"/>
    <w:rsid w:val="006F42FE"/>
    <w:rsid w:val="006F430F"/>
    <w:rsid w:val="006F435F"/>
    <w:rsid w:val="006F44D0"/>
    <w:rsid w:val="006F4675"/>
    <w:rsid w:val="006F4CDB"/>
    <w:rsid w:val="006F4F5B"/>
    <w:rsid w:val="006F5284"/>
    <w:rsid w:val="006F5E3D"/>
    <w:rsid w:val="006F5F6A"/>
    <w:rsid w:val="006F613E"/>
    <w:rsid w:val="006F68A7"/>
    <w:rsid w:val="006F7367"/>
    <w:rsid w:val="006F7948"/>
    <w:rsid w:val="006F7BB2"/>
    <w:rsid w:val="006F7CED"/>
    <w:rsid w:val="0070090C"/>
    <w:rsid w:val="0070128F"/>
    <w:rsid w:val="0070147A"/>
    <w:rsid w:val="00701C44"/>
    <w:rsid w:val="0070274C"/>
    <w:rsid w:val="00702B3C"/>
    <w:rsid w:val="007035F9"/>
    <w:rsid w:val="00704A75"/>
    <w:rsid w:val="007050F6"/>
    <w:rsid w:val="007051E9"/>
    <w:rsid w:val="00705684"/>
    <w:rsid w:val="00705D58"/>
    <w:rsid w:val="00705DCA"/>
    <w:rsid w:val="0070673A"/>
    <w:rsid w:val="00706C90"/>
    <w:rsid w:val="00706D79"/>
    <w:rsid w:val="00706E44"/>
    <w:rsid w:val="0070704A"/>
    <w:rsid w:val="007070E1"/>
    <w:rsid w:val="00707555"/>
    <w:rsid w:val="00710204"/>
    <w:rsid w:val="00710827"/>
    <w:rsid w:val="00710A06"/>
    <w:rsid w:val="00710A66"/>
    <w:rsid w:val="00710C7E"/>
    <w:rsid w:val="00710DF1"/>
    <w:rsid w:val="00710ED2"/>
    <w:rsid w:val="00710F71"/>
    <w:rsid w:val="00711342"/>
    <w:rsid w:val="007121A8"/>
    <w:rsid w:val="00712443"/>
    <w:rsid w:val="00712F29"/>
    <w:rsid w:val="00713937"/>
    <w:rsid w:val="007139FF"/>
    <w:rsid w:val="00713A1D"/>
    <w:rsid w:val="00714B23"/>
    <w:rsid w:val="00714CF1"/>
    <w:rsid w:val="00714D03"/>
    <w:rsid w:val="00714E34"/>
    <w:rsid w:val="007155B7"/>
    <w:rsid w:val="00715D90"/>
    <w:rsid w:val="00716B34"/>
    <w:rsid w:val="00716CAF"/>
    <w:rsid w:val="00716DD2"/>
    <w:rsid w:val="00716EB9"/>
    <w:rsid w:val="00717577"/>
    <w:rsid w:val="00720C16"/>
    <w:rsid w:val="00720E4B"/>
    <w:rsid w:val="00721189"/>
    <w:rsid w:val="00721331"/>
    <w:rsid w:val="00721503"/>
    <w:rsid w:val="007225F9"/>
    <w:rsid w:val="00723278"/>
    <w:rsid w:val="00723D5C"/>
    <w:rsid w:val="00724630"/>
    <w:rsid w:val="00724965"/>
    <w:rsid w:val="00724D73"/>
    <w:rsid w:val="00725796"/>
    <w:rsid w:val="00726668"/>
    <w:rsid w:val="00726C95"/>
    <w:rsid w:val="007272C6"/>
    <w:rsid w:val="0073029E"/>
    <w:rsid w:val="007302C4"/>
    <w:rsid w:val="00730CD9"/>
    <w:rsid w:val="00731756"/>
    <w:rsid w:val="00732DBA"/>
    <w:rsid w:val="00732EB4"/>
    <w:rsid w:val="007335ED"/>
    <w:rsid w:val="007339EF"/>
    <w:rsid w:val="0073452B"/>
    <w:rsid w:val="00734D43"/>
    <w:rsid w:val="007354DE"/>
    <w:rsid w:val="00735986"/>
    <w:rsid w:val="007361C8"/>
    <w:rsid w:val="0073671F"/>
    <w:rsid w:val="0073798B"/>
    <w:rsid w:val="00737BAE"/>
    <w:rsid w:val="00740A48"/>
    <w:rsid w:val="00741105"/>
    <w:rsid w:val="0074146B"/>
    <w:rsid w:val="0074216D"/>
    <w:rsid w:val="00742577"/>
    <w:rsid w:val="00743354"/>
    <w:rsid w:val="00743C21"/>
    <w:rsid w:val="00743EE0"/>
    <w:rsid w:val="00743FEF"/>
    <w:rsid w:val="00744816"/>
    <w:rsid w:val="00744F88"/>
    <w:rsid w:val="00745F62"/>
    <w:rsid w:val="007469BC"/>
    <w:rsid w:val="00746AD1"/>
    <w:rsid w:val="0074724C"/>
    <w:rsid w:val="00747A80"/>
    <w:rsid w:val="00747AF4"/>
    <w:rsid w:val="00747C47"/>
    <w:rsid w:val="00747FFB"/>
    <w:rsid w:val="00751297"/>
    <w:rsid w:val="00751827"/>
    <w:rsid w:val="00751F3E"/>
    <w:rsid w:val="007521E3"/>
    <w:rsid w:val="00753367"/>
    <w:rsid w:val="00754407"/>
    <w:rsid w:val="00754766"/>
    <w:rsid w:val="00754FBE"/>
    <w:rsid w:val="00755127"/>
    <w:rsid w:val="007551E6"/>
    <w:rsid w:val="00755D22"/>
    <w:rsid w:val="00756278"/>
    <w:rsid w:val="00756641"/>
    <w:rsid w:val="00756D5C"/>
    <w:rsid w:val="00756D5E"/>
    <w:rsid w:val="0075754B"/>
    <w:rsid w:val="00757659"/>
    <w:rsid w:val="0075780A"/>
    <w:rsid w:val="00757C92"/>
    <w:rsid w:val="00760326"/>
    <w:rsid w:val="0076078F"/>
    <w:rsid w:val="00760CAA"/>
    <w:rsid w:val="00760F33"/>
    <w:rsid w:val="00760FD0"/>
    <w:rsid w:val="007614DA"/>
    <w:rsid w:val="00761831"/>
    <w:rsid w:val="00761A13"/>
    <w:rsid w:val="00761A76"/>
    <w:rsid w:val="00761C4C"/>
    <w:rsid w:val="0076226C"/>
    <w:rsid w:val="00762468"/>
    <w:rsid w:val="00762629"/>
    <w:rsid w:val="00762AED"/>
    <w:rsid w:val="00762BB3"/>
    <w:rsid w:val="00762E15"/>
    <w:rsid w:val="00762F4D"/>
    <w:rsid w:val="00763A6B"/>
    <w:rsid w:val="007643FB"/>
    <w:rsid w:val="00764D46"/>
    <w:rsid w:val="0076501F"/>
    <w:rsid w:val="007650ED"/>
    <w:rsid w:val="007653EC"/>
    <w:rsid w:val="007668AE"/>
    <w:rsid w:val="007673A7"/>
    <w:rsid w:val="00767A28"/>
    <w:rsid w:val="00767E02"/>
    <w:rsid w:val="00767F2D"/>
    <w:rsid w:val="00770E9A"/>
    <w:rsid w:val="00770F46"/>
    <w:rsid w:val="007715CB"/>
    <w:rsid w:val="0077167C"/>
    <w:rsid w:val="007722AA"/>
    <w:rsid w:val="00772470"/>
    <w:rsid w:val="00773027"/>
    <w:rsid w:val="007735B6"/>
    <w:rsid w:val="007736AF"/>
    <w:rsid w:val="00773D13"/>
    <w:rsid w:val="007744FB"/>
    <w:rsid w:val="00774847"/>
    <w:rsid w:val="00775388"/>
    <w:rsid w:val="00775814"/>
    <w:rsid w:val="007759F8"/>
    <w:rsid w:val="00775DA8"/>
    <w:rsid w:val="0077610F"/>
    <w:rsid w:val="00776253"/>
    <w:rsid w:val="00777382"/>
    <w:rsid w:val="007778B9"/>
    <w:rsid w:val="00777E6F"/>
    <w:rsid w:val="007802A2"/>
    <w:rsid w:val="007809C5"/>
    <w:rsid w:val="00780AE9"/>
    <w:rsid w:val="00780D7C"/>
    <w:rsid w:val="00781919"/>
    <w:rsid w:val="00782D34"/>
    <w:rsid w:val="00783758"/>
    <w:rsid w:val="00783C49"/>
    <w:rsid w:val="00784588"/>
    <w:rsid w:val="00785062"/>
    <w:rsid w:val="0078551E"/>
    <w:rsid w:val="00785684"/>
    <w:rsid w:val="00785A9B"/>
    <w:rsid w:val="00785D8A"/>
    <w:rsid w:val="0078649C"/>
    <w:rsid w:val="007864D6"/>
    <w:rsid w:val="0078663A"/>
    <w:rsid w:val="00787301"/>
    <w:rsid w:val="00787CDC"/>
    <w:rsid w:val="00791238"/>
    <w:rsid w:val="007917A7"/>
    <w:rsid w:val="00791C74"/>
    <w:rsid w:val="00791D1D"/>
    <w:rsid w:val="00792673"/>
    <w:rsid w:val="00792BB6"/>
    <w:rsid w:val="00792CEF"/>
    <w:rsid w:val="0079347F"/>
    <w:rsid w:val="00793608"/>
    <w:rsid w:val="00793642"/>
    <w:rsid w:val="007941C3"/>
    <w:rsid w:val="0079546C"/>
    <w:rsid w:val="00795E7C"/>
    <w:rsid w:val="00795FB9"/>
    <w:rsid w:val="007960F7"/>
    <w:rsid w:val="007961A8"/>
    <w:rsid w:val="007967EC"/>
    <w:rsid w:val="007969C4"/>
    <w:rsid w:val="00796A28"/>
    <w:rsid w:val="00797975"/>
    <w:rsid w:val="00797BD4"/>
    <w:rsid w:val="00797F64"/>
    <w:rsid w:val="007A0044"/>
    <w:rsid w:val="007A03C2"/>
    <w:rsid w:val="007A0D3B"/>
    <w:rsid w:val="007A0D9E"/>
    <w:rsid w:val="007A0EDF"/>
    <w:rsid w:val="007A1136"/>
    <w:rsid w:val="007A11C7"/>
    <w:rsid w:val="007A2155"/>
    <w:rsid w:val="007A24FF"/>
    <w:rsid w:val="007A26E9"/>
    <w:rsid w:val="007A30CC"/>
    <w:rsid w:val="007A319D"/>
    <w:rsid w:val="007A38BF"/>
    <w:rsid w:val="007A4166"/>
    <w:rsid w:val="007A43E5"/>
    <w:rsid w:val="007A4A94"/>
    <w:rsid w:val="007A5579"/>
    <w:rsid w:val="007A5CA3"/>
    <w:rsid w:val="007A63BA"/>
    <w:rsid w:val="007A67E0"/>
    <w:rsid w:val="007A6B44"/>
    <w:rsid w:val="007A6BA1"/>
    <w:rsid w:val="007A6D05"/>
    <w:rsid w:val="007A77C9"/>
    <w:rsid w:val="007A7A0C"/>
    <w:rsid w:val="007B1C55"/>
    <w:rsid w:val="007B1D0E"/>
    <w:rsid w:val="007B2108"/>
    <w:rsid w:val="007B2109"/>
    <w:rsid w:val="007B2523"/>
    <w:rsid w:val="007B2F8C"/>
    <w:rsid w:val="007B366D"/>
    <w:rsid w:val="007B3CDC"/>
    <w:rsid w:val="007B4811"/>
    <w:rsid w:val="007B5010"/>
    <w:rsid w:val="007B525A"/>
    <w:rsid w:val="007B5954"/>
    <w:rsid w:val="007B6AD9"/>
    <w:rsid w:val="007B7234"/>
    <w:rsid w:val="007B7423"/>
    <w:rsid w:val="007B7C5E"/>
    <w:rsid w:val="007B7EBC"/>
    <w:rsid w:val="007C0510"/>
    <w:rsid w:val="007C06F6"/>
    <w:rsid w:val="007C08B8"/>
    <w:rsid w:val="007C0A34"/>
    <w:rsid w:val="007C13D7"/>
    <w:rsid w:val="007C1530"/>
    <w:rsid w:val="007C251E"/>
    <w:rsid w:val="007C31E1"/>
    <w:rsid w:val="007C337C"/>
    <w:rsid w:val="007C365B"/>
    <w:rsid w:val="007C3871"/>
    <w:rsid w:val="007C39CA"/>
    <w:rsid w:val="007C3B02"/>
    <w:rsid w:val="007C410A"/>
    <w:rsid w:val="007C4AD5"/>
    <w:rsid w:val="007C515B"/>
    <w:rsid w:val="007C5591"/>
    <w:rsid w:val="007C5713"/>
    <w:rsid w:val="007C58F6"/>
    <w:rsid w:val="007C5D3F"/>
    <w:rsid w:val="007C6333"/>
    <w:rsid w:val="007C662A"/>
    <w:rsid w:val="007C6AE9"/>
    <w:rsid w:val="007C72AF"/>
    <w:rsid w:val="007C73B6"/>
    <w:rsid w:val="007C7672"/>
    <w:rsid w:val="007C79ED"/>
    <w:rsid w:val="007D03B6"/>
    <w:rsid w:val="007D0FCB"/>
    <w:rsid w:val="007D12B2"/>
    <w:rsid w:val="007D1ABD"/>
    <w:rsid w:val="007D1EC6"/>
    <w:rsid w:val="007D1FA4"/>
    <w:rsid w:val="007D2659"/>
    <w:rsid w:val="007D268E"/>
    <w:rsid w:val="007D3458"/>
    <w:rsid w:val="007D3C82"/>
    <w:rsid w:val="007D3FD1"/>
    <w:rsid w:val="007D4597"/>
    <w:rsid w:val="007D46C8"/>
    <w:rsid w:val="007D4BFF"/>
    <w:rsid w:val="007D59B2"/>
    <w:rsid w:val="007D6260"/>
    <w:rsid w:val="007D6A7A"/>
    <w:rsid w:val="007D6ADA"/>
    <w:rsid w:val="007D6B6F"/>
    <w:rsid w:val="007D705F"/>
    <w:rsid w:val="007D736B"/>
    <w:rsid w:val="007D7375"/>
    <w:rsid w:val="007D78BF"/>
    <w:rsid w:val="007E012D"/>
    <w:rsid w:val="007E044B"/>
    <w:rsid w:val="007E0943"/>
    <w:rsid w:val="007E12A2"/>
    <w:rsid w:val="007E21DC"/>
    <w:rsid w:val="007E2D39"/>
    <w:rsid w:val="007E3A83"/>
    <w:rsid w:val="007E3DF9"/>
    <w:rsid w:val="007E3F44"/>
    <w:rsid w:val="007E41BF"/>
    <w:rsid w:val="007E43EE"/>
    <w:rsid w:val="007E49B3"/>
    <w:rsid w:val="007E52DF"/>
    <w:rsid w:val="007E5520"/>
    <w:rsid w:val="007E5D00"/>
    <w:rsid w:val="007E5D3F"/>
    <w:rsid w:val="007E5D8A"/>
    <w:rsid w:val="007E6104"/>
    <w:rsid w:val="007E6474"/>
    <w:rsid w:val="007E6848"/>
    <w:rsid w:val="007E6AEA"/>
    <w:rsid w:val="007E6D74"/>
    <w:rsid w:val="007E7A02"/>
    <w:rsid w:val="007F0139"/>
    <w:rsid w:val="007F027F"/>
    <w:rsid w:val="007F1931"/>
    <w:rsid w:val="007F2B41"/>
    <w:rsid w:val="007F35B6"/>
    <w:rsid w:val="007F3D25"/>
    <w:rsid w:val="007F3EE6"/>
    <w:rsid w:val="007F41A4"/>
    <w:rsid w:val="007F5548"/>
    <w:rsid w:val="007F592E"/>
    <w:rsid w:val="007F5E08"/>
    <w:rsid w:val="007F60C0"/>
    <w:rsid w:val="007F6523"/>
    <w:rsid w:val="007F6BDB"/>
    <w:rsid w:val="007F6E08"/>
    <w:rsid w:val="007F7254"/>
    <w:rsid w:val="007F7395"/>
    <w:rsid w:val="007F754D"/>
    <w:rsid w:val="007F78D1"/>
    <w:rsid w:val="00800501"/>
    <w:rsid w:val="0080056A"/>
    <w:rsid w:val="008006C9"/>
    <w:rsid w:val="00800BE5"/>
    <w:rsid w:val="00800D1F"/>
    <w:rsid w:val="0080132E"/>
    <w:rsid w:val="008015AD"/>
    <w:rsid w:val="008017E5"/>
    <w:rsid w:val="008019C7"/>
    <w:rsid w:val="00801D33"/>
    <w:rsid w:val="008024D2"/>
    <w:rsid w:val="00802CAE"/>
    <w:rsid w:val="0080338F"/>
    <w:rsid w:val="0080349A"/>
    <w:rsid w:val="0080355B"/>
    <w:rsid w:val="00803754"/>
    <w:rsid w:val="00803B38"/>
    <w:rsid w:val="00803F97"/>
    <w:rsid w:val="008041EC"/>
    <w:rsid w:val="00804904"/>
    <w:rsid w:val="00804E91"/>
    <w:rsid w:val="0080509C"/>
    <w:rsid w:val="0080529D"/>
    <w:rsid w:val="00805710"/>
    <w:rsid w:val="00805B13"/>
    <w:rsid w:val="00805B4E"/>
    <w:rsid w:val="00805CB7"/>
    <w:rsid w:val="0080638F"/>
    <w:rsid w:val="008069F9"/>
    <w:rsid w:val="00806BC7"/>
    <w:rsid w:val="008071A6"/>
    <w:rsid w:val="0080734F"/>
    <w:rsid w:val="00807659"/>
    <w:rsid w:val="00807699"/>
    <w:rsid w:val="008077E6"/>
    <w:rsid w:val="00810138"/>
    <w:rsid w:val="00810423"/>
    <w:rsid w:val="00810957"/>
    <w:rsid w:val="00810D67"/>
    <w:rsid w:val="00810EB9"/>
    <w:rsid w:val="00811441"/>
    <w:rsid w:val="008115D9"/>
    <w:rsid w:val="008117C8"/>
    <w:rsid w:val="00811DA8"/>
    <w:rsid w:val="00812376"/>
    <w:rsid w:val="00812B40"/>
    <w:rsid w:val="00813A09"/>
    <w:rsid w:val="00813CBC"/>
    <w:rsid w:val="00813F62"/>
    <w:rsid w:val="008150D0"/>
    <w:rsid w:val="0081512C"/>
    <w:rsid w:val="00815645"/>
    <w:rsid w:val="00817C8B"/>
    <w:rsid w:val="00817D50"/>
    <w:rsid w:val="00817D5D"/>
    <w:rsid w:val="00820315"/>
    <w:rsid w:val="0082075C"/>
    <w:rsid w:val="00820974"/>
    <w:rsid w:val="00820BA6"/>
    <w:rsid w:val="00821839"/>
    <w:rsid w:val="00821A9A"/>
    <w:rsid w:val="00821C9C"/>
    <w:rsid w:val="00821D73"/>
    <w:rsid w:val="00821EC4"/>
    <w:rsid w:val="00822548"/>
    <w:rsid w:val="0082282E"/>
    <w:rsid w:val="00822AB5"/>
    <w:rsid w:val="00823D43"/>
    <w:rsid w:val="00824079"/>
    <w:rsid w:val="00824440"/>
    <w:rsid w:val="00824441"/>
    <w:rsid w:val="00824BBA"/>
    <w:rsid w:val="00824FA8"/>
    <w:rsid w:val="00825D72"/>
    <w:rsid w:val="0082625D"/>
    <w:rsid w:val="008267AC"/>
    <w:rsid w:val="0082713C"/>
    <w:rsid w:val="00827D67"/>
    <w:rsid w:val="00830855"/>
    <w:rsid w:val="0083138A"/>
    <w:rsid w:val="008314FF"/>
    <w:rsid w:val="0083168C"/>
    <w:rsid w:val="008327F7"/>
    <w:rsid w:val="00832BB4"/>
    <w:rsid w:val="008334C7"/>
    <w:rsid w:val="008344BB"/>
    <w:rsid w:val="00834D79"/>
    <w:rsid w:val="00835169"/>
    <w:rsid w:val="0083537D"/>
    <w:rsid w:val="00835665"/>
    <w:rsid w:val="00835A1C"/>
    <w:rsid w:val="00837964"/>
    <w:rsid w:val="00837E96"/>
    <w:rsid w:val="0084017F"/>
    <w:rsid w:val="00840382"/>
    <w:rsid w:val="00840462"/>
    <w:rsid w:val="0084051C"/>
    <w:rsid w:val="008408A6"/>
    <w:rsid w:val="00840955"/>
    <w:rsid w:val="008412B5"/>
    <w:rsid w:val="008417E7"/>
    <w:rsid w:val="008419CB"/>
    <w:rsid w:val="00841C8B"/>
    <w:rsid w:val="00841D55"/>
    <w:rsid w:val="00843139"/>
    <w:rsid w:val="00843622"/>
    <w:rsid w:val="008436EB"/>
    <w:rsid w:val="00843844"/>
    <w:rsid w:val="008439B2"/>
    <w:rsid w:val="00843A72"/>
    <w:rsid w:val="008442DC"/>
    <w:rsid w:val="008443F5"/>
    <w:rsid w:val="00844723"/>
    <w:rsid w:val="00844C3D"/>
    <w:rsid w:val="008454B6"/>
    <w:rsid w:val="00845641"/>
    <w:rsid w:val="0084595E"/>
    <w:rsid w:val="00845C27"/>
    <w:rsid w:val="00847689"/>
    <w:rsid w:val="00847992"/>
    <w:rsid w:val="008500AD"/>
    <w:rsid w:val="008500E2"/>
    <w:rsid w:val="00850318"/>
    <w:rsid w:val="008503EC"/>
    <w:rsid w:val="00850A80"/>
    <w:rsid w:val="00850D9F"/>
    <w:rsid w:val="0085184D"/>
    <w:rsid w:val="00851883"/>
    <w:rsid w:val="008518BB"/>
    <w:rsid w:val="008518EA"/>
    <w:rsid w:val="00851C9F"/>
    <w:rsid w:val="008520EB"/>
    <w:rsid w:val="00852252"/>
    <w:rsid w:val="0085259B"/>
    <w:rsid w:val="008528C6"/>
    <w:rsid w:val="00852D78"/>
    <w:rsid w:val="00852E07"/>
    <w:rsid w:val="00852E2A"/>
    <w:rsid w:val="0085303E"/>
    <w:rsid w:val="00853095"/>
    <w:rsid w:val="00853778"/>
    <w:rsid w:val="00853A17"/>
    <w:rsid w:val="00853C5A"/>
    <w:rsid w:val="00853CDC"/>
    <w:rsid w:val="00853EA1"/>
    <w:rsid w:val="00854D4A"/>
    <w:rsid w:val="0085520C"/>
    <w:rsid w:val="0085592E"/>
    <w:rsid w:val="0085600A"/>
    <w:rsid w:val="0085628D"/>
    <w:rsid w:val="008562A6"/>
    <w:rsid w:val="008572FE"/>
    <w:rsid w:val="00857509"/>
    <w:rsid w:val="00857AC1"/>
    <w:rsid w:val="00857DA7"/>
    <w:rsid w:val="008600AB"/>
    <w:rsid w:val="00860A0C"/>
    <w:rsid w:val="00861247"/>
    <w:rsid w:val="00861930"/>
    <w:rsid w:val="00861E2E"/>
    <w:rsid w:val="0086244B"/>
    <w:rsid w:val="008628E6"/>
    <w:rsid w:val="00863020"/>
    <w:rsid w:val="0086332D"/>
    <w:rsid w:val="008633C6"/>
    <w:rsid w:val="0086367A"/>
    <w:rsid w:val="00863B6B"/>
    <w:rsid w:val="00863CCE"/>
    <w:rsid w:val="00863F05"/>
    <w:rsid w:val="00863FAF"/>
    <w:rsid w:val="00864A42"/>
    <w:rsid w:val="00865C5B"/>
    <w:rsid w:val="0086601B"/>
    <w:rsid w:val="0086777E"/>
    <w:rsid w:val="008701B1"/>
    <w:rsid w:val="008702B5"/>
    <w:rsid w:val="008708A1"/>
    <w:rsid w:val="00870D49"/>
    <w:rsid w:val="00871265"/>
    <w:rsid w:val="008712E7"/>
    <w:rsid w:val="0087178E"/>
    <w:rsid w:val="00871C4C"/>
    <w:rsid w:val="00871D58"/>
    <w:rsid w:val="00871E48"/>
    <w:rsid w:val="008728D7"/>
    <w:rsid w:val="00872D68"/>
    <w:rsid w:val="00873376"/>
    <w:rsid w:val="008733AE"/>
    <w:rsid w:val="008735EB"/>
    <w:rsid w:val="00873EE8"/>
    <w:rsid w:val="00874AD7"/>
    <w:rsid w:val="00874D98"/>
    <w:rsid w:val="0087566D"/>
    <w:rsid w:val="00875F95"/>
    <w:rsid w:val="00876006"/>
    <w:rsid w:val="008762E6"/>
    <w:rsid w:val="008763F7"/>
    <w:rsid w:val="00876A88"/>
    <w:rsid w:val="008774B9"/>
    <w:rsid w:val="00877945"/>
    <w:rsid w:val="00877AFF"/>
    <w:rsid w:val="00877B9C"/>
    <w:rsid w:val="00877ECC"/>
    <w:rsid w:val="00877FA3"/>
    <w:rsid w:val="00880FD5"/>
    <w:rsid w:val="0088159E"/>
    <w:rsid w:val="00881AB3"/>
    <w:rsid w:val="00881D8D"/>
    <w:rsid w:val="00882722"/>
    <w:rsid w:val="00882EEF"/>
    <w:rsid w:val="00883598"/>
    <w:rsid w:val="008838D8"/>
    <w:rsid w:val="00883FBB"/>
    <w:rsid w:val="00884479"/>
    <w:rsid w:val="008844C7"/>
    <w:rsid w:val="008846C7"/>
    <w:rsid w:val="00885261"/>
    <w:rsid w:val="00885E4E"/>
    <w:rsid w:val="008862F9"/>
    <w:rsid w:val="008863B0"/>
    <w:rsid w:val="008865B8"/>
    <w:rsid w:val="008867DF"/>
    <w:rsid w:val="00887435"/>
    <w:rsid w:val="008875E8"/>
    <w:rsid w:val="00887DE0"/>
    <w:rsid w:val="0089050E"/>
    <w:rsid w:val="0089054A"/>
    <w:rsid w:val="008906C7"/>
    <w:rsid w:val="008918C0"/>
    <w:rsid w:val="00891F2C"/>
    <w:rsid w:val="008923A5"/>
    <w:rsid w:val="00892551"/>
    <w:rsid w:val="00892A5A"/>
    <w:rsid w:val="00892AF4"/>
    <w:rsid w:val="00892C8C"/>
    <w:rsid w:val="00893002"/>
    <w:rsid w:val="008931F7"/>
    <w:rsid w:val="0089328D"/>
    <w:rsid w:val="00893454"/>
    <w:rsid w:val="0089396F"/>
    <w:rsid w:val="00893CEB"/>
    <w:rsid w:val="00893D80"/>
    <w:rsid w:val="0089406C"/>
    <w:rsid w:val="00894382"/>
    <w:rsid w:val="00894CC7"/>
    <w:rsid w:val="008951C2"/>
    <w:rsid w:val="008954E7"/>
    <w:rsid w:val="00895803"/>
    <w:rsid w:val="00895E6E"/>
    <w:rsid w:val="00896066"/>
    <w:rsid w:val="00896277"/>
    <w:rsid w:val="008968BF"/>
    <w:rsid w:val="008968EE"/>
    <w:rsid w:val="00896E1D"/>
    <w:rsid w:val="00896E81"/>
    <w:rsid w:val="00896FFC"/>
    <w:rsid w:val="00897181"/>
    <w:rsid w:val="008971D5"/>
    <w:rsid w:val="00897763"/>
    <w:rsid w:val="00897BD0"/>
    <w:rsid w:val="008A00B7"/>
    <w:rsid w:val="008A024C"/>
    <w:rsid w:val="008A061B"/>
    <w:rsid w:val="008A0738"/>
    <w:rsid w:val="008A0B4E"/>
    <w:rsid w:val="008A0BB3"/>
    <w:rsid w:val="008A1364"/>
    <w:rsid w:val="008A183A"/>
    <w:rsid w:val="008A2198"/>
    <w:rsid w:val="008A25FF"/>
    <w:rsid w:val="008A3FBC"/>
    <w:rsid w:val="008A45B9"/>
    <w:rsid w:val="008A4680"/>
    <w:rsid w:val="008A5403"/>
    <w:rsid w:val="008A634D"/>
    <w:rsid w:val="008A6516"/>
    <w:rsid w:val="008A6D07"/>
    <w:rsid w:val="008A75E5"/>
    <w:rsid w:val="008B0A11"/>
    <w:rsid w:val="008B0A4D"/>
    <w:rsid w:val="008B12E3"/>
    <w:rsid w:val="008B2C9F"/>
    <w:rsid w:val="008B2E07"/>
    <w:rsid w:val="008B334B"/>
    <w:rsid w:val="008B346E"/>
    <w:rsid w:val="008B377A"/>
    <w:rsid w:val="008B3D15"/>
    <w:rsid w:val="008B42B0"/>
    <w:rsid w:val="008B4D08"/>
    <w:rsid w:val="008B4F1B"/>
    <w:rsid w:val="008B4F3A"/>
    <w:rsid w:val="008B4F53"/>
    <w:rsid w:val="008B5B0C"/>
    <w:rsid w:val="008B5B6C"/>
    <w:rsid w:val="008B5DB3"/>
    <w:rsid w:val="008B6780"/>
    <w:rsid w:val="008B6966"/>
    <w:rsid w:val="008B6FB1"/>
    <w:rsid w:val="008B704A"/>
    <w:rsid w:val="008B78E1"/>
    <w:rsid w:val="008B7F2A"/>
    <w:rsid w:val="008C046A"/>
    <w:rsid w:val="008C04B4"/>
    <w:rsid w:val="008C04CF"/>
    <w:rsid w:val="008C0596"/>
    <w:rsid w:val="008C1FDF"/>
    <w:rsid w:val="008C20D2"/>
    <w:rsid w:val="008C3A93"/>
    <w:rsid w:val="008C3FE9"/>
    <w:rsid w:val="008C4C25"/>
    <w:rsid w:val="008C4E20"/>
    <w:rsid w:val="008C5086"/>
    <w:rsid w:val="008C5A0D"/>
    <w:rsid w:val="008C6013"/>
    <w:rsid w:val="008C6142"/>
    <w:rsid w:val="008C6193"/>
    <w:rsid w:val="008C6D27"/>
    <w:rsid w:val="008C79F3"/>
    <w:rsid w:val="008C7EDC"/>
    <w:rsid w:val="008D069C"/>
    <w:rsid w:val="008D1162"/>
    <w:rsid w:val="008D161E"/>
    <w:rsid w:val="008D1910"/>
    <w:rsid w:val="008D1C50"/>
    <w:rsid w:val="008D1FE0"/>
    <w:rsid w:val="008D205D"/>
    <w:rsid w:val="008D2609"/>
    <w:rsid w:val="008D2C7D"/>
    <w:rsid w:val="008D3398"/>
    <w:rsid w:val="008D3E35"/>
    <w:rsid w:val="008D46CA"/>
    <w:rsid w:val="008D4897"/>
    <w:rsid w:val="008D4EE0"/>
    <w:rsid w:val="008D5054"/>
    <w:rsid w:val="008D5284"/>
    <w:rsid w:val="008D6804"/>
    <w:rsid w:val="008D6DA3"/>
    <w:rsid w:val="008D6FDF"/>
    <w:rsid w:val="008D7965"/>
    <w:rsid w:val="008D7E55"/>
    <w:rsid w:val="008E02C1"/>
    <w:rsid w:val="008E0455"/>
    <w:rsid w:val="008E0CC8"/>
    <w:rsid w:val="008E0D28"/>
    <w:rsid w:val="008E0FFB"/>
    <w:rsid w:val="008E171E"/>
    <w:rsid w:val="008E1E48"/>
    <w:rsid w:val="008E1EDC"/>
    <w:rsid w:val="008E1F99"/>
    <w:rsid w:val="008E2293"/>
    <w:rsid w:val="008E2859"/>
    <w:rsid w:val="008E2A1C"/>
    <w:rsid w:val="008E2ADB"/>
    <w:rsid w:val="008E2B0C"/>
    <w:rsid w:val="008E2C30"/>
    <w:rsid w:val="008E3044"/>
    <w:rsid w:val="008E346F"/>
    <w:rsid w:val="008E3C3A"/>
    <w:rsid w:val="008E5C13"/>
    <w:rsid w:val="008E5D1F"/>
    <w:rsid w:val="008E613A"/>
    <w:rsid w:val="008E6E4D"/>
    <w:rsid w:val="008E6EA2"/>
    <w:rsid w:val="008E700D"/>
    <w:rsid w:val="008E72BB"/>
    <w:rsid w:val="008E74A0"/>
    <w:rsid w:val="008F007A"/>
    <w:rsid w:val="008F02FA"/>
    <w:rsid w:val="008F0446"/>
    <w:rsid w:val="008F0A6A"/>
    <w:rsid w:val="008F1187"/>
    <w:rsid w:val="008F124F"/>
    <w:rsid w:val="008F1550"/>
    <w:rsid w:val="008F166C"/>
    <w:rsid w:val="008F218C"/>
    <w:rsid w:val="008F21E8"/>
    <w:rsid w:val="008F2904"/>
    <w:rsid w:val="008F2A28"/>
    <w:rsid w:val="008F2CC9"/>
    <w:rsid w:val="008F2CF8"/>
    <w:rsid w:val="008F2D77"/>
    <w:rsid w:val="008F31B2"/>
    <w:rsid w:val="008F358B"/>
    <w:rsid w:val="008F3B22"/>
    <w:rsid w:val="008F3F38"/>
    <w:rsid w:val="008F3F90"/>
    <w:rsid w:val="008F43A9"/>
    <w:rsid w:val="008F45EC"/>
    <w:rsid w:val="008F475D"/>
    <w:rsid w:val="008F54C8"/>
    <w:rsid w:val="008F5575"/>
    <w:rsid w:val="008F596C"/>
    <w:rsid w:val="008F5B16"/>
    <w:rsid w:val="008F5BCE"/>
    <w:rsid w:val="008F6F6E"/>
    <w:rsid w:val="008F7190"/>
    <w:rsid w:val="008F7469"/>
    <w:rsid w:val="008F76F8"/>
    <w:rsid w:val="0090042B"/>
    <w:rsid w:val="00900B31"/>
    <w:rsid w:val="00901B66"/>
    <w:rsid w:val="0090265B"/>
    <w:rsid w:val="0090279A"/>
    <w:rsid w:val="00902B28"/>
    <w:rsid w:val="009036A6"/>
    <w:rsid w:val="00903B35"/>
    <w:rsid w:val="00903B77"/>
    <w:rsid w:val="00904079"/>
    <w:rsid w:val="009040FC"/>
    <w:rsid w:val="00904480"/>
    <w:rsid w:val="009047C4"/>
    <w:rsid w:val="00904894"/>
    <w:rsid w:val="00904FE4"/>
    <w:rsid w:val="00904FF3"/>
    <w:rsid w:val="009059F7"/>
    <w:rsid w:val="00905B8F"/>
    <w:rsid w:val="00905D94"/>
    <w:rsid w:val="00906A80"/>
    <w:rsid w:val="00906F3B"/>
    <w:rsid w:val="009072B2"/>
    <w:rsid w:val="00907643"/>
    <w:rsid w:val="00907AED"/>
    <w:rsid w:val="00910241"/>
    <w:rsid w:val="00912380"/>
    <w:rsid w:val="00912EAE"/>
    <w:rsid w:val="009131FE"/>
    <w:rsid w:val="009134B4"/>
    <w:rsid w:val="00913694"/>
    <w:rsid w:val="00913804"/>
    <w:rsid w:val="009139D1"/>
    <w:rsid w:val="009140FD"/>
    <w:rsid w:val="00914AC2"/>
    <w:rsid w:val="00914F9C"/>
    <w:rsid w:val="00915373"/>
    <w:rsid w:val="009153D5"/>
    <w:rsid w:val="00915ECE"/>
    <w:rsid w:val="00916C92"/>
    <w:rsid w:val="00917506"/>
    <w:rsid w:val="00917AAB"/>
    <w:rsid w:val="00917E23"/>
    <w:rsid w:val="00920401"/>
    <w:rsid w:val="0092080B"/>
    <w:rsid w:val="00920930"/>
    <w:rsid w:val="00920B8F"/>
    <w:rsid w:val="00921DA7"/>
    <w:rsid w:val="00922E8F"/>
    <w:rsid w:val="00922F8E"/>
    <w:rsid w:val="00923571"/>
    <w:rsid w:val="00923A3D"/>
    <w:rsid w:val="0092433C"/>
    <w:rsid w:val="00924857"/>
    <w:rsid w:val="00924970"/>
    <w:rsid w:val="00924D94"/>
    <w:rsid w:val="00925F07"/>
    <w:rsid w:val="00926B74"/>
    <w:rsid w:val="00926E75"/>
    <w:rsid w:val="00927282"/>
    <w:rsid w:val="00927EA1"/>
    <w:rsid w:val="00930143"/>
    <w:rsid w:val="009301D9"/>
    <w:rsid w:val="00930A09"/>
    <w:rsid w:val="00930CA3"/>
    <w:rsid w:val="00930D44"/>
    <w:rsid w:val="00931838"/>
    <w:rsid w:val="0093197B"/>
    <w:rsid w:val="00931BAE"/>
    <w:rsid w:val="00931EE6"/>
    <w:rsid w:val="00931FA4"/>
    <w:rsid w:val="00932081"/>
    <w:rsid w:val="00932AE2"/>
    <w:rsid w:val="00932FAC"/>
    <w:rsid w:val="009337F8"/>
    <w:rsid w:val="00933DB0"/>
    <w:rsid w:val="009340FB"/>
    <w:rsid w:val="009358E0"/>
    <w:rsid w:val="00935AF2"/>
    <w:rsid w:val="00935C81"/>
    <w:rsid w:val="00936571"/>
    <w:rsid w:val="00936575"/>
    <w:rsid w:val="009366B5"/>
    <w:rsid w:val="00936701"/>
    <w:rsid w:val="00936F0A"/>
    <w:rsid w:val="00937420"/>
    <w:rsid w:val="00937437"/>
    <w:rsid w:val="0093759A"/>
    <w:rsid w:val="00937D52"/>
    <w:rsid w:val="0094026D"/>
    <w:rsid w:val="009403FB"/>
    <w:rsid w:val="00940D0E"/>
    <w:rsid w:val="009410F5"/>
    <w:rsid w:val="0094155B"/>
    <w:rsid w:val="009420C4"/>
    <w:rsid w:val="0094228B"/>
    <w:rsid w:val="00942696"/>
    <w:rsid w:val="00942733"/>
    <w:rsid w:val="00942C65"/>
    <w:rsid w:val="009438D1"/>
    <w:rsid w:val="00944475"/>
    <w:rsid w:val="00944955"/>
    <w:rsid w:val="00944EFB"/>
    <w:rsid w:val="0094575F"/>
    <w:rsid w:val="009457D5"/>
    <w:rsid w:val="0094595D"/>
    <w:rsid w:val="00945C64"/>
    <w:rsid w:val="00945DBC"/>
    <w:rsid w:val="009468C8"/>
    <w:rsid w:val="00946CDF"/>
    <w:rsid w:val="00947852"/>
    <w:rsid w:val="00947BC4"/>
    <w:rsid w:val="00947D90"/>
    <w:rsid w:val="00947F0E"/>
    <w:rsid w:val="0095016A"/>
    <w:rsid w:val="0095134E"/>
    <w:rsid w:val="00951B07"/>
    <w:rsid w:val="00951B6E"/>
    <w:rsid w:val="00952123"/>
    <w:rsid w:val="00952198"/>
    <w:rsid w:val="009521C1"/>
    <w:rsid w:val="00952A8C"/>
    <w:rsid w:val="009531CE"/>
    <w:rsid w:val="009532DE"/>
    <w:rsid w:val="00954410"/>
    <w:rsid w:val="0095484A"/>
    <w:rsid w:val="009548A7"/>
    <w:rsid w:val="00954F7E"/>
    <w:rsid w:val="00954FED"/>
    <w:rsid w:val="00955BC9"/>
    <w:rsid w:val="00956303"/>
    <w:rsid w:val="00957065"/>
    <w:rsid w:val="00957097"/>
    <w:rsid w:val="0095780C"/>
    <w:rsid w:val="009602E8"/>
    <w:rsid w:val="009603A5"/>
    <w:rsid w:val="00960490"/>
    <w:rsid w:val="00960D81"/>
    <w:rsid w:val="009610E7"/>
    <w:rsid w:val="0096112F"/>
    <w:rsid w:val="009611E8"/>
    <w:rsid w:val="00961998"/>
    <w:rsid w:val="00962A53"/>
    <w:rsid w:val="009634AF"/>
    <w:rsid w:val="009635CB"/>
    <w:rsid w:val="00963835"/>
    <w:rsid w:val="00964303"/>
    <w:rsid w:val="00965FB1"/>
    <w:rsid w:val="00966374"/>
    <w:rsid w:val="009665AD"/>
    <w:rsid w:val="009666EF"/>
    <w:rsid w:val="00967B1F"/>
    <w:rsid w:val="00970702"/>
    <w:rsid w:val="00970AE6"/>
    <w:rsid w:val="00970C61"/>
    <w:rsid w:val="00971565"/>
    <w:rsid w:val="00971FF7"/>
    <w:rsid w:val="00972750"/>
    <w:rsid w:val="00972FAD"/>
    <w:rsid w:val="00973037"/>
    <w:rsid w:val="009736A3"/>
    <w:rsid w:val="0097383F"/>
    <w:rsid w:val="009740C7"/>
    <w:rsid w:val="00974C62"/>
    <w:rsid w:val="00974D97"/>
    <w:rsid w:val="00975244"/>
    <w:rsid w:val="00975334"/>
    <w:rsid w:val="00975450"/>
    <w:rsid w:val="00975EE2"/>
    <w:rsid w:val="00976350"/>
    <w:rsid w:val="00977A23"/>
    <w:rsid w:val="00977CA2"/>
    <w:rsid w:val="00977DD0"/>
    <w:rsid w:val="00977E43"/>
    <w:rsid w:val="00980089"/>
    <w:rsid w:val="00980219"/>
    <w:rsid w:val="009803FF"/>
    <w:rsid w:val="00980C58"/>
    <w:rsid w:val="0098166E"/>
    <w:rsid w:val="00981AA0"/>
    <w:rsid w:val="00981B3B"/>
    <w:rsid w:val="00982214"/>
    <w:rsid w:val="009829EE"/>
    <w:rsid w:val="00983970"/>
    <w:rsid w:val="00983A44"/>
    <w:rsid w:val="00983E72"/>
    <w:rsid w:val="00983F51"/>
    <w:rsid w:val="00984180"/>
    <w:rsid w:val="009847EA"/>
    <w:rsid w:val="00985268"/>
    <w:rsid w:val="00985765"/>
    <w:rsid w:val="00985AAD"/>
    <w:rsid w:val="00986461"/>
    <w:rsid w:val="009865E2"/>
    <w:rsid w:val="009867DD"/>
    <w:rsid w:val="00986A87"/>
    <w:rsid w:val="00986B33"/>
    <w:rsid w:val="00987255"/>
    <w:rsid w:val="00987553"/>
    <w:rsid w:val="009875CC"/>
    <w:rsid w:val="009875D9"/>
    <w:rsid w:val="00987AD5"/>
    <w:rsid w:val="00987B5B"/>
    <w:rsid w:val="009902A9"/>
    <w:rsid w:val="00990872"/>
    <w:rsid w:val="00990C0B"/>
    <w:rsid w:val="00991AE5"/>
    <w:rsid w:val="00991DCF"/>
    <w:rsid w:val="009924A4"/>
    <w:rsid w:val="00992566"/>
    <w:rsid w:val="00992A3B"/>
    <w:rsid w:val="009931E5"/>
    <w:rsid w:val="00993B2E"/>
    <w:rsid w:val="00994057"/>
    <w:rsid w:val="0099419B"/>
    <w:rsid w:val="009944AA"/>
    <w:rsid w:val="00994E7C"/>
    <w:rsid w:val="009951F1"/>
    <w:rsid w:val="00995530"/>
    <w:rsid w:val="0099558D"/>
    <w:rsid w:val="00995BB0"/>
    <w:rsid w:val="0099629C"/>
    <w:rsid w:val="00996542"/>
    <w:rsid w:val="00996A4F"/>
    <w:rsid w:val="00996C83"/>
    <w:rsid w:val="00996E99"/>
    <w:rsid w:val="00996FC7"/>
    <w:rsid w:val="0099759D"/>
    <w:rsid w:val="00997635"/>
    <w:rsid w:val="009978ED"/>
    <w:rsid w:val="00997B8E"/>
    <w:rsid w:val="00997BDA"/>
    <w:rsid w:val="00997DCC"/>
    <w:rsid w:val="00997EB2"/>
    <w:rsid w:val="009A0360"/>
    <w:rsid w:val="009A0588"/>
    <w:rsid w:val="009A07A0"/>
    <w:rsid w:val="009A0D04"/>
    <w:rsid w:val="009A0E9E"/>
    <w:rsid w:val="009A11EB"/>
    <w:rsid w:val="009A1350"/>
    <w:rsid w:val="009A1535"/>
    <w:rsid w:val="009A1889"/>
    <w:rsid w:val="009A2406"/>
    <w:rsid w:val="009A2B0A"/>
    <w:rsid w:val="009A2D6B"/>
    <w:rsid w:val="009A3195"/>
    <w:rsid w:val="009A339B"/>
    <w:rsid w:val="009A4F9E"/>
    <w:rsid w:val="009A51C0"/>
    <w:rsid w:val="009A606A"/>
    <w:rsid w:val="009A6310"/>
    <w:rsid w:val="009A6A72"/>
    <w:rsid w:val="009A78D8"/>
    <w:rsid w:val="009A7F4A"/>
    <w:rsid w:val="009B0107"/>
    <w:rsid w:val="009B0430"/>
    <w:rsid w:val="009B0743"/>
    <w:rsid w:val="009B09D1"/>
    <w:rsid w:val="009B09FD"/>
    <w:rsid w:val="009B0A5D"/>
    <w:rsid w:val="009B0C1B"/>
    <w:rsid w:val="009B0CF3"/>
    <w:rsid w:val="009B11BD"/>
    <w:rsid w:val="009B18A3"/>
    <w:rsid w:val="009B1FB0"/>
    <w:rsid w:val="009B235A"/>
    <w:rsid w:val="009B25D8"/>
    <w:rsid w:val="009B2A9A"/>
    <w:rsid w:val="009B2D5A"/>
    <w:rsid w:val="009B30B3"/>
    <w:rsid w:val="009B38B6"/>
    <w:rsid w:val="009B4137"/>
    <w:rsid w:val="009B4494"/>
    <w:rsid w:val="009B4998"/>
    <w:rsid w:val="009B5456"/>
    <w:rsid w:val="009B5CB9"/>
    <w:rsid w:val="009B61A5"/>
    <w:rsid w:val="009B628C"/>
    <w:rsid w:val="009B6487"/>
    <w:rsid w:val="009B6B7C"/>
    <w:rsid w:val="009B7138"/>
    <w:rsid w:val="009B7231"/>
    <w:rsid w:val="009B7494"/>
    <w:rsid w:val="009B77FC"/>
    <w:rsid w:val="009B79E9"/>
    <w:rsid w:val="009B7A5C"/>
    <w:rsid w:val="009B7EB7"/>
    <w:rsid w:val="009C1614"/>
    <w:rsid w:val="009C16FD"/>
    <w:rsid w:val="009C1C5C"/>
    <w:rsid w:val="009C1E9A"/>
    <w:rsid w:val="009C2B90"/>
    <w:rsid w:val="009C3080"/>
    <w:rsid w:val="009C328C"/>
    <w:rsid w:val="009C394F"/>
    <w:rsid w:val="009C3A20"/>
    <w:rsid w:val="009C4763"/>
    <w:rsid w:val="009C47CC"/>
    <w:rsid w:val="009C4961"/>
    <w:rsid w:val="009C52B1"/>
    <w:rsid w:val="009C5B55"/>
    <w:rsid w:val="009C5BEF"/>
    <w:rsid w:val="009C6AF3"/>
    <w:rsid w:val="009C6D4D"/>
    <w:rsid w:val="009C7277"/>
    <w:rsid w:val="009C7949"/>
    <w:rsid w:val="009D0122"/>
    <w:rsid w:val="009D0D7F"/>
    <w:rsid w:val="009D0FD0"/>
    <w:rsid w:val="009D1613"/>
    <w:rsid w:val="009D1B9C"/>
    <w:rsid w:val="009D2683"/>
    <w:rsid w:val="009D31CB"/>
    <w:rsid w:val="009D3AE6"/>
    <w:rsid w:val="009D3D6D"/>
    <w:rsid w:val="009D4366"/>
    <w:rsid w:val="009D4520"/>
    <w:rsid w:val="009D478A"/>
    <w:rsid w:val="009D4B0D"/>
    <w:rsid w:val="009D4D63"/>
    <w:rsid w:val="009D514E"/>
    <w:rsid w:val="009D5E82"/>
    <w:rsid w:val="009D696B"/>
    <w:rsid w:val="009D6DB7"/>
    <w:rsid w:val="009D72CB"/>
    <w:rsid w:val="009D781E"/>
    <w:rsid w:val="009D79AA"/>
    <w:rsid w:val="009D7B72"/>
    <w:rsid w:val="009E0371"/>
    <w:rsid w:val="009E11F8"/>
    <w:rsid w:val="009E164C"/>
    <w:rsid w:val="009E17BD"/>
    <w:rsid w:val="009E18F6"/>
    <w:rsid w:val="009E22E2"/>
    <w:rsid w:val="009E2748"/>
    <w:rsid w:val="009E33DE"/>
    <w:rsid w:val="009E36EE"/>
    <w:rsid w:val="009E44FD"/>
    <w:rsid w:val="009E4B21"/>
    <w:rsid w:val="009E4D5F"/>
    <w:rsid w:val="009E548B"/>
    <w:rsid w:val="009E54A0"/>
    <w:rsid w:val="009E584E"/>
    <w:rsid w:val="009E631F"/>
    <w:rsid w:val="009E658F"/>
    <w:rsid w:val="009E66EA"/>
    <w:rsid w:val="009E68D0"/>
    <w:rsid w:val="009E690F"/>
    <w:rsid w:val="009E6E13"/>
    <w:rsid w:val="009E7E81"/>
    <w:rsid w:val="009F024C"/>
    <w:rsid w:val="009F0EFC"/>
    <w:rsid w:val="009F2CAD"/>
    <w:rsid w:val="009F347C"/>
    <w:rsid w:val="009F3750"/>
    <w:rsid w:val="009F379A"/>
    <w:rsid w:val="009F3B3A"/>
    <w:rsid w:val="009F3CE5"/>
    <w:rsid w:val="009F453D"/>
    <w:rsid w:val="009F4659"/>
    <w:rsid w:val="009F48CF"/>
    <w:rsid w:val="009F4AF2"/>
    <w:rsid w:val="009F507B"/>
    <w:rsid w:val="009F5290"/>
    <w:rsid w:val="009F5649"/>
    <w:rsid w:val="009F5989"/>
    <w:rsid w:val="009F5A15"/>
    <w:rsid w:val="009F5BE7"/>
    <w:rsid w:val="009F5F01"/>
    <w:rsid w:val="009F6176"/>
    <w:rsid w:val="009F647D"/>
    <w:rsid w:val="009F683B"/>
    <w:rsid w:val="009F6867"/>
    <w:rsid w:val="009F6A2E"/>
    <w:rsid w:val="009F7AEC"/>
    <w:rsid w:val="009F7CE7"/>
    <w:rsid w:val="00A00424"/>
    <w:rsid w:val="00A007CD"/>
    <w:rsid w:val="00A013FB"/>
    <w:rsid w:val="00A015F9"/>
    <w:rsid w:val="00A0167B"/>
    <w:rsid w:val="00A01E1C"/>
    <w:rsid w:val="00A01FEC"/>
    <w:rsid w:val="00A0293E"/>
    <w:rsid w:val="00A0294D"/>
    <w:rsid w:val="00A03174"/>
    <w:rsid w:val="00A03CED"/>
    <w:rsid w:val="00A03ECC"/>
    <w:rsid w:val="00A03FCE"/>
    <w:rsid w:val="00A045DB"/>
    <w:rsid w:val="00A05B8D"/>
    <w:rsid w:val="00A06202"/>
    <w:rsid w:val="00A06503"/>
    <w:rsid w:val="00A06C6F"/>
    <w:rsid w:val="00A06CDC"/>
    <w:rsid w:val="00A07D05"/>
    <w:rsid w:val="00A10085"/>
    <w:rsid w:val="00A10153"/>
    <w:rsid w:val="00A10175"/>
    <w:rsid w:val="00A102BB"/>
    <w:rsid w:val="00A1044C"/>
    <w:rsid w:val="00A104DE"/>
    <w:rsid w:val="00A10900"/>
    <w:rsid w:val="00A10A67"/>
    <w:rsid w:val="00A11087"/>
    <w:rsid w:val="00A1116F"/>
    <w:rsid w:val="00A11686"/>
    <w:rsid w:val="00A131F8"/>
    <w:rsid w:val="00A13533"/>
    <w:rsid w:val="00A13A62"/>
    <w:rsid w:val="00A1474E"/>
    <w:rsid w:val="00A149F6"/>
    <w:rsid w:val="00A14E0E"/>
    <w:rsid w:val="00A1524E"/>
    <w:rsid w:val="00A15388"/>
    <w:rsid w:val="00A15F56"/>
    <w:rsid w:val="00A16404"/>
    <w:rsid w:val="00A168C8"/>
    <w:rsid w:val="00A16E16"/>
    <w:rsid w:val="00A172DE"/>
    <w:rsid w:val="00A1746B"/>
    <w:rsid w:val="00A17F6F"/>
    <w:rsid w:val="00A20B96"/>
    <w:rsid w:val="00A210D8"/>
    <w:rsid w:val="00A21A4E"/>
    <w:rsid w:val="00A22660"/>
    <w:rsid w:val="00A22A86"/>
    <w:rsid w:val="00A23369"/>
    <w:rsid w:val="00A24123"/>
    <w:rsid w:val="00A24E1D"/>
    <w:rsid w:val="00A250F9"/>
    <w:rsid w:val="00A25B54"/>
    <w:rsid w:val="00A25DA6"/>
    <w:rsid w:val="00A25DCF"/>
    <w:rsid w:val="00A25F49"/>
    <w:rsid w:val="00A2673A"/>
    <w:rsid w:val="00A26889"/>
    <w:rsid w:val="00A2706F"/>
    <w:rsid w:val="00A270B2"/>
    <w:rsid w:val="00A271E3"/>
    <w:rsid w:val="00A27549"/>
    <w:rsid w:val="00A27CEE"/>
    <w:rsid w:val="00A27FE4"/>
    <w:rsid w:val="00A3046A"/>
    <w:rsid w:val="00A306D1"/>
    <w:rsid w:val="00A30AD4"/>
    <w:rsid w:val="00A30C1D"/>
    <w:rsid w:val="00A30ECB"/>
    <w:rsid w:val="00A31862"/>
    <w:rsid w:val="00A318F8"/>
    <w:rsid w:val="00A32A10"/>
    <w:rsid w:val="00A33CDE"/>
    <w:rsid w:val="00A3414F"/>
    <w:rsid w:val="00A352ED"/>
    <w:rsid w:val="00A35307"/>
    <w:rsid w:val="00A354D7"/>
    <w:rsid w:val="00A35952"/>
    <w:rsid w:val="00A35AC6"/>
    <w:rsid w:val="00A35B65"/>
    <w:rsid w:val="00A36299"/>
    <w:rsid w:val="00A36D4D"/>
    <w:rsid w:val="00A37661"/>
    <w:rsid w:val="00A37CDA"/>
    <w:rsid w:val="00A40034"/>
    <w:rsid w:val="00A404BE"/>
    <w:rsid w:val="00A4057C"/>
    <w:rsid w:val="00A406F7"/>
    <w:rsid w:val="00A40A75"/>
    <w:rsid w:val="00A40AD7"/>
    <w:rsid w:val="00A40DDC"/>
    <w:rsid w:val="00A411AC"/>
    <w:rsid w:val="00A41495"/>
    <w:rsid w:val="00A41B03"/>
    <w:rsid w:val="00A41DA1"/>
    <w:rsid w:val="00A4220F"/>
    <w:rsid w:val="00A42A70"/>
    <w:rsid w:val="00A42E7E"/>
    <w:rsid w:val="00A43057"/>
    <w:rsid w:val="00A4330D"/>
    <w:rsid w:val="00A436AF"/>
    <w:rsid w:val="00A43ABE"/>
    <w:rsid w:val="00A441FA"/>
    <w:rsid w:val="00A449D3"/>
    <w:rsid w:val="00A44B76"/>
    <w:rsid w:val="00A44E0E"/>
    <w:rsid w:val="00A4501E"/>
    <w:rsid w:val="00A4508B"/>
    <w:rsid w:val="00A45239"/>
    <w:rsid w:val="00A45500"/>
    <w:rsid w:val="00A457BB"/>
    <w:rsid w:val="00A459E6"/>
    <w:rsid w:val="00A45D04"/>
    <w:rsid w:val="00A45DBC"/>
    <w:rsid w:val="00A45DC6"/>
    <w:rsid w:val="00A45FA6"/>
    <w:rsid w:val="00A468F3"/>
    <w:rsid w:val="00A46BE3"/>
    <w:rsid w:val="00A47879"/>
    <w:rsid w:val="00A47A4B"/>
    <w:rsid w:val="00A47D17"/>
    <w:rsid w:val="00A507E7"/>
    <w:rsid w:val="00A50882"/>
    <w:rsid w:val="00A5195C"/>
    <w:rsid w:val="00A52AF5"/>
    <w:rsid w:val="00A52CAB"/>
    <w:rsid w:val="00A5390A"/>
    <w:rsid w:val="00A53992"/>
    <w:rsid w:val="00A53CB2"/>
    <w:rsid w:val="00A53DF2"/>
    <w:rsid w:val="00A54754"/>
    <w:rsid w:val="00A54E5F"/>
    <w:rsid w:val="00A560C3"/>
    <w:rsid w:val="00A562F5"/>
    <w:rsid w:val="00A56478"/>
    <w:rsid w:val="00A564AB"/>
    <w:rsid w:val="00A57B77"/>
    <w:rsid w:val="00A57BC8"/>
    <w:rsid w:val="00A60035"/>
    <w:rsid w:val="00A60FD2"/>
    <w:rsid w:val="00A6162D"/>
    <w:rsid w:val="00A61825"/>
    <w:rsid w:val="00A61BD6"/>
    <w:rsid w:val="00A62041"/>
    <w:rsid w:val="00A625AD"/>
    <w:rsid w:val="00A62AB5"/>
    <w:rsid w:val="00A63335"/>
    <w:rsid w:val="00A633B7"/>
    <w:rsid w:val="00A63641"/>
    <w:rsid w:val="00A63D17"/>
    <w:rsid w:val="00A64096"/>
    <w:rsid w:val="00A64B50"/>
    <w:rsid w:val="00A653A7"/>
    <w:rsid w:val="00A6552E"/>
    <w:rsid w:val="00A6557F"/>
    <w:rsid w:val="00A65A9A"/>
    <w:rsid w:val="00A65FA0"/>
    <w:rsid w:val="00A65FF4"/>
    <w:rsid w:val="00A662C9"/>
    <w:rsid w:val="00A66859"/>
    <w:rsid w:val="00A668FE"/>
    <w:rsid w:val="00A66E67"/>
    <w:rsid w:val="00A66EEE"/>
    <w:rsid w:val="00A671F5"/>
    <w:rsid w:val="00A6746E"/>
    <w:rsid w:val="00A67799"/>
    <w:rsid w:val="00A67E0F"/>
    <w:rsid w:val="00A703AC"/>
    <w:rsid w:val="00A704E3"/>
    <w:rsid w:val="00A709BD"/>
    <w:rsid w:val="00A70EFB"/>
    <w:rsid w:val="00A71123"/>
    <w:rsid w:val="00A7178A"/>
    <w:rsid w:val="00A71B40"/>
    <w:rsid w:val="00A72175"/>
    <w:rsid w:val="00A72240"/>
    <w:rsid w:val="00A723F0"/>
    <w:rsid w:val="00A7261B"/>
    <w:rsid w:val="00A726B9"/>
    <w:rsid w:val="00A727C7"/>
    <w:rsid w:val="00A73385"/>
    <w:rsid w:val="00A738C6"/>
    <w:rsid w:val="00A738D3"/>
    <w:rsid w:val="00A73C85"/>
    <w:rsid w:val="00A7478F"/>
    <w:rsid w:val="00A74F38"/>
    <w:rsid w:val="00A753A3"/>
    <w:rsid w:val="00A754E0"/>
    <w:rsid w:val="00A75A5F"/>
    <w:rsid w:val="00A76A40"/>
    <w:rsid w:val="00A77357"/>
    <w:rsid w:val="00A77692"/>
    <w:rsid w:val="00A80076"/>
    <w:rsid w:val="00A8028B"/>
    <w:rsid w:val="00A80495"/>
    <w:rsid w:val="00A8195B"/>
    <w:rsid w:val="00A81EED"/>
    <w:rsid w:val="00A81F15"/>
    <w:rsid w:val="00A821EE"/>
    <w:rsid w:val="00A824ED"/>
    <w:rsid w:val="00A826A1"/>
    <w:rsid w:val="00A82881"/>
    <w:rsid w:val="00A83D18"/>
    <w:rsid w:val="00A83DE7"/>
    <w:rsid w:val="00A83FC4"/>
    <w:rsid w:val="00A84016"/>
    <w:rsid w:val="00A844F2"/>
    <w:rsid w:val="00A857DD"/>
    <w:rsid w:val="00A8599B"/>
    <w:rsid w:val="00A85A26"/>
    <w:rsid w:val="00A8648E"/>
    <w:rsid w:val="00A864C0"/>
    <w:rsid w:val="00A87030"/>
    <w:rsid w:val="00A878E2"/>
    <w:rsid w:val="00A87AD4"/>
    <w:rsid w:val="00A87D8D"/>
    <w:rsid w:val="00A87EC9"/>
    <w:rsid w:val="00A902B3"/>
    <w:rsid w:val="00A90AF7"/>
    <w:rsid w:val="00A90CB3"/>
    <w:rsid w:val="00A90DD4"/>
    <w:rsid w:val="00A90ECC"/>
    <w:rsid w:val="00A91151"/>
    <w:rsid w:val="00A9134C"/>
    <w:rsid w:val="00A91DDE"/>
    <w:rsid w:val="00A92D1E"/>
    <w:rsid w:val="00A93183"/>
    <w:rsid w:val="00A93203"/>
    <w:rsid w:val="00A938A4"/>
    <w:rsid w:val="00A93999"/>
    <w:rsid w:val="00A94174"/>
    <w:rsid w:val="00A9527B"/>
    <w:rsid w:val="00A95884"/>
    <w:rsid w:val="00A95BE5"/>
    <w:rsid w:val="00A95E12"/>
    <w:rsid w:val="00A96264"/>
    <w:rsid w:val="00A9652F"/>
    <w:rsid w:val="00A9654C"/>
    <w:rsid w:val="00A968D4"/>
    <w:rsid w:val="00A96A31"/>
    <w:rsid w:val="00A97086"/>
    <w:rsid w:val="00A97576"/>
    <w:rsid w:val="00A97756"/>
    <w:rsid w:val="00A97E00"/>
    <w:rsid w:val="00AA0F64"/>
    <w:rsid w:val="00AA0FA7"/>
    <w:rsid w:val="00AA172A"/>
    <w:rsid w:val="00AA1989"/>
    <w:rsid w:val="00AA1B65"/>
    <w:rsid w:val="00AA2517"/>
    <w:rsid w:val="00AA2B10"/>
    <w:rsid w:val="00AA2B50"/>
    <w:rsid w:val="00AA2D59"/>
    <w:rsid w:val="00AA35DC"/>
    <w:rsid w:val="00AA3B4C"/>
    <w:rsid w:val="00AA3B4E"/>
    <w:rsid w:val="00AA3CFC"/>
    <w:rsid w:val="00AA3D26"/>
    <w:rsid w:val="00AA4188"/>
    <w:rsid w:val="00AA433D"/>
    <w:rsid w:val="00AA491B"/>
    <w:rsid w:val="00AA4E12"/>
    <w:rsid w:val="00AA5390"/>
    <w:rsid w:val="00AA53AF"/>
    <w:rsid w:val="00AA57E7"/>
    <w:rsid w:val="00AA5D37"/>
    <w:rsid w:val="00AA6AE4"/>
    <w:rsid w:val="00AA6E07"/>
    <w:rsid w:val="00AA74CA"/>
    <w:rsid w:val="00AA7F88"/>
    <w:rsid w:val="00AB02C3"/>
    <w:rsid w:val="00AB0782"/>
    <w:rsid w:val="00AB0E39"/>
    <w:rsid w:val="00AB18CC"/>
    <w:rsid w:val="00AB20B7"/>
    <w:rsid w:val="00AB244C"/>
    <w:rsid w:val="00AB278F"/>
    <w:rsid w:val="00AB2BD9"/>
    <w:rsid w:val="00AB3A21"/>
    <w:rsid w:val="00AB4669"/>
    <w:rsid w:val="00AB4A70"/>
    <w:rsid w:val="00AB4CE1"/>
    <w:rsid w:val="00AB540D"/>
    <w:rsid w:val="00AB540E"/>
    <w:rsid w:val="00AB5B5B"/>
    <w:rsid w:val="00AB5CFA"/>
    <w:rsid w:val="00AB5D10"/>
    <w:rsid w:val="00AB69FE"/>
    <w:rsid w:val="00AB6A6C"/>
    <w:rsid w:val="00AB6AFB"/>
    <w:rsid w:val="00AB6BF1"/>
    <w:rsid w:val="00AB6CD9"/>
    <w:rsid w:val="00AB6FDC"/>
    <w:rsid w:val="00AB702D"/>
    <w:rsid w:val="00AB7195"/>
    <w:rsid w:val="00AB7386"/>
    <w:rsid w:val="00AB7A5E"/>
    <w:rsid w:val="00AB7ABF"/>
    <w:rsid w:val="00AC00B9"/>
    <w:rsid w:val="00AC0C09"/>
    <w:rsid w:val="00AC1784"/>
    <w:rsid w:val="00AC18B5"/>
    <w:rsid w:val="00AC1A8A"/>
    <w:rsid w:val="00AC1F09"/>
    <w:rsid w:val="00AC2698"/>
    <w:rsid w:val="00AC3045"/>
    <w:rsid w:val="00AC31CF"/>
    <w:rsid w:val="00AC35F0"/>
    <w:rsid w:val="00AC43C6"/>
    <w:rsid w:val="00AC523E"/>
    <w:rsid w:val="00AC5828"/>
    <w:rsid w:val="00AC5C94"/>
    <w:rsid w:val="00AC61EC"/>
    <w:rsid w:val="00AC69B2"/>
    <w:rsid w:val="00AD06EB"/>
    <w:rsid w:val="00AD0F38"/>
    <w:rsid w:val="00AD116D"/>
    <w:rsid w:val="00AD1524"/>
    <w:rsid w:val="00AD19AA"/>
    <w:rsid w:val="00AD1BC7"/>
    <w:rsid w:val="00AD245B"/>
    <w:rsid w:val="00AD295F"/>
    <w:rsid w:val="00AD31CD"/>
    <w:rsid w:val="00AD3559"/>
    <w:rsid w:val="00AD3DB3"/>
    <w:rsid w:val="00AD4976"/>
    <w:rsid w:val="00AD49CA"/>
    <w:rsid w:val="00AD4AED"/>
    <w:rsid w:val="00AD4B9A"/>
    <w:rsid w:val="00AD4D52"/>
    <w:rsid w:val="00AD4E7B"/>
    <w:rsid w:val="00AD61C1"/>
    <w:rsid w:val="00AD63A0"/>
    <w:rsid w:val="00AD63E9"/>
    <w:rsid w:val="00AD6C03"/>
    <w:rsid w:val="00AD7103"/>
    <w:rsid w:val="00AD7677"/>
    <w:rsid w:val="00AD77E3"/>
    <w:rsid w:val="00AD7967"/>
    <w:rsid w:val="00AD7D25"/>
    <w:rsid w:val="00AE0112"/>
    <w:rsid w:val="00AE0B2A"/>
    <w:rsid w:val="00AE1CBE"/>
    <w:rsid w:val="00AE1E05"/>
    <w:rsid w:val="00AE1EDD"/>
    <w:rsid w:val="00AE2597"/>
    <w:rsid w:val="00AE2890"/>
    <w:rsid w:val="00AE3668"/>
    <w:rsid w:val="00AE3ABA"/>
    <w:rsid w:val="00AE3C0B"/>
    <w:rsid w:val="00AE4E07"/>
    <w:rsid w:val="00AE4F37"/>
    <w:rsid w:val="00AE5AEF"/>
    <w:rsid w:val="00AE5BE4"/>
    <w:rsid w:val="00AE60E6"/>
    <w:rsid w:val="00AE6441"/>
    <w:rsid w:val="00AE649D"/>
    <w:rsid w:val="00AE6630"/>
    <w:rsid w:val="00AE765F"/>
    <w:rsid w:val="00AE7A65"/>
    <w:rsid w:val="00AE7B1A"/>
    <w:rsid w:val="00AE7B56"/>
    <w:rsid w:val="00AF0A1F"/>
    <w:rsid w:val="00AF175F"/>
    <w:rsid w:val="00AF17E7"/>
    <w:rsid w:val="00AF1F5E"/>
    <w:rsid w:val="00AF2940"/>
    <w:rsid w:val="00AF2E3C"/>
    <w:rsid w:val="00AF3506"/>
    <w:rsid w:val="00AF3868"/>
    <w:rsid w:val="00AF3BA7"/>
    <w:rsid w:val="00AF3C9B"/>
    <w:rsid w:val="00AF3CF5"/>
    <w:rsid w:val="00AF404D"/>
    <w:rsid w:val="00AF4798"/>
    <w:rsid w:val="00AF4823"/>
    <w:rsid w:val="00AF49CE"/>
    <w:rsid w:val="00AF4C93"/>
    <w:rsid w:val="00AF52FB"/>
    <w:rsid w:val="00AF53B3"/>
    <w:rsid w:val="00AF5DA2"/>
    <w:rsid w:val="00AF5E27"/>
    <w:rsid w:val="00AF6FBE"/>
    <w:rsid w:val="00AF7044"/>
    <w:rsid w:val="00AF723D"/>
    <w:rsid w:val="00AF75DA"/>
    <w:rsid w:val="00AF7BB8"/>
    <w:rsid w:val="00B001DC"/>
    <w:rsid w:val="00B00606"/>
    <w:rsid w:val="00B00B0A"/>
    <w:rsid w:val="00B0125C"/>
    <w:rsid w:val="00B0131D"/>
    <w:rsid w:val="00B01494"/>
    <w:rsid w:val="00B023C9"/>
    <w:rsid w:val="00B0251E"/>
    <w:rsid w:val="00B026BD"/>
    <w:rsid w:val="00B027DE"/>
    <w:rsid w:val="00B02976"/>
    <w:rsid w:val="00B02CDF"/>
    <w:rsid w:val="00B02F25"/>
    <w:rsid w:val="00B03382"/>
    <w:rsid w:val="00B03835"/>
    <w:rsid w:val="00B03BA0"/>
    <w:rsid w:val="00B04F97"/>
    <w:rsid w:val="00B05DF9"/>
    <w:rsid w:val="00B05E7B"/>
    <w:rsid w:val="00B05FAF"/>
    <w:rsid w:val="00B06137"/>
    <w:rsid w:val="00B066D6"/>
    <w:rsid w:val="00B06D85"/>
    <w:rsid w:val="00B06F76"/>
    <w:rsid w:val="00B07025"/>
    <w:rsid w:val="00B07158"/>
    <w:rsid w:val="00B10B78"/>
    <w:rsid w:val="00B11644"/>
    <w:rsid w:val="00B11842"/>
    <w:rsid w:val="00B1238A"/>
    <w:rsid w:val="00B12939"/>
    <w:rsid w:val="00B12C56"/>
    <w:rsid w:val="00B13634"/>
    <w:rsid w:val="00B13CAB"/>
    <w:rsid w:val="00B13D48"/>
    <w:rsid w:val="00B13E4B"/>
    <w:rsid w:val="00B14446"/>
    <w:rsid w:val="00B14598"/>
    <w:rsid w:val="00B14BA5"/>
    <w:rsid w:val="00B14F62"/>
    <w:rsid w:val="00B14FD8"/>
    <w:rsid w:val="00B15011"/>
    <w:rsid w:val="00B15480"/>
    <w:rsid w:val="00B15535"/>
    <w:rsid w:val="00B1553C"/>
    <w:rsid w:val="00B15B6E"/>
    <w:rsid w:val="00B16555"/>
    <w:rsid w:val="00B16782"/>
    <w:rsid w:val="00B168A3"/>
    <w:rsid w:val="00B16E02"/>
    <w:rsid w:val="00B17A23"/>
    <w:rsid w:val="00B201E6"/>
    <w:rsid w:val="00B20222"/>
    <w:rsid w:val="00B20C53"/>
    <w:rsid w:val="00B21040"/>
    <w:rsid w:val="00B216B2"/>
    <w:rsid w:val="00B216D6"/>
    <w:rsid w:val="00B219E0"/>
    <w:rsid w:val="00B21AED"/>
    <w:rsid w:val="00B22102"/>
    <w:rsid w:val="00B22917"/>
    <w:rsid w:val="00B22B1D"/>
    <w:rsid w:val="00B233BE"/>
    <w:rsid w:val="00B23926"/>
    <w:rsid w:val="00B23F0F"/>
    <w:rsid w:val="00B2481F"/>
    <w:rsid w:val="00B248D6"/>
    <w:rsid w:val="00B24948"/>
    <w:rsid w:val="00B24FEF"/>
    <w:rsid w:val="00B2593E"/>
    <w:rsid w:val="00B25B92"/>
    <w:rsid w:val="00B26372"/>
    <w:rsid w:val="00B2695D"/>
    <w:rsid w:val="00B26AAE"/>
    <w:rsid w:val="00B26DC9"/>
    <w:rsid w:val="00B26FC3"/>
    <w:rsid w:val="00B272DE"/>
    <w:rsid w:val="00B30171"/>
    <w:rsid w:val="00B302E2"/>
    <w:rsid w:val="00B305B7"/>
    <w:rsid w:val="00B308CD"/>
    <w:rsid w:val="00B30956"/>
    <w:rsid w:val="00B3123A"/>
    <w:rsid w:val="00B31584"/>
    <w:rsid w:val="00B321D5"/>
    <w:rsid w:val="00B3237C"/>
    <w:rsid w:val="00B3291A"/>
    <w:rsid w:val="00B3328F"/>
    <w:rsid w:val="00B33B73"/>
    <w:rsid w:val="00B34549"/>
    <w:rsid w:val="00B3470E"/>
    <w:rsid w:val="00B35123"/>
    <w:rsid w:val="00B3549A"/>
    <w:rsid w:val="00B3560F"/>
    <w:rsid w:val="00B356CA"/>
    <w:rsid w:val="00B36060"/>
    <w:rsid w:val="00B3635C"/>
    <w:rsid w:val="00B36D15"/>
    <w:rsid w:val="00B372C2"/>
    <w:rsid w:val="00B37BD8"/>
    <w:rsid w:val="00B37F2D"/>
    <w:rsid w:val="00B37F77"/>
    <w:rsid w:val="00B4043C"/>
    <w:rsid w:val="00B4044E"/>
    <w:rsid w:val="00B4055C"/>
    <w:rsid w:val="00B409E9"/>
    <w:rsid w:val="00B40B15"/>
    <w:rsid w:val="00B40C85"/>
    <w:rsid w:val="00B40F29"/>
    <w:rsid w:val="00B418B0"/>
    <w:rsid w:val="00B420B4"/>
    <w:rsid w:val="00B42148"/>
    <w:rsid w:val="00B426F8"/>
    <w:rsid w:val="00B42A85"/>
    <w:rsid w:val="00B42D78"/>
    <w:rsid w:val="00B42FB1"/>
    <w:rsid w:val="00B4378E"/>
    <w:rsid w:val="00B43FF9"/>
    <w:rsid w:val="00B4441C"/>
    <w:rsid w:val="00B44AB1"/>
    <w:rsid w:val="00B44DF4"/>
    <w:rsid w:val="00B44F64"/>
    <w:rsid w:val="00B4569D"/>
    <w:rsid w:val="00B45B74"/>
    <w:rsid w:val="00B45EA2"/>
    <w:rsid w:val="00B4613E"/>
    <w:rsid w:val="00B464D0"/>
    <w:rsid w:val="00B46678"/>
    <w:rsid w:val="00B46AA2"/>
    <w:rsid w:val="00B46CE0"/>
    <w:rsid w:val="00B474AE"/>
    <w:rsid w:val="00B500FD"/>
    <w:rsid w:val="00B50423"/>
    <w:rsid w:val="00B5046D"/>
    <w:rsid w:val="00B505AF"/>
    <w:rsid w:val="00B50F82"/>
    <w:rsid w:val="00B5117C"/>
    <w:rsid w:val="00B51B1E"/>
    <w:rsid w:val="00B51F7D"/>
    <w:rsid w:val="00B52303"/>
    <w:rsid w:val="00B523ED"/>
    <w:rsid w:val="00B52B21"/>
    <w:rsid w:val="00B52D30"/>
    <w:rsid w:val="00B53EC7"/>
    <w:rsid w:val="00B542DD"/>
    <w:rsid w:val="00B54570"/>
    <w:rsid w:val="00B54966"/>
    <w:rsid w:val="00B54BA8"/>
    <w:rsid w:val="00B54C26"/>
    <w:rsid w:val="00B553DE"/>
    <w:rsid w:val="00B56DB4"/>
    <w:rsid w:val="00B57123"/>
    <w:rsid w:val="00B571ED"/>
    <w:rsid w:val="00B57459"/>
    <w:rsid w:val="00B57503"/>
    <w:rsid w:val="00B57782"/>
    <w:rsid w:val="00B57E5B"/>
    <w:rsid w:val="00B6017E"/>
    <w:rsid w:val="00B603EF"/>
    <w:rsid w:val="00B6079D"/>
    <w:rsid w:val="00B60DA4"/>
    <w:rsid w:val="00B61192"/>
    <w:rsid w:val="00B61591"/>
    <w:rsid w:val="00B61F82"/>
    <w:rsid w:val="00B62095"/>
    <w:rsid w:val="00B629FF"/>
    <w:rsid w:val="00B62D54"/>
    <w:rsid w:val="00B63455"/>
    <w:rsid w:val="00B6369C"/>
    <w:rsid w:val="00B641A4"/>
    <w:rsid w:val="00B645B8"/>
    <w:rsid w:val="00B649A1"/>
    <w:rsid w:val="00B6519A"/>
    <w:rsid w:val="00B6563F"/>
    <w:rsid w:val="00B65831"/>
    <w:rsid w:val="00B65EE3"/>
    <w:rsid w:val="00B664B5"/>
    <w:rsid w:val="00B6655C"/>
    <w:rsid w:val="00B66B76"/>
    <w:rsid w:val="00B66BA0"/>
    <w:rsid w:val="00B67588"/>
    <w:rsid w:val="00B676EA"/>
    <w:rsid w:val="00B7011D"/>
    <w:rsid w:val="00B70467"/>
    <w:rsid w:val="00B704FF"/>
    <w:rsid w:val="00B706B7"/>
    <w:rsid w:val="00B708F3"/>
    <w:rsid w:val="00B709D3"/>
    <w:rsid w:val="00B70BB1"/>
    <w:rsid w:val="00B70DB4"/>
    <w:rsid w:val="00B70E97"/>
    <w:rsid w:val="00B70FF7"/>
    <w:rsid w:val="00B715A2"/>
    <w:rsid w:val="00B7170E"/>
    <w:rsid w:val="00B718A8"/>
    <w:rsid w:val="00B72268"/>
    <w:rsid w:val="00B72769"/>
    <w:rsid w:val="00B72C0B"/>
    <w:rsid w:val="00B735F1"/>
    <w:rsid w:val="00B7442E"/>
    <w:rsid w:val="00B747B0"/>
    <w:rsid w:val="00B747DF"/>
    <w:rsid w:val="00B74D69"/>
    <w:rsid w:val="00B753BB"/>
    <w:rsid w:val="00B75EC0"/>
    <w:rsid w:val="00B75FB7"/>
    <w:rsid w:val="00B763D5"/>
    <w:rsid w:val="00B76BC8"/>
    <w:rsid w:val="00B76D85"/>
    <w:rsid w:val="00B770BB"/>
    <w:rsid w:val="00B7721B"/>
    <w:rsid w:val="00B77956"/>
    <w:rsid w:val="00B80566"/>
    <w:rsid w:val="00B80B69"/>
    <w:rsid w:val="00B814B2"/>
    <w:rsid w:val="00B8174C"/>
    <w:rsid w:val="00B81863"/>
    <w:rsid w:val="00B81C9C"/>
    <w:rsid w:val="00B81F88"/>
    <w:rsid w:val="00B81FBB"/>
    <w:rsid w:val="00B82465"/>
    <w:rsid w:val="00B8264B"/>
    <w:rsid w:val="00B828E0"/>
    <w:rsid w:val="00B82913"/>
    <w:rsid w:val="00B8308A"/>
    <w:rsid w:val="00B835CF"/>
    <w:rsid w:val="00B84AFE"/>
    <w:rsid w:val="00B85916"/>
    <w:rsid w:val="00B86B38"/>
    <w:rsid w:val="00B87237"/>
    <w:rsid w:val="00B8760E"/>
    <w:rsid w:val="00B878D2"/>
    <w:rsid w:val="00B87DE2"/>
    <w:rsid w:val="00B87F5F"/>
    <w:rsid w:val="00B90286"/>
    <w:rsid w:val="00B90454"/>
    <w:rsid w:val="00B90F96"/>
    <w:rsid w:val="00B91C40"/>
    <w:rsid w:val="00B92001"/>
    <w:rsid w:val="00B92339"/>
    <w:rsid w:val="00B9321C"/>
    <w:rsid w:val="00B93465"/>
    <w:rsid w:val="00B93988"/>
    <w:rsid w:val="00B93B86"/>
    <w:rsid w:val="00B93BAE"/>
    <w:rsid w:val="00B93FFF"/>
    <w:rsid w:val="00B95096"/>
    <w:rsid w:val="00B954A9"/>
    <w:rsid w:val="00B9569A"/>
    <w:rsid w:val="00B961CF"/>
    <w:rsid w:val="00B964EB"/>
    <w:rsid w:val="00B9669E"/>
    <w:rsid w:val="00B96963"/>
    <w:rsid w:val="00B96A88"/>
    <w:rsid w:val="00B96B9D"/>
    <w:rsid w:val="00B96ED3"/>
    <w:rsid w:val="00BA0367"/>
    <w:rsid w:val="00BA069E"/>
    <w:rsid w:val="00BA0D84"/>
    <w:rsid w:val="00BA1B9F"/>
    <w:rsid w:val="00BA1C38"/>
    <w:rsid w:val="00BA1E9E"/>
    <w:rsid w:val="00BA1FFB"/>
    <w:rsid w:val="00BA2331"/>
    <w:rsid w:val="00BA290E"/>
    <w:rsid w:val="00BA2A98"/>
    <w:rsid w:val="00BA2AF2"/>
    <w:rsid w:val="00BA38EF"/>
    <w:rsid w:val="00BA3F00"/>
    <w:rsid w:val="00BA4E97"/>
    <w:rsid w:val="00BA58F1"/>
    <w:rsid w:val="00BA5B3B"/>
    <w:rsid w:val="00BA5BB1"/>
    <w:rsid w:val="00BA62BE"/>
    <w:rsid w:val="00BA666E"/>
    <w:rsid w:val="00BA6D89"/>
    <w:rsid w:val="00BA6DF8"/>
    <w:rsid w:val="00BA6F68"/>
    <w:rsid w:val="00BB013C"/>
    <w:rsid w:val="00BB0F1B"/>
    <w:rsid w:val="00BB27FA"/>
    <w:rsid w:val="00BB3247"/>
    <w:rsid w:val="00BB3762"/>
    <w:rsid w:val="00BB453F"/>
    <w:rsid w:val="00BB4931"/>
    <w:rsid w:val="00BB4B55"/>
    <w:rsid w:val="00BB4D3F"/>
    <w:rsid w:val="00BB502F"/>
    <w:rsid w:val="00BB6A57"/>
    <w:rsid w:val="00BB6FF0"/>
    <w:rsid w:val="00BB75FA"/>
    <w:rsid w:val="00BB7815"/>
    <w:rsid w:val="00BC0115"/>
    <w:rsid w:val="00BC03C4"/>
    <w:rsid w:val="00BC0A13"/>
    <w:rsid w:val="00BC0FDC"/>
    <w:rsid w:val="00BC0FF3"/>
    <w:rsid w:val="00BC1665"/>
    <w:rsid w:val="00BC1E6A"/>
    <w:rsid w:val="00BC1FA5"/>
    <w:rsid w:val="00BC21F4"/>
    <w:rsid w:val="00BC2516"/>
    <w:rsid w:val="00BC2648"/>
    <w:rsid w:val="00BC32A0"/>
    <w:rsid w:val="00BC40E4"/>
    <w:rsid w:val="00BC4812"/>
    <w:rsid w:val="00BC4E3F"/>
    <w:rsid w:val="00BC51D8"/>
    <w:rsid w:val="00BC5DA7"/>
    <w:rsid w:val="00BC5ED2"/>
    <w:rsid w:val="00BC6570"/>
    <w:rsid w:val="00BC6805"/>
    <w:rsid w:val="00BC6C24"/>
    <w:rsid w:val="00BC7233"/>
    <w:rsid w:val="00BC7461"/>
    <w:rsid w:val="00BC75AF"/>
    <w:rsid w:val="00BC7914"/>
    <w:rsid w:val="00BD0287"/>
    <w:rsid w:val="00BD0907"/>
    <w:rsid w:val="00BD0BB8"/>
    <w:rsid w:val="00BD0D3A"/>
    <w:rsid w:val="00BD1D75"/>
    <w:rsid w:val="00BD1E79"/>
    <w:rsid w:val="00BD2364"/>
    <w:rsid w:val="00BD2393"/>
    <w:rsid w:val="00BD2AEF"/>
    <w:rsid w:val="00BD2ED1"/>
    <w:rsid w:val="00BD2F09"/>
    <w:rsid w:val="00BD3317"/>
    <w:rsid w:val="00BD3FA6"/>
    <w:rsid w:val="00BD4140"/>
    <w:rsid w:val="00BD49A7"/>
    <w:rsid w:val="00BD4EA9"/>
    <w:rsid w:val="00BD4F4C"/>
    <w:rsid w:val="00BD5256"/>
    <w:rsid w:val="00BD544B"/>
    <w:rsid w:val="00BD54D4"/>
    <w:rsid w:val="00BD57BB"/>
    <w:rsid w:val="00BD5EC4"/>
    <w:rsid w:val="00BD609A"/>
    <w:rsid w:val="00BD68B0"/>
    <w:rsid w:val="00BD69BD"/>
    <w:rsid w:val="00BD763F"/>
    <w:rsid w:val="00BD77EF"/>
    <w:rsid w:val="00BE00A8"/>
    <w:rsid w:val="00BE0698"/>
    <w:rsid w:val="00BE0A2C"/>
    <w:rsid w:val="00BE0BA4"/>
    <w:rsid w:val="00BE0F7D"/>
    <w:rsid w:val="00BE1C5E"/>
    <w:rsid w:val="00BE1E53"/>
    <w:rsid w:val="00BE2266"/>
    <w:rsid w:val="00BE237F"/>
    <w:rsid w:val="00BE2385"/>
    <w:rsid w:val="00BE246D"/>
    <w:rsid w:val="00BE2AFB"/>
    <w:rsid w:val="00BE340F"/>
    <w:rsid w:val="00BE34AF"/>
    <w:rsid w:val="00BE3583"/>
    <w:rsid w:val="00BE3656"/>
    <w:rsid w:val="00BE38EF"/>
    <w:rsid w:val="00BE42D9"/>
    <w:rsid w:val="00BE43B1"/>
    <w:rsid w:val="00BE44D1"/>
    <w:rsid w:val="00BE479B"/>
    <w:rsid w:val="00BE54C9"/>
    <w:rsid w:val="00BE5BCD"/>
    <w:rsid w:val="00BE6740"/>
    <w:rsid w:val="00BE7317"/>
    <w:rsid w:val="00BE73EA"/>
    <w:rsid w:val="00BE7784"/>
    <w:rsid w:val="00BE788A"/>
    <w:rsid w:val="00BE7D1D"/>
    <w:rsid w:val="00BE7F52"/>
    <w:rsid w:val="00BF06CD"/>
    <w:rsid w:val="00BF083B"/>
    <w:rsid w:val="00BF0A8D"/>
    <w:rsid w:val="00BF124B"/>
    <w:rsid w:val="00BF135F"/>
    <w:rsid w:val="00BF1480"/>
    <w:rsid w:val="00BF15AD"/>
    <w:rsid w:val="00BF1765"/>
    <w:rsid w:val="00BF17AA"/>
    <w:rsid w:val="00BF1890"/>
    <w:rsid w:val="00BF1993"/>
    <w:rsid w:val="00BF1A1C"/>
    <w:rsid w:val="00BF1E38"/>
    <w:rsid w:val="00BF1F61"/>
    <w:rsid w:val="00BF223A"/>
    <w:rsid w:val="00BF2C54"/>
    <w:rsid w:val="00BF2D5C"/>
    <w:rsid w:val="00BF3A55"/>
    <w:rsid w:val="00BF4166"/>
    <w:rsid w:val="00BF419B"/>
    <w:rsid w:val="00BF4303"/>
    <w:rsid w:val="00BF4590"/>
    <w:rsid w:val="00BF46D2"/>
    <w:rsid w:val="00BF5343"/>
    <w:rsid w:val="00BF557C"/>
    <w:rsid w:val="00BF566F"/>
    <w:rsid w:val="00BF5AD4"/>
    <w:rsid w:val="00BF6157"/>
    <w:rsid w:val="00BF7937"/>
    <w:rsid w:val="00BF7D4E"/>
    <w:rsid w:val="00BF7E75"/>
    <w:rsid w:val="00C005E6"/>
    <w:rsid w:val="00C00845"/>
    <w:rsid w:val="00C009C5"/>
    <w:rsid w:val="00C00DA5"/>
    <w:rsid w:val="00C01173"/>
    <w:rsid w:val="00C012C8"/>
    <w:rsid w:val="00C0149D"/>
    <w:rsid w:val="00C01D8F"/>
    <w:rsid w:val="00C0227A"/>
    <w:rsid w:val="00C0235D"/>
    <w:rsid w:val="00C0236C"/>
    <w:rsid w:val="00C0295E"/>
    <w:rsid w:val="00C0317C"/>
    <w:rsid w:val="00C0326C"/>
    <w:rsid w:val="00C036F2"/>
    <w:rsid w:val="00C03D04"/>
    <w:rsid w:val="00C03EF1"/>
    <w:rsid w:val="00C04DC9"/>
    <w:rsid w:val="00C053FB"/>
    <w:rsid w:val="00C05654"/>
    <w:rsid w:val="00C0578F"/>
    <w:rsid w:val="00C057D4"/>
    <w:rsid w:val="00C05B09"/>
    <w:rsid w:val="00C05CAC"/>
    <w:rsid w:val="00C06342"/>
    <w:rsid w:val="00C0635C"/>
    <w:rsid w:val="00C06418"/>
    <w:rsid w:val="00C06592"/>
    <w:rsid w:val="00C065B3"/>
    <w:rsid w:val="00C07297"/>
    <w:rsid w:val="00C07451"/>
    <w:rsid w:val="00C075D7"/>
    <w:rsid w:val="00C0777F"/>
    <w:rsid w:val="00C079AA"/>
    <w:rsid w:val="00C10207"/>
    <w:rsid w:val="00C1031B"/>
    <w:rsid w:val="00C11798"/>
    <w:rsid w:val="00C12565"/>
    <w:rsid w:val="00C13492"/>
    <w:rsid w:val="00C1362F"/>
    <w:rsid w:val="00C14337"/>
    <w:rsid w:val="00C14515"/>
    <w:rsid w:val="00C14859"/>
    <w:rsid w:val="00C14DB1"/>
    <w:rsid w:val="00C14EA6"/>
    <w:rsid w:val="00C153CA"/>
    <w:rsid w:val="00C153E7"/>
    <w:rsid w:val="00C15722"/>
    <w:rsid w:val="00C15A29"/>
    <w:rsid w:val="00C16558"/>
    <w:rsid w:val="00C16704"/>
    <w:rsid w:val="00C167A2"/>
    <w:rsid w:val="00C16908"/>
    <w:rsid w:val="00C16D9F"/>
    <w:rsid w:val="00C16E8C"/>
    <w:rsid w:val="00C174CE"/>
    <w:rsid w:val="00C1762E"/>
    <w:rsid w:val="00C2059C"/>
    <w:rsid w:val="00C20BCB"/>
    <w:rsid w:val="00C2178B"/>
    <w:rsid w:val="00C21B32"/>
    <w:rsid w:val="00C21F3B"/>
    <w:rsid w:val="00C224D3"/>
    <w:rsid w:val="00C226D7"/>
    <w:rsid w:val="00C226F5"/>
    <w:rsid w:val="00C23A02"/>
    <w:rsid w:val="00C23D8D"/>
    <w:rsid w:val="00C2406F"/>
    <w:rsid w:val="00C240AF"/>
    <w:rsid w:val="00C24556"/>
    <w:rsid w:val="00C245A0"/>
    <w:rsid w:val="00C24787"/>
    <w:rsid w:val="00C25242"/>
    <w:rsid w:val="00C25A82"/>
    <w:rsid w:val="00C260CF"/>
    <w:rsid w:val="00C260D3"/>
    <w:rsid w:val="00C2619D"/>
    <w:rsid w:val="00C26CE5"/>
    <w:rsid w:val="00C275BD"/>
    <w:rsid w:val="00C278B5"/>
    <w:rsid w:val="00C30279"/>
    <w:rsid w:val="00C306EB"/>
    <w:rsid w:val="00C3098B"/>
    <w:rsid w:val="00C30CE8"/>
    <w:rsid w:val="00C319D3"/>
    <w:rsid w:val="00C31BD4"/>
    <w:rsid w:val="00C32B0B"/>
    <w:rsid w:val="00C33025"/>
    <w:rsid w:val="00C33923"/>
    <w:rsid w:val="00C33BBE"/>
    <w:rsid w:val="00C33C6C"/>
    <w:rsid w:val="00C33E7F"/>
    <w:rsid w:val="00C34144"/>
    <w:rsid w:val="00C3447D"/>
    <w:rsid w:val="00C3464A"/>
    <w:rsid w:val="00C34897"/>
    <w:rsid w:val="00C34B4E"/>
    <w:rsid w:val="00C35469"/>
    <w:rsid w:val="00C36592"/>
    <w:rsid w:val="00C36751"/>
    <w:rsid w:val="00C372F0"/>
    <w:rsid w:val="00C37E02"/>
    <w:rsid w:val="00C402AF"/>
    <w:rsid w:val="00C40364"/>
    <w:rsid w:val="00C40D64"/>
    <w:rsid w:val="00C41ADE"/>
    <w:rsid w:val="00C41B87"/>
    <w:rsid w:val="00C422E3"/>
    <w:rsid w:val="00C427F9"/>
    <w:rsid w:val="00C42E7B"/>
    <w:rsid w:val="00C42EA5"/>
    <w:rsid w:val="00C42F6E"/>
    <w:rsid w:val="00C43032"/>
    <w:rsid w:val="00C435D6"/>
    <w:rsid w:val="00C438E8"/>
    <w:rsid w:val="00C43E7D"/>
    <w:rsid w:val="00C4458B"/>
    <w:rsid w:val="00C4493A"/>
    <w:rsid w:val="00C44E95"/>
    <w:rsid w:val="00C451FC"/>
    <w:rsid w:val="00C45CC1"/>
    <w:rsid w:val="00C45CEE"/>
    <w:rsid w:val="00C46AB3"/>
    <w:rsid w:val="00C46C5B"/>
    <w:rsid w:val="00C4753F"/>
    <w:rsid w:val="00C47A24"/>
    <w:rsid w:val="00C503AD"/>
    <w:rsid w:val="00C50CD9"/>
    <w:rsid w:val="00C50F2F"/>
    <w:rsid w:val="00C51523"/>
    <w:rsid w:val="00C51636"/>
    <w:rsid w:val="00C516AF"/>
    <w:rsid w:val="00C5177E"/>
    <w:rsid w:val="00C51EFC"/>
    <w:rsid w:val="00C5209B"/>
    <w:rsid w:val="00C521A4"/>
    <w:rsid w:val="00C52A51"/>
    <w:rsid w:val="00C52AC3"/>
    <w:rsid w:val="00C53BF7"/>
    <w:rsid w:val="00C53C65"/>
    <w:rsid w:val="00C53DA3"/>
    <w:rsid w:val="00C53E6A"/>
    <w:rsid w:val="00C54930"/>
    <w:rsid w:val="00C5496D"/>
    <w:rsid w:val="00C5506B"/>
    <w:rsid w:val="00C5558A"/>
    <w:rsid w:val="00C55B16"/>
    <w:rsid w:val="00C55EA2"/>
    <w:rsid w:val="00C56382"/>
    <w:rsid w:val="00C56878"/>
    <w:rsid w:val="00C5696C"/>
    <w:rsid w:val="00C5741A"/>
    <w:rsid w:val="00C57C79"/>
    <w:rsid w:val="00C57EC5"/>
    <w:rsid w:val="00C60327"/>
    <w:rsid w:val="00C6034A"/>
    <w:rsid w:val="00C60413"/>
    <w:rsid w:val="00C605F7"/>
    <w:rsid w:val="00C606F3"/>
    <w:rsid w:val="00C60909"/>
    <w:rsid w:val="00C6121B"/>
    <w:rsid w:val="00C614C7"/>
    <w:rsid w:val="00C617EB"/>
    <w:rsid w:val="00C62289"/>
    <w:rsid w:val="00C62AE0"/>
    <w:rsid w:val="00C630DE"/>
    <w:rsid w:val="00C63308"/>
    <w:rsid w:val="00C633B6"/>
    <w:rsid w:val="00C63638"/>
    <w:rsid w:val="00C64277"/>
    <w:rsid w:val="00C64282"/>
    <w:rsid w:val="00C64801"/>
    <w:rsid w:val="00C64F08"/>
    <w:rsid w:val="00C650F8"/>
    <w:rsid w:val="00C66532"/>
    <w:rsid w:val="00C66C96"/>
    <w:rsid w:val="00C7005E"/>
    <w:rsid w:val="00C706DE"/>
    <w:rsid w:val="00C70A1E"/>
    <w:rsid w:val="00C70EF5"/>
    <w:rsid w:val="00C71D29"/>
    <w:rsid w:val="00C721C3"/>
    <w:rsid w:val="00C72496"/>
    <w:rsid w:val="00C728A2"/>
    <w:rsid w:val="00C72A9A"/>
    <w:rsid w:val="00C72D10"/>
    <w:rsid w:val="00C730B9"/>
    <w:rsid w:val="00C7344D"/>
    <w:rsid w:val="00C73906"/>
    <w:rsid w:val="00C7437F"/>
    <w:rsid w:val="00C749F5"/>
    <w:rsid w:val="00C74E9D"/>
    <w:rsid w:val="00C7503D"/>
    <w:rsid w:val="00C75181"/>
    <w:rsid w:val="00C75743"/>
    <w:rsid w:val="00C7590E"/>
    <w:rsid w:val="00C76007"/>
    <w:rsid w:val="00C76253"/>
    <w:rsid w:val="00C76680"/>
    <w:rsid w:val="00C77115"/>
    <w:rsid w:val="00C802D0"/>
    <w:rsid w:val="00C80AF9"/>
    <w:rsid w:val="00C80CD3"/>
    <w:rsid w:val="00C813DB"/>
    <w:rsid w:val="00C8181F"/>
    <w:rsid w:val="00C81962"/>
    <w:rsid w:val="00C81BBF"/>
    <w:rsid w:val="00C81C7C"/>
    <w:rsid w:val="00C81CE0"/>
    <w:rsid w:val="00C82DE6"/>
    <w:rsid w:val="00C83983"/>
    <w:rsid w:val="00C839DC"/>
    <w:rsid w:val="00C83C6E"/>
    <w:rsid w:val="00C84249"/>
    <w:rsid w:val="00C84AE9"/>
    <w:rsid w:val="00C8516D"/>
    <w:rsid w:val="00C85BF1"/>
    <w:rsid w:val="00C8640B"/>
    <w:rsid w:val="00C86A61"/>
    <w:rsid w:val="00C86B44"/>
    <w:rsid w:val="00C873C0"/>
    <w:rsid w:val="00C87B50"/>
    <w:rsid w:val="00C87FEE"/>
    <w:rsid w:val="00C91AD0"/>
    <w:rsid w:val="00C920FC"/>
    <w:rsid w:val="00C92916"/>
    <w:rsid w:val="00C92D89"/>
    <w:rsid w:val="00C93223"/>
    <w:rsid w:val="00C9390F"/>
    <w:rsid w:val="00C94212"/>
    <w:rsid w:val="00C94403"/>
    <w:rsid w:val="00C94715"/>
    <w:rsid w:val="00C94A5A"/>
    <w:rsid w:val="00C94D0D"/>
    <w:rsid w:val="00C94E80"/>
    <w:rsid w:val="00C952E7"/>
    <w:rsid w:val="00C95326"/>
    <w:rsid w:val="00C954F5"/>
    <w:rsid w:val="00C96ADC"/>
    <w:rsid w:val="00C96CAD"/>
    <w:rsid w:val="00C96EE4"/>
    <w:rsid w:val="00C971D5"/>
    <w:rsid w:val="00CA0CC3"/>
    <w:rsid w:val="00CA0DA2"/>
    <w:rsid w:val="00CA11A6"/>
    <w:rsid w:val="00CA18EC"/>
    <w:rsid w:val="00CA284B"/>
    <w:rsid w:val="00CA2C9E"/>
    <w:rsid w:val="00CA2CA8"/>
    <w:rsid w:val="00CA2CC4"/>
    <w:rsid w:val="00CA2F8D"/>
    <w:rsid w:val="00CA37EF"/>
    <w:rsid w:val="00CA3857"/>
    <w:rsid w:val="00CA3D22"/>
    <w:rsid w:val="00CA4002"/>
    <w:rsid w:val="00CA43DB"/>
    <w:rsid w:val="00CA4536"/>
    <w:rsid w:val="00CA52CC"/>
    <w:rsid w:val="00CA5D23"/>
    <w:rsid w:val="00CA5DF5"/>
    <w:rsid w:val="00CA6313"/>
    <w:rsid w:val="00CA7D6A"/>
    <w:rsid w:val="00CA7DA5"/>
    <w:rsid w:val="00CA7F81"/>
    <w:rsid w:val="00CB02BE"/>
    <w:rsid w:val="00CB032F"/>
    <w:rsid w:val="00CB0F7B"/>
    <w:rsid w:val="00CB1D20"/>
    <w:rsid w:val="00CB1FEA"/>
    <w:rsid w:val="00CB2942"/>
    <w:rsid w:val="00CB2DB1"/>
    <w:rsid w:val="00CB2DE7"/>
    <w:rsid w:val="00CB3775"/>
    <w:rsid w:val="00CB3E24"/>
    <w:rsid w:val="00CB46C0"/>
    <w:rsid w:val="00CB51C3"/>
    <w:rsid w:val="00CB51C9"/>
    <w:rsid w:val="00CB5360"/>
    <w:rsid w:val="00CB610D"/>
    <w:rsid w:val="00CB623B"/>
    <w:rsid w:val="00CB627A"/>
    <w:rsid w:val="00CB657E"/>
    <w:rsid w:val="00CB6E43"/>
    <w:rsid w:val="00CB6F4A"/>
    <w:rsid w:val="00CB7443"/>
    <w:rsid w:val="00CB7B6B"/>
    <w:rsid w:val="00CB7B98"/>
    <w:rsid w:val="00CB7FD1"/>
    <w:rsid w:val="00CC0824"/>
    <w:rsid w:val="00CC0910"/>
    <w:rsid w:val="00CC0AD7"/>
    <w:rsid w:val="00CC10EA"/>
    <w:rsid w:val="00CC2140"/>
    <w:rsid w:val="00CC23C8"/>
    <w:rsid w:val="00CC26FD"/>
    <w:rsid w:val="00CC2857"/>
    <w:rsid w:val="00CC2E2C"/>
    <w:rsid w:val="00CC2F8E"/>
    <w:rsid w:val="00CC33D3"/>
    <w:rsid w:val="00CC4551"/>
    <w:rsid w:val="00CC45C6"/>
    <w:rsid w:val="00CC4C0B"/>
    <w:rsid w:val="00CC5235"/>
    <w:rsid w:val="00CC5501"/>
    <w:rsid w:val="00CC5560"/>
    <w:rsid w:val="00CC5A5D"/>
    <w:rsid w:val="00CC5EA0"/>
    <w:rsid w:val="00CC67C8"/>
    <w:rsid w:val="00CC6869"/>
    <w:rsid w:val="00CC69A4"/>
    <w:rsid w:val="00CC72E5"/>
    <w:rsid w:val="00CC7614"/>
    <w:rsid w:val="00CC793D"/>
    <w:rsid w:val="00CC7E2A"/>
    <w:rsid w:val="00CD02B4"/>
    <w:rsid w:val="00CD0315"/>
    <w:rsid w:val="00CD06ED"/>
    <w:rsid w:val="00CD096F"/>
    <w:rsid w:val="00CD0F73"/>
    <w:rsid w:val="00CD1058"/>
    <w:rsid w:val="00CD13D2"/>
    <w:rsid w:val="00CD159D"/>
    <w:rsid w:val="00CD1990"/>
    <w:rsid w:val="00CD255F"/>
    <w:rsid w:val="00CD27FC"/>
    <w:rsid w:val="00CD2E30"/>
    <w:rsid w:val="00CD3047"/>
    <w:rsid w:val="00CD30B4"/>
    <w:rsid w:val="00CD3740"/>
    <w:rsid w:val="00CD38C0"/>
    <w:rsid w:val="00CD3CB8"/>
    <w:rsid w:val="00CD410F"/>
    <w:rsid w:val="00CD4473"/>
    <w:rsid w:val="00CD4489"/>
    <w:rsid w:val="00CD4F25"/>
    <w:rsid w:val="00CD52A7"/>
    <w:rsid w:val="00CD5D28"/>
    <w:rsid w:val="00CD5EF1"/>
    <w:rsid w:val="00CD605A"/>
    <w:rsid w:val="00CD626A"/>
    <w:rsid w:val="00CD6667"/>
    <w:rsid w:val="00CD6A37"/>
    <w:rsid w:val="00CD728B"/>
    <w:rsid w:val="00CD7D23"/>
    <w:rsid w:val="00CD7E59"/>
    <w:rsid w:val="00CE0071"/>
    <w:rsid w:val="00CE0E83"/>
    <w:rsid w:val="00CE12FC"/>
    <w:rsid w:val="00CE1405"/>
    <w:rsid w:val="00CE1B4A"/>
    <w:rsid w:val="00CE1BF3"/>
    <w:rsid w:val="00CE1CE4"/>
    <w:rsid w:val="00CE1D80"/>
    <w:rsid w:val="00CE2744"/>
    <w:rsid w:val="00CE29C8"/>
    <w:rsid w:val="00CE29EB"/>
    <w:rsid w:val="00CE34BB"/>
    <w:rsid w:val="00CE38E4"/>
    <w:rsid w:val="00CE391F"/>
    <w:rsid w:val="00CE43B0"/>
    <w:rsid w:val="00CE4D8B"/>
    <w:rsid w:val="00CE57FE"/>
    <w:rsid w:val="00CE5822"/>
    <w:rsid w:val="00CE5EF2"/>
    <w:rsid w:val="00CE6458"/>
    <w:rsid w:val="00CE676A"/>
    <w:rsid w:val="00CE6ECE"/>
    <w:rsid w:val="00CE71CB"/>
    <w:rsid w:val="00CE7847"/>
    <w:rsid w:val="00CE79A9"/>
    <w:rsid w:val="00CE7A82"/>
    <w:rsid w:val="00CE7F8A"/>
    <w:rsid w:val="00CF0E6C"/>
    <w:rsid w:val="00CF0F83"/>
    <w:rsid w:val="00CF107E"/>
    <w:rsid w:val="00CF10BE"/>
    <w:rsid w:val="00CF112A"/>
    <w:rsid w:val="00CF1853"/>
    <w:rsid w:val="00CF20ED"/>
    <w:rsid w:val="00CF2257"/>
    <w:rsid w:val="00CF2A67"/>
    <w:rsid w:val="00CF2E64"/>
    <w:rsid w:val="00CF38F5"/>
    <w:rsid w:val="00CF3B4E"/>
    <w:rsid w:val="00CF3D53"/>
    <w:rsid w:val="00CF40DF"/>
    <w:rsid w:val="00CF424C"/>
    <w:rsid w:val="00CF43EC"/>
    <w:rsid w:val="00CF5D2F"/>
    <w:rsid w:val="00CF64D4"/>
    <w:rsid w:val="00CF6813"/>
    <w:rsid w:val="00CF6B64"/>
    <w:rsid w:val="00CF6DB8"/>
    <w:rsid w:val="00CF73A0"/>
    <w:rsid w:val="00CF773C"/>
    <w:rsid w:val="00CF7B32"/>
    <w:rsid w:val="00D006E6"/>
    <w:rsid w:val="00D00864"/>
    <w:rsid w:val="00D01042"/>
    <w:rsid w:val="00D0142A"/>
    <w:rsid w:val="00D01502"/>
    <w:rsid w:val="00D019E0"/>
    <w:rsid w:val="00D024D6"/>
    <w:rsid w:val="00D02694"/>
    <w:rsid w:val="00D02EF5"/>
    <w:rsid w:val="00D03196"/>
    <w:rsid w:val="00D033E4"/>
    <w:rsid w:val="00D03416"/>
    <w:rsid w:val="00D03872"/>
    <w:rsid w:val="00D05EE9"/>
    <w:rsid w:val="00D0691B"/>
    <w:rsid w:val="00D06AA5"/>
    <w:rsid w:val="00D06AC5"/>
    <w:rsid w:val="00D06D76"/>
    <w:rsid w:val="00D06DBD"/>
    <w:rsid w:val="00D07BFA"/>
    <w:rsid w:val="00D10128"/>
    <w:rsid w:val="00D10278"/>
    <w:rsid w:val="00D10584"/>
    <w:rsid w:val="00D10747"/>
    <w:rsid w:val="00D10956"/>
    <w:rsid w:val="00D10B22"/>
    <w:rsid w:val="00D11464"/>
    <w:rsid w:val="00D11493"/>
    <w:rsid w:val="00D116AF"/>
    <w:rsid w:val="00D11E0A"/>
    <w:rsid w:val="00D12295"/>
    <w:rsid w:val="00D12559"/>
    <w:rsid w:val="00D1277D"/>
    <w:rsid w:val="00D13144"/>
    <w:rsid w:val="00D14465"/>
    <w:rsid w:val="00D15273"/>
    <w:rsid w:val="00D15E42"/>
    <w:rsid w:val="00D16156"/>
    <w:rsid w:val="00D16B9A"/>
    <w:rsid w:val="00D173F4"/>
    <w:rsid w:val="00D17BF9"/>
    <w:rsid w:val="00D17D57"/>
    <w:rsid w:val="00D17F3B"/>
    <w:rsid w:val="00D17F98"/>
    <w:rsid w:val="00D20001"/>
    <w:rsid w:val="00D202E7"/>
    <w:rsid w:val="00D20821"/>
    <w:rsid w:val="00D2136C"/>
    <w:rsid w:val="00D217AB"/>
    <w:rsid w:val="00D21843"/>
    <w:rsid w:val="00D22F6A"/>
    <w:rsid w:val="00D23531"/>
    <w:rsid w:val="00D23838"/>
    <w:rsid w:val="00D23BB5"/>
    <w:rsid w:val="00D23EA9"/>
    <w:rsid w:val="00D24772"/>
    <w:rsid w:val="00D248C7"/>
    <w:rsid w:val="00D248DE"/>
    <w:rsid w:val="00D251C9"/>
    <w:rsid w:val="00D252F3"/>
    <w:rsid w:val="00D2562A"/>
    <w:rsid w:val="00D25CE6"/>
    <w:rsid w:val="00D25CFF"/>
    <w:rsid w:val="00D25DA8"/>
    <w:rsid w:val="00D26044"/>
    <w:rsid w:val="00D2623B"/>
    <w:rsid w:val="00D2722B"/>
    <w:rsid w:val="00D27310"/>
    <w:rsid w:val="00D27431"/>
    <w:rsid w:val="00D300E8"/>
    <w:rsid w:val="00D30533"/>
    <w:rsid w:val="00D3075F"/>
    <w:rsid w:val="00D3099A"/>
    <w:rsid w:val="00D30CA0"/>
    <w:rsid w:val="00D3121C"/>
    <w:rsid w:val="00D3123B"/>
    <w:rsid w:val="00D318D3"/>
    <w:rsid w:val="00D31C3E"/>
    <w:rsid w:val="00D332B6"/>
    <w:rsid w:val="00D333AD"/>
    <w:rsid w:val="00D33C36"/>
    <w:rsid w:val="00D33D4B"/>
    <w:rsid w:val="00D33E13"/>
    <w:rsid w:val="00D34420"/>
    <w:rsid w:val="00D34C41"/>
    <w:rsid w:val="00D35569"/>
    <w:rsid w:val="00D360FA"/>
    <w:rsid w:val="00D366DF"/>
    <w:rsid w:val="00D36F4F"/>
    <w:rsid w:val="00D37ABA"/>
    <w:rsid w:val="00D40117"/>
    <w:rsid w:val="00D401EA"/>
    <w:rsid w:val="00D40318"/>
    <w:rsid w:val="00D40624"/>
    <w:rsid w:val="00D408F0"/>
    <w:rsid w:val="00D41543"/>
    <w:rsid w:val="00D419DF"/>
    <w:rsid w:val="00D41AF3"/>
    <w:rsid w:val="00D42014"/>
    <w:rsid w:val="00D4263B"/>
    <w:rsid w:val="00D42B80"/>
    <w:rsid w:val="00D453EE"/>
    <w:rsid w:val="00D4569B"/>
    <w:rsid w:val="00D457BC"/>
    <w:rsid w:val="00D45DAC"/>
    <w:rsid w:val="00D4612F"/>
    <w:rsid w:val="00D462B3"/>
    <w:rsid w:val="00D462DA"/>
    <w:rsid w:val="00D46C16"/>
    <w:rsid w:val="00D47097"/>
    <w:rsid w:val="00D4723D"/>
    <w:rsid w:val="00D47359"/>
    <w:rsid w:val="00D47566"/>
    <w:rsid w:val="00D47612"/>
    <w:rsid w:val="00D505C5"/>
    <w:rsid w:val="00D50734"/>
    <w:rsid w:val="00D50B17"/>
    <w:rsid w:val="00D50F8F"/>
    <w:rsid w:val="00D5136B"/>
    <w:rsid w:val="00D5165B"/>
    <w:rsid w:val="00D517BD"/>
    <w:rsid w:val="00D523B1"/>
    <w:rsid w:val="00D523CA"/>
    <w:rsid w:val="00D531F0"/>
    <w:rsid w:val="00D532EC"/>
    <w:rsid w:val="00D54605"/>
    <w:rsid w:val="00D5465E"/>
    <w:rsid w:val="00D54E9D"/>
    <w:rsid w:val="00D553EE"/>
    <w:rsid w:val="00D55527"/>
    <w:rsid w:val="00D5556E"/>
    <w:rsid w:val="00D55AB9"/>
    <w:rsid w:val="00D55ACA"/>
    <w:rsid w:val="00D55B2C"/>
    <w:rsid w:val="00D55FE6"/>
    <w:rsid w:val="00D566A1"/>
    <w:rsid w:val="00D56733"/>
    <w:rsid w:val="00D56938"/>
    <w:rsid w:val="00D56F7D"/>
    <w:rsid w:val="00D574BD"/>
    <w:rsid w:val="00D575B0"/>
    <w:rsid w:val="00D5762D"/>
    <w:rsid w:val="00D60317"/>
    <w:rsid w:val="00D6034F"/>
    <w:rsid w:val="00D60750"/>
    <w:rsid w:val="00D60E37"/>
    <w:rsid w:val="00D61555"/>
    <w:rsid w:val="00D61D5F"/>
    <w:rsid w:val="00D623AD"/>
    <w:rsid w:val="00D62A14"/>
    <w:rsid w:val="00D62E3F"/>
    <w:rsid w:val="00D63015"/>
    <w:rsid w:val="00D64367"/>
    <w:rsid w:val="00D643F0"/>
    <w:rsid w:val="00D648B0"/>
    <w:rsid w:val="00D64B1F"/>
    <w:rsid w:val="00D64B48"/>
    <w:rsid w:val="00D652DF"/>
    <w:rsid w:val="00D65FC8"/>
    <w:rsid w:val="00D66158"/>
    <w:rsid w:val="00D6680F"/>
    <w:rsid w:val="00D66868"/>
    <w:rsid w:val="00D67072"/>
    <w:rsid w:val="00D674BA"/>
    <w:rsid w:val="00D67600"/>
    <w:rsid w:val="00D67A92"/>
    <w:rsid w:val="00D67BA7"/>
    <w:rsid w:val="00D67BE0"/>
    <w:rsid w:val="00D67D39"/>
    <w:rsid w:val="00D70E96"/>
    <w:rsid w:val="00D71227"/>
    <w:rsid w:val="00D71484"/>
    <w:rsid w:val="00D7193E"/>
    <w:rsid w:val="00D7251B"/>
    <w:rsid w:val="00D7278C"/>
    <w:rsid w:val="00D7283B"/>
    <w:rsid w:val="00D72943"/>
    <w:rsid w:val="00D72E8C"/>
    <w:rsid w:val="00D72EFC"/>
    <w:rsid w:val="00D72F96"/>
    <w:rsid w:val="00D73350"/>
    <w:rsid w:val="00D74A44"/>
    <w:rsid w:val="00D750F2"/>
    <w:rsid w:val="00D76F1A"/>
    <w:rsid w:val="00D772C8"/>
    <w:rsid w:val="00D772E3"/>
    <w:rsid w:val="00D802F3"/>
    <w:rsid w:val="00D80AF1"/>
    <w:rsid w:val="00D80F3B"/>
    <w:rsid w:val="00D81166"/>
    <w:rsid w:val="00D81650"/>
    <w:rsid w:val="00D81745"/>
    <w:rsid w:val="00D81E4D"/>
    <w:rsid w:val="00D82422"/>
    <w:rsid w:val="00D8263F"/>
    <w:rsid w:val="00D83B52"/>
    <w:rsid w:val="00D84EE5"/>
    <w:rsid w:val="00D85019"/>
    <w:rsid w:val="00D85672"/>
    <w:rsid w:val="00D86178"/>
    <w:rsid w:val="00D86572"/>
    <w:rsid w:val="00D86BF8"/>
    <w:rsid w:val="00D870AA"/>
    <w:rsid w:val="00D8763B"/>
    <w:rsid w:val="00D87AB9"/>
    <w:rsid w:val="00D90BB0"/>
    <w:rsid w:val="00D90F16"/>
    <w:rsid w:val="00D9179D"/>
    <w:rsid w:val="00D918FC"/>
    <w:rsid w:val="00D93168"/>
    <w:rsid w:val="00D93215"/>
    <w:rsid w:val="00D93394"/>
    <w:rsid w:val="00D93571"/>
    <w:rsid w:val="00D9379C"/>
    <w:rsid w:val="00D93B03"/>
    <w:rsid w:val="00D93BE9"/>
    <w:rsid w:val="00D94045"/>
    <w:rsid w:val="00D940FA"/>
    <w:rsid w:val="00D94248"/>
    <w:rsid w:val="00D9449F"/>
    <w:rsid w:val="00D94835"/>
    <w:rsid w:val="00D94B37"/>
    <w:rsid w:val="00D951F8"/>
    <w:rsid w:val="00D9524F"/>
    <w:rsid w:val="00D954FD"/>
    <w:rsid w:val="00D958A9"/>
    <w:rsid w:val="00D958E2"/>
    <w:rsid w:val="00D95F14"/>
    <w:rsid w:val="00D95F85"/>
    <w:rsid w:val="00D9624D"/>
    <w:rsid w:val="00D96F17"/>
    <w:rsid w:val="00D96F18"/>
    <w:rsid w:val="00D9797C"/>
    <w:rsid w:val="00D97EBE"/>
    <w:rsid w:val="00DA00FE"/>
    <w:rsid w:val="00DA07C4"/>
    <w:rsid w:val="00DA0CAF"/>
    <w:rsid w:val="00DA1199"/>
    <w:rsid w:val="00DA1272"/>
    <w:rsid w:val="00DA1886"/>
    <w:rsid w:val="00DA1C4C"/>
    <w:rsid w:val="00DA2F16"/>
    <w:rsid w:val="00DA2FDD"/>
    <w:rsid w:val="00DA323E"/>
    <w:rsid w:val="00DA3569"/>
    <w:rsid w:val="00DA4B2B"/>
    <w:rsid w:val="00DA4C19"/>
    <w:rsid w:val="00DA4F26"/>
    <w:rsid w:val="00DA502A"/>
    <w:rsid w:val="00DA5755"/>
    <w:rsid w:val="00DA5CBA"/>
    <w:rsid w:val="00DA5FE8"/>
    <w:rsid w:val="00DA6307"/>
    <w:rsid w:val="00DA704C"/>
    <w:rsid w:val="00DA7295"/>
    <w:rsid w:val="00DA757C"/>
    <w:rsid w:val="00DA76BB"/>
    <w:rsid w:val="00DA7A06"/>
    <w:rsid w:val="00DA7A31"/>
    <w:rsid w:val="00DA7C0D"/>
    <w:rsid w:val="00DB1327"/>
    <w:rsid w:val="00DB15B0"/>
    <w:rsid w:val="00DB1600"/>
    <w:rsid w:val="00DB19F7"/>
    <w:rsid w:val="00DB223A"/>
    <w:rsid w:val="00DB3053"/>
    <w:rsid w:val="00DB3497"/>
    <w:rsid w:val="00DB3737"/>
    <w:rsid w:val="00DB3BC8"/>
    <w:rsid w:val="00DB3F29"/>
    <w:rsid w:val="00DB47ED"/>
    <w:rsid w:val="00DB4D2B"/>
    <w:rsid w:val="00DB4E6C"/>
    <w:rsid w:val="00DB4E6E"/>
    <w:rsid w:val="00DB504B"/>
    <w:rsid w:val="00DB56BE"/>
    <w:rsid w:val="00DB586E"/>
    <w:rsid w:val="00DB5EC7"/>
    <w:rsid w:val="00DB64AC"/>
    <w:rsid w:val="00DB73FC"/>
    <w:rsid w:val="00DB79A1"/>
    <w:rsid w:val="00DC02B8"/>
    <w:rsid w:val="00DC03C7"/>
    <w:rsid w:val="00DC03D1"/>
    <w:rsid w:val="00DC04D4"/>
    <w:rsid w:val="00DC0538"/>
    <w:rsid w:val="00DC08F4"/>
    <w:rsid w:val="00DC09D4"/>
    <w:rsid w:val="00DC0D06"/>
    <w:rsid w:val="00DC0E4D"/>
    <w:rsid w:val="00DC1136"/>
    <w:rsid w:val="00DC15EA"/>
    <w:rsid w:val="00DC19BE"/>
    <w:rsid w:val="00DC1E9F"/>
    <w:rsid w:val="00DC24C5"/>
    <w:rsid w:val="00DC2D28"/>
    <w:rsid w:val="00DC3054"/>
    <w:rsid w:val="00DC3B90"/>
    <w:rsid w:val="00DC3E4A"/>
    <w:rsid w:val="00DC3E69"/>
    <w:rsid w:val="00DC4273"/>
    <w:rsid w:val="00DC5121"/>
    <w:rsid w:val="00DC5802"/>
    <w:rsid w:val="00DC6988"/>
    <w:rsid w:val="00DC6A97"/>
    <w:rsid w:val="00DC7387"/>
    <w:rsid w:val="00DC7401"/>
    <w:rsid w:val="00DC7B18"/>
    <w:rsid w:val="00DC7F07"/>
    <w:rsid w:val="00DD03D6"/>
    <w:rsid w:val="00DD03F0"/>
    <w:rsid w:val="00DD071E"/>
    <w:rsid w:val="00DD0DA8"/>
    <w:rsid w:val="00DD0DEB"/>
    <w:rsid w:val="00DD14A6"/>
    <w:rsid w:val="00DD1888"/>
    <w:rsid w:val="00DD1F52"/>
    <w:rsid w:val="00DD2FD9"/>
    <w:rsid w:val="00DD35BA"/>
    <w:rsid w:val="00DD3884"/>
    <w:rsid w:val="00DD392C"/>
    <w:rsid w:val="00DD39B1"/>
    <w:rsid w:val="00DD3CD5"/>
    <w:rsid w:val="00DD420D"/>
    <w:rsid w:val="00DD438E"/>
    <w:rsid w:val="00DD43D3"/>
    <w:rsid w:val="00DD47B1"/>
    <w:rsid w:val="00DD4880"/>
    <w:rsid w:val="00DD4BAB"/>
    <w:rsid w:val="00DD513F"/>
    <w:rsid w:val="00DD519D"/>
    <w:rsid w:val="00DD52FD"/>
    <w:rsid w:val="00DD55D2"/>
    <w:rsid w:val="00DD5A3B"/>
    <w:rsid w:val="00DD5F85"/>
    <w:rsid w:val="00DD6271"/>
    <w:rsid w:val="00DD6D86"/>
    <w:rsid w:val="00DD713A"/>
    <w:rsid w:val="00DD7378"/>
    <w:rsid w:val="00DD7A4C"/>
    <w:rsid w:val="00DD7A5A"/>
    <w:rsid w:val="00DD7EC1"/>
    <w:rsid w:val="00DE073B"/>
    <w:rsid w:val="00DE09AC"/>
    <w:rsid w:val="00DE1313"/>
    <w:rsid w:val="00DE1510"/>
    <w:rsid w:val="00DE1FC8"/>
    <w:rsid w:val="00DE224D"/>
    <w:rsid w:val="00DE295A"/>
    <w:rsid w:val="00DE2DBD"/>
    <w:rsid w:val="00DE3464"/>
    <w:rsid w:val="00DE44E3"/>
    <w:rsid w:val="00DE47A7"/>
    <w:rsid w:val="00DE50ED"/>
    <w:rsid w:val="00DE577B"/>
    <w:rsid w:val="00DE5B61"/>
    <w:rsid w:val="00DE5BBF"/>
    <w:rsid w:val="00DE6272"/>
    <w:rsid w:val="00DE6C94"/>
    <w:rsid w:val="00DE6E5E"/>
    <w:rsid w:val="00DE706B"/>
    <w:rsid w:val="00DE7857"/>
    <w:rsid w:val="00DE7C43"/>
    <w:rsid w:val="00DF075B"/>
    <w:rsid w:val="00DF0A91"/>
    <w:rsid w:val="00DF0BC5"/>
    <w:rsid w:val="00DF1072"/>
    <w:rsid w:val="00DF11E4"/>
    <w:rsid w:val="00DF12CD"/>
    <w:rsid w:val="00DF14AA"/>
    <w:rsid w:val="00DF15BD"/>
    <w:rsid w:val="00DF15BE"/>
    <w:rsid w:val="00DF1EF9"/>
    <w:rsid w:val="00DF3084"/>
    <w:rsid w:val="00DF3334"/>
    <w:rsid w:val="00DF3A0A"/>
    <w:rsid w:val="00DF3C8E"/>
    <w:rsid w:val="00DF3F91"/>
    <w:rsid w:val="00DF50E8"/>
    <w:rsid w:val="00DF54B0"/>
    <w:rsid w:val="00DF5C23"/>
    <w:rsid w:val="00DF611F"/>
    <w:rsid w:val="00DF7972"/>
    <w:rsid w:val="00DF7CCE"/>
    <w:rsid w:val="00E013E5"/>
    <w:rsid w:val="00E01BEB"/>
    <w:rsid w:val="00E01D9E"/>
    <w:rsid w:val="00E0245B"/>
    <w:rsid w:val="00E02F9D"/>
    <w:rsid w:val="00E032C8"/>
    <w:rsid w:val="00E033EF"/>
    <w:rsid w:val="00E03CFC"/>
    <w:rsid w:val="00E03D34"/>
    <w:rsid w:val="00E0492F"/>
    <w:rsid w:val="00E049B9"/>
    <w:rsid w:val="00E04CF5"/>
    <w:rsid w:val="00E05D2D"/>
    <w:rsid w:val="00E05E7B"/>
    <w:rsid w:val="00E060A7"/>
    <w:rsid w:val="00E062FB"/>
    <w:rsid w:val="00E06457"/>
    <w:rsid w:val="00E06C43"/>
    <w:rsid w:val="00E1036B"/>
    <w:rsid w:val="00E10BF9"/>
    <w:rsid w:val="00E11127"/>
    <w:rsid w:val="00E112F3"/>
    <w:rsid w:val="00E11E50"/>
    <w:rsid w:val="00E128DB"/>
    <w:rsid w:val="00E12906"/>
    <w:rsid w:val="00E12EDB"/>
    <w:rsid w:val="00E13293"/>
    <w:rsid w:val="00E136BE"/>
    <w:rsid w:val="00E13C96"/>
    <w:rsid w:val="00E14285"/>
    <w:rsid w:val="00E146C0"/>
    <w:rsid w:val="00E14B7D"/>
    <w:rsid w:val="00E15380"/>
    <w:rsid w:val="00E15A9E"/>
    <w:rsid w:val="00E1609B"/>
    <w:rsid w:val="00E167B7"/>
    <w:rsid w:val="00E1681E"/>
    <w:rsid w:val="00E16D02"/>
    <w:rsid w:val="00E16D31"/>
    <w:rsid w:val="00E1721B"/>
    <w:rsid w:val="00E172E8"/>
    <w:rsid w:val="00E1733F"/>
    <w:rsid w:val="00E17495"/>
    <w:rsid w:val="00E202D7"/>
    <w:rsid w:val="00E20978"/>
    <w:rsid w:val="00E20EDA"/>
    <w:rsid w:val="00E20F4B"/>
    <w:rsid w:val="00E2113C"/>
    <w:rsid w:val="00E22445"/>
    <w:rsid w:val="00E22704"/>
    <w:rsid w:val="00E228B4"/>
    <w:rsid w:val="00E22AFE"/>
    <w:rsid w:val="00E22B38"/>
    <w:rsid w:val="00E237C9"/>
    <w:rsid w:val="00E23912"/>
    <w:rsid w:val="00E23C29"/>
    <w:rsid w:val="00E24AFC"/>
    <w:rsid w:val="00E253F8"/>
    <w:rsid w:val="00E25F16"/>
    <w:rsid w:val="00E261B8"/>
    <w:rsid w:val="00E2755D"/>
    <w:rsid w:val="00E27C65"/>
    <w:rsid w:val="00E30199"/>
    <w:rsid w:val="00E30B84"/>
    <w:rsid w:val="00E30BA9"/>
    <w:rsid w:val="00E30EB2"/>
    <w:rsid w:val="00E313FF"/>
    <w:rsid w:val="00E31621"/>
    <w:rsid w:val="00E3242D"/>
    <w:rsid w:val="00E33AD9"/>
    <w:rsid w:val="00E3422A"/>
    <w:rsid w:val="00E3472D"/>
    <w:rsid w:val="00E347EC"/>
    <w:rsid w:val="00E352E4"/>
    <w:rsid w:val="00E354B4"/>
    <w:rsid w:val="00E3594C"/>
    <w:rsid w:val="00E3628C"/>
    <w:rsid w:val="00E36491"/>
    <w:rsid w:val="00E365EB"/>
    <w:rsid w:val="00E3704F"/>
    <w:rsid w:val="00E37521"/>
    <w:rsid w:val="00E37918"/>
    <w:rsid w:val="00E37E59"/>
    <w:rsid w:val="00E40752"/>
    <w:rsid w:val="00E40C9E"/>
    <w:rsid w:val="00E40E90"/>
    <w:rsid w:val="00E41278"/>
    <w:rsid w:val="00E4183F"/>
    <w:rsid w:val="00E41BDB"/>
    <w:rsid w:val="00E42065"/>
    <w:rsid w:val="00E4216B"/>
    <w:rsid w:val="00E422EF"/>
    <w:rsid w:val="00E42937"/>
    <w:rsid w:val="00E4328C"/>
    <w:rsid w:val="00E43373"/>
    <w:rsid w:val="00E433CC"/>
    <w:rsid w:val="00E44201"/>
    <w:rsid w:val="00E44870"/>
    <w:rsid w:val="00E44C19"/>
    <w:rsid w:val="00E44CFF"/>
    <w:rsid w:val="00E44D5F"/>
    <w:rsid w:val="00E45D2C"/>
    <w:rsid w:val="00E46373"/>
    <w:rsid w:val="00E46538"/>
    <w:rsid w:val="00E473B3"/>
    <w:rsid w:val="00E473F1"/>
    <w:rsid w:val="00E47545"/>
    <w:rsid w:val="00E47E6F"/>
    <w:rsid w:val="00E501CB"/>
    <w:rsid w:val="00E50AB1"/>
    <w:rsid w:val="00E51466"/>
    <w:rsid w:val="00E51804"/>
    <w:rsid w:val="00E51C0F"/>
    <w:rsid w:val="00E51CFD"/>
    <w:rsid w:val="00E529C9"/>
    <w:rsid w:val="00E53116"/>
    <w:rsid w:val="00E53289"/>
    <w:rsid w:val="00E53992"/>
    <w:rsid w:val="00E53F84"/>
    <w:rsid w:val="00E54272"/>
    <w:rsid w:val="00E545C2"/>
    <w:rsid w:val="00E54702"/>
    <w:rsid w:val="00E556C7"/>
    <w:rsid w:val="00E558EB"/>
    <w:rsid w:val="00E55C24"/>
    <w:rsid w:val="00E5617F"/>
    <w:rsid w:val="00E56E24"/>
    <w:rsid w:val="00E57426"/>
    <w:rsid w:val="00E57475"/>
    <w:rsid w:val="00E57939"/>
    <w:rsid w:val="00E57A04"/>
    <w:rsid w:val="00E57BC9"/>
    <w:rsid w:val="00E57FEF"/>
    <w:rsid w:val="00E600AE"/>
    <w:rsid w:val="00E602F3"/>
    <w:rsid w:val="00E6064C"/>
    <w:rsid w:val="00E61218"/>
    <w:rsid w:val="00E6257E"/>
    <w:rsid w:val="00E6262B"/>
    <w:rsid w:val="00E62C28"/>
    <w:rsid w:val="00E62E51"/>
    <w:rsid w:val="00E631CF"/>
    <w:rsid w:val="00E6419F"/>
    <w:rsid w:val="00E65394"/>
    <w:rsid w:val="00E661EC"/>
    <w:rsid w:val="00E66252"/>
    <w:rsid w:val="00E66ADF"/>
    <w:rsid w:val="00E66C15"/>
    <w:rsid w:val="00E66DA6"/>
    <w:rsid w:val="00E67274"/>
    <w:rsid w:val="00E676D4"/>
    <w:rsid w:val="00E678E6"/>
    <w:rsid w:val="00E67B86"/>
    <w:rsid w:val="00E67BE7"/>
    <w:rsid w:val="00E67D8F"/>
    <w:rsid w:val="00E70972"/>
    <w:rsid w:val="00E70B9D"/>
    <w:rsid w:val="00E71373"/>
    <w:rsid w:val="00E717A2"/>
    <w:rsid w:val="00E71971"/>
    <w:rsid w:val="00E71C3B"/>
    <w:rsid w:val="00E72049"/>
    <w:rsid w:val="00E720D2"/>
    <w:rsid w:val="00E724E8"/>
    <w:rsid w:val="00E7259C"/>
    <w:rsid w:val="00E72D43"/>
    <w:rsid w:val="00E7338F"/>
    <w:rsid w:val="00E734DA"/>
    <w:rsid w:val="00E73BE7"/>
    <w:rsid w:val="00E74761"/>
    <w:rsid w:val="00E74BB0"/>
    <w:rsid w:val="00E75006"/>
    <w:rsid w:val="00E759C7"/>
    <w:rsid w:val="00E76850"/>
    <w:rsid w:val="00E76990"/>
    <w:rsid w:val="00E76C24"/>
    <w:rsid w:val="00E7706F"/>
    <w:rsid w:val="00E77514"/>
    <w:rsid w:val="00E7754E"/>
    <w:rsid w:val="00E77E0E"/>
    <w:rsid w:val="00E77E0F"/>
    <w:rsid w:val="00E803BA"/>
    <w:rsid w:val="00E807BD"/>
    <w:rsid w:val="00E80AC8"/>
    <w:rsid w:val="00E81137"/>
    <w:rsid w:val="00E82215"/>
    <w:rsid w:val="00E82D24"/>
    <w:rsid w:val="00E831F5"/>
    <w:rsid w:val="00E83361"/>
    <w:rsid w:val="00E8413B"/>
    <w:rsid w:val="00E848A4"/>
    <w:rsid w:val="00E84DAC"/>
    <w:rsid w:val="00E85421"/>
    <w:rsid w:val="00E8597A"/>
    <w:rsid w:val="00E85B78"/>
    <w:rsid w:val="00E86581"/>
    <w:rsid w:val="00E86605"/>
    <w:rsid w:val="00E8675C"/>
    <w:rsid w:val="00E86A2C"/>
    <w:rsid w:val="00E86B6E"/>
    <w:rsid w:val="00E86CEC"/>
    <w:rsid w:val="00E87E0B"/>
    <w:rsid w:val="00E905E1"/>
    <w:rsid w:val="00E90698"/>
    <w:rsid w:val="00E91A2D"/>
    <w:rsid w:val="00E91F73"/>
    <w:rsid w:val="00E9215A"/>
    <w:rsid w:val="00E92991"/>
    <w:rsid w:val="00E92BBE"/>
    <w:rsid w:val="00E92CCE"/>
    <w:rsid w:val="00E9304A"/>
    <w:rsid w:val="00E93330"/>
    <w:rsid w:val="00E93366"/>
    <w:rsid w:val="00E9401A"/>
    <w:rsid w:val="00E9423B"/>
    <w:rsid w:val="00E9441C"/>
    <w:rsid w:val="00E949EB"/>
    <w:rsid w:val="00E94F4F"/>
    <w:rsid w:val="00E95517"/>
    <w:rsid w:val="00E9567C"/>
    <w:rsid w:val="00E956E4"/>
    <w:rsid w:val="00E95D54"/>
    <w:rsid w:val="00E95EFD"/>
    <w:rsid w:val="00E972DB"/>
    <w:rsid w:val="00E973B6"/>
    <w:rsid w:val="00E97985"/>
    <w:rsid w:val="00E97C3A"/>
    <w:rsid w:val="00EA0020"/>
    <w:rsid w:val="00EA005B"/>
    <w:rsid w:val="00EA01B8"/>
    <w:rsid w:val="00EA0364"/>
    <w:rsid w:val="00EA06F1"/>
    <w:rsid w:val="00EA0E4E"/>
    <w:rsid w:val="00EA14AB"/>
    <w:rsid w:val="00EA1707"/>
    <w:rsid w:val="00EA1785"/>
    <w:rsid w:val="00EA1DBA"/>
    <w:rsid w:val="00EA1ECC"/>
    <w:rsid w:val="00EA2085"/>
    <w:rsid w:val="00EA23E8"/>
    <w:rsid w:val="00EA2712"/>
    <w:rsid w:val="00EA27E1"/>
    <w:rsid w:val="00EA288F"/>
    <w:rsid w:val="00EA2B0A"/>
    <w:rsid w:val="00EA3678"/>
    <w:rsid w:val="00EA400B"/>
    <w:rsid w:val="00EA4043"/>
    <w:rsid w:val="00EA44C8"/>
    <w:rsid w:val="00EA499F"/>
    <w:rsid w:val="00EA4D64"/>
    <w:rsid w:val="00EA4E70"/>
    <w:rsid w:val="00EA5DE2"/>
    <w:rsid w:val="00EA5FF2"/>
    <w:rsid w:val="00EA60F4"/>
    <w:rsid w:val="00EA644F"/>
    <w:rsid w:val="00EA6A81"/>
    <w:rsid w:val="00EA6B7D"/>
    <w:rsid w:val="00EA7C28"/>
    <w:rsid w:val="00EB06F3"/>
    <w:rsid w:val="00EB120D"/>
    <w:rsid w:val="00EB15F5"/>
    <w:rsid w:val="00EB2E33"/>
    <w:rsid w:val="00EB31B8"/>
    <w:rsid w:val="00EB3203"/>
    <w:rsid w:val="00EB324E"/>
    <w:rsid w:val="00EB32F4"/>
    <w:rsid w:val="00EB3F3A"/>
    <w:rsid w:val="00EB48B1"/>
    <w:rsid w:val="00EB4D30"/>
    <w:rsid w:val="00EB506C"/>
    <w:rsid w:val="00EB5117"/>
    <w:rsid w:val="00EB577C"/>
    <w:rsid w:val="00EB5937"/>
    <w:rsid w:val="00EB5B20"/>
    <w:rsid w:val="00EB5B60"/>
    <w:rsid w:val="00EB5F2D"/>
    <w:rsid w:val="00EB665E"/>
    <w:rsid w:val="00EB6A21"/>
    <w:rsid w:val="00EB723C"/>
    <w:rsid w:val="00EB72E3"/>
    <w:rsid w:val="00EB7772"/>
    <w:rsid w:val="00EC000E"/>
    <w:rsid w:val="00EC03A0"/>
    <w:rsid w:val="00EC069E"/>
    <w:rsid w:val="00EC0E40"/>
    <w:rsid w:val="00EC152E"/>
    <w:rsid w:val="00EC16DB"/>
    <w:rsid w:val="00EC1740"/>
    <w:rsid w:val="00EC1B49"/>
    <w:rsid w:val="00EC1BFB"/>
    <w:rsid w:val="00EC1E6A"/>
    <w:rsid w:val="00EC252F"/>
    <w:rsid w:val="00EC3E60"/>
    <w:rsid w:val="00EC437B"/>
    <w:rsid w:val="00EC44F4"/>
    <w:rsid w:val="00EC4505"/>
    <w:rsid w:val="00EC52E1"/>
    <w:rsid w:val="00EC5AEB"/>
    <w:rsid w:val="00EC5EAC"/>
    <w:rsid w:val="00EC5FC0"/>
    <w:rsid w:val="00EC60A3"/>
    <w:rsid w:val="00EC6339"/>
    <w:rsid w:val="00EC640B"/>
    <w:rsid w:val="00EC64DD"/>
    <w:rsid w:val="00EC667A"/>
    <w:rsid w:val="00EC68BA"/>
    <w:rsid w:val="00EC69C2"/>
    <w:rsid w:val="00EC7471"/>
    <w:rsid w:val="00EC75D3"/>
    <w:rsid w:val="00EC7EC3"/>
    <w:rsid w:val="00EC7F1A"/>
    <w:rsid w:val="00ED0029"/>
    <w:rsid w:val="00ED0576"/>
    <w:rsid w:val="00ED08E7"/>
    <w:rsid w:val="00ED0A3B"/>
    <w:rsid w:val="00ED0B52"/>
    <w:rsid w:val="00ED0F3F"/>
    <w:rsid w:val="00ED195E"/>
    <w:rsid w:val="00ED1E00"/>
    <w:rsid w:val="00ED2110"/>
    <w:rsid w:val="00ED2420"/>
    <w:rsid w:val="00ED25E9"/>
    <w:rsid w:val="00ED2665"/>
    <w:rsid w:val="00ED29B6"/>
    <w:rsid w:val="00ED32EE"/>
    <w:rsid w:val="00ED3A5D"/>
    <w:rsid w:val="00ED3D81"/>
    <w:rsid w:val="00ED4D67"/>
    <w:rsid w:val="00ED5001"/>
    <w:rsid w:val="00ED534A"/>
    <w:rsid w:val="00ED5678"/>
    <w:rsid w:val="00ED5682"/>
    <w:rsid w:val="00ED57F5"/>
    <w:rsid w:val="00ED591A"/>
    <w:rsid w:val="00ED5ADE"/>
    <w:rsid w:val="00ED5B9A"/>
    <w:rsid w:val="00ED5E0B"/>
    <w:rsid w:val="00ED5E5E"/>
    <w:rsid w:val="00ED7380"/>
    <w:rsid w:val="00ED7A83"/>
    <w:rsid w:val="00EE0893"/>
    <w:rsid w:val="00EE0949"/>
    <w:rsid w:val="00EE0C94"/>
    <w:rsid w:val="00EE152F"/>
    <w:rsid w:val="00EE27C2"/>
    <w:rsid w:val="00EE27E2"/>
    <w:rsid w:val="00EE2922"/>
    <w:rsid w:val="00EE2D0A"/>
    <w:rsid w:val="00EE2E29"/>
    <w:rsid w:val="00EE2EEE"/>
    <w:rsid w:val="00EE362C"/>
    <w:rsid w:val="00EE36AA"/>
    <w:rsid w:val="00EE3949"/>
    <w:rsid w:val="00EE3AAE"/>
    <w:rsid w:val="00EE4058"/>
    <w:rsid w:val="00EE4249"/>
    <w:rsid w:val="00EE42B6"/>
    <w:rsid w:val="00EE44DD"/>
    <w:rsid w:val="00EE4595"/>
    <w:rsid w:val="00EE4634"/>
    <w:rsid w:val="00EE4916"/>
    <w:rsid w:val="00EE4AD3"/>
    <w:rsid w:val="00EE5A68"/>
    <w:rsid w:val="00EE5A71"/>
    <w:rsid w:val="00EE6B99"/>
    <w:rsid w:val="00EE751C"/>
    <w:rsid w:val="00EE7956"/>
    <w:rsid w:val="00EE7B8E"/>
    <w:rsid w:val="00EF017D"/>
    <w:rsid w:val="00EF0434"/>
    <w:rsid w:val="00EF078D"/>
    <w:rsid w:val="00EF07D0"/>
    <w:rsid w:val="00EF0EE1"/>
    <w:rsid w:val="00EF1047"/>
    <w:rsid w:val="00EF13F5"/>
    <w:rsid w:val="00EF1A38"/>
    <w:rsid w:val="00EF1AB6"/>
    <w:rsid w:val="00EF1D0D"/>
    <w:rsid w:val="00EF267B"/>
    <w:rsid w:val="00EF3579"/>
    <w:rsid w:val="00EF39BB"/>
    <w:rsid w:val="00EF39E9"/>
    <w:rsid w:val="00EF3EAC"/>
    <w:rsid w:val="00EF447F"/>
    <w:rsid w:val="00EF457D"/>
    <w:rsid w:val="00EF48C2"/>
    <w:rsid w:val="00EF4BFA"/>
    <w:rsid w:val="00EF4C97"/>
    <w:rsid w:val="00EF5BF4"/>
    <w:rsid w:val="00EF5D71"/>
    <w:rsid w:val="00EF6153"/>
    <w:rsid w:val="00EF64E1"/>
    <w:rsid w:val="00EF70C0"/>
    <w:rsid w:val="00EF721F"/>
    <w:rsid w:val="00EF79A2"/>
    <w:rsid w:val="00EF7C06"/>
    <w:rsid w:val="00EF7F75"/>
    <w:rsid w:val="00F00033"/>
    <w:rsid w:val="00F00350"/>
    <w:rsid w:val="00F00E73"/>
    <w:rsid w:val="00F01347"/>
    <w:rsid w:val="00F01BA9"/>
    <w:rsid w:val="00F0242B"/>
    <w:rsid w:val="00F02BE5"/>
    <w:rsid w:val="00F0378C"/>
    <w:rsid w:val="00F042B9"/>
    <w:rsid w:val="00F048A1"/>
    <w:rsid w:val="00F04ACF"/>
    <w:rsid w:val="00F04B9F"/>
    <w:rsid w:val="00F04CD5"/>
    <w:rsid w:val="00F04CDE"/>
    <w:rsid w:val="00F04F32"/>
    <w:rsid w:val="00F052B6"/>
    <w:rsid w:val="00F052D3"/>
    <w:rsid w:val="00F06014"/>
    <w:rsid w:val="00F0602F"/>
    <w:rsid w:val="00F06047"/>
    <w:rsid w:val="00F0639D"/>
    <w:rsid w:val="00F067D9"/>
    <w:rsid w:val="00F0735E"/>
    <w:rsid w:val="00F07400"/>
    <w:rsid w:val="00F07868"/>
    <w:rsid w:val="00F07C28"/>
    <w:rsid w:val="00F07C76"/>
    <w:rsid w:val="00F10A8D"/>
    <w:rsid w:val="00F112FD"/>
    <w:rsid w:val="00F11425"/>
    <w:rsid w:val="00F1169A"/>
    <w:rsid w:val="00F11751"/>
    <w:rsid w:val="00F11B72"/>
    <w:rsid w:val="00F12243"/>
    <w:rsid w:val="00F12246"/>
    <w:rsid w:val="00F126A8"/>
    <w:rsid w:val="00F1273A"/>
    <w:rsid w:val="00F13606"/>
    <w:rsid w:val="00F13A45"/>
    <w:rsid w:val="00F13C51"/>
    <w:rsid w:val="00F140AB"/>
    <w:rsid w:val="00F142E5"/>
    <w:rsid w:val="00F145DE"/>
    <w:rsid w:val="00F14818"/>
    <w:rsid w:val="00F14B58"/>
    <w:rsid w:val="00F14BBF"/>
    <w:rsid w:val="00F14DCA"/>
    <w:rsid w:val="00F154EB"/>
    <w:rsid w:val="00F1597B"/>
    <w:rsid w:val="00F159C1"/>
    <w:rsid w:val="00F16179"/>
    <w:rsid w:val="00F16935"/>
    <w:rsid w:val="00F16947"/>
    <w:rsid w:val="00F16FEC"/>
    <w:rsid w:val="00F1786D"/>
    <w:rsid w:val="00F17BF0"/>
    <w:rsid w:val="00F20062"/>
    <w:rsid w:val="00F201A2"/>
    <w:rsid w:val="00F206D8"/>
    <w:rsid w:val="00F20A63"/>
    <w:rsid w:val="00F20C60"/>
    <w:rsid w:val="00F20EEC"/>
    <w:rsid w:val="00F214BD"/>
    <w:rsid w:val="00F21D4A"/>
    <w:rsid w:val="00F21E6C"/>
    <w:rsid w:val="00F22683"/>
    <w:rsid w:val="00F22909"/>
    <w:rsid w:val="00F22A32"/>
    <w:rsid w:val="00F22A66"/>
    <w:rsid w:val="00F23021"/>
    <w:rsid w:val="00F23593"/>
    <w:rsid w:val="00F23791"/>
    <w:rsid w:val="00F23ED4"/>
    <w:rsid w:val="00F24591"/>
    <w:rsid w:val="00F24FF6"/>
    <w:rsid w:val="00F2506B"/>
    <w:rsid w:val="00F25AFE"/>
    <w:rsid w:val="00F25CDD"/>
    <w:rsid w:val="00F2747C"/>
    <w:rsid w:val="00F27658"/>
    <w:rsid w:val="00F27B9C"/>
    <w:rsid w:val="00F27CAF"/>
    <w:rsid w:val="00F27E7B"/>
    <w:rsid w:val="00F27F3B"/>
    <w:rsid w:val="00F30471"/>
    <w:rsid w:val="00F30AF0"/>
    <w:rsid w:val="00F30C44"/>
    <w:rsid w:val="00F311BF"/>
    <w:rsid w:val="00F318B3"/>
    <w:rsid w:val="00F321D0"/>
    <w:rsid w:val="00F326F1"/>
    <w:rsid w:val="00F32EC6"/>
    <w:rsid w:val="00F333A8"/>
    <w:rsid w:val="00F333A9"/>
    <w:rsid w:val="00F3349B"/>
    <w:rsid w:val="00F33505"/>
    <w:rsid w:val="00F33B37"/>
    <w:rsid w:val="00F33D0A"/>
    <w:rsid w:val="00F33F13"/>
    <w:rsid w:val="00F347B4"/>
    <w:rsid w:val="00F34A90"/>
    <w:rsid w:val="00F34E56"/>
    <w:rsid w:val="00F3543D"/>
    <w:rsid w:val="00F35E02"/>
    <w:rsid w:val="00F3619B"/>
    <w:rsid w:val="00F3697E"/>
    <w:rsid w:val="00F36C72"/>
    <w:rsid w:val="00F36FD2"/>
    <w:rsid w:val="00F37531"/>
    <w:rsid w:val="00F37903"/>
    <w:rsid w:val="00F37D26"/>
    <w:rsid w:val="00F402CB"/>
    <w:rsid w:val="00F4041F"/>
    <w:rsid w:val="00F41E57"/>
    <w:rsid w:val="00F42168"/>
    <w:rsid w:val="00F43BCB"/>
    <w:rsid w:val="00F43C51"/>
    <w:rsid w:val="00F4434C"/>
    <w:rsid w:val="00F44899"/>
    <w:rsid w:val="00F44AEA"/>
    <w:rsid w:val="00F44F69"/>
    <w:rsid w:val="00F44F96"/>
    <w:rsid w:val="00F45629"/>
    <w:rsid w:val="00F45B2C"/>
    <w:rsid w:val="00F45C32"/>
    <w:rsid w:val="00F461EF"/>
    <w:rsid w:val="00F47014"/>
    <w:rsid w:val="00F47424"/>
    <w:rsid w:val="00F476FF"/>
    <w:rsid w:val="00F47D06"/>
    <w:rsid w:val="00F50265"/>
    <w:rsid w:val="00F503DB"/>
    <w:rsid w:val="00F50CFC"/>
    <w:rsid w:val="00F51516"/>
    <w:rsid w:val="00F517C8"/>
    <w:rsid w:val="00F522F1"/>
    <w:rsid w:val="00F527C0"/>
    <w:rsid w:val="00F52C7F"/>
    <w:rsid w:val="00F53621"/>
    <w:rsid w:val="00F53730"/>
    <w:rsid w:val="00F54290"/>
    <w:rsid w:val="00F54424"/>
    <w:rsid w:val="00F54755"/>
    <w:rsid w:val="00F548E4"/>
    <w:rsid w:val="00F54E2B"/>
    <w:rsid w:val="00F551EB"/>
    <w:rsid w:val="00F55232"/>
    <w:rsid w:val="00F552F6"/>
    <w:rsid w:val="00F55A71"/>
    <w:rsid w:val="00F568D7"/>
    <w:rsid w:val="00F56AD5"/>
    <w:rsid w:val="00F570C1"/>
    <w:rsid w:val="00F576F2"/>
    <w:rsid w:val="00F5795A"/>
    <w:rsid w:val="00F609CA"/>
    <w:rsid w:val="00F60BFA"/>
    <w:rsid w:val="00F6108A"/>
    <w:rsid w:val="00F61402"/>
    <w:rsid w:val="00F61CDA"/>
    <w:rsid w:val="00F61F4B"/>
    <w:rsid w:val="00F6216B"/>
    <w:rsid w:val="00F62590"/>
    <w:rsid w:val="00F62DEA"/>
    <w:rsid w:val="00F63129"/>
    <w:rsid w:val="00F63158"/>
    <w:rsid w:val="00F634C6"/>
    <w:rsid w:val="00F63692"/>
    <w:rsid w:val="00F63941"/>
    <w:rsid w:val="00F63A85"/>
    <w:rsid w:val="00F63C7E"/>
    <w:rsid w:val="00F63D3E"/>
    <w:rsid w:val="00F64A25"/>
    <w:rsid w:val="00F64ADA"/>
    <w:rsid w:val="00F64C87"/>
    <w:rsid w:val="00F64FF5"/>
    <w:rsid w:val="00F6567F"/>
    <w:rsid w:val="00F65D11"/>
    <w:rsid w:val="00F65FBB"/>
    <w:rsid w:val="00F66518"/>
    <w:rsid w:val="00F66BC4"/>
    <w:rsid w:val="00F67650"/>
    <w:rsid w:val="00F67998"/>
    <w:rsid w:val="00F67A16"/>
    <w:rsid w:val="00F7065A"/>
    <w:rsid w:val="00F7085A"/>
    <w:rsid w:val="00F7111E"/>
    <w:rsid w:val="00F71B45"/>
    <w:rsid w:val="00F71F8F"/>
    <w:rsid w:val="00F725D0"/>
    <w:rsid w:val="00F732A5"/>
    <w:rsid w:val="00F73714"/>
    <w:rsid w:val="00F737AA"/>
    <w:rsid w:val="00F7479B"/>
    <w:rsid w:val="00F75576"/>
    <w:rsid w:val="00F75CA8"/>
    <w:rsid w:val="00F75E82"/>
    <w:rsid w:val="00F760DC"/>
    <w:rsid w:val="00F7724A"/>
    <w:rsid w:val="00F7757D"/>
    <w:rsid w:val="00F77587"/>
    <w:rsid w:val="00F7760C"/>
    <w:rsid w:val="00F80841"/>
    <w:rsid w:val="00F80EFF"/>
    <w:rsid w:val="00F81362"/>
    <w:rsid w:val="00F81949"/>
    <w:rsid w:val="00F81B6C"/>
    <w:rsid w:val="00F8256C"/>
    <w:rsid w:val="00F82C45"/>
    <w:rsid w:val="00F8391C"/>
    <w:rsid w:val="00F83DCA"/>
    <w:rsid w:val="00F842BA"/>
    <w:rsid w:val="00F848E7"/>
    <w:rsid w:val="00F84A92"/>
    <w:rsid w:val="00F84BE5"/>
    <w:rsid w:val="00F84D24"/>
    <w:rsid w:val="00F857A8"/>
    <w:rsid w:val="00F876F4"/>
    <w:rsid w:val="00F87806"/>
    <w:rsid w:val="00F87DC9"/>
    <w:rsid w:val="00F9012A"/>
    <w:rsid w:val="00F908BF"/>
    <w:rsid w:val="00F910DD"/>
    <w:rsid w:val="00F922C9"/>
    <w:rsid w:val="00F92420"/>
    <w:rsid w:val="00F928FA"/>
    <w:rsid w:val="00F929C4"/>
    <w:rsid w:val="00F9307E"/>
    <w:rsid w:val="00F93F14"/>
    <w:rsid w:val="00F94371"/>
    <w:rsid w:val="00F945D8"/>
    <w:rsid w:val="00F94651"/>
    <w:rsid w:val="00F94DEE"/>
    <w:rsid w:val="00F94E2A"/>
    <w:rsid w:val="00F9575C"/>
    <w:rsid w:val="00F957DC"/>
    <w:rsid w:val="00F95F75"/>
    <w:rsid w:val="00F96070"/>
    <w:rsid w:val="00F960E1"/>
    <w:rsid w:val="00F962FF"/>
    <w:rsid w:val="00F963D0"/>
    <w:rsid w:val="00F963D9"/>
    <w:rsid w:val="00F966A2"/>
    <w:rsid w:val="00F96B2D"/>
    <w:rsid w:val="00F96C90"/>
    <w:rsid w:val="00F97743"/>
    <w:rsid w:val="00F977E5"/>
    <w:rsid w:val="00F97B1F"/>
    <w:rsid w:val="00F97D79"/>
    <w:rsid w:val="00F97FEE"/>
    <w:rsid w:val="00FA01B0"/>
    <w:rsid w:val="00FA05AD"/>
    <w:rsid w:val="00FA102D"/>
    <w:rsid w:val="00FA1086"/>
    <w:rsid w:val="00FA1440"/>
    <w:rsid w:val="00FA16E7"/>
    <w:rsid w:val="00FA18F8"/>
    <w:rsid w:val="00FA1BB2"/>
    <w:rsid w:val="00FA1E11"/>
    <w:rsid w:val="00FA2A4A"/>
    <w:rsid w:val="00FA2CD6"/>
    <w:rsid w:val="00FA37B8"/>
    <w:rsid w:val="00FA3A0F"/>
    <w:rsid w:val="00FA403C"/>
    <w:rsid w:val="00FA47EA"/>
    <w:rsid w:val="00FA5484"/>
    <w:rsid w:val="00FA5884"/>
    <w:rsid w:val="00FA60D7"/>
    <w:rsid w:val="00FA6536"/>
    <w:rsid w:val="00FA6B0C"/>
    <w:rsid w:val="00FA6FD7"/>
    <w:rsid w:val="00FA796D"/>
    <w:rsid w:val="00FA7A3A"/>
    <w:rsid w:val="00FA7EC9"/>
    <w:rsid w:val="00FB01CF"/>
    <w:rsid w:val="00FB1057"/>
    <w:rsid w:val="00FB1893"/>
    <w:rsid w:val="00FB1BBE"/>
    <w:rsid w:val="00FB2DEA"/>
    <w:rsid w:val="00FB2F07"/>
    <w:rsid w:val="00FB3083"/>
    <w:rsid w:val="00FB3365"/>
    <w:rsid w:val="00FB3AE6"/>
    <w:rsid w:val="00FB3C36"/>
    <w:rsid w:val="00FB3F12"/>
    <w:rsid w:val="00FB40A0"/>
    <w:rsid w:val="00FB416F"/>
    <w:rsid w:val="00FB41DD"/>
    <w:rsid w:val="00FB4561"/>
    <w:rsid w:val="00FB4BE8"/>
    <w:rsid w:val="00FB4F9A"/>
    <w:rsid w:val="00FB5188"/>
    <w:rsid w:val="00FB54F8"/>
    <w:rsid w:val="00FB5948"/>
    <w:rsid w:val="00FB5AE6"/>
    <w:rsid w:val="00FB5BF2"/>
    <w:rsid w:val="00FB619B"/>
    <w:rsid w:val="00FB6F2E"/>
    <w:rsid w:val="00FB70E6"/>
    <w:rsid w:val="00FB7383"/>
    <w:rsid w:val="00FB7561"/>
    <w:rsid w:val="00FB75D4"/>
    <w:rsid w:val="00FB7BCD"/>
    <w:rsid w:val="00FB7E60"/>
    <w:rsid w:val="00FC017C"/>
    <w:rsid w:val="00FC045F"/>
    <w:rsid w:val="00FC08AB"/>
    <w:rsid w:val="00FC09E9"/>
    <w:rsid w:val="00FC0B0B"/>
    <w:rsid w:val="00FC0D22"/>
    <w:rsid w:val="00FC10AE"/>
    <w:rsid w:val="00FC1405"/>
    <w:rsid w:val="00FC1B68"/>
    <w:rsid w:val="00FC1BEE"/>
    <w:rsid w:val="00FC285D"/>
    <w:rsid w:val="00FC358B"/>
    <w:rsid w:val="00FC3624"/>
    <w:rsid w:val="00FC419C"/>
    <w:rsid w:val="00FC43A3"/>
    <w:rsid w:val="00FC4C54"/>
    <w:rsid w:val="00FC4D22"/>
    <w:rsid w:val="00FC4DF0"/>
    <w:rsid w:val="00FC5976"/>
    <w:rsid w:val="00FC6C72"/>
    <w:rsid w:val="00FC6FA8"/>
    <w:rsid w:val="00FC71DC"/>
    <w:rsid w:val="00FC735D"/>
    <w:rsid w:val="00FC762E"/>
    <w:rsid w:val="00FC7693"/>
    <w:rsid w:val="00FC77DE"/>
    <w:rsid w:val="00FC7B5F"/>
    <w:rsid w:val="00FC7D54"/>
    <w:rsid w:val="00FC7D7A"/>
    <w:rsid w:val="00FC7D93"/>
    <w:rsid w:val="00FD00F1"/>
    <w:rsid w:val="00FD0217"/>
    <w:rsid w:val="00FD05A3"/>
    <w:rsid w:val="00FD0CE3"/>
    <w:rsid w:val="00FD0F41"/>
    <w:rsid w:val="00FD17F7"/>
    <w:rsid w:val="00FD1962"/>
    <w:rsid w:val="00FD2056"/>
    <w:rsid w:val="00FD24AA"/>
    <w:rsid w:val="00FD2D36"/>
    <w:rsid w:val="00FD2F07"/>
    <w:rsid w:val="00FD35AF"/>
    <w:rsid w:val="00FD37C2"/>
    <w:rsid w:val="00FD4329"/>
    <w:rsid w:val="00FD4733"/>
    <w:rsid w:val="00FD49D6"/>
    <w:rsid w:val="00FD53A3"/>
    <w:rsid w:val="00FD58F9"/>
    <w:rsid w:val="00FD618B"/>
    <w:rsid w:val="00FD661F"/>
    <w:rsid w:val="00FD6AF8"/>
    <w:rsid w:val="00FD6E86"/>
    <w:rsid w:val="00FD72E1"/>
    <w:rsid w:val="00FD7B34"/>
    <w:rsid w:val="00FD7DBE"/>
    <w:rsid w:val="00FE00CE"/>
    <w:rsid w:val="00FE0FD3"/>
    <w:rsid w:val="00FE101A"/>
    <w:rsid w:val="00FE176D"/>
    <w:rsid w:val="00FE1804"/>
    <w:rsid w:val="00FE2355"/>
    <w:rsid w:val="00FE241F"/>
    <w:rsid w:val="00FE243C"/>
    <w:rsid w:val="00FE26D7"/>
    <w:rsid w:val="00FE285E"/>
    <w:rsid w:val="00FE29FB"/>
    <w:rsid w:val="00FE2C05"/>
    <w:rsid w:val="00FE3FF7"/>
    <w:rsid w:val="00FE421D"/>
    <w:rsid w:val="00FE4E60"/>
    <w:rsid w:val="00FE5444"/>
    <w:rsid w:val="00FE56A8"/>
    <w:rsid w:val="00FE5762"/>
    <w:rsid w:val="00FE5B0F"/>
    <w:rsid w:val="00FE5C92"/>
    <w:rsid w:val="00FE5CF8"/>
    <w:rsid w:val="00FE6290"/>
    <w:rsid w:val="00FE6CEC"/>
    <w:rsid w:val="00FE7CDE"/>
    <w:rsid w:val="00FF018B"/>
    <w:rsid w:val="00FF0520"/>
    <w:rsid w:val="00FF14CA"/>
    <w:rsid w:val="00FF1901"/>
    <w:rsid w:val="00FF1909"/>
    <w:rsid w:val="00FF1ADD"/>
    <w:rsid w:val="00FF1C9F"/>
    <w:rsid w:val="00FF1D25"/>
    <w:rsid w:val="00FF24FC"/>
    <w:rsid w:val="00FF257C"/>
    <w:rsid w:val="00FF2851"/>
    <w:rsid w:val="00FF296E"/>
    <w:rsid w:val="00FF2BAC"/>
    <w:rsid w:val="00FF307C"/>
    <w:rsid w:val="00FF3929"/>
    <w:rsid w:val="00FF3C38"/>
    <w:rsid w:val="00FF4374"/>
    <w:rsid w:val="00FF49B7"/>
    <w:rsid w:val="00FF4DFD"/>
    <w:rsid w:val="00FF4E9B"/>
    <w:rsid w:val="00FF55AD"/>
    <w:rsid w:val="00FF55CF"/>
    <w:rsid w:val="00FF59DE"/>
    <w:rsid w:val="00FF5FBF"/>
    <w:rsid w:val="00FF659B"/>
    <w:rsid w:val="00FF6904"/>
    <w:rsid w:val="00FF696C"/>
    <w:rsid w:val="00FF6BDB"/>
    <w:rsid w:val="00FF707E"/>
    <w:rsid w:val="00FF773E"/>
    <w:rsid w:val="00FF77B8"/>
    <w:rsid w:val="065B5619"/>
    <w:rsid w:val="0681B866"/>
    <w:rsid w:val="074F1FAE"/>
    <w:rsid w:val="0753A302"/>
    <w:rsid w:val="095E3EA4"/>
    <w:rsid w:val="1168EBE2"/>
    <w:rsid w:val="13132BFD"/>
    <w:rsid w:val="199AA15A"/>
    <w:rsid w:val="1A2C8756"/>
    <w:rsid w:val="1BFAD94C"/>
    <w:rsid w:val="21E47A7A"/>
    <w:rsid w:val="22C6F034"/>
    <w:rsid w:val="23DF1179"/>
    <w:rsid w:val="25092F5F"/>
    <w:rsid w:val="25931C8A"/>
    <w:rsid w:val="262360D4"/>
    <w:rsid w:val="274D5D6E"/>
    <w:rsid w:val="275E2123"/>
    <w:rsid w:val="29E1140F"/>
    <w:rsid w:val="2A86CD2E"/>
    <w:rsid w:val="2BDD0F28"/>
    <w:rsid w:val="2C3511EE"/>
    <w:rsid w:val="2CC8E316"/>
    <w:rsid w:val="303D227E"/>
    <w:rsid w:val="3220A347"/>
    <w:rsid w:val="32A0819E"/>
    <w:rsid w:val="36512330"/>
    <w:rsid w:val="3680B26D"/>
    <w:rsid w:val="3705C78E"/>
    <w:rsid w:val="39627C41"/>
    <w:rsid w:val="39B4DC33"/>
    <w:rsid w:val="3B2BD704"/>
    <w:rsid w:val="3F7EA895"/>
    <w:rsid w:val="409316F1"/>
    <w:rsid w:val="46253C9E"/>
    <w:rsid w:val="491984A0"/>
    <w:rsid w:val="4C6BFFFE"/>
    <w:rsid w:val="4C6ECD1D"/>
    <w:rsid w:val="4E031E30"/>
    <w:rsid w:val="5147A4A6"/>
    <w:rsid w:val="52115E74"/>
    <w:rsid w:val="521ED3CB"/>
    <w:rsid w:val="54081D62"/>
    <w:rsid w:val="546CB4FD"/>
    <w:rsid w:val="54A050BF"/>
    <w:rsid w:val="55EDBD6F"/>
    <w:rsid w:val="57906044"/>
    <w:rsid w:val="599120BA"/>
    <w:rsid w:val="5E090342"/>
    <w:rsid w:val="62731754"/>
    <w:rsid w:val="6357AE8C"/>
    <w:rsid w:val="64A6E1F8"/>
    <w:rsid w:val="653C3482"/>
    <w:rsid w:val="655EBD5E"/>
    <w:rsid w:val="65AD5EAA"/>
    <w:rsid w:val="66930611"/>
    <w:rsid w:val="66FEEE75"/>
    <w:rsid w:val="67872DAB"/>
    <w:rsid w:val="67CF0CCA"/>
    <w:rsid w:val="68CA4D09"/>
    <w:rsid w:val="6A03D7D6"/>
    <w:rsid w:val="6A7965E1"/>
    <w:rsid w:val="6BC3FDDD"/>
    <w:rsid w:val="6FBB537E"/>
    <w:rsid w:val="71DC5F8E"/>
    <w:rsid w:val="7205EFE3"/>
    <w:rsid w:val="732DA0C4"/>
    <w:rsid w:val="79E56E9D"/>
    <w:rsid w:val="7B3A4ED6"/>
    <w:rsid w:val="7B9A0C51"/>
    <w:rsid w:val="7F803318"/>
    <w:rsid w:val="7F97A8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5889">
      <v:textbox inset="5.85pt,.7pt,5.85pt,.7pt"/>
    </o:shapedefaults>
    <o:shapelayout v:ext="edit">
      <o:idmap v:ext="edit" data="1"/>
    </o:shapelayout>
  </w:shapeDefaults>
  <w:decimalSymbol w:val="."/>
  <w:listSeparator w:val=","/>
  <w14:docId w14:val="2C3A54E5"/>
  <w15:docId w15:val="{0FA40A8F-1491-4AF1-960B-DD637A62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spacing w:before="120" w:after="120" w:line="240" w:lineRule="auto"/>
      <w:jc w:val="both"/>
    </w:pPr>
    <w:rPr>
      <w:rFonts w:ascii="Times New Roman" w:hAnsi="Times New Roman" w:cs="Times New Roman"/>
      <w:sz w:val="24"/>
      <w:lang w:val="en-GB"/>
    </w:rPr>
  </w:style>
  <w:style w:type="paragraph" w:styleId="1">
    <w:name w:val="heading 1"/>
    <w:basedOn w:val="a1"/>
    <w:next w:val="Text1"/>
    <w:link w:val="10"/>
    <w:uiPriority w:val="9"/>
    <w:qFormat/>
    <w:rsid w:val="00517205"/>
    <w:pPr>
      <w:keepNext/>
      <w:numPr>
        <w:numId w:val="157"/>
      </w:numPr>
      <w:spacing w:before="360"/>
      <w:outlineLvl w:val="0"/>
    </w:pPr>
    <w:rPr>
      <w:rFonts w:eastAsiaTheme="majorEastAsia"/>
      <w:b/>
      <w:bCs/>
      <w:smallCaps/>
      <w:szCs w:val="28"/>
    </w:rPr>
  </w:style>
  <w:style w:type="paragraph" w:styleId="20">
    <w:name w:val="heading 2"/>
    <w:basedOn w:val="a1"/>
    <w:next w:val="Text1"/>
    <w:link w:val="22"/>
    <w:uiPriority w:val="9"/>
    <w:semiHidden/>
    <w:unhideWhenUsed/>
    <w:qFormat/>
    <w:rsid w:val="00517205"/>
    <w:pPr>
      <w:keepNext/>
      <w:numPr>
        <w:ilvl w:val="1"/>
        <w:numId w:val="157"/>
      </w:numPr>
      <w:outlineLvl w:val="1"/>
    </w:pPr>
    <w:rPr>
      <w:rFonts w:eastAsiaTheme="majorEastAsia"/>
      <w:b/>
      <w:bCs/>
      <w:szCs w:val="26"/>
    </w:rPr>
  </w:style>
  <w:style w:type="paragraph" w:styleId="30">
    <w:name w:val="heading 3"/>
    <w:basedOn w:val="a1"/>
    <w:next w:val="Text1"/>
    <w:link w:val="32"/>
    <w:uiPriority w:val="9"/>
    <w:semiHidden/>
    <w:unhideWhenUsed/>
    <w:qFormat/>
    <w:rsid w:val="00517205"/>
    <w:pPr>
      <w:keepNext/>
      <w:numPr>
        <w:ilvl w:val="2"/>
        <w:numId w:val="157"/>
      </w:numPr>
      <w:outlineLvl w:val="2"/>
    </w:pPr>
    <w:rPr>
      <w:rFonts w:eastAsiaTheme="majorEastAsia"/>
      <w:bCs/>
      <w:i/>
    </w:rPr>
  </w:style>
  <w:style w:type="paragraph" w:styleId="41">
    <w:name w:val="heading 4"/>
    <w:basedOn w:val="a1"/>
    <w:next w:val="Text1"/>
    <w:link w:val="42"/>
    <w:uiPriority w:val="9"/>
    <w:semiHidden/>
    <w:unhideWhenUsed/>
    <w:qFormat/>
    <w:rsid w:val="00517205"/>
    <w:pPr>
      <w:keepNext/>
      <w:numPr>
        <w:ilvl w:val="3"/>
        <w:numId w:val="157"/>
      </w:numPr>
      <w:outlineLvl w:val="3"/>
    </w:pPr>
    <w:rPr>
      <w:rFonts w:eastAsiaTheme="majorEastAsia"/>
      <w:bCs/>
      <w:iCs/>
    </w:rPr>
  </w:style>
  <w:style w:type="paragraph" w:styleId="5">
    <w:name w:val="heading 5"/>
    <w:basedOn w:val="a1"/>
    <w:next w:val="Text2"/>
    <w:link w:val="50"/>
    <w:uiPriority w:val="9"/>
    <w:semiHidden/>
    <w:unhideWhenUsed/>
    <w:qFormat/>
    <w:rsid w:val="00517205"/>
    <w:pPr>
      <w:keepNext/>
      <w:numPr>
        <w:ilvl w:val="4"/>
        <w:numId w:val="157"/>
      </w:numPr>
      <w:outlineLvl w:val="4"/>
    </w:pPr>
    <w:rPr>
      <w:rFonts w:eastAsiaTheme="majorEastAsia"/>
    </w:rPr>
  </w:style>
  <w:style w:type="paragraph" w:styleId="6">
    <w:name w:val="heading 6"/>
    <w:basedOn w:val="a1"/>
    <w:next w:val="Text2"/>
    <w:link w:val="60"/>
    <w:uiPriority w:val="9"/>
    <w:semiHidden/>
    <w:unhideWhenUsed/>
    <w:qFormat/>
    <w:rsid w:val="00517205"/>
    <w:pPr>
      <w:keepNext/>
      <w:numPr>
        <w:ilvl w:val="5"/>
        <w:numId w:val="157"/>
      </w:numPr>
      <w:outlineLvl w:val="5"/>
    </w:pPr>
    <w:rPr>
      <w:rFonts w:eastAsiaTheme="majorEastAsia"/>
      <w:iCs/>
    </w:rPr>
  </w:style>
  <w:style w:type="paragraph" w:styleId="7">
    <w:name w:val="heading 7"/>
    <w:basedOn w:val="a1"/>
    <w:next w:val="Text2"/>
    <w:link w:val="70"/>
    <w:uiPriority w:val="9"/>
    <w:semiHidden/>
    <w:unhideWhenUsed/>
    <w:qFormat/>
    <w:rsid w:val="00517205"/>
    <w:pPr>
      <w:keepNext/>
      <w:numPr>
        <w:ilvl w:val="6"/>
        <w:numId w:val="157"/>
      </w:numPr>
      <w:outlineLvl w:val="6"/>
    </w:pPr>
    <w:rPr>
      <w:rFonts w:eastAsiaTheme="majorEastAsia"/>
      <w:i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40">
    <w:name w:val="List Bullet 4"/>
    <w:basedOn w:val="a1"/>
    <w:rsid w:val="005879E3"/>
    <w:pPr>
      <w:numPr>
        <w:numId w:val="5"/>
      </w:numPr>
    </w:pPr>
    <w:rPr>
      <w:rFonts w:eastAsia="Times New Roman"/>
      <w:lang w:eastAsia="de-DE"/>
    </w:rPr>
  </w:style>
  <w:style w:type="paragraph" w:styleId="a0">
    <w:name w:val="List Number"/>
    <w:basedOn w:val="a1"/>
    <w:qFormat/>
    <w:rsid w:val="005879E3"/>
    <w:pPr>
      <w:numPr>
        <w:numId w:val="9"/>
      </w:numPr>
    </w:pPr>
    <w:rPr>
      <w:rFonts w:eastAsia="Times New Roman"/>
      <w:lang w:eastAsia="de-DE"/>
    </w:rPr>
  </w:style>
  <w:style w:type="paragraph" w:customStyle="1" w:styleId="ListBullet1">
    <w:name w:val="List Bullet 1"/>
    <w:basedOn w:val="a1"/>
    <w:rsid w:val="005879E3"/>
    <w:pPr>
      <w:numPr>
        <w:numId w:val="4"/>
      </w:numPr>
    </w:pPr>
    <w:rPr>
      <w:rFonts w:eastAsia="Times New Roman"/>
      <w:lang w:eastAsia="de-DE"/>
    </w:rPr>
  </w:style>
  <w:style w:type="paragraph" w:customStyle="1" w:styleId="ListDash">
    <w:name w:val="List Dash"/>
    <w:basedOn w:val="a1"/>
    <w:rsid w:val="005879E3"/>
    <w:pPr>
      <w:numPr>
        <w:numId w:val="6"/>
      </w:numPr>
    </w:pPr>
    <w:rPr>
      <w:rFonts w:eastAsia="Times New Roman"/>
      <w:lang w:eastAsia="de-DE"/>
    </w:rPr>
  </w:style>
  <w:style w:type="paragraph" w:customStyle="1" w:styleId="ListDash1">
    <w:name w:val="List Dash 1"/>
    <w:basedOn w:val="a1"/>
    <w:rsid w:val="005879E3"/>
    <w:pPr>
      <w:numPr>
        <w:numId w:val="7"/>
      </w:numPr>
    </w:pPr>
    <w:rPr>
      <w:rFonts w:eastAsia="Times New Roman"/>
      <w:lang w:eastAsia="de-DE"/>
    </w:rPr>
  </w:style>
  <w:style w:type="paragraph" w:customStyle="1" w:styleId="ListDash2">
    <w:name w:val="List Dash 2"/>
    <w:basedOn w:val="a1"/>
    <w:rsid w:val="005879E3"/>
    <w:pPr>
      <w:numPr>
        <w:numId w:val="8"/>
      </w:numPr>
    </w:pPr>
    <w:rPr>
      <w:rFonts w:eastAsia="Times New Roman"/>
      <w:lang w:eastAsia="de-DE"/>
    </w:rPr>
  </w:style>
  <w:style w:type="paragraph" w:customStyle="1" w:styleId="ListNumberLevel2">
    <w:name w:val="List Number (Level 2)"/>
    <w:basedOn w:val="a1"/>
    <w:rsid w:val="005879E3"/>
    <w:pPr>
      <w:numPr>
        <w:ilvl w:val="1"/>
        <w:numId w:val="9"/>
      </w:numPr>
    </w:pPr>
    <w:rPr>
      <w:rFonts w:eastAsia="Times New Roman"/>
      <w:lang w:eastAsia="de-DE"/>
    </w:rPr>
  </w:style>
  <w:style w:type="paragraph" w:customStyle="1" w:styleId="ListNumberLevel3">
    <w:name w:val="List Number (Level 3)"/>
    <w:basedOn w:val="a1"/>
    <w:rsid w:val="005879E3"/>
    <w:pPr>
      <w:numPr>
        <w:ilvl w:val="2"/>
        <w:numId w:val="9"/>
      </w:numPr>
    </w:pPr>
    <w:rPr>
      <w:rFonts w:eastAsia="Times New Roman"/>
      <w:lang w:eastAsia="de-DE"/>
    </w:rPr>
  </w:style>
  <w:style w:type="paragraph" w:customStyle="1" w:styleId="ListNumberLevel4">
    <w:name w:val="List Number (Level 4)"/>
    <w:basedOn w:val="a1"/>
    <w:rsid w:val="005879E3"/>
    <w:pPr>
      <w:numPr>
        <w:ilvl w:val="3"/>
        <w:numId w:val="9"/>
      </w:numPr>
    </w:pPr>
    <w:rPr>
      <w:rFonts w:eastAsia="Times New Roman"/>
      <w:lang w:eastAsia="de-DE"/>
    </w:rPr>
  </w:style>
  <w:style w:type="table" w:styleId="a5">
    <w:name w:val="Table Grid"/>
    <w:basedOn w:val="a3"/>
    <w:uiPriority w:val="59"/>
    <w:rsid w:val="005879E3"/>
    <w:pPr>
      <w:spacing w:before="120" w:after="120" w:line="240" w:lineRule="auto"/>
      <w:jc w:val="both"/>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qFormat/>
    <w:rsid w:val="005879E3"/>
    <w:rPr>
      <w:color w:val="0000FF"/>
      <w:u w:val="single"/>
    </w:rPr>
  </w:style>
  <w:style w:type="paragraph" w:styleId="a">
    <w:name w:val="List Bullet"/>
    <w:basedOn w:val="a1"/>
    <w:rsid w:val="005879E3"/>
    <w:pPr>
      <w:numPr>
        <w:numId w:val="10"/>
      </w:numPr>
    </w:pPr>
    <w:rPr>
      <w:rFonts w:eastAsia="Times New Roman"/>
      <w:lang w:val="fr-FR" w:eastAsia="en-GB"/>
    </w:rPr>
  </w:style>
  <w:style w:type="paragraph" w:styleId="21">
    <w:name w:val="List Bullet 2"/>
    <w:basedOn w:val="a1"/>
    <w:rsid w:val="005879E3"/>
    <w:pPr>
      <w:numPr>
        <w:numId w:val="11"/>
      </w:numPr>
    </w:pPr>
    <w:rPr>
      <w:rFonts w:eastAsia="Times New Roman"/>
      <w:lang w:val="fr-FR" w:eastAsia="en-GB"/>
    </w:rPr>
  </w:style>
  <w:style w:type="paragraph" w:styleId="31">
    <w:name w:val="List Bullet 3"/>
    <w:basedOn w:val="a1"/>
    <w:rsid w:val="005879E3"/>
    <w:pPr>
      <w:numPr>
        <w:numId w:val="12"/>
      </w:numPr>
    </w:pPr>
    <w:rPr>
      <w:rFonts w:eastAsia="Times New Roman"/>
      <w:lang w:val="fr-FR" w:eastAsia="en-GB"/>
    </w:rPr>
  </w:style>
  <w:style w:type="paragraph" w:styleId="2">
    <w:name w:val="List Number 2"/>
    <w:basedOn w:val="a1"/>
    <w:rsid w:val="005879E3"/>
    <w:pPr>
      <w:numPr>
        <w:numId w:val="16"/>
      </w:numPr>
    </w:pPr>
    <w:rPr>
      <w:rFonts w:eastAsia="Times New Roman"/>
      <w:lang w:val="fr-FR" w:eastAsia="en-GB"/>
    </w:rPr>
  </w:style>
  <w:style w:type="paragraph" w:styleId="3">
    <w:name w:val="List Number 3"/>
    <w:basedOn w:val="a1"/>
    <w:rsid w:val="005879E3"/>
    <w:pPr>
      <w:numPr>
        <w:numId w:val="17"/>
      </w:numPr>
    </w:pPr>
    <w:rPr>
      <w:rFonts w:eastAsia="Times New Roman"/>
      <w:lang w:val="fr-FR" w:eastAsia="en-GB"/>
    </w:rPr>
  </w:style>
  <w:style w:type="paragraph" w:styleId="4">
    <w:name w:val="List Number 4"/>
    <w:basedOn w:val="a1"/>
    <w:rsid w:val="005879E3"/>
    <w:pPr>
      <w:numPr>
        <w:numId w:val="18"/>
      </w:numPr>
    </w:pPr>
    <w:rPr>
      <w:rFonts w:eastAsia="Times New Roman"/>
      <w:lang w:val="fr-FR" w:eastAsia="en-GB"/>
    </w:rPr>
  </w:style>
  <w:style w:type="paragraph" w:customStyle="1" w:styleId="ListDash3">
    <w:name w:val="List Dash 3"/>
    <w:basedOn w:val="a1"/>
    <w:rsid w:val="005879E3"/>
    <w:pPr>
      <w:numPr>
        <w:numId w:val="13"/>
      </w:numPr>
    </w:pPr>
    <w:rPr>
      <w:rFonts w:eastAsia="Times New Roman"/>
      <w:lang w:val="fr-FR" w:eastAsia="en-GB"/>
    </w:rPr>
  </w:style>
  <w:style w:type="paragraph" w:customStyle="1" w:styleId="ListDash4">
    <w:name w:val="List Dash 4"/>
    <w:basedOn w:val="a1"/>
    <w:rsid w:val="005879E3"/>
    <w:pPr>
      <w:numPr>
        <w:numId w:val="14"/>
      </w:numPr>
    </w:pPr>
    <w:rPr>
      <w:rFonts w:eastAsia="Times New Roman"/>
      <w:lang w:val="fr-FR" w:eastAsia="en-GB"/>
    </w:rPr>
  </w:style>
  <w:style w:type="paragraph" w:customStyle="1" w:styleId="ListNumber1">
    <w:name w:val="List Number 1"/>
    <w:basedOn w:val="Text1"/>
    <w:rsid w:val="005879E3"/>
    <w:pPr>
      <w:numPr>
        <w:numId w:val="15"/>
      </w:numPr>
    </w:pPr>
    <w:rPr>
      <w:rFonts w:eastAsia="Times New Roman"/>
      <w:lang w:val="fr-FR" w:eastAsia="en-GB"/>
    </w:rPr>
  </w:style>
  <w:style w:type="paragraph" w:customStyle="1" w:styleId="ListNumber1Level2">
    <w:name w:val="List Number 1 (Level 2)"/>
    <w:basedOn w:val="Text1"/>
    <w:rsid w:val="005879E3"/>
    <w:pPr>
      <w:numPr>
        <w:ilvl w:val="1"/>
        <w:numId w:val="15"/>
      </w:numPr>
    </w:pPr>
    <w:rPr>
      <w:rFonts w:eastAsia="Times New Roman"/>
      <w:lang w:val="fr-FR" w:eastAsia="en-GB"/>
    </w:rPr>
  </w:style>
  <w:style w:type="paragraph" w:customStyle="1" w:styleId="ListNumber2Level2">
    <w:name w:val="List Number 2 (Level 2)"/>
    <w:basedOn w:val="Text2"/>
    <w:rsid w:val="005879E3"/>
    <w:pPr>
      <w:numPr>
        <w:ilvl w:val="1"/>
        <w:numId w:val="16"/>
      </w:numPr>
    </w:pPr>
    <w:rPr>
      <w:rFonts w:eastAsia="Times New Roman"/>
      <w:lang w:val="fr-FR" w:eastAsia="en-GB"/>
    </w:rPr>
  </w:style>
  <w:style w:type="paragraph" w:customStyle="1" w:styleId="ListNumber3Level2">
    <w:name w:val="List Number 3 (Level 2)"/>
    <w:basedOn w:val="Text3"/>
    <w:rsid w:val="005879E3"/>
    <w:pPr>
      <w:numPr>
        <w:ilvl w:val="1"/>
        <w:numId w:val="17"/>
      </w:numPr>
    </w:pPr>
    <w:rPr>
      <w:rFonts w:eastAsia="Times New Roman"/>
      <w:lang w:val="fr-FR" w:eastAsia="en-GB"/>
    </w:rPr>
  </w:style>
  <w:style w:type="paragraph" w:customStyle="1" w:styleId="ListNumber4Level2">
    <w:name w:val="List Number 4 (Level 2)"/>
    <w:basedOn w:val="Text4"/>
    <w:rsid w:val="005879E3"/>
    <w:pPr>
      <w:numPr>
        <w:ilvl w:val="1"/>
        <w:numId w:val="18"/>
      </w:numPr>
    </w:pPr>
    <w:rPr>
      <w:rFonts w:eastAsia="Times New Roman"/>
      <w:lang w:val="fr-FR" w:eastAsia="en-GB"/>
    </w:rPr>
  </w:style>
  <w:style w:type="paragraph" w:customStyle="1" w:styleId="ListNumber1Level3">
    <w:name w:val="List Number 1 (Level 3)"/>
    <w:basedOn w:val="Text1"/>
    <w:rsid w:val="005879E3"/>
    <w:pPr>
      <w:numPr>
        <w:ilvl w:val="2"/>
        <w:numId w:val="15"/>
      </w:numPr>
    </w:pPr>
    <w:rPr>
      <w:rFonts w:eastAsia="Times New Roman"/>
      <w:lang w:val="fr-FR" w:eastAsia="en-GB"/>
    </w:rPr>
  </w:style>
  <w:style w:type="paragraph" w:customStyle="1" w:styleId="ListNumber2Level3">
    <w:name w:val="List Number 2 (Level 3)"/>
    <w:basedOn w:val="Text2"/>
    <w:rsid w:val="005879E3"/>
    <w:pPr>
      <w:numPr>
        <w:ilvl w:val="2"/>
        <w:numId w:val="16"/>
      </w:numPr>
    </w:pPr>
    <w:rPr>
      <w:rFonts w:eastAsia="Times New Roman"/>
      <w:lang w:val="fr-FR" w:eastAsia="en-GB"/>
    </w:rPr>
  </w:style>
  <w:style w:type="paragraph" w:customStyle="1" w:styleId="ListNumber3Level3">
    <w:name w:val="List Number 3 (Level 3)"/>
    <w:basedOn w:val="Text3"/>
    <w:rsid w:val="005879E3"/>
    <w:pPr>
      <w:numPr>
        <w:ilvl w:val="2"/>
        <w:numId w:val="17"/>
      </w:numPr>
    </w:pPr>
    <w:rPr>
      <w:rFonts w:eastAsia="Times New Roman"/>
      <w:lang w:val="fr-FR" w:eastAsia="en-GB"/>
    </w:rPr>
  </w:style>
  <w:style w:type="paragraph" w:customStyle="1" w:styleId="ListNumber4Level3">
    <w:name w:val="List Number 4 (Level 3)"/>
    <w:basedOn w:val="Text4"/>
    <w:rsid w:val="005879E3"/>
    <w:pPr>
      <w:numPr>
        <w:ilvl w:val="2"/>
        <w:numId w:val="18"/>
      </w:numPr>
    </w:pPr>
    <w:rPr>
      <w:rFonts w:eastAsia="Times New Roman"/>
      <w:lang w:val="fr-FR" w:eastAsia="en-GB"/>
    </w:rPr>
  </w:style>
  <w:style w:type="paragraph" w:customStyle="1" w:styleId="ListNumber1Level4">
    <w:name w:val="List Number 1 (Level 4)"/>
    <w:basedOn w:val="Text1"/>
    <w:rsid w:val="005879E3"/>
    <w:pPr>
      <w:numPr>
        <w:ilvl w:val="3"/>
        <w:numId w:val="15"/>
      </w:numPr>
    </w:pPr>
    <w:rPr>
      <w:rFonts w:eastAsia="Times New Roman"/>
      <w:lang w:val="fr-FR" w:eastAsia="en-GB"/>
    </w:rPr>
  </w:style>
  <w:style w:type="paragraph" w:customStyle="1" w:styleId="ListNumber2Level4">
    <w:name w:val="List Number 2 (Level 4)"/>
    <w:basedOn w:val="Text2"/>
    <w:rsid w:val="005879E3"/>
    <w:pPr>
      <w:numPr>
        <w:ilvl w:val="3"/>
        <w:numId w:val="16"/>
      </w:numPr>
    </w:pPr>
    <w:rPr>
      <w:rFonts w:eastAsia="Times New Roman"/>
      <w:lang w:val="fr-FR" w:eastAsia="en-GB"/>
    </w:rPr>
  </w:style>
  <w:style w:type="paragraph" w:customStyle="1" w:styleId="ListNumber3Level4">
    <w:name w:val="List Number 3 (Level 4)"/>
    <w:basedOn w:val="Text3"/>
    <w:rsid w:val="005879E3"/>
    <w:pPr>
      <w:numPr>
        <w:ilvl w:val="3"/>
        <w:numId w:val="17"/>
      </w:numPr>
    </w:pPr>
    <w:rPr>
      <w:rFonts w:eastAsia="Times New Roman"/>
      <w:lang w:val="fr-FR" w:eastAsia="en-GB"/>
    </w:rPr>
  </w:style>
  <w:style w:type="paragraph" w:customStyle="1" w:styleId="ListNumber4Level4">
    <w:name w:val="List Number 4 (Level 4)"/>
    <w:basedOn w:val="Text4"/>
    <w:rsid w:val="005879E3"/>
    <w:pPr>
      <w:numPr>
        <w:ilvl w:val="3"/>
        <w:numId w:val="18"/>
      </w:numPr>
    </w:pPr>
    <w:rPr>
      <w:rFonts w:eastAsia="Times New Roman"/>
      <w:lang w:val="fr-FR" w:eastAsia="en-GB"/>
    </w:rPr>
  </w:style>
  <w:style w:type="paragraph" w:customStyle="1" w:styleId="Annexetitreacte">
    <w:name w:val="Annexe titre (acte)"/>
    <w:basedOn w:val="a1"/>
    <w:next w:val="a1"/>
    <w:rsid w:val="005879E3"/>
    <w:pPr>
      <w:jc w:val="center"/>
    </w:pPr>
    <w:rPr>
      <w:rFonts w:eastAsia="Times New Roman"/>
      <w:b/>
      <w:u w:val="single"/>
      <w:lang w:val="fr-FR" w:eastAsia="en-GB"/>
    </w:rPr>
  </w:style>
  <w:style w:type="paragraph" w:customStyle="1" w:styleId="Annexetitreexposglobal">
    <w:name w:val="Annexe titre (exposé global)"/>
    <w:basedOn w:val="a1"/>
    <w:next w:val="a1"/>
    <w:rsid w:val="005879E3"/>
    <w:pPr>
      <w:jc w:val="center"/>
    </w:pPr>
    <w:rPr>
      <w:rFonts w:eastAsia="Times New Roman"/>
      <w:b/>
      <w:u w:val="single"/>
      <w:lang w:val="fr-FR" w:eastAsia="en-GB"/>
    </w:rPr>
  </w:style>
  <w:style w:type="paragraph" w:customStyle="1" w:styleId="Annexetitrefichefinacte">
    <w:name w:val="Annexe titre (fiche fin. acte)"/>
    <w:basedOn w:val="a1"/>
    <w:next w:val="a1"/>
    <w:rsid w:val="005879E3"/>
    <w:pPr>
      <w:jc w:val="center"/>
    </w:pPr>
    <w:rPr>
      <w:rFonts w:eastAsia="Times New Roman"/>
      <w:b/>
      <w:u w:val="single"/>
      <w:lang w:val="fr-FR" w:eastAsia="en-GB"/>
    </w:rPr>
  </w:style>
  <w:style w:type="paragraph" w:customStyle="1" w:styleId="Annexetitrefichefinglobale">
    <w:name w:val="Annexe titre (fiche fin. globale)"/>
    <w:basedOn w:val="a1"/>
    <w:next w:val="a1"/>
    <w:rsid w:val="005879E3"/>
    <w:pPr>
      <w:jc w:val="center"/>
    </w:pPr>
    <w:rPr>
      <w:rFonts w:eastAsia="Times New Roman"/>
      <w:b/>
      <w:u w:val="single"/>
      <w:lang w:val="fr-FR" w:eastAsia="en-GB"/>
    </w:rPr>
  </w:style>
  <w:style w:type="paragraph" w:customStyle="1" w:styleId="Annexetitreglobale">
    <w:name w:val="Annexe titre (globale)"/>
    <w:basedOn w:val="a1"/>
    <w:next w:val="a1"/>
    <w:rsid w:val="005879E3"/>
    <w:pPr>
      <w:jc w:val="center"/>
    </w:pPr>
    <w:rPr>
      <w:rFonts w:eastAsia="Times New Roman"/>
      <w:b/>
      <w:u w:val="single"/>
      <w:lang w:val="fr-FR" w:eastAsia="en-GB"/>
    </w:rPr>
  </w:style>
  <w:style w:type="paragraph" w:customStyle="1" w:styleId="Exposdesmotifstitreglobal">
    <w:name w:val="Exposé des motifs titre (global)"/>
    <w:basedOn w:val="a1"/>
    <w:next w:val="a1"/>
    <w:rsid w:val="005879E3"/>
    <w:pPr>
      <w:jc w:val="center"/>
    </w:pPr>
    <w:rPr>
      <w:rFonts w:eastAsia="Times New Roman"/>
      <w:b/>
      <w:u w:val="single"/>
      <w:lang w:val="fr-FR" w:eastAsia="en-GB"/>
    </w:rPr>
  </w:style>
  <w:style w:type="paragraph" w:customStyle="1" w:styleId="Langueoriginale">
    <w:name w:val="Langue originale"/>
    <w:basedOn w:val="a1"/>
    <w:rsid w:val="005879E3"/>
    <w:pPr>
      <w:spacing w:before="360"/>
      <w:jc w:val="center"/>
    </w:pPr>
    <w:rPr>
      <w:rFonts w:eastAsia="Times New Roman"/>
      <w:caps/>
      <w:lang w:val="fr-FR" w:eastAsia="en-GB"/>
    </w:rPr>
  </w:style>
  <w:style w:type="paragraph" w:customStyle="1" w:styleId="Phrasefinale">
    <w:name w:val="Phrase finale"/>
    <w:basedOn w:val="a1"/>
    <w:next w:val="a1"/>
    <w:rsid w:val="005879E3"/>
    <w:pPr>
      <w:spacing w:before="360" w:after="0"/>
      <w:jc w:val="center"/>
    </w:pPr>
    <w:rPr>
      <w:rFonts w:eastAsia="Times New Roman"/>
      <w:lang w:val="fr-FR" w:eastAsia="en-GB"/>
    </w:rPr>
  </w:style>
  <w:style w:type="paragraph" w:customStyle="1" w:styleId="Prliminairetitre">
    <w:name w:val="Préliminaire titre"/>
    <w:basedOn w:val="a1"/>
    <w:next w:val="a1"/>
    <w:rsid w:val="005879E3"/>
    <w:pPr>
      <w:spacing w:before="360" w:after="360"/>
      <w:jc w:val="center"/>
    </w:pPr>
    <w:rPr>
      <w:rFonts w:eastAsia="Times New Roman"/>
      <w:b/>
      <w:lang w:val="fr-FR" w:eastAsia="en-GB"/>
    </w:rPr>
  </w:style>
  <w:style w:type="paragraph" w:customStyle="1" w:styleId="Prliminairetype">
    <w:name w:val="Préliminaire type"/>
    <w:basedOn w:val="a1"/>
    <w:next w:val="a1"/>
    <w:rsid w:val="005879E3"/>
    <w:pPr>
      <w:spacing w:before="360" w:after="0"/>
      <w:jc w:val="center"/>
    </w:pPr>
    <w:rPr>
      <w:rFonts w:eastAsia="Times New Roman"/>
      <w:b/>
      <w:lang w:val="fr-FR" w:eastAsia="en-GB"/>
    </w:rPr>
  </w:style>
  <w:style w:type="paragraph" w:customStyle="1" w:styleId="Rfrenceinstitutionelle">
    <w:name w:val="Référence institutionelle"/>
    <w:basedOn w:val="a1"/>
    <w:next w:val="Statut"/>
    <w:rsid w:val="005879E3"/>
    <w:pPr>
      <w:spacing w:before="0" w:after="240"/>
      <w:ind w:left="5103"/>
      <w:jc w:val="left"/>
    </w:pPr>
    <w:rPr>
      <w:rFonts w:eastAsia="Times New Roman"/>
      <w:lang w:val="fr-FR" w:eastAsia="en-GB"/>
    </w:rPr>
  </w:style>
  <w:style w:type="paragraph" w:customStyle="1" w:styleId="Rfrenceinterinstitutionelle">
    <w:name w:val="Référence interinstitutionelle"/>
    <w:basedOn w:val="a1"/>
    <w:next w:val="Statut"/>
    <w:rsid w:val="005879E3"/>
    <w:pPr>
      <w:spacing w:before="0" w:after="0"/>
      <w:ind w:left="5103"/>
      <w:jc w:val="left"/>
    </w:pPr>
    <w:rPr>
      <w:rFonts w:eastAsia="Times New Roman"/>
      <w:lang w:val="fr-FR" w:eastAsia="en-GB"/>
    </w:rPr>
  </w:style>
  <w:style w:type="paragraph" w:customStyle="1" w:styleId="Rfrenceinterinstitutionelleprliminaire">
    <w:name w:val="Référence interinstitutionelle (préliminaire)"/>
    <w:basedOn w:val="a1"/>
    <w:next w:val="a1"/>
    <w:rsid w:val="005879E3"/>
    <w:pPr>
      <w:spacing w:before="0" w:after="0"/>
      <w:ind w:left="5103"/>
      <w:jc w:val="left"/>
    </w:pPr>
    <w:rPr>
      <w:rFonts w:eastAsia="Times New Roman"/>
      <w:lang w:val="fr-FR" w:eastAsia="en-GB"/>
    </w:rPr>
  </w:style>
  <w:style w:type="paragraph" w:customStyle="1" w:styleId="Sous-titreobjetprliminaire">
    <w:name w:val="Sous-titre objet (préliminaire)"/>
    <w:basedOn w:val="a1"/>
    <w:rsid w:val="005879E3"/>
    <w:pPr>
      <w:spacing w:before="0" w:after="0"/>
      <w:jc w:val="center"/>
    </w:pPr>
    <w:rPr>
      <w:rFonts w:eastAsia="Times New Roman"/>
      <w:b/>
      <w:lang w:val="fr-FR" w:eastAsia="en-GB"/>
    </w:rPr>
  </w:style>
  <w:style w:type="paragraph" w:customStyle="1" w:styleId="Statutprliminaire">
    <w:name w:val="Statut (préliminaire)"/>
    <w:basedOn w:val="a1"/>
    <w:next w:val="a1"/>
    <w:rsid w:val="005879E3"/>
    <w:pPr>
      <w:spacing w:before="360" w:after="0"/>
      <w:jc w:val="center"/>
    </w:pPr>
    <w:rPr>
      <w:rFonts w:eastAsia="Times New Roman"/>
      <w:lang w:val="fr-FR" w:eastAsia="en-GB"/>
    </w:rPr>
  </w:style>
  <w:style w:type="paragraph" w:customStyle="1" w:styleId="Titreobjetprliminaire">
    <w:name w:val="Titre objet (préliminaire)"/>
    <w:basedOn w:val="a1"/>
    <w:next w:val="a1"/>
    <w:rsid w:val="005879E3"/>
    <w:pPr>
      <w:spacing w:before="360" w:after="360"/>
      <w:jc w:val="center"/>
    </w:pPr>
    <w:rPr>
      <w:rFonts w:eastAsia="Times New Roman"/>
      <w:b/>
      <w:lang w:val="fr-FR" w:eastAsia="en-GB"/>
    </w:rPr>
  </w:style>
  <w:style w:type="paragraph" w:customStyle="1" w:styleId="Typedudocumentprliminaire">
    <w:name w:val="Type du document (préliminaire)"/>
    <w:basedOn w:val="a1"/>
    <w:next w:val="a1"/>
    <w:rsid w:val="005879E3"/>
    <w:pPr>
      <w:spacing w:before="360" w:after="0"/>
      <w:jc w:val="center"/>
    </w:pPr>
    <w:rPr>
      <w:rFonts w:eastAsia="Times New Roman"/>
      <w:b/>
      <w:lang w:val="fr-FR" w:eastAsia="en-GB"/>
    </w:rPr>
  </w:style>
  <w:style w:type="paragraph" w:customStyle="1" w:styleId="Fichefinancirestandardtitre">
    <w:name w:val="Fiche financière (standard) titre"/>
    <w:basedOn w:val="a1"/>
    <w:next w:val="a1"/>
    <w:rsid w:val="005879E3"/>
    <w:pPr>
      <w:jc w:val="center"/>
    </w:pPr>
    <w:rPr>
      <w:rFonts w:eastAsia="Times New Roman"/>
      <w:b/>
      <w:u w:val="single"/>
      <w:lang w:val="fr-FR" w:eastAsia="en-GB"/>
    </w:rPr>
  </w:style>
  <w:style w:type="paragraph" w:customStyle="1" w:styleId="Fichefinancirestandardtitreacte">
    <w:name w:val="Fiche financière (standard) titre (acte)"/>
    <w:basedOn w:val="a1"/>
    <w:next w:val="a1"/>
    <w:rsid w:val="005879E3"/>
    <w:pPr>
      <w:jc w:val="center"/>
    </w:pPr>
    <w:rPr>
      <w:rFonts w:eastAsia="Times New Roman"/>
      <w:b/>
      <w:u w:val="single"/>
      <w:lang w:val="fr-FR" w:eastAsia="en-GB"/>
    </w:rPr>
  </w:style>
  <w:style w:type="paragraph" w:customStyle="1" w:styleId="Fichefinanciretravailtitre">
    <w:name w:val="Fiche financière (travail) titre"/>
    <w:basedOn w:val="a1"/>
    <w:next w:val="a1"/>
    <w:rsid w:val="005879E3"/>
    <w:pPr>
      <w:jc w:val="center"/>
    </w:pPr>
    <w:rPr>
      <w:rFonts w:eastAsia="Times New Roman"/>
      <w:b/>
      <w:u w:val="single"/>
      <w:lang w:val="fr-FR" w:eastAsia="en-GB"/>
    </w:rPr>
  </w:style>
  <w:style w:type="paragraph" w:customStyle="1" w:styleId="Fichefinanciretravailtitreacte">
    <w:name w:val="Fiche financière (travail) titre (acte)"/>
    <w:basedOn w:val="a1"/>
    <w:next w:val="a1"/>
    <w:rsid w:val="005879E3"/>
    <w:pPr>
      <w:jc w:val="center"/>
    </w:pPr>
    <w:rPr>
      <w:rFonts w:eastAsia="Times New Roman"/>
      <w:b/>
      <w:u w:val="single"/>
      <w:lang w:val="fr-FR" w:eastAsia="en-GB"/>
    </w:rPr>
  </w:style>
  <w:style w:type="paragraph" w:customStyle="1" w:styleId="Fichefinancireattributiontitre">
    <w:name w:val="Fiche financière (attribution) titre"/>
    <w:basedOn w:val="a1"/>
    <w:next w:val="a1"/>
    <w:rsid w:val="005879E3"/>
    <w:pPr>
      <w:jc w:val="center"/>
    </w:pPr>
    <w:rPr>
      <w:rFonts w:eastAsia="Times New Roman"/>
      <w:b/>
      <w:u w:val="single"/>
      <w:lang w:val="fr-FR" w:eastAsia="en-GB"/>
    </w:rPr>
  </w:style>
  <w:style w:type="paragraph" w:customStyle="1" w:styleId="Fichefinancireattributiontitreacte">
    <w:name w:val="Fiche financière (attribution) titre (acte)"/>
    <w:basedOn w:val="a1"/>
    <w:next w:val="a1"/>
    <w:rsid w:val="005879E3"/>
    <w:pPr>
      <w:jc w:val="center"/>
    </w:pPr>
    <w:rPr>
      <w:rFonts w:eastAsia="Times New Roman"/>
      <w:b/>
      <w:u w:val="single"/>
      <w:lang w:val="fr-FR" w:eastAsia="en-GB"/>
    </w:rPr>
  </w:style>
  <w:style w:type="character" w:styleId="a7">
    <w:name w:val="annotation reference"/>
    <w:uiPriority w:val="99"/>
    <w:qFormat/>
    <w:rsid w:val="005879E3"/>
    <w:rPr>
      <w:rFonts w:cs="Times New Roman"/>
      <w:sz w:val="16"/>
      <w:szCs w:val="16"/>
    </w:rPr>
  </w:style>
  <w:style w:type="paragraph" w:styleId="a8">
    <w:name w:val="annotation text"/>
    <w:basedOn w:val="a1"/>
    <w:link w:val="a9"/>
    <w:uiPriority w:val="99"/>
    <w:qFormat/>
    <w:rsid w:val="005879E3"/>
    <w:rPr>
      <w:rFonts w:eastAsia="Times New Roman"/>
      <w:sz w:val="20"/>
      <w:szCs w:val="20"/>
      <w:lang w:val="fr-FR" w:eastAsia="en-GB"/>
    </w:rPr>
  </w:style>
  <w:style w:type="character" w:customStyle="1" w:styleId="a9">
    <w:name w:val="コメント文字列 (文字)"/>
    <w:basedOn w:val="a2"/>
    <w:link w:val="a8"/>
    <w:uiPriority w:val="99"/>
    <w:rsid w:val="005879E3"/>
    <w:rPr>
      <w:rFonts w:ascii="Times New Roman" w:eastAsia="Times New Roman" w:hAnsi="Times New Roman" w:cs="Times New Roman"/>
      <w:sz w:val="20"/>
      <w:szCs w:val="20"/>
      <w:lang w:val="fr-FR" w:eastAsia="en-GB"/>
    </w:rPr>
  </w:style>
  <w:style w:type="paragraph" w:styleId="aa">
    <w:name w:val="annotation subject"/>
    <w:basedOn w:val="a8"/>
    <w:next w:val="a8"/>
    <w:link w:val="ab"/>
    <w:uiPriority w:val="99"/>
    <w:rsid w:val="005879E3"/>
    <w:rPr>
      <w:b/>
      <w:bCs/>
    </w:rPr>
  </w:style>
  <w:style w:type="character" w:customStyle="1" w:styleId="ab">
    <w:name w:val="コメント内容 (文字)"/>
    <w:basedOn w:val="a9"/>
    <w:link w:val="aa"/>
    <w:uiPriority w:val="99"/>
    <w:rsid w:val="005879E3"/>
    <w:rPr>
      <w:rFonts w:ascii="Times New Roman" w:eastAsia="Times New Roman" w:hAnsi="Times New Roman" w:cs="Times New Roman"/>
      <w:b/>
      <w:bCs/>
      <w:sz w:val="20"/>
      <w:szCs w:val="20"/>
      <w:lang w:val="fr-FR" w:eastAsia="en-GB"/>
    </w:rPr>
  </w:style>
  <w:style w:type="paragraph" w:styleId="ac">
    <w:name w:val="Balloon Text"/>
    <w:basedOn w:val="a1"/>
    <w:link w:val="ad"/>
    <w:uiPriority w:val="99"/>
    <w:rsid w:val="005879E3"/>
    <w:rPr>
      <w:rFonts w:ascii="Tahoma" w:eastAsia="Times New Roman" w:hAnsi="Tahoma" w:cs="Tahoma"/>
      <w:sz w:val="16"/>
      <w:szCs w:val="16"/>
      <w:lang w:val="fr-FR" w:eastAsia="en-GB"/>
    </w:rPr>
  </w:style>
  <w:style w:type="character" w:customStyle="1" w:styleId="ad">
    <w:name w:val="吹き出し (文字)"/>
    <w:basedOn w:val="a2"/>
    <w:link w:val="ac"/>
    <w:uiPriority w:val="99"/>
    <w:rsid w:val="005879E3"/>
    <w:rPr>
      <w:rFonts w:ascii="Tahoma" w:eastAsia="Times New Roman" w:hAnsi="Tahoma" w:cs="Tahoma"/>
      <w:sz w:val="16"/>
      <w:szCs w:val="16"/>
      <w:lang w:val="fr-FR" w:eastAsia="en-GB"/>
    </w:rPr>
  </w:style>
  <w:style w:type="paragraph" w:styleId="ae">
    <w:name w:val="caption"/>
    <w:basedOn w:val="a1"/>
    <w:next w:val="a1"/>
    <w:qFormat/>
    <w:rsid w:val="005879E3"/>
    <w:rPr>
      <w:rFonts w:eastAsia="Times New Roman"/>
      <w:b/>
      <w:bCs/>
      <w:sz w:val="20"/>
      <w:szCs w:val="20"/>
      <w:lang w:val="fr-FR" w:eastAsia="en-GB"/>
    </w:rPr>
  </w:style>
  <w:style w:type="paragraph" w:styleId="af">
    <w:name w:val="table of figures"/>
    <w:basedOn w:val="a1"/>
    <w:next w:val="a1"/>
    <w:rsid w:val="005879E3"/>
    <w:rPr>
      <w:rFonts w:eastAsia="Times New Roman"/>
      <w:lang w:val="fr-FR" w:eastAsia="en-GB"/>
    </w:rPr>
  </w:style>
  <w:style w:type="character" w:styleId="af0">
    <w:name w:val="page number"/>
    <w:rsid w:val="005879E3"/>
  </w:style>
  <w:style w:type="character" w:styleId="af1">
    <w:name w:val="FollowedHyperlink"/>
    <w:uiPriority w:val="99"/>
    <w:rsid w:val="005879E3"/>
    <w:rPr>
      <w:color w:val="800080"/>
      <w:u w:val="single"/>
    </w:rPr>
  </w:style>
  <w:style w:type="paragraph" w:customStyle="1" w:styleId="Sous-titreobjet">
    <w:name w:val="Sous-titre objet"/>
    <w:basedOn w:val="a1"/>
    <w:rsid w:val="005879E3"/>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5879E3"/>
  </w:style>
  <w:style w:type="paragraph" w:styleId="af2">
    <w:name w:val="Revision"/>
    <w:hidden/>
    <w:uiPriority w:val="99"/>
    <w:semiHidden/>
    <w:rsid w:val="005879E3"/>
    <w:rPr>
      <w:rFonts w:ascii="Calibri" w:eastAsia="Calibri" w:hAnsi="Calibri" w:cs="Times New Roman"/>
      <w:sz w:val="24"/>
      <w:lang w:val="en-GB" w:eastAsia="en-GB"/>
    </w:rPr>
  </w:style>
  <w:style w:type="paragraph" w:customStyle="1" w:styleId="FooterCoverPage">
    <w:name w:val="Footer Cover Page"/>
    <w:basedOn w:val="a1"/>
    <w:link w:val="FooterCoverPageChar"/>
    <w:rsid w:val="005879E3"/>
    <w:pPr>
      <w:tabs>
        <w:tab w:val="center" w:pos="4535"/>
        <w:tab w:val="right" w:pos="9071"/>
        <w:tab w:val="right" w:pos="9921"/>
      </w:tabs>
      <w:spacing w:before="360" w:after="0"/>
      <w:ind w:left="-850" w:right="-850"/>
      <w:jc w:val="left"/>
    </w:pPr>
    <w:rPr>
      <w:rFonts w:eastAsia="Calibri"/>
      <w:lang w:eastAsia="en-GB"/>
    </w:rPr>
  </w:style>
  <w:style w:type="character" w:customStyle="1" w:styleId="FooterCoverPageChar">
    <w:name w:val="Footer Cover Page Char"/>
    <w:link w:val="FooterCoverPage"/>
    <w:rsid w:val="005879E3"/>
    <w:rPr>
      <w:rFonts w:ascii="Times New Roman" w:eastAsia="Calibri" w:hAnsi="Times New Roman" w:cs="Times New Roman"/>
      <w:sz w:val="24"/>
      <w:lang w:val="en-GB" w:eastAsia="en-GB"/>
    </w:rPr>
  </w:style>
  <w:style w:type="paragraph" w:customStyle="1" w:styleId="HeaderCoverPage">
    <w:name w:val="Header Cover Page"/>
    <w:basedOn w:val="a1"/>
    <w:link w:val="HeaderCoverPageChar"/>
    <w:rsid w:val="005879E3"/>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5879E3"/>
    <w:rPr>
      <w:rFonts w:ascii="Times New Roman" w:eastAsia="Calibri" w:hAnsi="Times New Roman" w:cs="Times New Roman"/>
      <w:sz w:val="24"/>
      <w:lang w:val="en-GB" w:eastAsia="en-GB"/>
    </w:rPr>
  </w:style>
  <w:style w:type="character" w:customStyle="1" w:styleId="superscript">
    <w:name w:val="superscript"/>
    <w:basedOn w:val="a2"/>
    <w:rsid w:val="00646885"/>
  </w:style>
  <w:style w:type="character" w:customStyle="1" w:styleId="italics">
    <w:name w:val="italics"/>
    <w:basedOn w:val="a2"/>
    <w:rsid w:val="00646885"/>
  </w:style>
  <w:style w:type="paragraph" w:styleId="Web">
    <w:name w:val="Normal (Web)"/>
    <w:basedOn w:val="a1"/>
    <w:uiPriority w:val="99"/>
    <w:unhideWhenUsed/>
    <w:rsid w:val="00646885"/>
    <w:pPr>
      <w:spacing w:before="100" w:beforeAutospacing="1" w:after="100" w:afterAutospacing="1"/>
      <w:jc w:val="left"/>
    </w:pPr>
    <w:rPr>
      <w:rFonts w:eastAsia="Times New Roman"/>
      <w:szCs w:val="24"/>
      <w:lang w:val="fr-BE" w:eastAsia="fr-BE"/>
    </w:rPr>
  </w:style>
  <w:style w:type="paragraph" w:customStyle="1" w:styleId="title-article-norm">
    <w:name w:val="title-article-norm"/>
    <w:basedOn w:val="a1"/>
    <w:rsid w:val="00646885"/>
    <w:pPr>
      <w:spacing w:before="100" w:beforeAutospacing="1" w:after="100" w:afterAutospacing="1"/>
      <w:jc w:val="left"/>
    </w:pPr>
    <w:rPr>
      <w:rFonts w:eastAsia="Times New Roman"/>
      <w:szCs w:val="24"/>
      <w:lang w:val="fr-BE" w:eastAsia="fr-BE"/>
    </w:rPr>
  </w:style>
  <w:style w:type="paragraph" w:customStyle="1" w:styleId="title-annex-1">
    <w:name w:val="title-annex-1"/>
    <w:basedOn w:val="a1"/>
    <w:rsid w:val="00646885"/>
    <w:pPr>
      <w:spacing w:before="100" w:beforeAutospacing="1" w:after="100" w:afterAutospacing="1"/>
      <w:jc w:val="left"/>
    </w:pPr>
    <w:rPr>
      <w:rFonts w:eastAsia="Times New Roman"/>
      <w:szCs w:val="24"/>
      <w:lang w:val="fr-BE" w:eastAsia="fr-BE"/>
    </w:rPr>
  </w:style>
  <w:style w:type="paragraph" w:customStyle="1" w:styleId="title-gr-seq-level-1">
    <w:name w:val="title-gr-seq-level-1"/>
    <w:basedOn w:val="a1"/>
    <w:rsid w:val="00646885"/>
    <w:pPr>
      <w:spacing w:before="100" w:beforeAutospacing="1" w:after="100" w:afterAutospacing="1"/>
      <w:jc w:val="left"/>
    </w:pPr>
    <w:rPr>
      <w:rFonts w:eastAsia="Times New Roman"/>
      <w:szCs w:val="24"/>
      <w:lang w:val="fr-BE" w:eastAsia="fr-BE"/>
    </w:rPr>
  </w:style>
  <w:style w:type="paragraph" w:customStyle="1" w:styleId="List1">
    <w:name w:val="List1"/>
    <w:basedOn w:val="a1"/>
    <w:rsid w:val="00646885"/>
    <w:pPr>
      <w:spacing w:before="100" w:beforeAutospacing="1" w:after="100" w:afterAutospacing="1"/>
      <w:jc w:val="left"/>
    </w:pPr>
    <w:rPr>
      <w:rFonts w:eastAsia="Times New Roman"/>
      <w:szCs w:val="24"/>
      <w:lang w:val="fr-BE" w:eastAsia="fr-BE"/>
    </w:rPr>
  </w:style>
  <w:style w:type="paragraph" w:customStyle="1" w:styleId="title-table">
    <w:name w:val="title-table"/>
    <w:basedOn w:val="a1"/>
    <w:rsid w:val="00646885"/>
    <w:pPr>
      <w:spacing w:before="100" w:beforeAutospacing="1" w:after="100" w:afterAutospacing="1"/>
      <w:jc w:val="left"/>
    </w:pPr>
    <w:rPr>
      <w:rFonts w:eastAsia="Times New Roman"/>
      <w:szCs w:val="24"/>
      <w:lang w:val="fr-BE" w:eastAsia="fr-BE"/>
    </w:rPr>
  </w:style>
  <w:style w:type="paragraph" w:customStyle="1" w:styleId="tbl-norm">
    <w:name w:val="tbl-norm"/>
    <w:basedOn w:val="a1"/>
    <w:rsid w:val="00646885"/>
    <w:pPr>
      <w:spacing w:before="100" w:beforeAutospacing="1" w:after="100" w:afterAutospacing="1"/>
      <w:jc w:val="left"/>
    </w:pPr>
    <w:rPr>
      <w:rFonts w:eastAsia="Times New Roman"/>
      <w:szCs w:val="24"/>
      <w:lang w:val="fr-BE" w:eastAsia="fr-BE"/>
    </w:rPr>
  </w:style>
  <w:style w:type="paragraph" w:customStyle="1" w:styleId="Normal1">
    <w:name w:val="Normal1"/>
    <w:basedOn w:val="a1"/>
    <w:rsid w:val="00646885"/>
    <w:pPr>
      <w:spacing w:before="100" w:beforeAutospacing="1" w:after="100" w:afterAutospacing="1"/>
      <w:jc w:val="left"/>
    </w:pPr>
    <w:rPr>
      <w:rFonts w:eastAsia="Times New Roman"/>
      <w:szCs w:val="24"/>
      <w:lang w:val="fr-BE" w:eastAsia="fr-BE"/>
    </w:rPr>
  </w:style>
  <w:style w:type="paragraph" w:customStyle="1" w:styleId="tbl-left">
    <w:name w:val="tbl-left"/>
    <w:basedOn w:val="a1"/>
    <w:rsid w:val="00646885"/>
    <w:pPr>
      <w:spacing w:before="100" w:beforeAutospacing="1" w:after="100" w:afterAutospacing="1"/>
      <w:jc w:val="left"/>
    </w:pPr>
    <w:rPr>
      <w:rFonts w:eastAsia="Times New Roman"/>
      <w:szCs w:val="24"/>
      <w:lang w:val="fr-BE" w:eastAsia="fr-BE"/>
    </w:rPr>
  </w:style>
  <w:style w:type="paragraph" w:customStyle="1" w:styleId="footnote">
    <w:name w:val="footnote"/>
    <w:basedOn w:val="a1"/>
    <w:rsid w:val="00646885"/>
    <w:pPr>
      <w:spacing w:before="100" w:beforeAutospacing="1" w:after="100" w:afterAutospacing="1"/>
      <w:jc w:val="left"/>
    </w:pPr>
    <w:rPr>
      <w:rFonts w:eastAsia="Times New Roman"/>
      <w:szCs w:val="24"/>
      <w:lang w:val="fr-BE" w:eastAsia="fr-BE"/>
    </w:rPr>
  </w:style>
  <w:style w:type="character" w:styleId="af3">
    <w:name w:val="Strong"/>
    <w:basedOn w:val="a2"/>
    <w:uiPriority w:val="22"/>
    <w:qFormat/>
    <w:rsid w:val="00646885"/>
    <w:rPr>
      <w:b/>
      <w:bCs/>
    </w:rPr>
  </w:style>
  <w:style w:type="paragraph" w:customStyle="1" w:styleId="ti-art">
    <w:name w:val="ti-art"/>
    <w:basedOn w:val="a1"/>
    <w:rsid w:val="00646885"/>
    <w:pPr>
      <w:spacing w:before="100" w:beforeAutospacing="1" w:after="100" w:afterAutospacing="1"/>
      <w:jc w:val="left"/>
    </w:pPr>
    <w:rPr>
      <w:rFonts w:eastAsia="Times New Roman"/>
      <w:szCs w:val="24"/>
      <w:lang w:val="fr-BE" w:eastAsia="fr-BE"/>
    </w:rPr>
  </w:style>
  <w:style w:type="paragraph" w:customStyle="1" w:styleId="sti-art">
    <w:name w:val="sti-art"/>
    <w:basedOn w:val="a1"/>
    <w:rsid w:val="00646885"/>
    <w:pPr>
      <w:spacing w:before="100" w:beforeAutospacing="1" w:after="100" w:afterAutospacing="1"/>
      <w:jc w:val="left"/>
    </w:pPr>
    <w:rPr>
      <w:rFonts w:eastAsia="Times New Roman"/>
      <w:szCs w:val="24"/>
      <w:lang w:val="fr-BE" w:eastAsia="fr-BE"/>
    </w:rPr>
  </w:style>
  <w:style w:type="paragraph" w:customStyle="1" w:styleId="Normal2">
    <w:name w:val="Normal2"/>
    <w:basedOn w:val="a1"/>
    <w:rsid w:val="00646885"/>
    <w:pPr>
      <w:spacing w:before="100" w:beforeAutospacing="1" w:after="100" w:afterAutospacing="1"/>
      <w:jc w:val="left"/>
    </w:pPr>
    <w:rPr>
      <w:rFonts w:eastAsia="Times New Roman"/>
      <w:szCs w:val="24"/>
      <w:lang w:val="fr-BE" w:eastAsia="fr-BE"/>
    </w:rPr>
  </w:style>
  <w:style w:type="character" w:customStyle="1" w:styleId="super">
    <w:name w:val="super"/>
    <w:basedOn w:val="a2"/>
    <w:rsid w:val="00646885"/>
  </w:style>
  <w:style w:type="paragraph" w:customStyle="1" w:styleId="Normal3">
    <w:name w:val="Normal3"/>
    <w:basedOn w:val="a1"/>
    <w:rsid w:val="00646885"/>
    <w:pPr>
      <w:spacing w:before="100" w:beforeAutospacing="1" w:after="100" w:afterAutospacing="1"/>
      <w:jc w:val="left"/>
    </w:pPr>
    <w:rPr>
      <w:rFonts w:eastAsia="Times New Roman"/>
      <w:szCs w:val="24"/>
      <w:lang w:val="fr-BE" w:eastAsia="fr-BE"/>
    </w:rPr>
  </w:style>
  <w:style w:type="paragraph" w:customStyle="1" w:styleId="Normal4">
    <w:name w:val="Normal4"/>
    <w:basedOn w:val="a1"/>
    <w:rsid w:val="00646885"/>
    <w:pPr>
      <w:spacing w:before="100" w:beforeAutospacing="1" w:after="100" w:afterAutospacing="1"/>
      <w:jc w:val="left"/>
    </w:pPr>
    <w:rPr>
      <w:rFonts w:eastAsia="Times New Roman"/>
      <w:szCs w:val="24"/>
      <w:lang w:val="fr-BE" w:eastAsia="fr-BE"/>
    </w:rPr>
  </w:style>
  <w:style w:type="paragraph" w:customStyle="1" w:styleId="Normal5">
    <w:name w:val="Normal5"/>
    <w:basedOn w:val="a1"/>
    <w:rsid w:val="00646885"/>
    <w:pPr>
      <w:spacing w:before="100" w:beforeAutospacing="1" w:after="100" w:afterAutospacing="1"/>
      <w:jc w:val="left"/>
    </w:pPr>
    <w:rPr>
      <w:rFonts w:eastAsia="Times New Roman"/>
      <w:szCs w:val="24"/>
      <w:lang w:val="fr-BE" w:eastAsia="fr-BE"/>
    </w:rPr>
  </w:style>
  <w:style w:type="paragraph" w:customStyle="1" w:styleId="text10">
    <w:name w:val="text1"/>
    <w:basedOn w:val="a1"/>
    <w:rsid w:val="00646885"/>
    <w:pPr>
      <w:spacing w:before="100" w:beforeAutospacing="1" w:after="100" w:afterAutospacing="1"/>
      <w:jc w:val="left"/>
    </w:pPr>
    <w:rPr>
      <w:rFonts w:eastAsia="Times New Roman"/>
      <w:szCs w:val="24"/>
      <w:lang w:val="fr-BE" w:eastAsia="fr-BE"/>
    </w:rPr>
  </w:style>
  <w:style w:type="paragraph" w:customStyle="1" w:styleId="oj-ti-art">
    <w:name w:val="oj-ti-art"/>
    <w:basedOn w:val="a1"/>
    <w:rsid w:val="00646885"/>
    <w:pPr>
      <w:spacing w:before="100" w:beforeAutospacing="1" w:after="100" w:afterAutospacing="1"/>
      <w:jc w:val="left"/>
    </w:pPr>
    <w:rPr>
      <w:rFonts w:eastAsia="Times New Roman"/>
      <w:szCs w:val="24"/>
      <w:lang w:val="fr-BE" w:eastAsia="fr-BE"/>
    </w:rPr>
  </w:style>
  <w:style w:type="paragraph" w:customStyle="1" w:styleId="oj-sti-art">
    <w:name w:val="oj-sti-art"/>
    <w:basedOn w:val="a1"/>
    <w:rsid w:val="00646885"/>
    <w:pPr>
      <w:spacing w:before="100" w:beforeAutospacing="1" w:after="100" w:afterAutospacing="1"/>
      <w:jc w:val="left"/>
    </w:pPr>
    <w:rPr>
      <w:rFonts w:eastAsia="Times New Roman"/>
      <w:szCs w:val="24"/>
      <w:lang w:val="fr-BE" w:eastAsia="fr-BE"/>
    </w:rPr>
  </w:style>
  <w:style w:type="paragraph" w:customStyle="1" w:styleId="oj-normal">
    <w:name w:val="oj-normal"/>
    <w:basedOn w:val="a1"/>
    <w:rsid w:val="00646885"/>
    <w:pPr>
      <w:spacing w:before="100" w:beforeAutospacing="1" w:after="100" w:afterAutospacing="1"/>
      <w:jc w:val="left"/>
    </w:pPr>
    <w:rPr>
      <w:rFonts w:eastAsia="Times New Roman"/>
      <w:szCs w:val="24"/>
      <w:lang w:val="fr-BE" w:eastAsia="fr-BE"/>
    </w:rPr>
  </w:style>
  <w:style w:type="character" w:customStyle="1" w:styleId="oj-italic">
    <w:name w:val="oj-italic"/>
    <w:basedOn w:val="a2"/>
    <w:rsid w:val="00646885"/>
  </w:style>
  <w:style w:type="paragraph" w:customStyle="1" w:styleId="Normal6">
    <w:name w:val="Normal6"/>
    <w:basedOn w:val="a1"/>
    <w:rsid w:val="00646885"/>
    <w:pPr>
      <w:spacing w:before="100" w:beforeAutospacing="1" w:after="100" w:afterAutospacing="1"/>
      <w:jc w:val="left"/>
    </w:pPr>
    <w:rPr>
      <w:rFonts w:eastAsia="Times New Roman"/>
      <w:szCs w:val="24"/>
      <w:lang w:val="fr-BE" w:eastAsia="fr-BE"/>
    </w:rPr>
  </w:style>
  <w:style w:type="character" w:customStyle="1" w:styleId="italic">
    <w:name w:val="italic"/>
    <w:basedOn w:val="a2"/>
    <w:rsid w:val="00646885"/>
  </w:style>
  <w:style w:type="paragraph" w:customStyle="1" w:styleId="Normal7">
    <w:name w:val="Normal7"/>
    <w:basedOn w:val="a1"/>
    <w:rsid w:val="00646885"/>
    <w:pPr>
      <w:spacing w:before="100" w:beforeAutospacing="1" w:after="100" w:afterAutospacing="1"/>
      <w:jc w:val="left"/>
    </w:pPr>
    <w:rPr>
      <w:rFonts w:eastAsia="Times New Roman"/>
      <w:szCs w:val="24"/>
      <w:lang w:val="fr-BE" w:eastAsia="fr-BE"/>
    </w:rPr>
  </w:style>
  <w:style w:type="paragraph" w:customStyle="1" w:styleId="Normal8">
    <w:name w:val="Normal8"/>
    <w:basedOn w:val="a1"/>
    <w:rsid w:val="00646885"/>
    <w:pPr>
      <w:spacing w:before="100" w:beforeAutospacing="1" w:after="100" w:afterAutospacing="1"/>
      <w:jc w:val="left"/>
    </w:pPr>
    <w:rPr>
      <w:rFonts w:eastAsia="Times New Roman"/>
      <w:szCs w:val="24"/>
      <w:lang w:val="fr-BE" w:eastAsia="fr-BE"/>
    </w:rPr>
  </w:style>
  <w:style w:type="table" w:styleId="1-1">
    <w:name w:val="Grid Table 1 Light Accent 1"/>
    <w:basedOn w:val="a3"/>
    <w:uiPriority w:val="46"/>
    <w:rsid w:val="00646885"/>
    <w:pPr>
      <w:spacing w:after="0" w:line="240" w:lineRule="auto"/>
    </w:pPr>
    <w:rPr>
      <w:sz w:val="20"/>
      <w:szCs w:val="20"/>
      <w:lang w:val="fr-BE" w:eastAsia="en-GB"/>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Normal9">
    <w:name w:val="Normal9"/>
    <w:basedOn w:val="a1"/>
    <w:rsid w:val="00646885"/>
    <w:pPr>
      <w:spacing w:before="100" w:beforeAutospacing="1" w:after="100" w:afterAutospacing="1"/>
      <w:jc w:val="left"/>
    </w:pPr>
    <w:rPr>
      <w:rFonts w:eastAsia="Times New Roman"/>
      <w:szCs w:val="24"/>
      <w:lang w:val="fr-BE" w:eastAsia="fr-BE"/>
    </w:rPr>
  </w:style>
  <w:style w:type="character" w:styleId="af4">
    <w:name w:val="Emphasis"/>
    <w:basedOn w:val="a2"/>
    <w:uiPriority w:val="20"/>
    <w:qFormat/>
    <w:rsid w:val="0077167C"/>
    <w:rPr>
      <w:i/>
      <w:iCs/>
    </w:rPr>
  </w:style>
  <w:style w:type="character" w:customStyle="1" w:styleId="italic1">
    <w:name w:val="italic1"/>
    <w:basedOn w:val="a2"/>
    <w:rsid w:val="001F2AFE"/>
    <w:rPr>
      <w:i/>
      <w:iCs/>
    </w:rPr>
  </w:style>
  <w:style w:type="paragraph" w:customStyle="1" w:styleId="paragraph">
    <w:name w:val="paragraph"/>
    <w:basedOn w:val="a1"/>
    <w:rsid w:val="009C6D4D"/>
    <w:pPr>
      <w:spacing w:before="100" w:beforeAutospacing="1" w:after="100" w:afterAutospacing="1"/>
      <w:jc w:val="left"/>
    </w:pPr>
    <w:rPr>
      <w:rFonts w:eastAsia="Times New Roman"/>
      <w:szCs w:val="24"/>
      <w:lang w:val="fr-BE" w:eastAsia="fr-BE"/>
    </w:rPr>
  </w:style>
  <w:style w:type="paragraph" w:customStyle="1" w:styleId="Default">
    <w:name w:val="Default"/>
    <w:rsid w:val="007D1EC6"/>
    <w:pPr>
      <w:autoSpaceDE w:val="0"/>
      <w:autoSpaceDN w:val="0"/>
      <w:adjustRightInd w:val="0"/>
      <w:spacing w:after="0" w:line="240" w:lineRule="auto"/>
    </w:pPr>
    <w:rPr>
      <w:rFonts w:ascii="EUAlbertina" w:hAnsi="EUAlbertina" w:cs="EUAlbertina"/>
      <w:color w:val="000000"/>
      <w:sz w:val="24"/>
      <w:szCs w:val="24"/>
      <w:lang w:val="en-IE"/>
    </w:rPr>
  </w:style>
  <w:style w:type="paragraph" w:customStyle="1" w:styleId="point0letterautonumber">
    <w:name w:val="point 0 letter autonumber"/>
    <w:basedOn w:val="a1"/>
    <w:next w:val="a1"/>
    <w:qFormat/>
    <w:rsid w:val="00C84249"/>
    <w:pPr>
      <w:ind w:left="567" w:hanging="567"/>
    </w:pPr>
  </w:style>
  <w:style w:type="paragraph" w:styleId="af5">
    <w:name w:val="List Paragraph"/>
    <w:aliases w:val="Paragraphe EI,Paragraphe de liste1,EC,Paragraphe de liste,Issue Action POC,List Paragraph1,3,POCG Table Text,Dot pt,F5 List Paragraph,List Paragraph Char Char Char,Indicator Text,Colorful List - Accent 11,Numbered Para 1,Bullet Points,L"/>
    <w:basedOn w:val="a1"/>
    <w:link w:val="af6"/>
    <w:uiPriority w:val="34"/>
    <w:qFormat/>
    <w:rsid w:val="00DD1888"/>
    <w:pPr>
      <w:ind w:left="720"/>
      <w:contextualSpacing/>
    </w:pPr>
  </w:style>
  <w:style w:type="character" w:customStyle="1" w:styleId="oj-super">
    <w:name w:val="oj-super"/>
    <w:basedOn w:val="a2"/>
    <w:rsid w:val="008412B5"/>
  </w:style>
  <w:style w:type="paragraph" w:customStyle="1" w:styleId="Normal10">
    <w:name w:val="Normal10"/>
    <w:basedOn w:val="a1"/>
    <w:rsid w:val="009072B2"/>
    <w:pPr>
      <w:spacing w:before="100" w:beforeAutospacing="1" w:after="100" w:afterAutospacing="1"/>
      <w:jc w:val="left"/>
    </w:pPr>
    <w:rPr>
      <w:szCs w:val="24"/>
      <w:lang w:val="fr-BE" w:eastAsia="fr-BE"/>
    </w:rPr>
  </w:style>
  <w:style w:type="character" w:customStyle="1" w:styleId="af6">
    <w:name w:val="リスト段落 (文字)"/>
    <w:aliases w:val="Paragraphe EI (文字),Paragraphe de liste1 (文字),EC (文字),Paragraphe de liste (文字),Issue Action POC (文字),List Paragraph1 (文字),3 (文字),POCG Table Text (文字),Dot pt (文字),F5 List Paragraph (文字),List Paragraph Char Char Char (文字),Indicator Text (文字)"/>
    <w:link w:val="af5"/>
    <w:uiPriority w:val="34"/>
    <w:qFormat/>
    <w:locked/>
    <w:rsid w:val="00E36491"/>
    <w:rPr>
      <w:rFonts w:ascii="Times New Roman" w:hAnsi="Times New Roman" w:cs="Times New Roman"/>
      <w:sz w:val="24"/>
      <w:lang w:val="en-GB"/>
    </w:rPr>
  </w:style>
  <w:style w:type="paragraph" w:customStyle="1" w:styleId="Normal11">
    <w:name w:val="Normal11"/>
    <w:basedOn w:val="a1"/>
    <w:rsid w:val="0025204D"/>
    <w:pPr>
      <w:spacing w:before="100" w:beforeAutospacing="1" w:after="100" w:afterAutospacing="1"/>
      <w:jc w:val="left"/>
    </w:pPr>
    <w:rPr>
      <w:rFonts w:eastAsia="Times New Roman"/>
      <w:szCs w:val="24"/>
      <w:lang w:eastAsia="en-GB"/>
    </w:rPr>
  </w:style>
  <w:style w:type="character" w:customStyle="1" w:styleId="footnotereference">
    <w:name w:val="footnotereference"/>
    <w:basedOn w:val="a2"/>
    <w:rsid w:val="0025204D"/>
  </w:style>
  <w:style w:type="paragraph" w:styleId="af7">
    <w:name w:val="endnote text"/>
    <w:basedOn w:val="a1"/>
    <w:link w:val="af8"/>
    <w:uiPriority w:val="99"/>
    <w:semiHidden/>
    <w:unhideWhenUsed/>
    <w:rsid w:val="006F3846"/>
    <w:pPr>
      <w:spacing w:before="0" w:after="0"/>
    </w:pPr>
    <w:rPr>
      <w:sz w:val="20"/>
      <w:szCs w:val="20"/>
    </w:rPr>
  </w:style>
  <w:style w:type="character" w:customStyle="1" w:styleId="af8">
    <w:name w:val="文末脚注文字列 (文字)"/>
    <w:basedOn w:val="a2"/>
    <w:link w:val="af7"/>
    <w:uiPriority w:val="99"/>
    <w:semiHidden/>
    <w:rsid w:val="006F3846"/>
    <w:rPr>
      <w:rFonts w:ascii="Times New Roman" w:hAnsi="Times New Roman" w:cs="Times New Roman"/>
      <w:sz w:val="20"/>
      <w:szCs w:val="20"/>
      <w:lang w:val="en-GB"/>
    </w:rPr>
  </w:style>
  <w:style w:type="character" w:styleId="af9">
    <w:name w:val="endnote reference"/>
    <w:basedOn w:val="a2"/>
    <w:uiPriority w:val="99"/>
    <w:semiHidden/>
    <w:unhideWhenUsed/>
    <w:rsid w:val="006F3846"/>
    <w:rPr>
      <w:vertAlign w:val="superscript"/>
    </w:rPr>
  </w:style>
  <w:style w:type="character" w:customStyle="1" w:styleId="normaltextrun">
    <w:name w:val="normaltextrun"/>
    <w:basedOn w:val="a2"/>
    <w:rsid w:val="006F3846"/>
  </w:style>
  <w:style w:type="character" w:customStyle="1" w:styleId="markedcontent">
    <w:name w:val="markedcontent"/>
    <w:basedOn w:val="a2"/>
    <w:rsid w:val="006F3846"/>
  </w:style>
  <w:style w:type="character" w:styleId="afa">
    <w:name w:val="footnote reference"/>
    <w:basedOn w:val="a2"/>
    <w:uiPriority w:val="99"/>
    <w:semiHidden/>
    <w:unhideWhenUsed/>
    <w:rsid w:val="00517205"/>
    <w:rPr>
      <w:shd w:val="clear" w:color="auto" w:fill="auto"/>
      <w:vertAlign w:val="superscript"/>
    </w:rPr>
  </w:style>
  <w:style w:type="paragraph" w:customStyle="1" w:styleId="Normal12">
    <w:name w:val="Normal12"/>
    <w:basedOn w:val="a1"/>
    <w:rsid w:val="00135249"/>
    <w:pPr>
      <w:spacing w:before="100" w:beforeAutospacing="1" w:after="100" w:afterAutospacing="1"/>
      <w:jc w:val="left"/>
    </w:pPr>
    <w:rPr>
      <w:szCs w:val="24"/>
      <w:lang w:eastAsia="en-GB"/>
    </w:rPr>
  </w:style>
  <w:style w:type="character" w:customStyle="1" w:styleId="num">
    <w:name w:val="num"/>
    <w:basedOn w:val="a2"/>
    <w:rsid w:val="00135249"/>
  </w:style>
  <w:style w:type="paragraph" w:customStyle="1" w:styleId="norm">
    <w:name w:val="norm"/>
    <w:basedOn w:val="a1"/>
    <w:rsid w:val="008518BB"/>
    <w:pPr>
      <w:spacing w:before="100" w:beforeAutospacing="1" w:after="100" w:afterAutospacing="1"/>
      <w:jc w:val="left"/>
    </w:pPr>
    <w:rPr>
      <w:rFonts w:eastAsia="Times New Roman"/>
      <w:szCs w:val="24"/>
      <w:lang w:eastAsia="en-GB"/>
    </w:rPr>
  </w:style>
  <w:style w:type="character" w:customStyle="1" w:styleId="eop">
    <w:name w:val="eop"/>
    <w:basedOn w:val="a2"/>
    <w:rsid w:val="00D802F3"/>
    <w:rPr>
      <w:rFonts w:ascii="Times New Roman" w:hAnsi="Times New Roman" w:cs="Times New Roman" w:hint="default"/>
    </w:rPr>
  </w:style>
  <w:style w:type="character" w:customStyle="1" w:styleId="contents">
    <w:name w:val="contents"/>
    <w:basedOn w:val="a2"/>
    <w:rsid w:val="00D90F16"/>
  </w:style>
  <w:style w:type="numbering" w:customStyle="1" w:styleId="NoList1">
    <w:name w:val="No List1"/>
    <w:next w:val="a4"/>
    <w:uiPriority w:val="99"/>
    <w:semiHidden/>
    <w:unhideWhenUsed/>
    <w:rsid w:val="00BF1765"/>
  </w:style>
  <w:style w:type="table" w:customStyle="1" w:styleId="TableGrid1">
    <w:name w:val="Table Grid1"/>
    <w:basedOn w:val="a3"/>
    <w:next w:val="a5"/>
    <w:uiPriority w:val="59"/>
    <w:rsid w:val="00BF1765"/>
    <w:pPr>
      <w:spacing w:before="120" w:after="120" w:line="240" w:lineRule="auto"/>
      <w:jc w:val="both"/>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tle-article-norm">
    <w:name w:val="stitle-article-norm"/>
    <w:basedOn w:val="a1"/>
    <w:rsid w:val="00BF1765"/>
    <w:pPr>
      <w:spacing w:before="100" w:beforeAutospacing="1" w:after="100" w:afterAutospacing="1"/>
      <w:jc w:val="left"/>
    </w:pPr>
    <w:rPr>
      <w:rFonts w:eastAsia="Times New Roman"/>
      <w:szCs w:val="24"/>
      <w:lang w:val="fr-BE" w:eastAsia="fr-BE"/>
    </w:rPr>
  </w:style>
  <w:style w:type="table" w:customStyle="1" w:styleId="GridTable1Light-Accent11">
    <w:name w:val="Grid Table 1 Light - Accent 11"/>
    <w:basedOn w:val="a3"/>
    <w:next w:val="1-1"/>
    <w:uiPriority w:val="46"/>
    <w:rsid w:val="00BF1765"/>
    <w:pPr>
      <w:spacing w:after="0" w:line="240" w:lineRule="auto"/>
    </w:pPr>
    <w:rPr>
      <w:sz w:val="20"/>
      <w:szCs w:val="20"/>
      <w:lang w:val="fr-BE" w:eastAsia="en-GB"/>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character" w:customStyle="1" w:styleId="highlight">
    <w:name w:val="highlight"/>
    <w:basedOn w:val="a2"/>
    <w:rsid w:val="00BF1765"/>
  </w:style>
  <w:style w:type="character" w:customStyle="1" w:styleId="None">
    <w:name w:val="None"/>
    <w:rsid w:val="00936575"/>
  </w:style>
  <w:style w:type="paragraph" w:customStyle="1" w:styleId="nor">
    <w:name w:val="nor"/>
    <w:basedOn w:val="a1"/>
    <w:rsid w:val="009E4B21"/>
    <w:pPr>
      <w:numPr>
        <w:numId w:val="134"/>
      </w:numPr>
    </w:pPr>
  </w:style>
  <w:style w:type="character" w:customStyle="1" w:styleId="hgkelc">
    <w:name w:val="hgkelc"/>
    <w:basedOn w:val="a2"/>
    <w:rsid w:val="00CF40DF"/>
  </w:style>
  <w:style w:type="paragraph" w:styleId="afb">
    <w:name w:val="header"/>
    <w:basedOn w:val="a1"/>
    <w:link w:val="afc"/>
    <w:uiPriority w:val="99"/>
    <w:unhideWhenUsed/>
    <w:rsid w:val="008B42B0"/>
    <w:pPr>
      <w:tabs>
        <w:tab w:val="center" w:pos="4535"/>
        <w:tab w:val="right" w:pos="9071"/>
      </w:tabs>
      <w:spacing w:before="0"/>
    </w:pPr>
  </w:style>
  <w:style w:type="character" w:customStyle="1" w:styleId="afc">
    <w:name w:val="ヘッダー (文字)"/>
    <w:basedOn w:val="a2"/>
    <w:link w:val="afb"/>
    <w:uiPriority w:val="99"/>
    <w:rsid w:val="008B42B0"/>
    <w:rPr>
      <w:rFonts w:ascii="Times New Roman" w:hAnsi="Times New Roman" w:cs="Times New Roman"/>
      <w:sz w:val="24"/>
      <w:lang w:val="en-GB"/>
    </w:rPr>
  </w:style>
  <w:style w:type="paragraph" w:styleId="afd">
    <w:name w:val="footer"/>
    <w:basedOn w:val="a1"/>
    <w:link w:val="afe"/>
    <w:uiPriority w:val="99"/>
    <w:unhideWhenUsed/>
    <w:rsid w:val="008B42B0"/>
    <w:pPr>
      <w:tabs>
        <w:tab w:val="center" w:pos="4535"/>
        <w:tab w:val="right" w:pos="9071"/>
        <w:tab w:val="right" w:pos="9921"/>
      </w:tabs>
      <w:spacing w:before="360" w:after="0"/>
      <w:ind w:left="-850" w:right="-850"/>
      <w:jc w:val="left"/>
    </w:pPr>
  </w:style>
  <w:style w:type="character" w:customStyle="1" w:styleId="afe">
    <w:name w:val="フッター (文字)"/>
    <w:basedOn w:val="a2"/>
    <w:link w:val="afd"/>
    <w:uiPriority w:val="99"/>
    <w:rsid w:val="008B42B0"/>
    <w:rPr>
      <w:rFonts w:ascii="Times New Roman" w:hAnsi="Times New Roman" w:cs="Times New Roman"/>
      <w:sz w:val="24"/>
      <w:lang w:val="en-GB"/>
    </w:rPr>
  </w:style>
  <w:style w:type="paragraph" w:styleId="aff">
    <w:name w:val="footnote text"/>
    <w:basedOn w:val="a1"/>
    <w:link w:val="aff0"/>
    <w:uiPriority w:val="99"/>
    <w:semiHidden/>
    <w:unhideWhenUsed/>
    <w:rsid w:val="00517205"/>
    <w:pPr>
      <w:spacing w:before="0" w:after="0"/>
      <w:ind w:left="720" w:hanging="720"/>
    </w:pPr>
    <w:rPr>
      <w:sz w:val="20"/>
      <w:szCs w:val="20"/>
    </w:rPr>
  </w:style>
  <w:style w:type="character" w:customStyle="1" w:styleId="aff0">
    <w:name w:val="脚注文字列 (文字)"/>
    <w:basedOn w:val="a2"/>
    <w:link w:val="aff"/>
    <w:uiPriority w:val="99"/>
    <w:semiHidden/>
    <w:rsid w:val="00517205"/>
    <w:rPr>
      <w:rFonts w:ascii="Times New Roman" w:hAnsi="Times New Roman" w:cs="Times New Roman"/>
      <w:sz w:val="20"/>
      <w:szCs w:val="20"/>
      <w:shd w:val="clear" w:color="auto" w:fill="auto"/>
      <w:lang w:val="en-GB"/>
    </w:rPr>
  </w:style>
  <w:style w:type="character" w:customStyle="1" w:styleId="10">
    <w:name w:val="見出し 1 (文字)"/>
    <w:basedOn w:val="a2"/>
    <w:link w:val="1"/>
    <w:uiPriority w:val="9"/>
    <w:rsid w:val="00517205"/>
    <w:rPr>
      <w:rFonts w:ascii="Times New Roman" w:eastAsiaTheme="majorEastAsia" w:hAnsi="Times New Roman" w:cs="Times New Roman"/>
      <w:b/>
      <w:bCs/>
      <w:smallCaps/>
      <w:sz w:val="24"/>
      <w:szCs w:val="28"/>
      <w:lang w:val="en-GB"/>
    </w:rPr>
  </w:style>
  <w:style w:type="character" w:customStyle="1" w:styleId="22">
    <w:name w:val="見出し 2 (文字)"/>
    <w:basedOn w:val="a2"/>
    <w:link w:val="20"/>
    <w:uiPriority w:val="9"/>
    <w:semiHidden/>
    <w:rsid w:val="00517205"/>
    <w:rPr>
      <w:rFonts w:ascii="Times New Roman" w:eastAsiaTheme="majorEastAsia" w:hAnsi="Times New Roman" w:cs="Times New Roman"/>
      <w:b/>
      <w:bCs/>
      <w:sz w:val="24"/>
      <w:szCs w:val="26"/>
      <w:lang w:val="en-GB"/>
    </w:rPr>
  </w:style>
  <w:style w:type="character" w:customStyle="1" w:styleId="32">
    <w:name w:val="見出し 3 (文字)"/>
    <w:basedOn w:val="a2"/>
    <w:link w:val="30"/>
    <w:uiPriority w:val="9"/>
    <w:semiHidden/>
    <w:rsid w:val="00517205"/>
    <w:rPr>
      <w:rFonts w:ascii="Times New Roman" w:eastAsiaTheme="majorEastAsia" w:hAnsi="Times New Roman" w:cs="Times New Roman"/>
      <w:bCs/>
      <w:i/>
      <w:sz w:val="24"/>
      <w:lang w:val="en-GB"/>
    </w:rPr>
  </w:style>
  <w:style w:type="character" w:customStyle="1" w:styleId="42">
    <w:name w:val="見出し 4 (文字)"/>
    <w:basedOn w:val="a2"/>
    <w:link w:val="41"/>
    <w:uiPriority w:val="9"/>
    <w:semiHidden/>
    <w:rsid w:val="00517205"/>
    <w:rPr>
      <w:rFonts w:ascii="Times New Roman" w:eastAsiaTheme="majorEastAsia" w:hAnsi="Times New Roman" w:cs="Times New Roman"/>
      <w:bCs/>
      <w:iCs/>
      <w:sz w:val="24"/>
      <w:lang w:val="en-GB"/>
    </w:rPr>
  </w:style>
  <w:style w:type="character" w:customStyle="1" w:styleId="50">
    <w:name w:val="見出し 5 (文字)"/>
    <w:basedOn w:val="a2"/>
    <w:link w:val="5"/>
    <w:uiPriority w:val="9"/>
    <w:semiHidden/>
    <w:rsid w:val="00517205"/>
    <w:rPr>
      <w:rFonts w:ascii="Times New Roman" w:eastAsiaTheme="majorEastAsia" w:hAnsi="Times New Roman" w:cs="Times New Roman"/>
      <w:sz w:val="24"/>
      <w:lang w:val="en-GB"/>
    </w:rPr>
  </w:style>
  <w:style w:type="character" w:customStyle="1" w:styleId="60">
    <w:name w:val="見出し 6 (文字)"/>
    <w:basedOn w:val="a2"/>
    <w:link w:val="6"/>
    <w:uiPriority w:val="9"/>
    <w:semiHidden/>
    <w:rsid w:val="00517205"/>
    <w:rPr>
      <w:rFonts w:ascii="Times New Roman" w:eastAsiaTheme="majorEastAsia" w:hAnsi="Times New Roman" w:cs="Times New Roman"/>
      <w:iCs/>
      <w:sz w:val="24"/>
      <w:lang w:val="en-GB"/>
    </w:rPr>
  </w:style>
  <w:style w:type="character" w:customStyle="1" w:styleId="70">
    <w:name w:val="見出し 7 (文字)"/>
    <w:basedOn w:val="a2"/>
    <w:link w:val="7"/>
    <w:uiPriority w:val="9"/>
    <w:semiHidden/>
    <w:rsid w:val="00517205"/>
    <w:rPr>
      <w:rFonts w:ascii="Times New Roman" w:eastAsiaTheme="majorEastAsia" w:hAnsi="Times New Roman" w:cs="Times New Roman"/>
      <w:iCs/>
      <w:sz w:val="24"/>
      <w:lang w:val="en-GB"/>
    </w:rPr>
  </w:style>
  <w:style w:type="paragraph" w:styleId="aff1">
    <w:name w:val="TOC Heading"/>
    <w:basedOn w:val="a1"/>
    <w:next w:val="a1"/>
    <w:uiPriority w:val="39"/>
    <w:semiHidden/>
    <w:unhideWhenUsed/>
    <w:qFormat/>
    <w:rsid w:val="00517205"/>
    <w:pPr>
      <w:spacing w:after="240"/>
      <w:jc w:val="center"/>
    </w:pPr>
    <w:rPr>
      <w:b/>
      <w:sz w:val="28"/>
    </w:rPr>
  </w:style>
  <w:style w:type="paragraph" w:styleId="11">
    <w:name w:val="toc 1"/>
    <w:basedOn w:val="a1"/>
    <w:next w:val="a1"/>
    <w:uiPriority w:val="39"/>
    <w:semiHidden/>
    <w:unhideWhenUsed/>
    <w:rsid w:val="00517205"/>
    <w:pPr>
      <w:tabs>
        <w:tab w:val="right" w:leader="dot" w:pos="9071"/>
      </w:tabs>
      <w:spacing w:before="60"/>
      <w:ind w:left="850" w:hanging="850"/>
      <w:jc w:val="left"/>
    </w:pPr>
  </w:style>
  <w:style w:type="paragraph" w:styleId="23">
    <w:name w:val="toc 2"/>
    <w:basedOn w:val="a1"/>
    <w:next w:val="a1"/>
    <w:uiPriority w:val="39"/>
    <w:semiHidden/>
    <w:unhideWhenUsed/>
    <w:rsid w:val="00517205"/>
    <w:pPr>
      <w:tabs>
        <w:tab w:val="right" w:leader="dot" w:pos="9071"/>
      </w:tabs>
      <w:spacing w:before="60"/>
      <w:ind w:left="850" w:hanging="850"/>
      <w:jc w:val="left"/>
    </w:pPr>
  </w:style>
  <w:style w:type="paragraph" w:styleId="33">
    <w:name w:val="toc 3"/>
    <w:basedOn w:val="a1"/>
    <w:next w:val="a1"/>
    <w:uiPriority w:val="39"/>
    <w:semiHidden/>
    <w:unhideWhenUsed/>
    <w:rsid w:val="00517205"/>
    <w:pPr>
      <w:tabs>
        <w:tab w:val="right" w:leader="dot" w:pos="9071"/>
      </w:tabs>
      <w:spacing w:before="60"/>
      <w:ind w:left="850" w:hanging="850"/>
      <w:jc w:val="left"/>
    </w:pPr>
  </w:style>
  <w:style w:type="paragraph" w:styleId="43">
    <w:name w:val="toc 4"/>
    <w:basedOn w:val="a1"/>
    <w:next w:val="a1"/>
    <w:uiPriority w:val="39"/>
    <w:semiHidden/>
    <w:unhideWhenUsed/>
    <w:rsid w:val="00517205"/>
    <w:pPr>
      <w:tabs>
        <w:tab w:val="right" w:leader="dot" w:pos="9071"/>
      </w:tabs>
      <w:spacing w:before="60"/>
      <w:ind w:left="850" w:hanging="850"/>
      <w:jc w:val="left"/>
    </w:pPr>
  </w:style>
  <w:style w:type="paragraph" w:styleId="51">
    <w:name w:val="toc 5"/>
    <w:basedOn w:val="a1"/>
    <w:next w:val="a1"/>
    <w:uiPriority w:val="39"/>
    <w:semiHidden/>
    <w:unhideWhenUsed/>
    <w:rsid w:val="00517205"/>
    <w:pPr>
      <w:tabs>
        <w:tab w:val="right" w:leader="dot" w:pos="9071"/>
      </w:tabs>
      <w:spacing w:before="300"/>
      <w:jc w:val="left"/>
    </w:pPr>
  </w:style>
  <w:style w:type="paragraph" w:styleId="61">
    <w:name w:val="toc 6"/>
    <w:basedOn w:val="a1"/>
    <w:next w:val="a1"/>
    <w:uiPriority w:val="39"/>
    <w:semiHidden/>
    <w:unhideWhenUsed/>
    <w:rsid w:val="00517205"/>
    <w:pPr>
      <w:tabs>
        <w:tab w:val="right" w:leader="dot" w:pos="9071"/>
      </w:tabs>
      <w:spacing w:before="240"/>
      <w:jc w:val="left"/>
    </w:pPr>
  </w:style>
  <w:style w:type="paragraph" w:styleId="71">
    <w:name w:val="toc 7"/>
    <w:basedOn w:val="a1"/>
    <w:next w:val="a1"/>
    <w:uiPriority w:val="39"/>
    <w:semiHidden/>
    <w:unhideWhenUsed/>
    <w:rsid w:val="00517205"/>
    <w:pPr>
      <w:tabs>
        <w:tab w:val="right" w:leader="dot" w:pos="9071"/>
      </w:tabs>
      <w:spacing w:before="180"/>
      <w:jc w:val="left"/>
    </w:pPr>
  </w:style>
  <w:style w:type="paragraph" w:styleId="8">
    <w:name w:val="toc 8"/>
    <w:basedOn w:val="a1"/>
    <w:next w:val="a1"/>
    <w:uiPriority w:val="39"/>
    <w:semiHidden/>
    <w:unhideWhenUsed/>
    <w:rsid w:val="00517205"/>
    <w:pPr>
      <w:tabs>
        <w:tab w:val="right" w:leader="dot" w:pos="9071"/>
      </w:tabs>
      <w:jc w:val="left"/>
    </w:pPr>
  </w:style>
  <w:style w:type="paragraph" w:styleId="9">
    <w:name w:val="toc 9"/>
    <w:basedOn w:val="a1"/>
    <w:next w:val="a1"/>
    <w:uiPriority w:val="39"/>
    <w:semiHidden/>
    <w:unhideWhenUsed/>
    <w:rsid w:val="00517205"/>
    <w:pPr>
      <w:tabs>
        <w:tab w:val="right" w:leader="dot" w:pos="9071"/>
      </w:tabs>
      <w:ind w:left="1417" w:hanging="1417"/>
      <w:jc w:val="left"/>
    </w:pPr>
  </w:style>
  <w:style w:type="paragraph" w:customStyle="1" w:styleId="HeaderLandscape">
    <w:name w:val="HeaderLandscape"/>
    <w:basedOn w:val="a1"/>
    <w:rsid w:val="008B42B0"/>
    <w:pPr>
      <w:tabs>
        <w:tab w:val="center" w:pos="7285"/>
        <w:tab w:val="right" w:pos="14003"/>
      </w:tabs>
      <w:spacing w:before="0"/>
    </w:pPr>
  </w:style>
  <w:style w:type="paragraph" w:customStyle="1" w:styleId="FooterLandscape">
    <w:name w:val="FooterLandscape"/>
    <w:basedOn w:val="a1"/>
    <w:rsid w:val="008B42B0"/>
    <w:pPr>
      <w:tabs>
        <w:tab w:val="center" w:pos="7285"/>
        <w:tab w:val="center" w:pos="10913"/>
        <w:tab w:val="right" w:pos="15137"/>
      </w:tabs>
      <w:spacing w:before="360" w:after="0"/>
      <w:ind w:left="-567" w:right="-567"/>
      <w:jc w:val="left"/>
    </w:pPr>
  </w:style>
  <w:style w:type="paragraph" w:customStyle="1" w:styleId="HeaderSensitivity">
    <w:name w:val="Header Sensitivity"/>
    <w:basedOn w:val="a1"/>
    <w:rsid w:val="008B42B0"/>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a1"/>
    <w:rsid w:val="008B42B0"/>
    <w:pPr>
      <w:spacing w:before="0"/>
      <w:jc w:val="right"/>
    </w:pPr>
    <w:rPr>
      <w:sz w:val="28"/>
    </w:rPr>
  </w:style>
  <w:style w:type="paragraph" w:customStyle="1" w:styleId="FooterSensitivity">
    <w:name w:val="Footer Sensitivity"/>
    <w:basedOn w:val="a1"/>
    <w:rsid w:val="008B42B0"/>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a1"/>
    <w:rsid w:val="00517205"/>
    <w:pPr>
      <w:ind w:left="850"/>
    </w:pPr>
  </w:style>
  <w:style w:type="paragraph" w:customStyle="1" w:styleId="Text2">
    <w:name w:val="Text 2"/>
    <w:basedOn w:val="a1"/>
    <w:rsid w:val="00517205"/>
    <w:pPr>
      <w:ind w:left="1417"/>
    </w:pPr>
  </w:style>
  <w:style w:type="paragraph" w:customStyle="1" w:styleId="Text3">
    <w:name w:val="Text 3"/>
    <w:basedOn w:val="a1"/>
    <w:rsid w:val="00517205"/>
    <w:pPr>
      <w:ind w:left="1984"/>
    </w:pPr>
  </w:style>
  <w:style w:type="paragraph" w:customStyle="1" w:styleId="Text4">
    <w:name w:val="Text 4"/>
    <w:basedOn w:val="a1"/>
    <w:rsid w:val="00517205"/>
    <w:pPr>
      <w:ind w:left="2551"/>
    </w:pPr>
  </w:style>
  <w:style w:type="paragraph" w:customStyle="1" w:styleId="Text5">
    <w:name w:val="Text 5"/>
    <w:basedOn w:val="a1"/>
    <w:rsid w:val="00517205"/>
    <w:pPr>
      <w:ind w:left="3118"/>
    </w:pPr>
  </w:style>
  <w:style w:type="paragraph" w:customStyle="1" w:styleId="Text6">
    <w:name w:val="Text 6"/>
    <w:basedOn w:val="a1"/>
    <w:rsid w:val="00517205"/>
    <w:pPr>
      <w:ind w:left="3685"/>
    </w:pPr>
  </w:style>
  <w:style w:type="paragraph" w:customStyle="1" w:styleId="NormalCentered">
    <w:name w:val="Normal Centered"/>
    <w:basedOn w:val="a1"/>
    <w:rsid w:val="00517205"/>
    <w:pPr>
      <w:jc w:val="center"/>
    </w:pPr>
  </w:style>
  <w:style w:type="paragraph" w:customStyle="1" w:styleId="NormalLeft">
    <w:name w:val="Normal Left"/>
    <w:basedOn w:val="a1"/>
    <w:rsid w:val="00517205"/>
    <w:pPr>
      <w:jc w:val="left"/>
    </w:pPr>
  </w:style>
  <w:style w:type="paragraph" w:customStyle="1" w:styleId="NormalRight">
    <w:name w:val="Normal Right"/>
    <w:basedOn w:val="a1"/>
    <w:rsid w:val="00517205"/>
    <w:pPr>
      <w:jc w:val="right"/>
    </w:pPr>
  </w:style>
  <w:style w:type="paragraph" w:customStyle="1" w:styleId="QuotedText">
    <w:name w:val="Quoted Text"/>
    <w:basedOn w:val="a1"/>
    <w:rsid w:val="00517205"/>
    <w:pPr>
      <w:ind w:left="1417"/>
    </w:pPr>
  </w:style>
  <w:style w:type="paragraph" w:customStyle="1" w:styleId="Point0">
    <w:name w:val="Point 0"/>
    <w:basedOn w:val="a1"/>
    <w:rsid w:val="00517205"/>
    <w:pPr>
      <w:ind w:left="850" w:hanging="850"/>
    </w:pPr>
  </w:style>
  <w:style w:type="paragraph" w:customStyle="1" w:styleId="Point1">
    <w:name w:val="Point 1"/>
    <w:basedOn w:val="a1"/>
    <w:rsid w:val="00517205"/>
    <w:pPr>
      <w:ind w:left="1417" w:hanging="567"/>
    </w:pPr>
  </w:style>
  <w:style w:type="paragraph" w:customStyle="1" w:styleId="Point2">
    <w:name w:val="Point 2"/>
    <w:basedOn w:val="a1"/>
    <w:rsid w:val="00517205"/>
    <w:pPr>
      <w:ind w:left="1984" w:hanging="567"/>
    </w:pPr>
  </w:style>
  <w:style w:type="paragraph" w:customStyle="1" w:styleId="Point3">
    <w:name w:val="Point 3"/>
    <w:basedOn w:val="a1"/>
    <w:rsid w:val="00517205"/>
    <w:pPr>
      <w:ind w:left="2551" w:hanging="567"/>
    </w:pPr>
  </w:style>
  <w:style w:type="paragraph" w:customStyle="1" w:styleId="Point4">
    <w:name w:val="Point 4"/>
    <w:basedOn w:val="a1"/>
    <w:rsid w:val="00517205"/>
    <w:pPr>
      <w:ind w:left="3118" w:hanging="567"/>
    </w:pPr>
  </w:style>
  <w:style w:type="paragraph" w:customStyle="1" w:styleId="Point5">
    <w:name w:val="Point 5"/>
    <w:basedOn w:val="a1"/>
    <w:rsid w:val="00517205"/>
    <w:pPr>
      <w:ind w:left="3685" w:hanging="567"/>
    </w:pPr>
  </w:style>
  <w:style w:type="paragraph" w:customStyle="1" w:styleId="Tiret0">
    <w:name w:val="Tiret 0"/>
    <w:basedOn w:val="Point0"/>
    <w:rsid w:val="00517205"/>
    <w:pPr>
      <w:numPr>
        <w:numId w:val="150"/>
      </w:numPr>
    </w:pPr>
  </w:style>
  <w:style w:type="paragraph" w:customStyle="1" w:styleId="Tiret1">
    <w:name w:val="Tiret 1"/>
    <w:basedOn w:val="Point1"/>
    <w:rsid w:val="00517205"/>
    <w:pPr>
      <w:numPr>
        <w:numId w:val="151"/>
      </w:numPr>
    </w:pPr>
  </w:style>
  <w:style w:type="paragraph" w:customStyle="1" w:styleId="Tiret2">
    <w:name w:val="Tiret 2"/>
    <w:basedOn w:val="Point2"/>
    <w:rsid w:val="00517205"/>
    <w:pPr>
      <w:numPr>
        <w:numId w:val="152"/>
      </w:numPr>
    </w:pPr>
  </w:style>
  <w:style w:type="paragraph" w:customStyle="1" w:styleId="Tiret3">
    <w:name w:val="Tiret 3"/>
    <w:basedOn w:val="Point3"/>
    <w:rsid w:val="00517205"/>
    <w:pPr>
      <w:numPr>
        <w:numId w:val="153"/>
      </w:numPr>
    </w:pPr>
  </w:style>
  <w:style w:type="paragraph" w:customStyle="1" w:styleId="Tiret4">
    <w:name w:val="Tiret 4"/>
    <w:basedOn w:val="Point4"/>
    <w:rsid w:val="00517205"/>
    <w:pPr>
      <w:numPr>
        <w:numId w:val="154"/>
      </w:numPr>
    </w:pPr>
  </w:style>
  <w:style w:type="paragraph" w:customStyle="1" w:styleId="Tiret5">
    <w:name w:val="Tiret 5"/>
    <w:basedOn w:val="Point5"/>
    <w:rsid w:val="00517205"/>
    <w:pPr>
      <w:numPr>
        <w:numId w:val="155"/>
      </w:numPr>
    </w:pPr>
  </w:style>
  <w:style w:type="paragraph" w:customStyle="1" w:styleId="PointDouble0">
    <w:name w:val="PointDouble 0"/>
    <w:basedOn w:val="a1"/>
    <w:rsid w:val="00517205"/>
    <w:pPr>
      <w:tabs>
        <w:tab w:val="left" w:pos="850"/>
      </w:tabs>
      <w:ind w:left="1417" w:hanging="1417"/>
    </w:pPr>
  </w:style>
  <w:style w:type="paragraph" w:customStyle="1" w:styleId="PointDouble1">
    <w:name w:val="PointDouble 1"/>
    <w:basedOn w:val="a1"/>
    <w:rsid w:val="00517205"/>
    <w:pPr>
      <w:tabs>
        <w:tab w:val="left" w:pos="1417"/>
      </w:tabs>
      <w:ind w:left="1984" w:hanging="1134"/>
    </w:pPr>
  </w:style>
  <w:style w:type="paragraph" w:customStyle="1" w:styleId="PointDouble2">
    <w:name w:val="PointDouble 2"/>
    <w:basedOn w:val="a1"/>
    <w:rsid w:val="00517205"/>
    <w:pPr>
      <w:tabs>
        <w:tab w:val="left" w:pos="1984"/>
      </w:tabs>
      <w:ind w:left="2551" w:hanging="1134"/>
    </w:pPr>
  </w:style>
  <w:style w:type="paragraph" w:customStyle="1" w:styleId="PointDouble3">
    <w:name w:val="PointDouble 3"/>
    <w:basedOn w:val="a1"/>
    <w:rsid w:val="00517205"/>
    <w:pPr>
      <w:tabs>
        <w:tab w:val="left" w:pos="2551"/>
      </w:tabs>
      <w:ind w:left="3118" w:hanging="1134"/>
    </w:pPr>
  </w:style>
  <w:style w:type="paragraph" w:customStyle="1" w:styleId="PointDouble4">
    <w:name w:val="PointDouble 4"/>
    <w:basedOn w:val="a1"/>
    <w:rsid w:val="00517205"/>
    <w:pPr>
      <w:tabs>
        <w:tab w:val="left" w:pos="3118"/>
      </w:tabs>
      <w:ind w:left="3685" w:hanging="1134"/>
    </w:pPr>
  </w:style>
  <w:style w:type="paragraph" w:customStyle="1" w:styleId="PointTriple0">
    <w:name w:val="PointTriple 0"/>
    <w:basedOn w:val="a1"/>
    <w:rsid w:val="00517205"/>
    <w:pPr>
      <w:tabs>
        <w:tab w:val="left" w:pos="850"/>
        <w:tab w:val="left" w:pos="1417"/>
      </w:tabs>
      <w:ind w:left="1984" w:hanging="1984"/>
    </w:pPr>
  </w:style>
  <w:style w:type="paragraph" w:customStyle="1" w:styleId="PointTriple1">
    <w:name w:val="PointTriple 1"/>
    <w:basedOn w:val="a1"/>
    <w:rsid w:val="00517205"/>
    <w:pPr>
      <w:tabs>
        <w:tab w:val="left" w:pos="1417"/>
        <w:tab w:val="left" w:pos="1984"/>
      </w:tabs>
      <w:ind w:left="2551" w:hanging="1701"/>
    </w:pPr>
  </w:style>
  <w:style w:type="paragraph" w:customStyle="1" w:styleId="PointTriple2">
    <w:name w:val="PointTriple 2"/>
    <w:basedOn w:val="a1"/>
    <w:rsid w:val="00517205"/>
    <w:pPr>
      <w:tabs>
        <w:tab w:val="left" w:pos="1984"/>
        <w:tab w:val="left" w:pos="2551"/>
      </w:tabs>
      <w:ind w:left="3118" w:hanging="1701"/>
    </w:pPr>
  </w:style>
  <w:style w:type="paragraph" w:customStyle="1" w:styleId="PointTriple3">
    <w:name w:val="PointTriple 3"/>
    <w:basedOn w:val="a1"/>
    <w:rsid w:val="00517205"/>
    <w:pPr>
      <w:tabs>
        <w:tab w:val="left" w:pos="2551"/>
        <w:tab w:val="left" w:pos="3118"/>
      </w:tabs>
      <w:ind w:left="3685" w:hanging="1701"/>
    </w:pPr>
  </w:style>
  <w:style w:type="paragraph" w:customStyle="1" w:styleId="PointTriple4">
    <w:name w:val="PointTriple 4"/>
    <w:basedOn w:val="a1"/>
    <w:rsid w:val="00517205"/>
    <w:pPr>
      <w:tabs>
        <w:tab w:val="left" w:pos="3118"/>
        <w:tab w:val="left" w:pos="3685"/>
      </w:tabs>
      <w:ind w:left="4252" w:hanging="1701"/>
    </w:pPr>
  </w:style>
  <w:style w:type="paragraph" w:customStyle="1" w:styleId="NumPar1">
    <w:name w:val="NumPar 1"/>
    <w:basedOn w:val="a1"/>
    <w:next w:val="Text1"/>
    <w:rsid w:val="00517205"/>
    <w:pPr>
      <w:numPr>
        <w:numId w:val="156"/>
      </w:numPr>
    </w:pPr>
  </w:style>
  <w:style w:type="paragraph" w:customStyle="1" w:styleId="NumPar2">
    <w:name w:val="NumPar 2"/>
    <w:basedOn w:val="a1"/>
    <w:next w:val="Text1"/>
    <w:rsid w:val="00517205"/>
    <w:pPr>
      <w:numPr>
        <w:ilvl w:val="1"/>
        <w:numId w:val="156"/>
      </w:numPr>
    </w:pPr>
  </w:style>
  <w:style w:type="paragraph" w:customStyle="1" w:styleId="NumPar3">
    <w:name w:val="NumPar 3"/>
    <w:basedOn w:val="a1"/>
    <w:next w:val="Text1"/>
    <w:rsid w:val="00517205"/>
    <w:pPr>
      <w:numPr>
        <w:ilvl w:val="2"/>
        <w:numId w:val="156"/>
      </w:numPr>
    </w:pPr>
  </w:style>
  <w:style w:type="paragraph" w:customStyle="1" w:styleId="NumPar4">
    <w:name w:val="NumPar 4"/>
    <w:basedOn w:val="a1"/>
    <w:next w:val="Text1"/>
    <w:rsid w:val="00517205"/>
    <w:pPr>
      <w:numPr>
        <w:ilvl w:val="3"/>
        <w:numId w:val="156"/>
      </w:numPr>
    </w:pPr>
  </w:style>
  <w:style w:type="paragraph" w:customStyle="1" w:styleId="NumPar5">
    <w:name w:val="NumPar 5"/>
    <w:basedOn w:val="a1"/>
    <w:next w:val="Text2"/>
    <w:rsid w:val="00517205"/>
    <w:pPr>
      <w:numPr>
        <w:ilvl w:val="4"/>
        <w:numId w:val="156"/>
      </w:numPr>
    </w:pPr>
  </w:style>
  <w:style w:type="paragraph" w:customStyle="1" w:styleId="NumPar6">
    <w:name w:val="NumPar 6"/>
    <w:basedOn w:val="a1"/>
    <w:next w:val="Text2"/>
    <w:rsid w:val="00517205"/>
    <w:pPr>
      <w:numPr>
        <w:ilvl w:val="5"/>
        <w:numId w:val="156"/>
      </w:numPr>
    </w:pPr>
  </w:style>
  <w:style w:type="paragraph" w:customStyle="1" w:styleId="NumPar7">
    <w:name w:val="NumPar 7"/>
    <w:basedOn w:val="a1"/>
    <w:next w:val="Text2"/>
    <w:rsid w:val="00517205"/>
    <w:pPr>
      <w:numPr>
        <w:ilvl w:val="6"/>
        <w:numId w:val="156"/>
      </w:numPr>
    </w:pPr>
  </w:style>
  <w:style w:type="paragraph" w:customStyle="1" w:styleId="ManualNumPar1">
    <w:name w:val="Manual NumPar 1"/>
    <w:basedOn w:val="a1"/>
    <w:next w:val="Text1"/>
    <w:rsid w:val="00517205"/>
    <w:pPr>
      <w:ind w:left="850" w:hanging="850"/>
    </w:pPr>
  </w:style>
  <w:style w:type="paragraph" w:customStyle="1" w:styleId="ManualNumPar2">
    <w:name w:val="Manual NumPar 2"/>
    <w:basedOn w:val="a1"/>
    <w:next w:val="Text1"/>
    <w:rsid w:val="00517205"/>
    <w:pPr>
      <w:ind w:left="850" w:hanging="850"/>
    </w:pPr>
  </w:style>
  <w:style w:type="paragraph" w:customStyle="1" w:styleId="ManualNumPar3">
    <w:name w:val="Manual NumPar 3"/>
    <w:basedOn w:val="a1"/>
    <w:next w:val="Text1"/>
    <w:rsid w:val="00517205"/>
    <w:pPr>
      <w:ind w:left="850" w:hanging="850"/>
    </w:pPr>
  </w:style>
  <w:style w:type="paragraph" w:customStyle="1" w:styleId="ManualNumPar4">
    <w:name w:val="Manual NumPar 4"/>
    <w:basedOn w:val="a1"/>
    <w:next w:val="Text1"/>
    <w:rsid w:val="00517205"/>
    <w:pPr>
      <w:ind w:left="850" w:hanging="850"/>
    </w:pPr>
  </w:style>
  <w:style w:type="paragraph" w:customStyle="1" w:styleId="ManualNumPar5">
    <w:name w:val="Manual NumPar 5"/>
    <w:basedOn w:val="a1"/>
    <w:next w:val="Text2"/>
    <w:rsid w:val="00517205"/>
    <w:pPr>
      <w:ind w:left="1417" w:hanging="1417"/>
    </w:pPr>
  </w:style>
  <w:style w:type="paragraph" w:customStyle="1" w:styleId="ManualNumPar6">
    <w:name w:val="Manual NumPar 6"/>
    <w:basedOn w:val="a1"/>
    <w:next w:val="Text2"/>
    <w:rsid w:val="00517205"/>
    <w:pPr>
      <w:ind w:left="1417" w:hanging="1417"/>
    </w:pPr>
  </w:style>
  <w:style w:type="paragraph" w:customStyle="1" w:styleId="ManualNumPar7">
    <w:name w:val="Manual NumPar 7"/>
    <w:basedOn w:val="a1"/>
    <w:next w:val="Text2"/>
    <w:rsid w:val="00517205"/>
    <w:pPr>
      <w:ind w:left="1417" w:hanging="1417"/>
    </w:pPr>
  </w:style>
  <w:style w:type="paragraph" w:customStyle="1" w:styleId="QuotedNumPar">
    <w:name w:val="Quoted NumPar"/>
    <w:basedOn w:val="a1"/>
    <w:rsid w:val="00517205"/>
    <w:pPr>
      <w:ind w:left="1417" w:hanging="567"/>
    </w:pPr>
  </w:style>
  <w:style w:type="paragraph" w:customStyle="1" w:styleId="ManualHeading1">
    <w:name w:val="Manual Heading 1"/>
    <w:basedOn w:val="a1"/>
    <w:next w:val="Text1"/>
    <w:rsid w:val="00517205"/>
    <w:pPr>
      <w:keepNext/>
      <w:tabs>
        <w:tab w:val="left" w:pos="850"/>
      </w:tabs>
      <w:spacing w:before="360"/>
      <w:ind w:left="850" w:hanging="850"/>
      <w:outlineLvl w:val="0"/>
    </w:pPr>
    <w:rPr>
      <w:b/>
      <w:smallCaps/>
    </w:rPr>
  </w:style>
  <w:style w:type="paragraph" w:customStyle="1" w:styleId="ManualHeading2">
    <w:name w:val="Manual Heading 2"/>
    <w:basedOn w:val="a1"/>
    <w:next w:val="Text1"/>
    <w:rsid w:val="00517205"/>
    <w:pPr>
      <w:keepNext/>
      <w:tabs>
        <w:tab w:val="left" w:pos="850"/>
      </w:tabs>
      <w:ind w:left="850" w:hanging="850"/>
      <w:outlineLvl w:val="1"/>
    </w:pPr>
    <w:rPr>
      <w:b/>
    </w:rPr>
  </w:style>
  <w:style w:type="paragraph" w:customStyle="1" w:styleId="ManualHeading3">
    <w:name w:val="Manual Heading 3"/>
    <w:basedOn w:val="a1"/>
    <w:next w:val="Text1"/>
    <w:rsid w:val="00517205"/>
    <w:pPr>
      <w:keepNext/>
      <w:tabs>
        <w:tab w:val="left" w:pos="850"/>
      </w:tabs>
      <w:ind w:left="850" w:hanging="850"/>
      <w:outlineLvl w:val="2"/>
    </w:pPr>
    <w:rPr>
      <w:i/>
    </w:rPr>
  </w:style>
  <w:style w:type="paragraph" w:customStyle="1" w:styleId="ManualHeading4">
    <w:name w:val="Manual Heading 4"/>
    <w:basedOn w:val="a1"/>
    <w:next w:val="Text1"/>
    <w:rsid w:val="00517205"/>
    <w:pPr>
      <w:keepNext/>
      <w:tabs>
        <w:tab w:val="left" w:pos="850"/>
      </w:tabs>
      <w:ind w:left="850" w:hanging="850"/>
      <w:outlineLvl w:val="3"/>
    </w:pPr>
  </w:style>
  <w:style w:type="paragraph" w:customStyle="1" w:styleId="ManualHeading5">
    <w:name w:val="Manual Heading 5"/>
    <w:basedOn w:val="a1"/>
    <w:next w:val="Text2"/>
    <w:rsid w:val="00517205"/>
    <w:pPr>
      <w:keepNext/>
      <w:tabs>
        <w:tab w:val="left" w:pos="1417"/>
      </w:tabs>
      <w:ind w:left="1417" w:hanging="1417"/>
      <w:outlineLvl w:val="4"/>
    </w:pPr>
  </w:style>
  <w:style w:type="paragraph" w:customStyle="1" w:styleId="ManualHeading6">
    <w:name w:val="Manual Heading 6"/>
    <w:basedOn w:val="a1"/>
    <w:next w:val="Text2"/>
    <w:rsid w:val="00517205"/>
    <w:pPr>
      <w:keepNext/>
      <w:tabs>
        <w:tab w:val="left" w:pos="1417"/>
      </w:tabs>
      <w:ind w:left="1417" w:hanging="1417"/>
      <w:outlineLvl w:val="5"/>
    </w:pPr>
  </w:style>
  <w:style w:type="paragraph" w:customStyle="1" w:styleId="ManualHeading7">
    <w:name w:val="Manual Heading 7"/>
    <w:basedOn w:val="a1"/>
    <w:next w:val="Text2"/>
    <w:rsid w:val="00517205"/>
    <w:pPr>
      <w:keepNext/>
      <w:tabs>
        <w:tab w:val="left" w:pos="1417"/>
      </w:tabs>
      <w:ind w:left="1417" w:hanging="1417"/>
      <w:outlineLvl w:val="6"/>
    </w:pPr>
  </w:style>
  <w:style w:type="paragraph" w:customStyle="1" w:styleId="ChapterTitle">
    <w:name w:val="ChapterTitle"/>
    <w:basedOn w:val="a1"/>
    <w:next w:val="a1"/>
    <w:rsid w:val="00517205"/>
    <w:pPr>
      <w:keepNext/>
      <w:spacing w:after="360"/>
      <w:jc w:val="center"/>
    </w:pPr>
    <w:rPr>
      <w:b/>
      <w:sz w:val="32"/>
    </w:rPr>
  </w:style>
  <w:style w:type="paragraph" w:customStyle="1" w:styleId="PartTitle">
    <w:name w:val="PartTitle"/>
    <w:basedOn w:val="a1"/>
    <w:next w:val="ChapterTitle"/>
    <w:rsid w:val="00517205"/>
    <w:pPr>
      <w:keepNext/>
      <w:pageBreakBefore/>
      <w:spacing w:after="360"/>
      <w:jc w:val="center"/>
    </w:pPr>
    <w:rPr>
      <w:b/>
      <w:sz w:val="36"/>
    </w:rPr>
  </w:style>
  <w:style w:type="paragraph" w:customStyle="1" w:styleId="SectionTitle">
    <w:name w:val="SectionTitle"/>
    <w:basedOn w:val="a1"/>
    <w:next w:val="1"/>
    <w:rsid w:val="00517205"/>
    <w:pPr>
      <w:keepNext/>
      <w:spacing w:after="360"/>
      <w:jc w:val="center"/>
    </w:pPr>
    <w:rPr>
      <w:b/>
      <w:smallCaps/>
      <w:sz w:val="28"/>
    </w:rPr>
  </w:style>
  <w:style w:type="paragraph" w:customStyle="1" w:styleId="TableTitle">
    <w:name w:val="Table Title"/>
    <w:basedOn w:val="a1"/>
    <w:next w:val="a1"/>
    <w:rsid w:val="00517205"/>
    <w:pPr>
      <w:jc w:val="center"/>
    </w:pPr>
    <w:rPr>
      <w:b/>
    </w:rPr>
  </w:style>
  <w:style w:type="character" w:customStyle="1" w:styleId="Marker">
    <w:name w:val="Marker"/>
    <w:basedOn w:val="a2"/>
    <w:rsid w:val="006E6DC7"/>
    <w:rPr>
      <w:color w:val="0000FF"/>
      <w:shd w:val="clear" w:color="auto" w:fill="auto"/>
    </w:rPr>
  </w:style>
  <w:style w:type="character" w:customStyle="1" w:styleId="Marker1">
    <w:name w:val="Marker1"/>
    <w:basedOn w:val="a2"/>
    <w:rsid w:val="00517205"/>
    <w:rPr>
      <w:color w:val="008000"/>
      <w:shd w:val="clear" w:color="auto" w:fill="auto"/>
    </w:rPr>
  </w:style>
  <w:style w:type="character" w:customStyle="1" w:styleId="Marker2">
    <w:name w:val="Marker2"/>
    <w:basedOn w:val="a2"/>
    <w:rsid w:val="00517205"/>
    <w:rPr>
      <w:color w:val="FF0000"/>
      <w:shd w:val="clear" w:color="auto" w:fill="auto"/>
    </w:rPr>
  </w:style>
  <w:style w:type="paragraph" w:customStyle="1" w:styleId="Point0number">
    <w:name w:val="Point 0 (number)"/>
    <w:basedOn w:val="a1"/>
    <w:rsid w:val="00517205"/>
    <w:pPr>
      <w:numPr>
        <w:numId w:val="158"/>
      </w:numPr>
    </w:pPr>
  </w:style>
  <w:style w:type="paragraph" w:customStyle="1" w:styleId="Point1number">
    <w:name w:val="Point 1 (number)"/>
    <w:basedOn w:val="a1"/>
    <w:rsid w:val="00517205"/>
    <w:pPr>
      <w:numPr>
        <w:ilvl w:val="2"/>
        <w:numId w:val="158"/>
      </w:numPr>
    </w:pPr>
  </w:style>
  <w:style w:type="paragraph" w:customStyle="1" w:styleId="Point2number">
    <w:name w:val="Point 2 (number)"/>
    <w:basedOn w:val="a1"/>
    <w:rsid w:val="00517205"/>
    <w:pPr>
      <w:numPr>
        <w:ilvl w:val="4"/>
        <w:numId w:val="158"/>
      </w:numPr>
    </w:pPr>
  </w:style>
  <w:style w:type="paragraph" w:customStyle="1" w:styleId="Point3number">
    <w:name w:val="Point 3 (number)"/>
    <w:basedOn w:val="a1"/>
    <w:rsid w:val="00517205"/>
    <w:pPr>
      <w:numPr>
        <w:ilvl w:val="6"/>
        <w:numId w:val="158"/>
      </w:numPr>
    </w:pPr>
  </w:style>
  <w:style w:type="paragraph" w:customStyle="1" w:styleId="Point0letter">
    <w:name w:val="Point 0 (letter)"/>
    <w:basedOn w:val="a1"/>
    <w:rsid w:val="00517205"/>
    <w:pPr>
      <w:numPr>
        <w:ilvl w:val="1"/>
        <w:numId w:val="158"/>
      </w:numPr>
    </w:pPr>
  </w:style>
  <w:style w:type="paragraph" w:customStyle="1" w:styleId="Point1letter">
    <w:name w:val="Point 1 (letter)"/>
    <w:basedOn w:val="a1"/>
    <w:rsid w:val="00517205"/>
    <w:pPr>
      <w:numPr>
        <w:ilvl w:val="3"/>
        <w:numId w:val="158"/>
      </w:numPr>
    </w:pPr>
  </w:style>
  <w:style w:type="paragraph" w:customStyle="1" w:styleId="Point2letter">
    <w:name w:val="Point 2 (letter)"/>
    <w:basedOn w:val="a1"/>
    <w:rsid w:val="00517205"/>
    <w:pPr>
      <w:numPr>
        <w:ilvl w:val="5"/>
        <w:numId w:val="158"/>
      </w:numPr>
    </w:pPr>
  </w:style>
  <w:style w:type="paragraph" w:customStyle="1" w:styleId="Point3letter">
    <w:name w:val="Point 3 (letter)"/>
    <w:basedOn w:val="a1"/>
    <w:rsid w:val="00517205"/>
    <w:pPr>
      <w:numPr>
        <w:ilvl w:val="7"/>
        <w:numId w:val="158"/>
      </w:numPr>
    </w:pPr>
  </w:style>
  <w:style w:type="paragraph" w:customStyle="1" w:styleId="Point4letter">
    <w:name w:val="Point 4 (letter)"/>
    <w:basedOn w:val="a1"/>
    <w:rsid w:val="00517205"/>
    <w:pPr>
      <w:numPr>
        <w:ilvl w:val="8"/>
        <w:numId w:val="158"/>
      </w:numPr>
    </w:pPr>
  </w:style>
  <w:style w:type="paragraph" w:customStyle="1" w:styleId="Bullet0">
    <w:name w:val="Bullet 0"/>
    <w:basedOn w:val="a1"/>
    <w:rsid w:val="00517205"/>
    <w:pPr>
      <w:numPr>
        <w:numId w:val="159"/>
      </w:numPr>
    </w:pPr>
  </w:style>
  <w:style w:type="paragraph" w:customStyle="1" w:styleId="Bullet1">
    <w:name w:val="Bullet 1"/>
    <w:basedOn w:val="a1"/>
    <w:rsid w:val="00517205"/>
    <w:pPr>
      <w:numPr>
        <w:numId w:val="160"/>
      </w:numPr>
    </w:pPr>
  </w:style>
  <w:style w:type="paragraph" w:customStyle="1" w:styleId="Bullet2">
    <w:name w:val="Bullet 2"/>
    <w:basedOn w:val="a1"/>
    <w:rsid w:val="00517205"/>
    <w:pPr>
      <w:numPr>
        <w:numId w:val="161"/>
      </w:numPr>
    </w:pPr>
  </w:style>
  <w:style w:type="paragraph" w:customStyle="1" w:styleId="Bullet3">
    <w:name w:val="Bullet 3"/>
    <w:basedOn w:val="a1"/>
    <w:rsid w:val="00517205"/>
    <w:pPr>
      <w:numPr>
        <w:numId w:val="162"/>
      </w:numPr>
    </w:pPr>
  </w:style>
  <w:style w:type="paragraph" w:customStyle="1" w:styleId="Bullet4">
    <w:name w:val="Bullet 4"/>
    <w:basedOn w:val="a1"/>
    <w:rsid w:val="00517205"/>
    <w:pPr>
      <w:numPr>
        <w:numId w:val="163"/>
      </w:numPr>
    </w:pPr>
  </w:style>
  <w:style w:type="paragraph" w:customStyle="1" w:styleId="Langue">
    <w:name w:val="Langue"/>
    <w:basedOn w:val="a1"/>
    <w:next w:val="Rfrenceinterne"/>
    <w:rsid w:val="00517205"/>
    <w:pPr>
      <w:framePr w:wrap="around" w:vAnchor="page" w:hAnchor="text" w:xAlign="center" w:y="14741"/>
      <w:spacing w:before="0" w:after="600"/>
      <w:jc w:val="center"/>
    </w:pPr>
    <w:rPr>
      <w:b/>
      <w:caps/>
    </w:rPr>
  </w:style>
  <w:style w:type="paragraph" w:customStyle="1" w:styleId="Nomdelinstitution">
    <w:name w:val="Nom de l'institution"/>
    <w:basedOn w:val="a1"/>
    <w:next w:val="Emission"/>
    <w:rsid w:val="00517205"/>
    <w:pPr>
      <w:spacing w:before="0" w:after="0"/>
      <w:jc w:val="left"/>
    </w:pPr>
    <w:rPr>
      <w:rFonts w:ascii="Arial" w:hAnsi="Arial" w:cs="Arial"/>
    </w:rPr>
  </w:style>
  <w:style w:type="paragraph" w:customStyle="1" w:styleId="Emission">
    <w:name w:val="Emission"/>
    <w:basedOn w:val="a1"/>
    <w:next w:val="Rfrenceinstitutionnelle"/>
    <w:rsid w:val="00517205"/>
    <w:pPr>
      <w:spacing w:before="0" w:after="0"/>
      <w:ind w:left="5103"/>
      <w:jc w:val="left"/>
    </w:pPr>
  </w:style>
  <w:style w:type="paragraph" w:customStyle="1" w:styleId="Rfrenceinstitutionnelle">
    <w:name w:val="Référence institutionnelle"/>
    <w:basedOn w:val="a1"/>
    <w:next w:val="Confidentialit"/>
    <w:rsid w:val="00517205"/>
    <w:pPr>
      <w:spacing w:before="0" w:after="240"/>
      <w:ind w:left="5103"/>
      <w:jc w:val="left"/>
    </w:pPr>
  </w:style>
  <w:style w:type="paragraph" w:customStyle="1" w:styleId="Pagedecouverture">
    <w:name w:val="Page de couverture"/>
    <w:basedOn w:val="a1"/>
    <w:next w:val="a1"/>
    <w:rsid w:val="00517205"/>
    <w:pPr>
      <w:spacing w:before="0" w:after="0"/>
    </w:pPr>
  </w:style>
  <w:style w:type="paragraph" w:customStyle="1" w:styleId="Declassification">
    <w:name w:val="Declassification"/>
    <w:basedOn w:val="a1"/>
    <w:next w:val="a1"/>
    <w:rsid w:val="00517205"/>
    <w:pPr>
      <w:spacing w:before="0" w:after="0"/>
    </w:pPr>
  </w:style>
  <w:style w:type="paragraph" w:customStyle="1" w:styleId="Disclaimer">
    <w:name w:val="Disclaimer"/>
    <w:basedOn w:val="a1"/>
    <w:rsid w:val="00517205"/>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a1"/>
    <w:rsid w:val="00517205"/>
    <w:pPr>
      <w:spacing w:before="0" w:after="0" w:line="276" w:lineRule="auto"/>
      <w:ind w:left="5103"/>
      <w:jc w:val="left"/>
    </w:pPr>
    <w:rPr>
      <w:sz w:val="28"/>
    </w:rPr>
  </w:style>
  <w:style w:type="paragraph" w:customStyle="1" w:styleId="DateMarking">
    <w:name w:val="DateMarking"/>
    <w:basedOn w:val="a1"/>
    <w:rsid w:val="00517205"/>
    <w:pPr>
      <w:spacing w:before="0" w:after="0" w:line="276" w:lineRule="auto"/>
      <w:ind w:left="5103"/>
      <w:jc w:val="left"/>
    </w:pPr>
    <w:rPr>
      <w:i/>
      <w:sz w:val="28"/>
    </w:rPr>
  </w:style>
  <w:style w:type="paragraph" w:customStyle="1" w:styleId="ReleasableTo">
    <w:name w:val="ReleasableTo"/>
    <w:basedOn w:val="a1"/>
    <w:rsid w:val="00517205"/>
    <w:pPr>
      <w:spacing w:before="0" w:after="0" w:line="276" w:lineRule="auto"/>
      <w:ind w:left="5103"/>
      <w:jc w:val="left"/>
    </w:pPr>
    <w:rPr>
      <w:i/>
      <w:sz w:val="28"/>
    </w:rPr>
  </w:style>
  <w:style w:type="paragraph" w:customStyle="1" w:styleId="Annexetitreexpos">
    <w:name w:val="Annexe titre (exposé)"/>
    <w:basedOn w:val="a1"/>
    <w:next w:val="a1"/>
    <w:rsid w:val="00517205"/>
    <w:pPr>
      <w:jc w:val="center"/>
    </w:pPr>
    <w:rPr>
      <w:b/>
      <w:u w:val="single"/>
    </w:rPr>
  </w:style>
  <w:style w:type="paragraph" w:customStyle="1" w:styleId="Annexetitre">
    <w:name w:val="Annexe titre"/>
    <w:basedOn w:val="a1"/>
    <w:next w:val="a1"/>
    <w:rsid w:val="00517205"/>
    <w:pPr>
      <w:jc w:val="center"/>
    </w:pPr>
    <w:rPr>
      <w:b/>
      <w:u w:val="single"/>
    </w:rPr>
  </w:style>
  <w:style w:type="paragraph" w:customStyle="1" w:styleId="Annexetitrefichefinancire">
    <w:name w:val="Annexe titre (fiche financière)"/>
    <w:basedOn w:val="a1"/>
    <w:next w:val="a1"/>
    <w:rsid w:val="00517205"/>
    <w:pPr>
      <w:jc w:val="center"/>
    </w:pPr>
    <w:rPr>
      <w:b/>
      <w:u w:val="single"/>
    </w:rPr>
  </w:style>
  <w:style w:type="paragraph" w:customStyle="1" w:styleId="Applicationdirecte">
    <w:name w:val="Application directe"/>
    <w:basedOn w:val="a1"/>
    <w:next w:val="Fait"/>
    <w:rsid w:val="00517205"/>
    <w:pPr>
      <w:spacing w:before="480"/>
    </w:pPr>
  </w:style>
  <w:style w:type="paragraph" w:customStyle="1" w:styleId="Avertissementtitre">
    <w:name w:val="Avertissement titre"/>
    <w:basedOn w:val="a1"/>
    <w:next w:val="a1"/>
    <w:rsid w:val="00517205"/>
    <w:pPr>
      <w:keepNext/>
      <w:spacing w:before="480"/>
    </w:pPr>
    <w:rPr>
      <w:u w:val="single"/>
    </w:rPr>
  </w:style>
  <w:style w:type="paragraph" w:customStyle="1" w:styleId="Confidence">
    <w:name w:val="Confidence"/>
    <w:basedOn w:val="a1"/>
    <w:next w:val="a1"/>
    <w:rsid w:val="00517205"/>
    <w:pPr>
      <w:spacing w:before="360"/>
      <w:jc w:val="center"/>
    </w:pPr>
  </w:style>
  <w:style w:type="paragraph" w:customStyle="1" w:styleId="Confidentialit">
    <w:name w:val="Confidentialité"/>
    <w:basedOn w:val="a1"/>
    <w:next w:val="TypedudocumentPagedecouverture"/>
    <w:rsid w:val="00517205"/>
    <w:pPr>
      <w:spacing w:before="240" w:after="240"/>
      <w:ind w:left="5103"/>
      <w:jc w:val="left"/>
    </w:pPr>
    <w:rPr>
      <w:i/>
      <w:sz w:val="32"/>
    </w:rPr>
  </w:style>
  <w:style w:type="paragraph" w:customStyle="1" w:styleId="Considrant">
    <w:name w:val="Considérant"/>
    <w:basedOn w:val="a1"/>
    <w:rsid w:val="00517205"/>
    <w:pPr>
      <w:numPr>
        <w:numId w:val="164"/>
      </w:numPr>
    </w:pPr>
  </w:style>
  <w:style w:type="paragraph" w:customStyle="1" w:styleId="Corrigendum">
    <w:name w:val="Corrigendum"/>
    <w:basedOn w:val="a1"/>
    <w:next w:val="a1"/>
    <w:rsid w:val="00517205"/>
    <w:pPr>
      <w:spacing w:before="0" w:after="240"/>
      <w:jc w:val="left"/>
    </w:pPr>
  </w:style>
  <w:style w:type="paragraph" w:customStyle="1" w:styleId="Datedadoption">
    <w:name w:val="Date d'adoption"/>
    <w:basedOn w:val="a1"/>
    <w:next w:val="Titreobjet"/>
    <w:rsid w:val="00517205"/>
    <w:pPr>
      <w:spacing w:before="360" w:after="0"/>
      <w:jc w:val="center"/>
    </w:pPr>
    <w:rPr>
      <w:b/>
    </w:rPr>
  </w:style>
  <w:style w:type="paragraph" w:customStyle="1" w:styleId="Exposdesmotifstitre">
    <w:name w:val="Exposé des motifs titre"/>
    <w:basedOn w:val="a1"/>
    <w:next w:val="a1"/>
    <w:rsid w:val="00517205"/>
    <w:pPr>
      <w:jc w:val="center"/>
    </w:pPr>
    <w:rPr>
      <w:b/>
      <w:u w:val="single"/>
    </w:rPr>
  </w:style>
  <w:style w:type="paragraph" w:customStyle="1" w:styleId="Fait">
    <w:name w:val="Fait à"/>
    <w:basedOn w:val="a1"/>
    <w:next w:val="Institutionquisigne"/>
    <w:rsid w:val="00517205"/>
    <w:pPr>
      <w:keepNext/>
      <w:spacing w:after="0"/>
    </w:pPr>
  </w:style>
  <w:style w:type="paragraph" w:customStyle="1" w:styleId="Formuledadoption">
    <w:name w:val="Formule d'adoption"/>
    <w:basedOn w:val="a1"/>
    <w:next w:val="Titrearticle"/>
    <w:rsid w:val="00517205"/>
    <w:pPr>
      <w:keepNext/>
    </w:pPr>
  </w:style>
  <w:style w:type="paragraph" w:customStyle="1" w:styleId="Institutionquiagit">
    <w:name w:val="Institution qui agit"/>
    <w:basedOn w:val="a1"/>
    <w:next w:val="a1"/>
    <w:rsid w:val="00517205"/>
    <w:pPr>
      <w:keepNext/>
      <w:spacing w:before="600"/>
    </w:pPr>
  </w:style>
  <w:style w:type="paragraph" w:customStyle="1" w:styleId="Institutionquisigne">
    <w:name w:val="Institution qui signe"/>
    <w:basedOn w:val="a1"/>
    <w:next w:val="Personnequisigne"/>
    <w:rsid w:val="00517205"/>
    <w:pPr>
      <w:keepNext/>
      <w:tabs>
        <w:tab w:val="left" w:pos="4252"/>
      </w:tabs>
      <w:spacing w:before="720" w:after="0"/>
    </w:pPr>
    <w:rPr>
      <w:i/>
    </w:rPr>
  </w:style>
  <w:style w:type="paragraph" w:customStyle="1" w:styleId="ManualConsidrant">
    <w:name w:val="Manual Considérant"/>
    <w:basedOn w:val="a1"/>
    <w:rsid w:val="00517205"/>
    <w:pPr>
      <w:ind w:left="709" w:hanging="709"/>
    </w:pPr>
  </w:style>
  <w:style w:type="paragraph" w:customStyle="1" w:styleId="Personnequisigne">
    <w:name w:val="Personne qui signe"/>
    <w:basedOn w:val="a1"/>
    <w:next w:val="Institutionquisigne"/>
    <w:rsid w:val="00517205"/>
    <w:pPr>
      <w:tabs>
        <w:tab w:val="left" w:pos="4252"/>
      </w:tabs>
      <w:spacing w:before="0" w:after="0"/>
      <w:jc w:val="left"/>
    </w:pPr>
    <w:rPr>
      <w:i/>
    </w:rPr>
  </w:style>
  <w:style w:type="paragraph" w:customStyle="1" w:styleId="Rfrenceinterinstitutionnelle">
    <w:name w:val="Référence interinstitutionnelle"/>
    <w:basedOn w:val="a1"/>
    <w:next w:val="Statut"/>
    <w:rsid w:val="00517205"/>
    <w:pPr>
      <w:spacing w:before="0" w:after="0"/>
      <w:ind w:left="5103"/>
      <w:jc w:val="left"/>
    </w:pPr>
  </w:style>
  <w:style w:type="paragraph" w:customStyle="1" w:styleId="Rfrenceinterne">
    <w:name w:val="Référence interne"/>
    <w:basedOn w:val="a1"/>
    <w:next w:val="Rfrenceinterinstitutionnelle"/>
    <w:rsid w:val="00517205"/>
    <w:pPr>
      <w:spacing w:before="0" w:after="0"/>
      <w:ind w:left="5103"/>
      <w:jc w:val="left"/>
    </w:pPr>
  </w:style>
  <w:style w:type="paragraph" w:customStyle="1" w:styleId="Statut">
    <w:name w:val="Statut"/>
    <w:basedOn w:val="a1"/>
    <w:next w:val="Typedudocument"/>
    <w:rsid w:val="00517205"/>
    <w:pPr>
      <w:spacing w:before="360" w:after="0"/>
      <w:jc w:val="center"/>
    </w:pPr>
  </w:style>
  <w:style w:type="paragraph" w:customStyle="1" w:styleId="Titrearticle">
    <w:name w:val="Titre article"/>
    <w:basedOn w:val="a1"/>
    <w:next w:val="a1"/>
    <w:rsid w:val="00517205"/>
    <w:pPr>
      <w:keepNext/>
      <w:spacing w:before="360"/>
      <w:jc w:val="center"/>
    </w:pPr>
    <w:rPr>
      <w:i/>
    </w:rPr>
  </w:style>
  <w:style w:type="paragraph" w:customStyle="1" w:styleId="Titreobjet">
    <w:name w:val="Titre objet"/>
    <w:basedOn w:val="a1"/>
    <w:next w:val="IntrtEEE"/>
    <w:rsid w:val="00517205"/>
    <w:pPr>
      <w:spacing w:before="360" w:after="360"/>
      <w:jc w:val="center"/>
    </w:pPr>
    <w:rPr>
      <w:b/>
    </w:rPr>
  </w:style>
  <w:style w:type="paragraph" w:customStyle="1" w:styleId="Typedudocument">
    <w:name w:val="Type du document"/>
    <w:basedOn w:val="a1"/>
    <w:next w:val="Titreobjet"/>
    <w:rsid w:val="00517205"/>
    <w:pPr>
      <w:spacing w:before="360" w:after="0"/>
      <w:jc w:val="center"/>
    </w:pPr>
    <w:rPr>
      <w:b/>
    </w:rPr>
  </w:style>
  <w:style w:type="character" w:customStyle="1" w:styleId="Added">
    <w:name w:val="Added"/>
    <w:basedOn w:val="a2"/>
    <w:rsid w:val="00517205"/>
    <w:rPr>
      <w:b/>
      <w:u w:val="single"/>
      <w:shd w:val="clear" w:color="auto" w:fill="auto"/>
    </w:rPr>
  </w:style>
  <w:style w:type="character" w:customStyle="1" w:styleId="Deleted">
    <w:name w:val="Deleted"/>
    <w:basedOn w:val="a2"/>
    <w:rsid w:val="00517205"/>
    <w:rPr>
      <w:strike/>
      <w:dstrike w:val="0"/>
      <w:shd w:val="clear" w:color="auto" w:fill="auto"/>
    </w:rPr>
  </w:style>
  <w:style w:type="paragraph" w:customStyle="1" w:styleId="Address">
    <w:name w:val="Address"/>
    <w:basedOn w:val="a1"/>
    <w:next w:val="a1"/>
    <w:rsid w:val="00517205"/>
    <w:pPr>
      <w:keepLines/>
      <w:spacing w:line="360" w:lineRule="auto"/>
      <w:ind w:left="3402"/>
      <w:jc w:val="left"/>
    </w:pPr>
  </w:style>
  <w:style w:type="paragraph" w:customStyle="1" w:styleId="Objetexterne">
    <w:name w:val="Objet externe"/>
    <w:basedOn w:val="a1"/>
    <w:next w:val="a1"/>
    <w:rsid w:val="00517205"/>
    <w:rPr>
      <w:i/>
      <w:caps/>
    </w:rPr>
  </w:style>
  <w:style w:type="paragraph" w:customStyle="1" w:styleId="Supertitre">
    <w:name w:val="Supertitre"/>
    <w:basedOn w:val="a1"/>
    <w:next w:val="a1"/>
    <w:rsid w:val="00517205"/>
    <w:pPr>
      <w:spacing w:before="0" w:after="600"/>
      <w:jc w:val="center"/>
    </w:pPr>
    <w:rPr>
      <w:b/>
    </w:rPr>
  </w:style>
  <w:style w:type="paragraph" w:customStyle="1" w:styleId="Languesfaisantfoi">
    <w:name w:val="Langues faisant foi"/>
    <w:basedOn w:val="a1"/>
    <w:next w:val="a1"/>
    <w:rsid w:val="00517205"/>
    <w:pPr>
      <w:spacing w:before="360" w:after="0"/>
      <w:jc w:val="center"/>
    </w:pPr>
  </w:style>
  <w:style w:type="paragraph" w:customStyle="1" w:styleId="Rfrencecroise">
    <w:name w:val="Référence croisée"/>
    <w:basedOn w:val="a1"/>
    <w:rsid w:val="00517205"/>
    <w:pPr>
      <w:spacing w:before="0" w:after="0"/>
      <w:jc w:val="center"/>
    </w:pPr>
  </w:style>
  <w:style w:type="paragraph" w:customStyle="1" w:styleId="Fichefinanciretitre">
    <w:name w:val="Fiche financière titre"/>
    <w:basedOn w:val="a1"/>
    <w:next w:val="a1"/>
    <w:rsid w:val="00517205"/>
    <w:pPr>
      <w:jc w:val="center"/>
    </w:pPr>
    <w:rPr>
      <w:b/>
      <w:u w:val="single"/>
    </w:rPr>
  </w:style>
  <w:style w:type="paragraph" w:customStyle="1" w:styleId="DatedadoptionPagedecouverture">
    <w:name w:val="Date d'adoption (Page de couverture)"/>
    <w:basedOn w:val="Datedadoption"/>
    <w:next w:val="TitreobjetPagedecouverture"/>
    <w:rsid w:val="00517205"/>
  </w:style>
  <w:style w:type="paragraph" w:customStyle="1" w:styleId="RfrenceinterinstitutionnellePagedecouverture">
    <w:name w:val="Référence interinstitutionnelle (Page de couverture)"/>
    <w:basedOn w:val="Rfrenceinterinstitutionnelle"/>
    <w:next w:val="Confidentialit"/>
    <w:rsid w:val="00517205"/>
  </w:style>
  <w:style w:type="paragraph" w:customStyle="1" w:styleId="StatutPagedecouverture">
    <w:name w:val="Statut (Page de couverture)"/>
    <w:basedOn w:val="Statut"/>
    <w:next w:val="TypedudocumentPagedecouverture"/>
    <w:rsid w:val="00517205"/>
  </w:style>
  <w:style w:type="paragraph" w:customStyle="1" w:styleId="TitreobjetPagedecouverture">
    <w:name w:val="Titre objet (Page de couverture)"/>
    <w:basedOn w:val="Titreobjet"/>
    <w:next w:val="IntrtEEEPagedecouverture"/>
    <w:rsid w:val="00517205"/>
  </w:style>
  <w:style w:type="paragraph" w:customStyle="1" w:styleId="TypedudocumentPagedecouverture">
    <w:name w:val="Type du document (Page de couverture)"/>
    <w:basedOn w:val="Typedudocument"/>
    <w:next w:val="TitreobjetPagedecouverture"/>
    <w:rsid w:val="00517205"/>
  </w:style>
  <w:style w:type="paragraph" w:customStyle="1" w:styleId="Volume">
    <w:name w:val="Volume"/>
    <w:basedOn w:val="a1"/>
    <w:next w:val="Confidentialit"/>
    <w:rsid w:val="00517205"/>
    <w:pPr>
      <w:spacing w:before="0" w:after="240"/>
      <w:ind w:left="5103"/>
      <w:jc w:val="left"/>
    </w:pPr>
  </w:style>
  <w:style w:type="paragraph" w:customStyle="1" w:styleId="IntrtEEE">
    <w:name w:val="Intérêt EEE"/>
    <w:basedOn w:val="Languesfaisantfoi"/>
    <w:next w:val="a1"/>
    <w:rsid w:val="00517205"/>
    <w:pPr>
      <w:spacing w:after="240"/>
    </w:pPr>
  </w:style>
  <w:style w:type="paragraph" w:customStyle="1" w:styleId="Accompagnant">
    <w:name w:val="Accompagnant"/>
    <w:basedOn w:val="a1"/>
    <w:next w:val="Typeacteprincipal"/>
    <w:rsid w:val="00517205"/>
    <w:pPr>
      <w:spacing w:before="0" w:after="240"/>
      <w:jc w:val="center"/>
    </w:pPr>
    <w:rPr>
      <w:b/>
      <w:i/>
    </w:rPr>
  </w:style>
  <w:style w:type="paragraph" w:customStyle="1" w:styleId="Typeacteprincipal">
    <w:name w:val="Type acte principal"/>
    <w:basedOn w:val="a1"/>
    <w:next w:val="Objetacteprincipal"/>
    <w:rsid w:val="00517205"/>
    <w:pPr>
      <w:spacing w:before="0" w:after="240"/>
      <w:jc w:val="center"/>
    </w:pPr>
    <w:rPr>
      <w:b/>
    </w:rPr>
  </w:style>
  <w:style w:type="paragraph" w:customStyle="1" w:styleId="Objetacteprincipal">
    <w:name w:val="Objet acte principal"/>
    <w:basedOn w:val="a1"/>
    <w:next w:val="Titrearticle"/>
    <w:rsid w:val="00517205"/>
    <w:pPr>
      <w:spacing w:before="0" w:after="360"/>
      <w:jc w:val="center"/>
    </w:pPr>
    <w:rPr>
      <w:b/>
    </w:rPr>
  </w:style>
  <w:style w:type="paragraph" w:customStyle="1" w:styleId="IntrtEEEPagedecouverture">
    <w:name w:val="Intérêt EEE (Page de couverture)"/>
    <w:basedOn w:val="IntrtEEE"/>
    <w:next w:val="Rfrencecroise"/>
    <w:rsid w:val="00517205"/>
  </w:style>
  <w:style w:type="paragraph" w:customStyle="1" w:styleId="AccompagnantPagedecouverture">
    <w:name w:val="Accompagnant (Page de couverture)"/>
    <w:basedOn w:val="Accompagnant"/>
    <w:next w:val="TypeacteprincipalPagedecouverture"/>
    <w:rsid w:val="00517205"/>
  </w:style>
  <w:style w:type="paragraph" w:customStyle="1" w:styleId="TypeacteprincipalPagedecouverture">
    <w:name w:val="Type acte principal (Page de couverture)"/>
    <w:basedOn w:val="Typeacteprincipal"/>
    <w:next w:val="ObjetacteprincipalPagedecouverture"/>
    <w:rsid w:val="00517205"/>
  </w:style>
  <w:style w:type="paragraph" w:customStyle="1" w:styleId="ObjetacteprincipalPagedecouverture">
    <w:name w:val="Objet acte principal (Page de couverture)"/>
    <w:basedOn w:val="Objetacteprincipal"/>
    <w:next w:val="Rfrencecroise"/>
    <w:rsid w:val="00517205"/>
  </w:style>
  <w:style w:type="paragraph" w:customStyle="1" w:styleId="LanguesfaisantfoiPagedecouverture">
    <w:name w:val="Langues faisant foi (Page de couverture)"/>
    <w:basedOn w:val="a1"/>
    <w:next w:val="a1"/>
    <w:rsid w:val="00517205"/>
    <w:pPr>
      <w:spacing w:before="360" w:after="0"/>
      <w:jc w:val="center"/>
    </w:pPr>
  </w:style>
  <w:style w:type="paragraph" w:customStyle="1" w:styleId="lmttranslationsastextitem">
    <w:name w:val="lmt__translations_as_text__item"/>
    <w:basedOn w:val="a1"/>
    <w:rsid w:val="004304B8"/>
    <w:pPr>
      <w:spacing w:before="100" w:beforeAutospacing="1" w:after="100" w:afterAutospacing="1"/>
      <w:jc w:val="left"/>
    </w:pPr>
    <w:rPr>
      <w:rFonts w:ascii="ＭＳ Ｐゴシック" w:eastAsia="ＭＳ Ｐゴシック" w:hAnsi="ＭＳ Ｐゴシック" w:cs="ＭＳ Ｐゴシック"/>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6800">
      <w:bodyDiv w:val="1"/>
      <w:marLeft w:val="0"/>
      <w:marRight w:val="0"/>
      <w:marTop w:val="0"/>
      <w:marBottom w:val="0"/>
      <w:divBdr>
        <w:top w:val="none" w:sz="0" w:space="0" w:color="auto"/>
        <w:left w:val="none" w:sz="0" w:space="0" w:color="auto"/>
        <w:bottom w:val="none" w:sz="0" w:space="0" w:color="auto"/>
        <w:right w:val="none" w:sz="0" w:space="0" w:color="auto"/>
      </w:divBdr>
    </w:div>
    <w:div w:id="16742002">
      <w:bodyDiv w:val="1"/>
      <w:marLeft w:val="0"/>
      <w:marRight w:val="0"/>
      <w:marTop w:val="0"/>
      <w:marBottom w:val="0"/>
      <w:divBdr>
        <w:top w:val="none" w:sz="0" w:space="0" w:color="auto"/>
        <w:left w:val="none" w:sz="0" w:space="0" w:color="auto"/>
        <w:bottom w:val="none" w:sz="0" w:space="0" w:color="auto"/>
        <w:right w:val="none" w:sz="0" w:space="0" w:color="auto"/>
      </w:divBdr>
    </w:div>
    <w:div w:id="43065115">
      <w:bodyDiv w:val="1"/>
      <w:marLeft w:val="0"/>
      <w:marRight w:val="0"/>
      <w:marTop w:val="0"/>
      <w:marBottom w:val="0"/>
      <w:divBdr>
        <w:top w:val="none" w:sz="0" w:space="0" w:color="auto"/>
        <w:left w:val="none" w:sz="0" w:space="0" w:color="auto"/>
        <w:bottom w:val="none" w:sz="0" w:space="0" w:color="auto"/>
        <w:right w:val="none" w:sz="0" w:space="0" w:color="auto"/>
      </w:divBdr>
    </w:div>
    <w:div w:id="46296691">
      <w:bodyDiv w:val="1"/>
      <w:marLeft w:val="0"/>
      <w:marRight w:val="0"/>
      <w:marTop w:val="0"/>
      <w:marBottom w:val="0"/>
      <w:divBdr>
        <w:top w:val="none" w:sz="0" w:space="0" w:color="auto"/>
        <w:left w:val="none" w:sz="0" w:space="0" w:color="auto"/>
        <w:bottom w:val="none" w:sz="0" w:space="0" w:color="auto"/>
        <w:right w:val="none" w:sz="0" w:space="0" w:color="auto"/>
      </w:divBdr>
    </w:div>
    <w:div w:id="54396804">
      <w:bodyDiv w:val="1"/>
      <w:marLeft w:val="0"/>
      <w:marRight w:val="0"/>
      <w:marTop w:val="0"/>
      <w:marBottom w:val="0"/>
      <w:divBdr>
        <w:top w:val="none" w:sz="0" w:space="0" w:color="auto"/>
        <w:left w:val="none" w:sz="0" w:space="0" w:color="auto"/>
        <w:bottom w:val="none" w:sz="0" w:space="0" w:color="auto"/>
        <w:right w:val="none" w:sz="0" w:space="0" w:color="auto"/>
      </w:divBdr>
    </w:div>
    <w:div w:id="67845623">
      <w:bodyDiv w:val="1"/>
      <w:marLeft w:val="0"/>
      <w:marRight w:val="0"/>
      <w:marTop w:val="0"/>
      <w:marBottom w:val="0"/>
      <w:divBdr>
        <w:top w:val="none" w:sz="0" w:space="0" w:color="auto"/>
        <w:left w:val="none" w:sz="0" w:space="0" w:color="auto"/>
        <w:bottom w:val="none" w:sz="0" w:space="0" w:color="auto"/>
        <w:right w:val="none" w:sz="0" w:space="0" w:color="auto"/>
      </w:divBdr>
    </w:div>
    <w:div w:id="73746344">
      <w:bodyDiv w:val="1"/>
      <w:marLeft w:val="0"/>
      <w:marRight w:val="0"/>
      <w:marTop w:val="0"/>
      <w:marBottom w:val="0"/>
      <w:divBdr>
        <w:top w:val="none" w:sz="0" w:space="0" w:color="auto"/>
        <w:left w:val="none" w:sz="0" w:space="0" w:color="auto"/>
        <w:bottom w:val="none" w:sz="0" w:space="0" w:color="auto"/>
        <w:right w:val="none" w:sz="0" w:space="0" w:color="auto"/>
      </w:divBdr>
    </w:div>
    <w:div w:id="93868572">
      <w:bodyDiv w:val="1"/>
      <w:marLeft w:val="0"/>
      <w:marRight w:val="0"/>
      <w:marTop w:val="0"/>
      <w:marBottom w:val="0"/>
      <w:divBdr>
        <w:top w:val="none" w:sz="0" w:space="0" w:color="auto"/>
        <w:left w:val="none" w:sz="0" w:space="0" w:color="auto"/>
        <w:bottom w:val="none" w:sz="0" w:space="0" w:color="auto"/>
        <w:right w:val="none" w:sz="0" w:space="0" w:color="auto"/>
      </w:divBdr>
    </w:div>
    <w:div w:id="97482252">
      <w:bodyDiv w:val="1"/>
      <w:marLeft w:val="0"/>
      <w:marRight w:val="0"/>
      <w:marTop w:val="0"/>
      <w:marBottom w:val="0"/>
      <w:divBdr>
        <w:top w:val="none" w:sz="0" w:space="0" w:color="auto"/>
        <w:left w:val="none" w:sz="0" w:space="0" w:color="auto"/>
        <w:bottom w:val="none" w:sz="0" w:space="0" w:color="auto"/>
        <w:right w:val="none" w:sz="0" w:space="0" w:color="auto"/>
      </w:divBdr>
    </w:div>
    <w:div w:id="108202020">
      <w:bodyDiv w:val="1"/>
      <w:marLeft w:val="0"/>
      <w:marRight w:val="0"/>
      <w:marTop w:val="0"/>
      <w:marBottom w:val="0"/>
      <w:divBdr>
        <w:top w:val="none" w:sz="0" w:space="0" w:color="auto"/>
        <w:left w:val="none" w:sz="0" w:space="0" w:color="auto"/>
        <w:bottom w:val="none" w:sz="0" w:space="0" w:color="auto"/>
        <w:right w:val="none" w:sz="0" w:space="0" w:color="auto"/>
      </w:divBdr>
    </w:div>
    <w:div w:id="128207257">
      <w:bodyDiv w:val="1"/>
      <w:marLeft w:val="0"/>
      <w:marRight w:val="0"/>
      <w:marTop w:val="0"/>
      <w:marBottom w:val="0"/>
      <w:divBdr>
        <w:top w:val="none" w:sz="0" w:space="0" w:color="auto"/>
        <w:left w:val="none" w:sz="0" w:space="0" w:color="auto"/>
        <w:bottom w:val="none" w:sz="0" w:space="0" w:color="auto"/>
        <w:right w:val="none" w:sz="0" w:space="0" w:color="auto"/>
      </w:divBdr>
    </w:div>
    <w:div w:id="136729696">
      <w:bodyDiv w:val="1"/>
      <w:marLeft w:val="0"/>
      <w:marRight w:val="0"/>
      <w:marTop w:val="0"/>
      <w:marBottom w:val="0"/>
      <w:divBdr>
        <w:top w:val="none" w:sz="0" w:space="0" w:color="auto"/>
        <w:left w:val="none" w:sz="0" w:space="0" w:color="auto"/>
        <w:bottom w:val="none" w:sz="0" w:space="0" w:color="auto"/>
        <w:right w:val="none" w:sz="0" w:space="0" w:color="auto"/>
      </w:divBdr>
    </w:div>
    <w:div w:id="138036470">
      <w:bodyDiv w:val="1"/>
      <w:marLeft w:val="0"/>
      <w:marRight w:val="0"/>
      <w:marTop w:val="0"/>
      <w:marBottom w:val="0"/>
      <w:divBdr>
        <w:top w:val="none" w:sz="0" w:space="0" w:color="auto"/>
        <w:left w:val="none" w:sz="0" w:space="0" w:color="auto"/>
        <w:bottom w:val="none" w:sz="0" w:space="0" w:color="auto"/>
        <w:right w:val="none" w:sz="0" w:space="0" w:color="auto"/>
      </w:divBdr>
    </w:div>
    <w:div w:id="162550914">
      <w:bodyDiv w:val="1"/>
      <w:marLeft w:val="0"/>
      <w:marRight w:val="0"/>
      <w:marTop w:val="0"/>
      <w:marBottom w:val="0"/>
      <w:divBdr>
        <w:top w:val="none" w:sz="0" w:space="0" w:color="auto"/>
        <w:left w:val="none" w:sz="0" w:space="0" w:color="auto"/>
        <w:bottom w:val="none" w:sz="0" w:space="0" w:color="auto"/>
        <w:right w:val="none" w:sz="0" w:space="0" w:color="auto"/>
      </w:divBdr>
    </w:div>
    <w:div w:id="163711978">
      <w:bodyDiv w:val="1"/>
      <w:marLeft w:val="0"/>
      <w:marRight w:val="0"/>
      <w:marTop w:val="0"/>
      <w:marBottom w:val="0"/>
      <w:divBdr>
        <w:top w:val="none" w:sz="0" w:space="0" w:color="auto"/>
        <w:left w:val="none" w:sz="0" w:space="0" w:color="auto"/>
        <w:bottom w:val="none" w:sz="0" w:space="0" w:color="auto"/>
        <w:right w:val="none" w:sz="0" w:space="0" w:color="auto"/>
      </w:divBdr>
    </w:div>
    <w:div w:id="170145019">
      <w:bodyDiv w:val="1"/>
      <w:marLeft w:val="0"/>
      <w:marRight w:val="0"/>
      <w:marTop w:val="0"/>
      <w:marBottom w:val="0"/>
      <w:divBdr>
        <w:top w:val="none" w:sz="0" w:space="0" w:color="auto"/>
        <w:left w:val="none" w:sz="0" w:space="0" w:color="auto"/>
        <w:bottom w:val="none" w:sz="0" w:space="0" w:color="auto"/>
        <w:right w:val="none" w:sz="0" w:space="0" w:color="auto"/>
      </w:divBdr>
    </w:div>
    <w:div w:id="172454972">
      <w:bodyDiv w:val="1"/>
      <w:marLeft w:val="0"/>
      <w:marRight w:val="0"/>
      <w:marTop w:val="0"/>
      <w:marBottom w:val="0"/>
      <w:divBdr>
        <w:top w:val="none" w:sz="0" w:space="0" w:color="auto"/>
        <w:left w:val="none" w:sz="0" w:space="0" w:color="auto"/>
        <w:bottom w:val="none" w:sz="0" w:space="0" w:color="auto"/>
        <w:right w:val="none" w:sz="0" w:space="0" w:color="auto"/>
      </w:divBdr>
    </w:div>
    <w:div w:id="176778333">
      <w:bodyDiv w:val="1"/>
      <w:marLeft w:val="0"/>
      <w:marRight w:val="0"/>
      <w:marTop w:val="0"/>
      <w:marBottom w:val="0"/>
      <w:divBdr>
        <w:top w:val="none" w:sz="0" w:space="0" w:color="auto"/>
        <w:left w:val="none" w:sz="0" w:space="0" w:color="auto"/>
        <w:bottom w:val="none" w:sz="0" w:space="0" w:color="auto"/>
        <w:right w:val="none" w:sz="0" w:space="0" w:color="auto"/>
      </w:divBdr>
    </w:div>
    <w:div w:id="182862711">
      <w:bodyDiv w:val="1"/>
      <w:marLeft w:val="0"/>
      <w:marRight w:val="0"/>
      <w:marTop w:val="0"/>
      <w:marBottom w:val="0"/>
      <w:divBdr>
        <w:top w:val="none" w:sz="0" w:space="0" w:color="auto"/>
        <w:left w:val="none" w:sz="0" w:space="0" w:color="auto"/>
        <w:bottom w:val="none" w:sz="0" w:space="0" w:color="auto"/>
        <w:right w:val="none" w:sz="0" w:space="0" w:color="auto"/>
      </w:divBdr>
    </w:div>
    <w:div w:id="204490222">
      <w:bodyDiv w:val="1"/>
      <w:marLeft w:val="0"/>
      <w:marRight w:val="0"/>
      <w:marTop w:val="0"/>
      <w:marBottom w:val="0"/>
      <w:divBdr>
        <w:top w:val="none" w:sz="0" w:space="0" w:color="auto"/>
        <w:left w:val="none" w:sz="0" w:space="0" w:color="auto"/>
        <w:bottom w:val="none" w:sz="0" w:space="0" w:color="auto"/>
        <w:right w:val="none" w:sz="0" w:space="0" w:color="auto"/>
      </w:divBdr>
    </w:div>
    <w:div w:id="212156564">
      <w:bodyDiv w:val="1"/>
      <w:marLeft w:val="0"/>
      <w:marRight w:val="0"/>
      <w:marTop w:val="0"/>
      <w:marBottom w:val="0"/>
      <w:divBdr>
        <w:top w:val="none" w:sz="0" w:space="0" w:color="auto"/>
        <w:left w:val="none" w:sz="0" w:space="0" w:color="auto"/>
        <w:bottom w:val="none" w:sz="0" w:space="0" w:color="auto"/>
        <w:right w:val="none" w:sz="0" w:space="0" w:color="auto"/>
      </w:divBdr>
    </w:div>
    <w:div w:id="240258969">
      <w:bodyDiv w:val="1"/>
      <w:marLeft w:val="0"/>
      <w:marRight w:val="0"/>
      <w:marTop w:val="0"/>
      <w:marBottom w:val="0"/>
      <w:divBdr>
        <w:top w:val="none" w:sz="0" w:space="0" w:color="auto"/>
        <w:left w:val="none" w:sz="0" w:space="0" w:color="auto"/>
        <w:bottom w:val="none" w:sz="0" w:space="0" w:color="auto"/>
        <w:right w:val="none" w:sz="0" w:space="0" w:color="auto"/>
      </w:divBdr>
    </w:div>
    <w:div w:id="246505741">
      <w:bodyDiv w:val="1"/>
      <w:marLeft w:val="0"/>
      <w:marRight w:val="0"/>
      <w:marTop w:val="0"/>
      <w:marBottom w:val="0"/>
      <w:divBdr>
        <w:top w:val="none" w:sz="0" w:space="0" w:color="auto"/>
        <w:left w:val="none" w:sz="0" w:space="0" w:color="auto"/>
        <w:bottom w:val="none" w:sz="0" w:space="0" w:color="auto"/>
        <w:right w:val="none" w:sz="0" w:space="0" w:color="auto"/>
      </w:divBdr>
      <w:divsChild>
        <w:div w:id="479155800">
          <w:marLeft w:val="0"/>
          <w:marRight w:val="0"/>
          <w:marTop w:val="0"/>
          <w:marBottom w:val="0"/>
          <w:divBdr>
            <w:top w:val="none" w:sz="0" w:space="0" w:color="auto"/>
            <w:left w:val="none" w:sz="0" w:space="0" w:color="auto"/>
            <w:bottom w:val="none" w:sz="0" w:space="0" w:color="auto"/>
            <w:right w:val="none" w:sz="0" w:space="0" w:color="auto"/>
          </w:divBdr>
        </w:div>
        <w:div w:id="461578526">
          <w:marLeft w:val="0"/>
          <w:marRight w:val="0"/>
          <w:marTop w:val="0"/>
          <w:marBottom w:val="0"/>
          <w:divBdr>
            <w:top w:val="none" w:sz="0" w:space="0" w:color="auto"/>
            <w:left w:val="none" w:sz="0" w:space="0" w:color="auto"/>
            <w:bottom w:val="none" w:sz="0" w:space="0" w:color="auto"/>
            <w:right w:val="none" w:sz="0" w:space="0" w:color="auto"/>
          </w:divBdr>
        </w:div>
      </w:divsChild>
    </w:div>
    <w:div w:id="246614194">
      <w:bodyDiv w:val="1"/>
      <w:marLeft w:val="0"/>
      <w:marRight w:val="0"/>
      <w:marTop w:val="0"/>
      <w:marBottom w:val="0"/>
      <w:divBdr>
        <w:top w:val="none" w:sz="0" w:space="0" w:color="auto"/>
        <w:left w:val="none" w:sz="0" w:space="0" w:color="auto"/>
        <w:bottom w:val="none" w:sz="0" w:space="0" w:color="auto"/>
        <w:right w:val="none" w:sz="0" w:space="0" w:color="auto"/>
      </w:divBdr>
    </w:div>
    <w:div w:id="246623641">
      <w:bodyDiv w:val="1"/>
      <w:marLeft w:val="0"/>
      <w:marRight w:val="0"/>
      <w:marTop w:val="0"/>
      <w:marBottom w:val="0"/>
      <w:divBdr>
        <w:top w:val="none" w:sz="0" w:space="0" w:color="auto"/>
        <w:left w:val="none" w:sz="0" w:space="0" w:color="auto"/>
        <w:bottom w:val="none" w:sz="0" w:space="0" w:color="auto"/>
        <w:right w:val="none" w:sz="0" w:space="0" w:color="auto"/>
      </w:divBdr>
    </w:div>
    <w:div w:id="255940628">
      <w:bodyDiv w:val="1"/>
      <w:marLeft w:val="0"/>
      <w:marRight w:val="0"/>
      <w:marTop w:val="0"/>
      <w:marBottom w:val="0"/>
      <w:divBdr>
        <w:top w:val="none" w:sz="0" w:space="0" w:color="auto"/>
        <w:left w:val="none" w:sz="0" w:space="0" w:color="auto"/>
        <w:bottom w:val="none" w:sz="0" w:space="0" w:color="auto"/>
        <w:right w:val="none" w:sz="0" w:space="0" w:color="auto"/>
      </w:divBdr>
    </w:div>
    <w:div w:id="259261678">
      <w:bodyDiv w:val="1"/>
      <w:marLeft w:val="0"/>
      <w:marRight w:val="0"/>
      <w:marTop w:val="0"/>
      <w:marBottom w:val="0"/>
      <w:divBdr>
        <w:top w:val="none" w:sz="0" w:space="0" w:color="auto"/>
        <w:left w:val="none" w:sz="0" w:space="0" w:color="auto"/>
        <w:bottom w:val="none" w:sz="0" w:space="0" w:color="auto"/>
        <w:right w:val="none" w:sz="0" w:space="0" w:color="auto"/>
      </w:divBdr>
    </w:div>
    <w:div w:id="283656339">
      <w:bodyDiv w:val="1"/>
      <w:marLeft w:val="0"/>
      <w:marRight w:val="0"/>
      <w:marTop w:val="0"/>
      <w:marBottom w:val="0"/>
      <w:divBdr>
        <w:top w:val="none" w:sz="0" w:space="0" w:color="auto"/>
        <w:left w:val="none" w:sz="0" w:space="0" w:color="auto"/>
        <w:bottom w:val="none" w:sz="0" w:space="0" w:color="auto"/>
        <w:right w:val="none" w:sz="0" w:space="0" w:color="auto"/>
      </w:divBdr>
    </w:div>
    <w:div w:id="297806377">
      <w:bodyDiv w:val="1"/>
      <w:marLeft w:val="0"/>
      <w:marRight w:val="0"/>
      <w:marTop w:val="0"/>
      <w:marBottom w:val="0"/>
      <w:divBdr>
        <w:top w:val="none" w:sz="0" w:space="0" w:color="auto"/>
        <w:left w:val="none" w:sz="0" w:space="0" w:color="auto"/>
        <w:bottom w:val="none" w:sz="0" w:space="0" w:color="auto"/>
        <w:right w:val="none" w:sz="0" w:space="0" w:color="auto"/>
      </w:divBdr>
    </w:div>
    <w:div w:id="328675478">
      <w:bodyDiv w:val="1"/>
      <w:marLeft w:val="0"/>
      <w:marRight w:val="0"/>
      <w:marTop w:val="0"/>
      <w:marBottom w:val="0"/>
      <w:divBdr>
        <w:top w:val="none" w:sz="0" w:space="0" w:color="auto"/>
        <w:left w:val="none" w:sz="0" w:space="0" w:color="auto"/>
        <w:bottom w:val="none" w:sz="0" w:space="0" w:color="auto"/>
        <w:right w:val="none" w:sz="0" w:space="0" w:color="auto"/>
      </w:divBdr>
    </w:div>
    <w:div w:id="333148741">
      <w:bodyDiv w:val="1"/>
      <w:marLeft w:val="0"/>
      <w:marRight w:val="0"/>
      <w:marTop w:val="0"/>
      <w:marBottom w:val="0"/>
      <w:divBdr>
        <w:top w:val="none" w:sz="0" w:space="0" w:color="auto"/>
        <w:left w:val="none" w:sz="0" w:space="0" w:color="auto"/>
        <w:bottom w:val="none" w:sz="0" w:space="0" w:color="auto"/>
        <w:right w:val="none" w:sz="0" w:space="0" w:color="auto"/>
      </w:divBdr>
    </w:div>
    <w:div w:id="338967156">
      <w:bodyDiv w:val="1"/>
      <w:marLeft w:val="0"/>
      <w:marRight w:val="0"/>
      <w:marTop w:val="0"/>
      <w:marBottom w:val="0"/>
      <w:divBdr>
        <w:top w:val="none" w:sz="0" w:space="0" w:color="auto"/>
        <w:left w:val="none" w:sz="0" w:space="0" w:color="auto"/>
        <w:bottom w:val="none" w:sz="0" w:space="0" w:color="auto"/>
        <w:right w:val="none" w:sz="0" w:space="0" w:color="auto"/>
      </w:divBdr>
    </w:div>
    <w:div w:id="341862041">
      <w:bodyDiv w:val="1"/>
      <w:marLeft w:val="0"/>
      <w:marRight w:val="0"/>
      <w:marTop w:val="0"/>
      <w:marBottom w:val="0"/>
      <w:divBdr>
        <w:top w:val="none" w:sz="0" w:space="0" w:color="auto"/>
        <w:left w:val="none" w:sz="0" w:space="0" w:color="auto"/>
        <w:bottom w:val="none" w:sz="0" w:space="0" w:color="auto"/>
        <w:right w:val="none" w:sz="0" w:space="0" w:color="auto"/>
      </w:divBdr>
    </w:div>
    <w:div w:id="378290130">
      <w:bodyDiv w:val="1"/>
      <w:marLeft w:val="0"/>
      <w:marRight w:val="0"/>
      <w:marTop w:val="0"/>
      <w:marBottom w:val="0"/>
      <w:divBdr>
        <w:top w:val="none" w:sz="0" w:space="0" w:color="auto"/>
        <w:left w:val="none" w:sz="0" w:space="0" w:color="auto"/>
        <w:bottom w:val="none" w:sz="0" w:space="0" w:color="auto"/>
        <w:right w:val="none" w:sz="0" w:space="0" w:color="auto"/>
      </w:divBdr>
    </w:div>
    <w:div w:id="403836614">
      <w:bodyDiv w:val="1"/>
      <w:marLeft w:val="0"/>
      <w:marRight w:val="0"/>
      <w:marTop w:val="0"/>
      <w:marBottom w:val="0"/>
      <w:divBdr>
        <w:top w:val="none" w:sz="0" w:space="0" w:color="auto"/>
        <w:left w:val="none" w:sz="0" w:space="0" w:color="auto"/>
        <w:bottom w:val="none" w:sz="0" w:space="0" w:color="auto"/>
        <w:right w:val="none" w:sz="0" w:space="0" w:color="auto"/>
      </w:divBdr>
    </w:div>
    <w:div w:id="407583592">
      <w:bodyDiv w:val="1"/>
      <w:marLeft w:val="0"/>
      <w:marRight w:val="0"/>
      <w:marTop w:val="0"/>
      <w:marBottom w:val="0"/>
      <w:divBdr>
        <w:top w:val="none" w:sz="0" w:space="0" w:color="auto"/>
        <w:left w:val="none" w:sz="0" w:space="0" w:color="auto"/>
        <w:bottom w:val="none" w:sz="0" w:space="0" w:color="auto"/>
        <w:right w:val="none" w:sz="0" w:space="0" w:color="auto"/>
      </w:divBdr>
    </w:div>
    <w:div w:id="414285282">
      <w:bodyDiv w:val="1"/>
      <w:marLeft w:val="0"/>
      <w:marRight w:val="0"/>
      <w:marTop w:val="0"/>
      <w:marBottom w:val="0"/>
      <w:divBdr>
        <w:top w:val="none" w:sz="0" w:space="0" w:color="auto"/>
        <w:left w:val="none" w:sz="0" w:space="0" w:color="auto"/>
        <w:bottom w:val="none" w:sz="0" w:space="0" w:color="auto"/>
        <w:right w:val="none" w:sz="0" w:space="0" w:color="auto"/>
      </w:divBdr>
    </w:div>
    <w:div w:id="417137839">
      <w:bodyDiv w:val="1"/>
      <w:marLeft w:val="0"/>
      <w:marRight w:val="0"/>
      <w:marTop w:val="0"/>
      <w:marBottom w:val="0"/>
      <w:divBdr>
        <w:top w:val="none" w:sz="0" w:space="0" w:color="auto"/>
        <w:left w:val="none" w:sz="0" w:space="0" w:color="auto"/>
        <w:bottom w:val="none" w:sz="0" w:space="0" w:color="auto"/>
        <w:right w:val="none" w:sz="0" w:space="0" w:color="auto"/>
      </w:divBdr>
    </w:div>
    <w:div w:id="444735780">
      <w:bodyDiv w:val="1"/>
      <w:marLeft w:val="0"/>
      <w:marRight w:val="0"/>
      <w:marTop w:val="0"/>
      <w:marBottom w:val="0"/>
      <w:divBdr>
        <w:top w:val="none" w:sz="0" w:space="0" w:color="auto"/>
        <w:left w:val="none" w:sz="0" w:space="0" w:color="auto"/>
        <w:bottom w:val="none" w:sz="0" w:space="0" w:color="auto"/>
        <w:right w:val="none" w:sz="0" w:space="0" w:color="auto"/>
      </w:divBdr>
    </w:div>
    <w:div w:id="459958617">
      <w:bodyDiv w:val="1"/>
      <w:marLeft w:val="0"/>
      <w:marRight w:val="0"/>
      <w:marTop w:val="0"/>
      <w:marBottom w:val="0"/>
      <w:divBdr>
        <w:top w:val="none" w:sz="0" w:space="0" w:color="auto"/>
        <w:left w:val="none" w:sz="0" w:space="0" w:color="auto"/>
        <w:bottom w:val="none" w:sz="0" w:space="0" w:color="auto"/>
        <w:right w:val="none" w:sz="0" w:space="0" w:color="auto"/>
      </w:divBdr>
    </w:div>
    <w:div w:id="489716145">
      <w:bodyDiv w:val="1"/>
      <w:marLeft w:val="0"/>
      <w:marRight w:val="0"/>
      <w:marTop w:val="0"/>
      <w:marBottom w:val="0"/>
      <w:divBdr>
        <w:top w:val="none" w:sz="0" w:space="0" w:color="auto"/>
        <w:left w:val="none" w:sz="0" w:space="0" w:color="auto"/>
        <w:bottom w:val="none" w:sz="0" w:space="0" w:color="auto"/>
        <w:right w:val="none" w:sz="0" w:space="0" w:color="auto"/>
      </w:divBdr>
    </w:div>
    <w:div w:id="504974178">
      <w:bodyDiv w:val="1"/>
      <w:marLeft w:val="0"/>
      <w:marRight w:val="0"/>
      <w:marTop w:val="0"/>
      <w:marBottom w:val="0"/>
      <w:divBdr>
        <w:top w:val="none" w:sz="0" w:space="0" w:color="auto"/>
        <w:left w:val="none" w:sz="0" w:space="0" w:color="auto"/>
        <w:bottom w:val="none" w:sz="0" w:space="0" w:color="auto"/>
        <w:right w:val="none" w:sz="0" w:space="0" w:color="auto"/>
      </w:divBdr>
    </w:div>
    <w:div w:id="517160634">
      <w:bodyDiv w:val="1"/>
      <w:marLeft w:val="0"/>
      <w:marRight w:val="0"/>
      <w:marTop w:val="0"/>
      <w:marBottom w:val="0"/>
      <w:divBdr>
        <w:top w:val="none" w:sz="0" w:space="0" w:color="auto"/>
        <w:left w:val="none" w:sz="0" w:space="0" w:color="auto"/>
        <w:bottom w:val="none" w:sz="0" w:space="0" w:color="auto"/>
        <w:right w:val="none" w:sz="0" w:space="0" w:color="auto"/>
      </w:divBdr>
    </w:div>
    <w:div w:id="529074659">
      <w:bodyDiv w:val="1"/>
      <w:marLeft w:val="0"/>
      <w:marRight w:val="0"/>
      <w:marTop w:val="0"/>
      <w:marBottom w:val="0"/>
      <w:divBdr>
        <w:top w:val="none" w:sz="0" w:space="0" w:color="auto"/>
        <w:left w:val="none" w:sz="0" w:space="0" w:color="auto"/>
        <w:bottom w:val="none" w:sz="0" w:space="0" w:color="auto"/>
        <w:right w:val="none" w:sz="0" w:space="0" w:color="auto"/>
      </w:divBdr>
    </w:div>
    <w:div w:id="534998541">
      <w:bodyDiv w:val="1"/>
      <w:marLeft w:val="0"/>
      <w:marRight w:val="0"/>
      <w:marTop w:val="0"/>
      <w:marBottom w:val="0"/>
      <w:divBdr>
        <w:top w:val="none" w:sz="0" w:space="0" w:color="auto"/>
        <w:left w:val="none" w:sz="0" w:space="0" w:color="auto"/>
        <w:bottom w:val="none" w:sz="0" w:space="0" w:color="auto"/>
        <w:right w:val="none" w:sz="0" w:space="0" w:color="auto"/>
      </w:divBdr>
    </w:div>
    <w:div w:id="571044369">
      <w:bodyDiv w:val="1"/>
      <w:marLeft w:val="0"/>
      <w:marRight w:val="0"/>
      <w:marTop w:val="0"/>
      <w:marBottom w:val="0"/>
      <w:divBdr>
        <w:top w:val="none" w:sz="0" w:space="0" w:color="auto"/>
        <w:left w:val="none" w:sz="0" w:space="0" w:color="auto"/>
        <w:bottom w:val="none" w:sz="0" w:space="0" w:color="auto"/>
        <w:right w:val="none" w:sz="0" w:space="0" w:color="auto"/>
      </w:divBdr>
    </w:div>
    <w:div w:id="584345279">
      <w:bodyDiv w:val="1"/>
      <w:marLeft w:val="0"/>
      <w:marRight w:val="0"/>
      <w:marTop w:val="0"/>
      <w:marBottom w:val="0"/>
      <w:divBdr>
        <w:top w:val="none" w:sz="0" w:space="0" w:color="auto"/>
        <w:left w:val="none" w:sz="0" w:space="0" w:color="auto"/>
        <w:bottom w:val="none" w:sz="0" w:space="0" w:color="auto"/>
        <w:right w:val="none" w:sz="0" w:space="0" w:color="auto"/>
      </w:divBdr>
    </w:div>
    <w:div w:id="610474360">
      <w:bodyDiv w:val="1"/>
      <w:marLeft w:val="0"/>
      <w:marRight w:val="0"/>
      <w:marTop w:val="0"/>
      <w:marBottom w:val="0"/>
      <w:divBdr>
        <w:top w:val="none" w:sz="0" w:space="0" w:color="auto"/>
        <w:left w:val="none" w:sz="0" w:space="0" w:color="auto"/>
        <w:bottom w:val="none" w:sz="0" w:space="0" w:color="auto"/>
        <w:right w:val="none" w:sz="0" w:space="0" w:color="auto"/>
      </w:divBdr>
    </w:div>
    <w:div w:id="615329437">
      <w:bodyDiv w:val="1"/>
      <w:marLeft w:val="0"/>
      <w:marRight w:val="0"/>
      <w:marTop w:val="0"/>
      <w:marBottom w:val="0"/>
      <w:divBdr>
        <w:top w:val="none" w:sz="0" w:space="0" w:color="auto"/>
        <w:left w:val="none" w:sz="0" w:space="0" w:color="auto"/>
        <w:bottom w:val="none" w:sz="0" w:space="0" w:color="auto"/>
        <w:right w:val="none" w:sz="0" w:space="0" w:color="auto"/>
      </w:divBdr>
    </w:div>
    <w:div w:id="627321476">
      <w:bodyDiv w:val="1"/>
      <w:marLeft w:val="0"/>
      <w:marRight w:val="0"/>
      <w:marTop w:val="0"/>
      <w:marBottom w:val="0"/>
      <w:divBdr>
        <w:top w:val="none" w:sz="0" w:space="0" w:color="auto"/>
        <w:left w:val="none" w:sz="0" w:space="0" w:color="auto"/>
        <w:bottom w:val="none" w:sz="0" w:space="0" w:color="auto"/>
        <w:right w:val="none" w:sz="0" w:space="0" w:color="auto"/>
      </w:divBdr>
    </w:div>
    <w:div w:id="629941930">
      <w:bodyDiv w:val="1"/>
      <w:marLeft w:val="0"/>
      <w:marRight w:val="0"/>
      <w:marTop w:val="0"/>
      <w:marBottom w:val="0"/>
      <w:divBdr>
        <w:top w:val="none" w:sz="0" w:space="0" w:color="auto"/>
        <w:left w:val="none" w:sz="0" w:space="0" w:color="auto"/>
        <w:bottom w:val="none" w:sz="0" w:space="0" w:color="auto"/>
        <w:right w:val="none" w:sz="0" w:space="0" w:color="auto"/>
      </w:divBdr>
    </w:div>
    <w:div w:id="658460343">
      <w:bodyDiv w:val="1"/>
      <w:marLeft w:val="0"/>
      <w:marRight w:val="0"/>
      <w:marTop w:val="0"/>
      <w:marBottom w:val="0"/>
      <w:divBdr>
        <w:top w:val="none" w:sz="0" w:space="0" w:color="auto"/>
        <w:left w:val="none" w:sz="0" w:space="0" w:color="auto"/>
        <w:bottom w:val="none" w:sz="0" w:space="0" w:color="auto"/>
        <w:right w:val="none" w:sz="0" w:space="0" w:color="auto"/>
      </w:divBdr>
    </w:div>
    <w:div w:id="666205871">
      <w:bodyDiv w:val="1"/>
      <w:marLeft w:val="0"/>
      <w:marRight w:val="0"/>
      <w:marTop w:val="0"/>
      <w:marBottom w:val="0"/>
      <w:divBdr>
        <w:top w:val="none" w:sz="0" w:space="0" w:color="auto"/>
        <w:left w:val="none" w:sz="0" w:space="0" w:color="auto"/>
        <w:bottom w:val="none" w:sz="0" w:space="0" w:color="auto"/>
        <w:right w:val="none" w:sz="0" w:space="0" w:color="auto"/>
      </w:divBdr>
    </w:div>
    <w:div w:id="690837600">
      <w:bodyDiv w:val="1"/>
      <w:marLeft w:val="0"/>
      <w:marRight w:val="0"/>
      <w:marTop w:val="0"/>
      <w:marBottom w:val="0"/>
      <w:divBdr>
        <w:top w:val="none" w:sz="0" w:space="0" w:color="auto"/>
        <w:left w:val="none" w:sz="0" w:space="0" w:color="auto"/>
        <w:bottom w:val="none" w:sz="0" w:space="0" w:color="auto"/>
        <w:right w:val="none" w:sz="0" w:space="0" w:color="auto"/>
      </w:divBdr>
    </w:div>
    <w:div w:id="702293419">
      <w:bodyDiv w:val="1"/>
      <w:marLeft w:val="0"/>
      <w:marRight w:val="0"/>
      <w:marTop w:val="0"/>
      <w:marBottom w:val="0"/>
      <w:divBdr>
        <w:top w:val="none" w:sz="0" w:space="0" w:color="auto"/>
        <w:left w:val="none" w:sz="0" w:space="0" w:color="auto"/>
        <w:bottom w:val="none" w:sz="0" w:space="0" w:color="auto"/>
        <w:right w:val="none" w:sz="0" w:space="0" w:color="auto"/>
      </w:divBdr>
    </w:div>
    <w:div w:id="725301386">
      <w:bodyDiv w:val="1"/>
      <w:marLeft w:val="0"/>
      <w:marRight w:val="0"/>
      <w:marTop w:val="0"/>
      <w:marBottom w:val="0"/>
      <w:divBdr>
        <w:top w:val="none" w:sz="0" w:space="0" w:color="auto"/>
        <w:left w:val="none" w:sz="0" w:space="0" w:color="auto"/>
        <w:bottom w:val="none" w:sz="0" w:space="0" w:color="auto"/>
        <w:right w:val="none" w:sz="0" w:space="0" w:color="auto"/>
      </w:divBdr>
    </w:div>
    <w:div w:id="737750856">
      <w:bodyDiv w:val="1"/>
      <w:marLeft w:val="0"/>
      <w:marRight w:val="0"/>
      <w:marTop w:val="0"/>
      <w:marBottom w:val="0"/>
      <w:divBdr>
        <w:top w:val="none" w:sz="0" w:space="0" w:color="auto"/>
        <w:left w:val="none" w:sz="0" w:space="0" w:color="auto"/>
        <w:bottom w:val="none" w:sz="0" w:space="0" w:color="auto"/>
        <w:right w:val="none" w:sz="0" w:space="0" w:color="auto"/>
      </w:divBdr>
    </w:div>
    <w:div w:id="739058410">
      <w:bodyDiv w:val="1"/>
      <w:marLeft w:val="0"/>
      <w:marRight w:val="0"/>
      <w:marTop w:val="0"/>
      <w:marBottom w:val="0"/>
      <w:divBdr>
        <w:top w:val="none" w:sz="0" w:space="0" w:color="auto"/>
        <w:left w:val="none" w:sz="0" w:space="0" w:color="auto"/>
        <w:bottom w:val="none" w:sz="0" w:space="0" w:color="auto"/>
        <w:right w:val="none" w:sz="0" w:space="0" w:color="auto"/>
      </w:divBdr>
    </w:div>
    <w:div w:id="744379750">
      <w:bodyDiv w:val="1"/>
      <w:marLeft w:val="0"/>
      <w:marRight w:val="0"/>
      <w:marTop w:val="0"/>
      <w:marBottom w:val="0"/>
      <w:divBdr>
        <w:top w:val="none" w:sz="0" w:space="0" w:color="auto"/>
        <w:left w:val="none" w:sz="0" w:space="0" w:color="auto"/>
        <w:bottom w:val="none" w:sz="0" w:space="0" w:color="auto"/>
        <w:right w:val="none" w:sz="0" w:space="0" w:color="auto"/>
      </w:divBdr>
    </w:div>
    <w:div w:id="750204439">
      <w:bodyDiv w:val="1"/>
      <w:marLeft w:val="0"/>
      <w:marRight w:val="0"/>
      <w:marTop w:val="0"/>
      <w:marBottom w:val="0"/>
      <w:divBdr>
        <w:top w:val="none" w:sz="0" w:space="0" w:color="auto"/>
        <w:left w:val="none" w:sz="0" w:space="0" w:color="auto"/>
        <w:bottom w:val="none" w:sz="0" w:space="0" w:color="auto"/>
        <w:right w:val="none" w:sz="0" w:space="0" w:color="auto"/>
      </w:divBdr>
    </w:div>
    <w:div w:id="759449915">
      <w:bodyDiv w:val="1"/>
      <w:marLeft w:val="0"/>
      <w:marRight w:val="0"/>
      <w:marTop w:val="0"/>
      <w:marBottom w:val="0"/>
      <w:divBdr>
        <w:top w:val="none" w:sz="0" w:space="0" w:color="auto"/>
        <w:left w:val="none" w:sz="0" w:space="0" w:color="auto"/>
        <w:bottom w:val="none" w:sz="0" w:space="0" w:color="auto"/>
        <w:right w:val="none" w:sz="0" w:space="0" w:color="auto"/>
      </w:divBdr>
    </w:div>
    <w:div w:id="771827517">
      <w:bodyDiv w:val="1"/>
      <w:marLeft w:val="0"/>
      <w:marRight w:val="0"/>
      <w:marTop w:val="0"/>
      <w:marBottom w:val="0"/>
      <w:divBdr>
        <w:top w:val="none" w:sz="0" w:space="0" w:color="auto"/>
        <w:left w:val="none" w:sz="0" w:space="0" w:color="auto"/>
        <w:bottom w:val="none" w:sz="0" w:space="0" w:color="auto"/>
        <w:right w:val="none" w:sz="0" w:space="0" w:color="auto"/>
      </w:divBdr>
    </w:div>
    <w:div w:id="775294422">
      <w:bodyDiv w:val="1"/>
      <w:marLeft w:val="0"/>
      <w:marRight w:val="0"/>
      <w:marTop w:val="0"/>
      <w:marBottom w:val="0"/>
      <w:divBdr>
        <w:top w:val="none" w:sz="0" w:space="0" w:color="auto"/>
        <w:left w:val="none" w:sz="0" w:space="0" w:color="auto"/>
        <w:bottom w:val="none" w:sz="0" w:space="0" w:color="auto"/>
        <w:right w:val="none" w:sz="0" w:space="0" w:color="auto"/>
      </w:divBdr>
    </w:div>
    <w:div w:id="784080129">
      <w:bodyDiv w:val="1"/>
      <w:marLeft w:val="0"/>
      <w:marRight w:val="0"/>
      <w:marTop w:val="0"/>
      <w:marBottom w:val="0"/>
      <w:divBdr>
        <w:top w:val="none" w:sz="0" w:space="0" w:color="auto"/>
        <w:left w:val="none" w:sz="0" w:space="0" w:color="auto"/>
        <w:bottom w:val="none" w:sz="0" w:space="0" w:color="auto"/>
        <w:right w:val="none" w:sz="0" w:space="0" w:color="auto"/>
      </w:divBdr>
      <w:divsChild>
        <w:div w:id="104540550">
          <w:marLeft w:val="0"/>
          <w:marRight w:val="0"/>
          <w:marTop w:val="0"/>
          <w:marBottom w:val="0"/>
          <w:divBdr>
            <w:top w:val="none" w:sz="0" w:space="0" w:color="auto"/>
            <w:left w:val="none" w:sz="0" w:space="0" w:color="auto"/>
            <w:bottom w:val="none" w:sz="0" w:space="0" w:color="auto"/>
            <w:right w:val="none" w:sz="0" w:space="0" w:color="auto"/>
          </w:divBdr>
        </w:div>
        <w:div w:id="530991517">
          <w:marLeft w:val="0"/>
          <w:marRight w:val="0"/>
          <w:marTop w:val="0"/>
          <w:marBottom w:val="0"/>
          <w:divBdr>
            <w:top w:val="none" w:sz="0" w:space="0" w:color="auto"/>
            <w:left w:val="none" w:sz="0" w:space="0" w:color="auto"/>
            <w:bottom w:val="none" w:sz="0" w:space="0" w:color="auto"/>
            <w:right w:val="none" w:sz="0" w:space="0" w:color="auto"/>
          </w:divBdr>
        </w:div>
      </w:divsChild>
    </w:div>
    <w:div w:id="785390366">
      <w:bodyDiv w:val="1"/>
      <w:marLeft w:val="0"/>
      <w:marRight w:val="0"/>
      <w:marTop w:val="0"/>
      <w:marBottom w:val="0"/>
      <w:divBdr>
        <w:top w:val="none" w:sz="0" w:space="0" w:color="auto"/>
        <w:left w:val="none" w:sz="0" w:space="0" w:color="auto"/>
        <w:bottom w:val="none" w:sz="0" w:space="0" w:color="auto"/>
        <w:right w:val="none" w:sz="0" w:space="0" w:color="auto"/>
      </w:divBdr>
    </w:div>
    <w:div w:id="817113175">
      <w:bodyDiv w:val="1"/>
      <w:marLeft w:val="0"/>
      <w:marRight w:val="0"/>
      <w:marTop w:val="0"/>
      <w:marBottom w:val="0"/>
      <w:divBdr>
        <w:top w:val="none" w:sz="0" w:space="0" w:color="auto"/>
        <w:left w:val="none" w:sz="0" w:space="0" w:color="auto"/>
        <w:bottom w:val="none" w:sz="0" w:space="0" w:color="auto"/>
        <w:right w:val="none" w:sz="0" w:space="0" w:color="auto"/>
      </w:divBdr>
    </w:div>
    <w:div w:id="824980016">
      <w:bodyDiv w:val="1"/>
      <w:marLeft w:val="0"/>
      <w:marRight w:val="0"/>
      <w:marTop w:val="0"/>
      <w:marBottom w:val="0"/>
      <w:divBdr>
        <w:top w:val="none" w:sz="0" w:space="0" w:color="auto"/>
        <w:left w:val="none" w:sz="0" w:space="0" w:color="auto"/>
        <w:bottom w:val="none" w:sz="0" w:space="0" w:color="auto"/>
        <w:right w:val="none" w:sz="0" w:space="0" w:color="auto"/>
      </w:divBdr>
    </w:div>
    <w:div w:id="825896496">
      <w:bodyDiv w:val="1"/>
      <w:marLeft w:val="0"/>
      <w:marRight w:val="0"/>
      <w:marTop w:val="0"/>
      <w:marBottom w:val="0"/>
      <w:divBdr>
        <w:top w:val="none" w:sz="0" w:space="0" w:color="auto"/>
        <w:left w:val="none" w:sz="0" w:space="0" w:color="auto"/>
        <w:bottom w:val="none" w:sz="0" w:space="0" w:color="auto"/>
        <w:right w:val="none" w:sz="0" w:space="0" w:color="auto"/>
      </w:divBdr>
    </w:div>
    <w:div w:id="847911059">
      <w:bodyDiv w:val="1"/>
      <w:marLeft w:val="0"/>
      <w:marRight w:val="0"/>
      <w:marTop w:val="0"/>
      <w:marBottom w:val="0"/>
      <w:divBdr>
        <w:top w:val="none" w:sz="0" w:space="0" w:color="auto"/>
        <w:left w:val="none" w:sz="0" w:space="0" w:color="auto"/>
        <w:bottom w:val="none" w:sz="0" w:space="0" w:color="auto"/>
        <w:right w:val="none" w:sz="0" w:space="0" w:color="auto"/>
      </w:divBdr>
    </w:div>
    <w:div w:id="850338678">
      <w:bodyDiv w:val="1"/>
      <w:marLeft w:val="0"/>
      <w:marRight w:val="0"/>
      <w:marTop w:val="0"/>
      <w:marBottom w:val="0"/>
      <w:divBdr>
        <w:top w:val="none" w:sz="0" w:space="0" w:color="auto"/>
        <w:left w:val="none" w:sz="0" w:space="0" w:color="auto"/>
        <w:bottom w:val="none" w:sz="0" w:space="0" w:color="auto"/>
        <w:right w:val="none" w:sz="0" w:space="0" w:color="auto"/>
      </w:divBdr>
    </w:div>
    <w:div w:id="860554416">
      <w:bodyDiv w:val="1"/>
      <w:marLeft w:val="0"/>
      <w:marRight w:val="0"/>
      <w:marTop w:val="0"/>
      <w:marBottom w:val="0"/>
      <w:divBdr>
        <w:top w:val="none" w:sz="0" w:space="0" w:color="auto"/>
        <w:left w:val="none" w:sz="0" w:space="0" w:color="auto"/>
        <w:bottom w:val="none" w:sz="0" w:space="0" w:color="auto"/>
        <w:right w:val="none" w:sz="0" w:space="0" w:color="auto"/>
      </w:divBdr>
    </w:div>
    <w:div w:id="912157409">
      <w:bodyDiv w:val="1"/>
      <w:marLeft w:val="0"/>
      <w:marRight w:val="0"/>
      <w:marTop w:val="0"/>
      <w:marBottom w:val="0"/>
      <w:divBdr>
        <w:top w:val="none" w:sz="0" w:space="0" w:color="auto"/>
        <w:left w:val="none" w:sz="0" w:space="0" w:color="auto"/>
        <w:bottom w:val="none" w:sz="0" w:space="0" w:color="auto"/>
        <w:right w:val="none" w:sz="0" w:space="0" w:color="auto"/>
      </w:divBdr>
    </w:div>
    <w:div w:id="912157460">
      <w:bodyDiv w:val="1"/>
      <w:marLeft w:val="0"/>
      <w:marRight w:val="0"/>
      <w:marTop w:val="0"/>
      <w:marBottom w:val="0"/>
      <w:divBdr>
        <w:top w:val="none" w:sz="0" w:space="0" w:color="auto"/>
        <w:left w:val="none" w:sz="0" w:space="0" w:color="auto"/>
        <w:bottom w:val="none" w:sz="0" w:space="0" w:color="auto"/>
        <w:right w:val="none" w:sz="0" w:space="0" w:color="auto"/>
      </w:divBdr>
    </w:div>
    <w:div w:id="919753385">
      <w:bodyDiv w:val="1"/>
      <w:marLeft w:val="0"/>
      <w:marRight w:val="0"/>
      <w:marTop w:val="0"/>
      <w:marBottom w:val="0"/>
      <w:divBdr>
        <w:top w:val="none" w:sz="0" w:space="0" w:color="auto"/>
        <w:left w:val="none" w:sz="0" w:space="0" w:color="auto"/>
        <w:bottom w:val="none" w:sz="0" w:space="0" w:color="auto"/>
        <w:right w:val="none" w:sz="0" w:space="0" w:color="auto"/>
      </w:divBdr>
    </w:div>
    <w:div w:id="927495150">
      <w:bodyDiv w:val="1"/>
      <w:marLeft w:val="0"/>
      <w:marRight w:val="0"/>
      <w:marTop w:val="0"/>
      <w:marBottom w:val="0"/>
      <w:divBdr>
        <w:top w:val="none" w:sz="0" w:space="0" w:color="auto"/>
        <w:left w:val="none" w:sz="0" w:space="0" w:color="auto"/>
        <w:bottom w:val="none" w:sz="0" w:space="0" w:color="auto"/>
        <w:right w:val="none" w:sz="0" w:space="0" w:color="auto"/>
      </w:divBdr>
    </w:div>
    <w:div w:id="936594697">
      <w:bodyDiv w:val="1"/>
      <w:marLeft w:val="0"/>
      <w:marRight w:val="0"/>
      <w:marTop w:val="0"/>
      <w:marBottom w:val="0"/>
      <w:divBdr>
        <w:top w:val="none" w:sz="0" w:space="0" w:color="auto"/>
        <w:left w:val="none" w:sz="0" w:space="0" w:color="auto"/>
        <w:bottom w:val="none" w:sz="0" w:space="0" w:color="auto"/>
        <w:right w:val="none" w:sz="0" w:space="0" w:color="auto"/>
      </w:divBdr>
    </w:div>
    <w:div w:id="945700805">
      <w:bodyDiv w:val="1"/>
      <w:marLeft w:val="0"/>
      <w:marRight w:val="0"/>
      <w:marTop w:val="0"/>
      <w:marBottom w:val="0"/>
      <w:divBdr>
        <w:top w:val="none" w:sz="0" w:space="0" w:color="auto"/>
        <w:left w:val="none" w:sz="0" w:space="0" w:color="auto"/>
        <w:bottom w:val="none" w:sz="0" w:space="0" w:color="auto"/>
        <w:right w:val="none" w:sz="0" w:space="0" w:color="auto"/>
      </w:divBdr>
    </w:div>
    <w:div w:id="968320454">
      <w:bodyDiv w:val="1"/>
      <w:marLeft w:val="0"/>
      <w:marRight w:val="0"/>
      <w:marTop w:val="0"/>
      <w:marBottom w:val="0"/>
      <w:divBdr>
        <w:top w:val="none" w:sz="0" w:space="0" w:color="auto"/>
        <w:left w:val="none" w:sz="0" w:space="0" w:color="auto"/>
        <w:bottom w:val="none" w:sz="0" w:space="0" w:color="auto"/>
        <w:right w:val="none" w:sz="0" w:space="0" w:color="auto"/>
      </w:divBdr>
    </w:div>
    <w:div w:id="968632911">
      <w:bodyDiv w:val="1"/>
      <w:marLeft w:val="0"/>
      <w:marRight w:val="0"/>
      <w:marTop w:val="0"/>
      <w:marBottom w:val="0"/>
      <w:divBdr>
        <w:top w:val="none" w:sz="0" w:space="0" w:color="auto"/>
        <w:left w:val="none" w:sz="0" w:space="0" w:color="auto"/>
        <w:bottom w:val="none" w:sz="0" w:space="0" w:color="auto"/>
        <w:right w:val="none" w:sz="0" w:space="0" w:color="auto"/>
      </w:divBdr>
    </w:div>
    <w:div w:id="969166371">
      <w:bodyDiv w:val="1"/>
      <w:marLeft w:val="0"/>
      <w:marRight w:val="0"/>
      <w:marTop w:val="0"/>
      <w:marBottom w:val="0"/>
      <w:divBdr>
        <w:top w:val="none" w:sz="0" w:space="0" w:color="auto"/>
        <w:left w:val="none" w:sz="0" w:space="0" w:color="auto"/>
        <w:bottom w:val="none" w:sz="0" w:space="0" w:color="auto"/>
        <w:right w:val="none" w:sz="0" w:space="0" w:color="auto"/>
      </w:divBdr>
    </w:div>
    <w:div w:id="994532762">
      <w:bodyDiv w:val="1"/>
      <w:marLeft w:val="0"/>
      <w:marRight w:val="0"/>
      <w:marTop w:val="0"/>
      <w:marBottom w:val="0"/>
      <w:divBdr>
        <w:top w:val="none" w:sz="0" w:space="0" w:color="auto"/>
        <w:left w:val="none" w:sz="0" w:space="0" w:color="auto"/>
        <w:bottom w:val="none" w:sz="0" w:space="0" w:color="auto"/>
        <w:right w:val="none" w:sz="0" w:space="0" w:color="auto"/>
      </w:divBdr>
    </w:div>
    <w:div w:id="995189026">
      <w:bodyDiv w:val="1"/>
      <w:marLeft w:val="0"/>
      <w:marRight w:val="0"/>
      <w:marTop w:val="0"/>
      <w:marBottom w:val="0"/>
      <w:divBdr>
        <w:top w:val="none" w:sz="0" w:space="0" w:color="auto"/>
        <w:left w:val="none" w:sz="0" w:space="0" w:color="auto"/>
        <w:bottom w:val="none" w:sz="0" w:space="0" w:color="auto"/>
        <w:right w:val="none" w:sz="0" w:space="0" w:color="auto"/>
      </w:divBdr>
    </w:div>
    <w:div w:id="1000349327">
      <w:bodyDiv w:val="1"/>
      <w:marLeft w:val="0"/>
      <w:marRight w:val="0"/>
      <w:marTop w:val="0"/>
      <w:marBottom w:val="0"/>
      <w:divBdr>
        <w:top w:val="none" w:sz="0" w:space="0" w:color="auto"/>
        <w:left w:val="none" w:sz="0" w:space="0" w:color="auto"/>
        <w:bottom w:val="none" w:sz="0" w:space="0" w:color="auto"/>
        <w:right w:val="none" w:sz="0" w:space="0" w:color="auto"/>
      </w:divBdr>
    </w:div>
    <w:div w:id="1017578747">
      <w:bodyDiv w:val="1"/>
      <w:marLeft w:val="0"/>
      <w:marRight w:val="0"/>
      <w:marTop w:val="0"/>
      <w:marBottom w:val="0"/>
      <w:divBdr>
        <w:top w:val="none" w:sz="0" w:space="0" w:color="auto"/>
        <w:left w:val="none" w:sz="0" w:space="0" w:color="auto"/>
        <w:bottom w:val="none" w:sz="0" w:space="0" w:color="auto"/>
        <w:right w:val="none" w:sz="0" w:space="0" w:color="auto"/>
      </w:divBdr>
    </w:div>
    <w:div w:id="1028726358">
      <w:bodyDiv w:val="1"/>
      <w:marLeft w:val="0"/>
      <w:marRight w:val="0"/>
      <w:marTop w:val="0"/>
      <w:marBottom w:val="0"/>
      <w:divBdr>
        <w:top w:val="none" w:sz="0" w:space="0" w:color="auto"/>
        <w:left w:val="none" w:sz="0" w:space="0" w:color="auto"/>
        <w:bottom w:val="none" w:sz="0" w:space="0" w:color="auto"/>
        <w:right w:val="none" w:sz="0" w:space="0" w:color="auto"/>
      </w:divBdr>
    </w:div>
    <w:div w:id="1034770271">
      <w:bodyDiv w:val="1"/>
      <w:marLeft w:val="0"/>
      <w:marRight w:val="0"/>
      <w:marTop w:val="0"/>
      <w:marBottom w:val="0"/>
      <w:divBdr>
        <w:top w:val="none" w:sz="0" w:space="0" w:color="auto"/>
        <w:left w:val="none" w:sz="0" w:space="0" w:color="auto"/>
        <w:bottom w:val="none" w:sz="0" w:space="0" w:color="auto"/>
        <w:right w:val="none" w:sz="0" w:space="0" w:color="auto"/>
      </w:divBdr>
    </w:div>
    <w:div w:id="1068069069">
      <w:bodyDiv w:val="1"/>
      <w:marLeft w:val="0"/>
      <w:marRight w:val="0"/>
      <w:marTop w:val="0"/>
      <w:marBottom w:val="0"/>
      <w:divBdr>
        <w:top w:val="none" w:sz="0" w:space="0" w:color="auto"/>
        <w:left w:val="none" w:sz="0" w:space="0" w:color="auto"/>
        <w:bottom w:val="none" w:sz="0" w:space="0" w:color="auto"/>
        <w:right w:val="none" w:sz="0" w:space="0" w:color="auto"/>
      </w:divBdr>
    </w:div>
    <w:div w:id="1068960978">
      <w:bodyDiv w:val="1"/>
      <w:marLeft w:val="0"/>
      <w:marRight w:val="0"/>
      <w:marTop w:val="0"/>
      <w:marBottom w:val="0"/>
      <w:divBdr>
        <w:top w:val="none" w:sz="0" w:space="0" w:color="auto"/>
        <w:left w:val="none" w:sz="0" w:space="0" w:color="auto"/>
        <w:bottom w:val="none" w:sz="0" w:space="0" w:color="auto"/>
        <w:right w:val="none" w:sz="0" w:space="0" w:color="auto"/>
      </w:divBdr>
    </w:div>
    <w:div w:id="1071081656">
      <w:bodyDiv w:val="1"/>
      <w:marLeft w:val="0"/>
      <w:marRight w:val="0"/>
      <w:marTop w:val="0"/>
      <w:marBottom w:val="0"/>
      <w:divBdr>
        <w:top w:val="none" w:sz="0" w:space="0" w:color="auto"/>
        <w:left w:val="none" w:sz="0" w:space="0" w:color="auto"/>
        <w:bottom w:val="none" w:sz="0" w:space="0" w:color="auto"/>
        <w:right w:val="none" w:sz="0" w:space="0" w:color="auto"/>
      </w:divBdr>
    </w:div>
    <w:div w:id="1071198683">
      <w:bodyDiv w:val="1"/>
      <w:marLeft w:val="0"/>
      <w:marRight w:val="0"/>
      <w:marTop w:val="0"/>
      <w:marBottom w:val="0"/>
      <w:divBdr>
        <w:top w:val="none" w:sz="0" w:space="0" w:color="auto"/>
        <w:left w:val="none" w:sz="0" w:space="0" w:color="auto"/>
        <w:bottom w:val="none" w:sz="0" w:space="0" w:color="auto"/>
        <w:right w:val="none" w:sz="0" w:space="0" w:color="auto"/>
      </w:divBdr>
    </w:div>
    <w:div w:id="1084113128">
      <w:bodyDiv w:val="1"/>
      <w:marLeft w:val="0"/>
      <w:marRight w:val="0"/>
      <w:marTop w:val="0"/>
      <w:marBottom w:val="0"/>
      <w:divBdr>
        <w:top w:val="none" w:sz="0" w:space="0" w:color="auto"/>
        <w:left w:val="none" w:sz="0" w:space="0" w:color="auto"/>
        <w:bottom w:val="none" w:sz="0" w:space="0" w:color="auto"/>
        <w:right w:val="none" w:sz="0" w:space="0" w:color="auto"/>
      </w:divBdr>
    </w:div>
    <w:div w:id="1089306030">
      <w:bodyDiv w:val="1"/>
      <w:marLeft w:val="0"/>
      <w:marRight w:val="0"/>
      <w:marTop w:val="0"/>
      <w:marBottom w:val="0"/>
      <w:divBdr>
        <w:top w:val="none" w:sz="0" w:space="0" w:color="auto"/>
        <w:left w:val="none" w:sz="0" w:space="0" w:color="auto"/>
        <w:bottom w:val="none" w:sz="0" w:space="0" w:color="auto"/>
        <w:right w:val="none" w:sz="0" w:space="0" w:color="auto"/>
      </w:divBdr>
    </w:div>
    <w:div w:id="1105736128">
      <w:bodyDiv w:val="1"/>
      <w:marLeft w:val="0"/>
      <w:marRight w:val="0"/>
      <w:marTop w:val="0"/>
      <w:marBottom w:val="0"/>
      <w:divBdr>
        <w:top w:val="none" w:sz="0" w:space="0" w:color="auto"/>
        <w:left w:val="none" w:sz="0" w:space="0" w:color="auto"/>
        <w:bottom w:val="none" w:sz="0" w:space="0" w:color="auto"/>
        <w:right w:val="none" w:sz="0" w:space="0" w:color="auto"/>
      </w:divBdr>
    </w:div>
    <w:div w:id="1108811856">
      <w:bodyDiv w:val="1"/>
      <w:marLeft w:val="0"/>
      <w:marRight w:val="0"/>
      <w:marTop w:val="0"/>
      <w:marBottom w:val="0"/>
      <w:divBdr>
        <w:top w:val="none" w:sz="0" w:space="0" w:color="auto"/>
        <w:left w:val="none" w:sz="0" w:space="0" w:color="auto"/>
        <w:bottom w:val="none" w:sz="0" w:space="0" w:color="auto"/>
        <w:right w:val="none" w:sz="0" w:space="0" w:color="auto"/>
      </w:divBdr>
    </w:div>
    <w:div w:id="1118720764">
      <w:bodyDiv w:val="1"/>
      <w:marLeft w:val="0"/>
      <w:marRight w:val="0"/>
      <w:marTop w:val="0"/>
      <w:marBottom w:val="0"/>
      <w:divBdr>
        <w:top w:val="none" w:sz="0" w:space="0" w:color="auto"/>
        <w:left w:val="none" w:sz="0" w:space="0" w:color="auto"/>
        <w:bottom w:val="none" w:sz="0" w:space="0" w:color="auto"/>
        <w:right w:val="none" w:sz="0" w:space="0" w:color="auto"/>
      </w:divBdr>
    </w:div>
    <w:div w:id="1119908898">
      <w:bodyDiv w:val="1"/>
      <w:marLeft w:val="0"/>
      <w:marRight w:val="0"/>
      <w:marTop w:val="0"/>
      <w:marBottom w:val="0"/>
      <w:divBdr>
        <w:top w:val="none" w:sz="0" w:space="0" w:color="auto"/>
        <w:left w:val="none" w:sz="0" w:space="0" w:color="auto"/>
        <w:bottom w:val="none" w:sz="0" w:space="0" w:color="auto"/>
        <w:right w:val="none" w:sz="0" w:space="0" w:color="auto"/>
      </w:divBdr>
    </w:div>
    <w:div w:id="1135873978">
      <w:bodyDiv w:val="1"/>
      <w:marLeft w:val="0"/>
      <w:marRight w:val="0"/>
      <w:marTop w:val="0"/>
      <w:marBottom w:val="0"/>
      <w:divBdr>
        <w:top w:val="none" w:sz="0" w:space="0" w:color="auto"/>
        <w:left w:val="none" w:sz="0" w:space="0" w:color="auto"/>
        <w:bottom w:val="none" w:sz="0" w:space="0" w:color="auto"/>
        <w:right w:val="none" w:sz="0" w:space="0" w:color="auto"/>
      </w:divBdr>
    </w:div>
    <w:div w:id="1152335841">
      <w:bodyDiv w:val="1"/>
      <w:marLeft w:val="0"/>
      <w:marRight w:val="0"/>
      <w:marTop w:val="0"/>
      <w:marBottom w:val="0"/>
      <w:divBdr>
        <w:top w:val="none" w:sz="0" w:space="0" w:color="auto"/>
        <w:left w:val="none" w:sz="0" w:space="0" w:color="auto"/>
        <w:bottom w:val="none" w:sz="0" w:space="0" w:color="auto"/>
        <w:right w:val="none" w:sz="0" w:space="0" w:color="auto"/>
      </w:divBdr>
    </w:div>
    <w:div w:id="1221357173">
      <w:bodyDiv w:val="1"/>
      <w:marLeft w:val="0"/>
      <w:marRight w:val="0"/>
      <w:marTop w:val="0"/>
      <w:marBottom w:val="0"/>
      <w:divBdr>
        <w:top w:val="none" w:sz="0" w:space="0" w:color="auto"/>
        <w:left w:val="none" w:sz="0" w:space="0" w:color="auto"/>
        <w:bottom w:val="none" w:sz="0" w:space="0" w:color="auto"/>
        <w:right w:val="none" w:sz="0" w:space="0" w:color="auto"/>
      </w:divBdr>
    </w:div>
    <w:div w:id="1230455041">
      <w:bodyDiv w:val="1"/>
      <w:marLeft w:val="0"/>
      <w:marRight w:val="0"/>
      <w:marTop w:val="0"/>
      <w:marBottom w:val="0"/>
      <w:divBdr>
        <w:top w:val="none" w:sz="0" w:space="0" w:color="auto"/>
        <w:left w:val="none" w:sz="0" w:space="0" w:color="auto"/>
        <w:bottom w:val="none" w:sz="0" w:space="0" w:color="auto"/>
        <w:right w:val="none" w:sz="0" w:space="0" w:color="auto"/>
      </w:divBdr>
    </w:div>
    <w:div w:id="1243612229">
      <w:bodyDiv w:val="1"/>
      <w:marLeft w:val="0"/>
      <w:marRight w:val="0"/>
      <w:marTop w:val="0"/>
      <w:marBottom w:val="0"/>
      <w:divBdr>
        <w:top w:val="none" w:sz="0" w:space="0" w:color="auto"/>
        <w:left w:val="none" w:sz="0" w:space="0" w:color="auto"/>
        <w:bottom w:val="none" w:sz="0" w:space="0" w:color="auto"/>
        <w:right w:val="none" w:sz="0" w:space="0" w:color="auto"/>
      </w:divBdr>
    </w:div>
    <w:div w:id="1246721795">
      <w:bodyDiv w:val="1"/>
      <w:marLeft w:val="0"/>
      <w:marRight w:val="0"/>
      <w:marTop w:val="0"/>
      <w:marBottom w:val="0"/>
      <w:divBdr>
        <w:top w:val="none" w:sz="0" w:space="0" w:color="auto"/>
        <w:left w:val="none" w:sz="0" w:space="0" w:color="auto"/>
        <w:bottom w:val="none" w:sz="0" w:space="0" w:color="auto"/>
        <w:right w:val="none" w:sz="0" w:space="0" w:color="auto"/>
      </w:divBdr>
    </w:div>
    <w:div w:id="1254319951">
      <w:bodyDiv w:val="1"/>
      <w:marLeft w:val="0"/>
      <w:marRight w:val="0"/>
      <w:marTop w:val="0"/>
      <w:marBottom w:val="0"/>
      <w:divBdr>
        <w:top w:val="none" w:sz="0" w:space="0" w:color="auto"/>
        <w:left w:val="none" w:sz="0" w:space="0" w:color="auto"/>
        <w:bottom w:val="none" w:sz="0" w:space="0" w:color="auto"/>
        <w:right w:val="none" w:sz="0" w:space="0" w:color="auto"/>
      </w:divBdr>
    </w:div>
    <w:div w:id="1264261119">
      <w:bodyDiv w:val="1"/>
      <w:marLeft w:val="0"/>
      <w:marRight w:val="0"/>
      <w:marTop w:val="0"/>
      <w:marBottom w:val="0"/>
      <w:divBdr>
        <w:top w:val="none" w:sz="0" w:space="0" w:color="auto"/>
        <w:left w:val="none" w:sz="0" w:space="0" w:color="auto"/>
        <w:bottom w:val="none" w:sz="0" w:space="0" w:color="auto"/>
        <w:right w:val="none" w:sz="0" w:space="0" w:color="auto"/>
      </w:divBdr>
    </w:div>
    <w:div w:id="1272593670">
      <w:bodyDiv w:val="1"/>
      <w:marLeft w:val="0"/>
      <w:marRight w:val="0"/>
      <w:marTop w:val="0"/>
      <w:marBottom w:val="0"/>
      <w:divBdr>
        <w:top w:val="none" w:sz="0" w:space="0" w:color="auto"/>
        <w:left w:val="none" w:sz="0" w:space="0" w:color="auto"/>
        <w:bottom w:val="none" w:sz="0" w:space="0" w:color="auto"/>
        <w:right w:val="none" w:sz="0" w:space="0" w:color="auto"/>
      </w:divBdr>
    </w:div>
    <w:div w:id="1274290217">
      <w:bodyDiv w:val="1"/>
      <w:marLeft w:val="0"/>
      <w:marRight w:val="0"/>
      <w:marTop w:val="0"/>
      <w:marBottom w:val="0"/>
      <w:divBdr>
        <w:top w:val="none" w:sz="0" w:space="0" w:color="auto"/>
        <w:left w:val="none" w:sz="0" w:space="0" w:color="auto"/>
        <w:bottom w:val="none" w:sz="0" w:space="0" w:color="auto"/>
        <w:right w:val="none" w:sz="0" w:space="0" w:color="auto"/>
      </w:divBdr>
    </w:div>
    <w:div w:id="1295788600">
      <w:bodyDiv w:val="1"/>
      <w:marLeft w:val="0"/>
      <w:marRight w:val="0"/>
      <w:marTop w:val="0"/>
      <w:marBottom w:val="0"/>
      <w:divBdr>
        <w:top w:val="none" w:sz="0" w:space="0" w:color="auto"/>
        <w:left w:val="none" w:sz="0" w:space="0" w:color="auto"/>
        <w:bottom w:val="none" w:sz="0" w:space="0" w:color="auto"/>
        <w:right w:val="none" w:sz="0" w:space="0" w:color="auto"/>
      </w:divBdr>
    </w:div>
    <w:div w:id="1344670501">
      <w:bodyDiv w:val="1"/>
      <w:marLeft w:val="0"/>
      <w:marRight w:val="0"/>
      <w:marTop w:val="0"/>
      <w:marBottom w:val="0"/>
      <w:divBdr>
        <w:top w:val="none" w:sz="0" w:space="0" w:color="auto"/>
        <w:left w:val="none" w:sz="0" w:space="0" w:color="auto"/>
        <w:bottom w:val="none" w:sz="0" w:space="0" w:color="auto"/>
        <w:right w:val="none" w:sz="0" w:space="0" w:color="auto"/>
      </w:divBdr>
    </w:div>
    <w:div w:id="1412894560">
      <w:bodyDiv w:val="1"/>
      <w:marLeft w:val="0"/>
      <w:marRight w:val="0"/>
      <w:marTop w:val="0"/>
      <w:marBottom w:val="0"/>
      <w:divBdr>
        <w:top w:val="none" w:sz="0" w:space="0" w:color="auto"/>
        <w:left w:val="none" w:sz="0" w:space="0" w:color="auto"/>
        <w:bottom w:val="none" w:sz="0" w:space="0" w:color="auto"/>
        <w:right w:val="none" w:sz="0" w:space="0" w:color="auto"/>
      </w:divBdr>
    </w:div>
    <w:div w:id="1438136342">
      <w:bodyDiv w:val="1"/>
      <w:marLeft w:val="0"/>
      <w:marRight w:val="0"/>
      <w:marTop w:val="0"/>
      <w:marBottom w:val="0"/>
      <w:divBdr>
        <w:top w:val="none" w:sz="0" w:space="0" w:color="auto"/>
        <w:left w:val="none" w:sz="0" w:space="0" w:color="auto"/>
        <w:bottom w:val="none" w:sz="0" w:space="0" w:color="auto"/>
        <w:right w:val="none" w:sz="0" w:space="0" w:color="auto"/>
      </w:divBdr>
    </w:div>
    <w:div w:id="1442647882">
      <w:bodyDiv w:val="1"/>
      <w:marLeft w:val="0"/>
      <w:marRight w:val="0"/>
      <w:marTop w:val="0"/>
      <w:marBottom w:val="0"/>
      <w:divBdr>
        <w:top w:val="none" w:sz="0" w:space="0" w:color="auto"/>
        <w:left w:val="none" w:sz="0" w:space="0" w:color="auto"/>
        <w:bottom w:val="none" w:sz="0" w:space="0" w:color="auto"/>
        <w:right w:val="none" w:sz="0" w:space="0" w:color="auto"/>
      </w:divBdr>
    </w:div>
    <w:div w:id="1448083830">
      <w:bodyDiv w:val="1"/>
      <w:marLeft w:val="0"/>
      <w:marRight w:val="0"/>
      <w:marTop w:val="0"/>
      <w:marBottom w:val="0"/>
      <w:divBdr>
        <w:top w:val="none" w:sz="0" w:space="0" w:color="auto"/>
        <w:left w:val="none" w:sz="0" w:space="0" w:color="auto"/>
        <w:bottom w:val="none" w:sz="0" w:space="0" w:color="auto"/>
        <w:right w:val="none" w:sz="0" w:space="0" w:color="auto"/>
      </w:divBdr>
    </w:div>
    <w:div w:id="1459257049">
      <w:bodyDiv w:val="1"/>
      <w:marLeft w:val="0"/>
      <w:marRight w:val="0"/>
      <w:marTop w:val="0"/>
      <w:marBottom w:val="0"/>
      <w:divBdr>
        <w:top w:val="none" w:sz="0" w:space="0" w:color="auto"/>
        <w:left w:val="none" w:sz="0" w:space="0" w:color="auto"/>
        <w:bottom w:val="none" w:sz="0" w:space="0" w:color="auto"/>
        <w:right w:val="none" w:sz="0" w:space="0" w:color="auto"/>
      </w:divBdr>
    </w:div>
    <w:div w:id="1479565137">
      <w:bodyDiv w:val="1"/>
      <w:marLeft w:val="0"/>
      <w:marRight w:val="0"/>
      <w:marTop w:val="0"/>
      <w:marBottom w:val="0"/>
      <w:divBdr>
        <w:top w:val="none" w:sz="0" w:space="0" w:color="auto"/>
        <w:left w:val="none" w:sz="0" w:space="0" w:color="auto"/>
        <w:bottom w:val="none" w:sz="0" w:space="0" w:color="auto"/>
        <w:right w:val="none" w:sz="0" w:space="0" w:color="auto"/>
      </w:divBdr>
      <w:divsChild>
        <w:div w:id="800927827">
          <w:marLeft w:val="0"/>
          <w:marRight w:val="0"/>
          <w:marTop w:val="0"/>
          <w:marBottom w:val="0"/>
          <w:divBdr>
            <w:top w:val="none" w:sz="0" w:space="0" w:color="auto"/>
            <w:left w:val="none" w:sz="0" w:space="0" w:color="auto"/>
            <w:bottom w:val="none" w:sz="0" w:space="0" w:color="auto"/>
            <w:right w:val="none" w:sz="0" w:space="0" w:color="auto"/>
          </w:divBdr>
        </w:div>
        <w:div w:id="2055107768">
          <w:marLeft w:val="0"/>
          <w:marRight w:val="0"/>
          <w:marTop w:val="0"/>
          <w:marBottom w:val="0"/>
          <w:divBdr>
            <w:top w:val="none" w:sz="0" w:space="0" w:color="auto"/>
            <w:left w:val="none" w:sz="0" w:space="0" w:color="auto"/>
            <w:bottom w:val="none" w:sz="0" w:space="0" w:color="auto"/>
            <w:right w:val="none" w:sz="0" w:space="0" w:color="auto"/>
          </w:divBdr>
        </w:div>
      </w:divsChild>
    </w:div>
    <w:div w:id="1494445675">
      <w:bodyDiv w:val="1"/>
      <w:marLeft w:val="0"/>
      <w:marRight w:val="0"/>
      <w:marTop w:val="0"/>
      <w:marBottom w:val="0"/>
      <w:divBdr>
        <w:top w:val="none" w:sz="0" w:space="0" w:color="auto"/>
        <w:left w:val="none" w:sz="0" w:space="0" w:color="auto"/>
        <w:bottom w:val="none" w:sz="0" w:space="0" w:color="auto"/>
        <w:right w:val="none" w:sz="0" w:space="0" w:color="auto"/>
      </w:divBdr>
    </w:div>
    <w:div w:id="1501695204">
      <w:bodyDiv w:val="1"/>
      <w:marLeft w:val="0"/>
      <w:marRight w:val="0"/>
      <w:marTop w:val="0"/>
      <w:marBottom w:val="0"/>
      <w:divBdr>
        <w:top w:val="none" w:sz="0" w:space="0" w:color="auto"/>
        <w:left w:val="none" w:sz="0" w:space="0" w:color="auto"/>
        <w:bottom w:val="none" w:sz="0" w:space="0" w:color="auto"/>
        <w:right w:val="none" w:sz="0" w:space="0" w:color="auto"/>
      </w:divBdr>
    </w:div>
    <w:div w:id="1504856206">
      <w:bodyDiv w:val="1"/>
      <w:marLeft w:val="0"/>
      <w:marRight w:val="0"/>
      <w:marTop w:val="0"/>
      <w:marBottom w:val="0"/>
      <w:divBdr>
        <w:top w:val="none" w:sz="0" w:space="0" w:color="auto"/>
        <w:left w:val="none" w:sz="0" w:space="0" w:color="auto"/>
        <w:bottom w:val="none" w:sz="0" w:space="0" w:color="auto"/>
        <w:right w:val="none" w:sz="0" w:space="0" w:color="auto"/>
      </w:divBdr>
    </w:div>
    <w:div w:id="1527710997">
      <w:bodyDiv w:val="1"/>
      <w:marLeft w:val="0"/>
      <w:marRight w:val="0"/>
      <w:marTop w:val="0"/>
      <w:marBottom w:val="0"/>
      <w:divBdr>
        <w:top w:val="none" w:sz="0" w:space="0" w:color="auto"/>
        <w:left w:val="none" w:sz="0" w:space="0" w:color="auto"/>
        <w:bottom w:val="none" w:sz="0" w:space="0" w:color="auto"/>
        <w:right w:val="none" w:sz="0" w:space="0" w:color="auto"/>
      </w:divBdr>
    </w:div>
    <w:div w:id="1533305228">
      <w:bodyDiv w:val="1"/>
      <w:marLeft w:val="0"/>
      <w:marRight w:val="0"/>
      <w:marTop w:val="0"/>
      <w:marBottom w:val="0"/>
      <w:divBdr>
        <w:top w:val="none" w:sz="0" w:space="0" w:color="auto"/>
        <w:left w:val="none" w:sz="0" w:space="0" w:color="auto"/>
        <w:bottom w:val="none" w:sz="0" w:space="0" w:color="auto"/>
        <w:right w:val="none" w:sz="0" w:space="0" w:color="auto"/>
      </w:divBdr>
    </w:div>
    <w:div w:id="1540169263">
      <w:bodyDiv w:val="1"/>
      <w:marLeft w:val="0"/>
      <w:marRight w:val="0"/>
      <w:marTop w:val="0"/>
      <w:marBottom w:val="0"/>
      <w:divBdr>
        <w:top w:val="none" w:sz="0" w:space="0" w:color="auto"/>
        <w:left w:val="none" w:sz="0" w:space="0" w:color="auto"/>
        <w:bottom w:val="none" w:sz="0" w:space="0" w:color="auto"/>
        <w:right w:val="none" w:sz="0" w:space="0" w:color="auto"/>
      </w:divBdr>
    </w:div>
    <w:div w:id="1545412216">
      <w:bodyDiv w:val="1"/>
      <w:marLeft w:val="0"/>
      <w:marRight w:val="0"/>
      <w:marTop w:val="0"/>
      <w:marBottom w:val="0"/>
      <w:divBdr>
        <w:top w:val="none" w:sz="0" w:space="0" w:color="auto"/>
        <w:left w:val="none" w:sz="0" w:space="0" w:color="auto"/>
        <w:bottom w:val="none" w:sz="0" w:space="0" w:color="auto"/>
        <w:right w:val="none" w:sz="0" w:space="0" w:color="auto"/>
      </w:divBdr>
    </w:div>
    <w:div w:id="1560818853">
      <w:bodyDiv w:val="1"/>
      <w:marLeft w:val="0"/>
      <w:marRight w:val="0"/>
      <w:marTop w:val="0"/>
      <w:marBottom w:val="0"/>
      <w:divBdr>
        <w:top w:val="none" w:sz="0" w:space="0" w:color="auto"/>
        <w:left w:val="none" w:sz="0" w:space="0" w:color="auto"/>
        <w:bottom w:val="none" w:sz="0" w:space="0" w:color="auto"/>
        <w:right w:val="none" w:sz="0" w:space="0" w:color="auto"/>
      </w:divBdr>
    </w:div>
    <w:div w:id="1574587283">
      <w:bodyDiv w:val="1"/>
      <w:marLeft w:val="0"/>
      <w:marRight w:val="0"/>
      <w:marTop w:val="0"/>
      <w:marBottom w:val="0"/>
      <w:divBdr>
        <w:top w:val="none" w:sz="0" w:space="0" w:color="auto"/>
        <w:left w:val="none" w:sz="0" w:space="0" w:color="auto"/>
        <w:bottom w:val="none" w:sz="0" w:space="0" w:color="auto"/>
        <w:right w:val="none" w:sz="0" w:space="0" w:color="auto"/>
      </w:divBdr>
      <w:divsChild>
        <w:div w:id="709301592">
          <w:marLeft w:val="0"/>
          <w:marRight w:val="0"/>
          <w:marTop w:val="0"/>
          <w:marBottom w:val="0"/>
          <w:divBdr>
            <w:top w:val="none" w:sz="0" w:space="0" w:color="auto"/>
            <w:left w:val="none" w:sz="0" w:space="0" w:color="auto"/>
            <w:bottom w:val="none" w:sz="0" w:space="0" w:color="auto"/>
            <w:right w:val="none" w:sz="0" w:space="0" w:color="auto"/>
          </w:divBdr>
        </w:div>
        <w:div w:id="1444303647">
          <w:marLeft w:val="0"/>
          <w:marRight w:val="0"/>
          <w:marTop w:val="0"/>
          <w:marBottom w:val="0"/>
          <w:divBdr>
            <w:top w:val="none" w:sz="0" w:space="0" w:color="auto"/>
            <w:left w:val="none" w:sz="0" w:space="0" w:color="auto"/>
            <w:bottom w:val="none" w:sz="0" w:space="0" w:color="auto"/>
            <w:right w:val="none" w:sz="0" w:space="0" w:color="auto"/>
          </w:divBdr>
        </w:div>
      </w:divsChild>
    </w:div>
    <w:div w:id="1587760495">
      <w:bodyDiv w:val="1"/>
      <w:marLeft w:val="0"/>
      <w:marRight w:val="0"/>
      <w:marTop w:val="0"/>
      <w:marBottom w:val="0"/>
      <w:divBdr>
        <w:top w:val="none" w:sz="0" w:space="0" w:color="auto"/>
        <w:left w:val="none" w:sz="0" w:space="0" w:color="auto"/>
        <w:bottom w:val="none" w:sz="0" w:space="0" w:color="auto"/>
        <w:right w:val="none" w:sz="0" w:space="0" w:color="auto"/>
      </w:divBdr>
    </w:div>
    <w:div w:id="1594127533">
      <w:bodyDiv w:val="1"/>
      <w:marLeft w:val="0"/>
      <w:marRight w:val="0"/>
      <w:marTop w:val="0"/>
      <w:marBottom w:val="0"/>
      <w:divBdr>
        <w:top w:val="none" w:sz="0" w:space="0" w:color="auto"/>
        <w:left w:val="none" w:sz="0" w:space="0" w:color="auto"/>
        <w:bottom w:val="none" w:sz="0" w:space="0" w:color="auto"/>
        <w:right w:val="none" w:sz="0" w:space="0" w:color="auto"/>
      </w:divBdr>
    </w:div>
    <w:div w:id="1617983900">
      <w:bodyDiv w:val="1"/>
      <w:marLeft w:val="0"/>
      <w:marRight w:val="0"/>
      <w:marTop w:val="0"/>
      <w:marBottom w:val="0"/>
      <w:divBdr>
        <w:top w:val="none" w:sz="0" w:space="0" w:color="auto"/>
        <w:left w:val="none" w:sz="0" w:space="0" w:color="auto"/>
        <w:bottom w:val="none" w:sz="0" w:space="0" w:color="auto"/>
        <w:right w:val="none" w:sz="0" w:space="0" w:color="auto"/>
      </w:divBdr>
    </w:div>
    <w:div w:id="1620258117">
      <w:bodyDiv w:val="1"/>
      <w:marLeft w:val="0"/>
      <w:marRight w:val="0"/>
      <w:marTop w:val="0"/>
      <w:marBottom w:val="0"/>
      <w:divBdr>
        <w:top w:val="none" w:sz="0" w:space="0" w:color="auto"/>
        <w:left w:val="none" w:sz="0" w:space="0" w:color="auto"/>
        <w:bottom w:val="none" w:sz="0" w:space="0" w:color="auto"/>
        <w:right w:val="none" w:sz="0" w:space="0" w:color="auto"/>
      </w:divBdr>
    </w:div>
    <w:div w:id="1623882809">
      <w:bodyDiv w:val="1"/>
      <w:marLeft w:val="0"/>
      <w:marRight w:val="0"/>
      <w:marTop w:val="0"/>
      <w:marBottom w:val="0"/>
      <w:divBdr>
        <w:top w:val="none" w:sz="0" w:space="0" w:color="auto"/>
        <w:left w:val="none" w:sz="0" w:space="0" w:color="auto"/>
        <w:bottom w:val="none" w:sz="0" w:space="0" w:color="auto"/>
        <w:right w:val="none" w:sz="0" w:space="0" w:color="auto"/>
      </w:divBdr>
    </w:div>
    <w:div w:id="1638560694">
      <w:bodyDiv w:val="1"/>
      <w:marLeft w:val="0"/>
      <w:marRight w:val="0"/>
      <w:marTop w:val="0"/>
      <w:marBottom w:val="0"/>
      <w:divBdr>
        <w:top w:val="none" w:sz="0" w:space="0" w:color="auto"/>
        <w:left w:val="none" w:sz="0" w:space="0" w:color="auto"/>
        <w:bottom w:val="none" w:sz="0" w:space="0" w:color="auto"/>
        <w:right w:val="none" w:sz="0" w:space="0" w:color="auto"/>
      </w:divBdr>
    </w:div>
    <w:div w:id="1639846496">
      <w:bodyDiv w:val="1"/>
      <w:marLeft w:val="0"/>
      <w:marRight w:val="0"/>
      <w:marTop w:val="0"/>
      <w:marBottom w:val="0"/>
      <w:divBdr>
        <w:top w:val="none" w:sz="0" w:space="0" w:color="auto"/>
        <w:left w:val="none" w:sz="0" w:space="0" w:color="auto"/>
        <w:bottom w:val="none" w:sz="0" w:space="0" w:color="auto"/>
        <w:right w:val="none" w:sz="0" w:space="0" w:color="auto"/>
      </w:divBdr>
    </w:div>
    <w:div w:id="1646474317">
      <w:bodyDiv w:val="1"/>
      <w:marLeft w:val="0"/>
      <w:marRight w:val="0"/>
      <w:marTop w:val="0"/>
      <w:marBottom w:val="0"/>
      <w:divBdr>
        <w:top w:val="none" w:sz="0" w:space="0" w:color="auto"/>
        <w:left w:val="none" w:sz="0" w:space="0" w:color="auto"/>
        <w:bottom w:val="none" w:sz="0" w:space="0" w:color="auto"/>
        <w:right w:val="none" w:sz="0" w:space="0" w:color="auto"/>
      </w:divBdr>
    </w:div>
    <w:div w:id="1652320908">
      <w:bodyDiv w:val="1"/>
      <w:marLeft w:val="0"/>
      <w:marRight w:val="0"/>
      <w:marTop w:val="0"/>
      <w:marBottom w:val="0"/>
      <w:divBdr>
        <w:top w:val="none" w:sz="0" w:space="0" w:color="auto"/>
        <w:left w:val="none" w:sz="0" w:space="0" w:color="auto"/>
        <w:bottom w:val="none" w:sz="0" w:space="0" w:color="auto"/>
        <w:right w:val="none" w:sz="0" w:space="0" w:color="auto"/>
      </w:divBdr>
    </w:div>
    <w:div w:id="1682781597">
      <w:bodyDiv w:val="1"/>
      <w:marLeft w:val="0"/>
      <w:marRight w:val="0"/>
      <w:marTop w:val="0"/>
      <w:marBottom w:val="0"/>
      <w:divBdr>
        <w:top w:val="none" w:sz="0" w:space="0" w:color="auto"/>
        <w:left w:val="none" w:sz="0" w:space="0" w:color="auto"/>
        <w:bottom w:val="none" w:sz="0" w:space="0" w:color="auto"/>
        <w:right w:val="none" w:sz="0" w:space="0" w:color="auto"/>
      </w:divBdr>
    </w:div>
    <w:div w:id="1699431539">
      <w:bodyDiv w:val="1"/>
      <w:marLeft w:val="0"/>
      <w:marRight w:val="0"/>
      <w:marTop w:val="0"/>
      <w:marBottom w:val="0"/>
      <w:divBdr>
        <w:top w:val="none" w:sz="0" w:space="0" w:color="auto"/>
        <w:left w:val="none" w:sz="0" w:space="0" w:color="auto"/>
        <w:bottom w:val="none" w:sz="0" w:space="0" w:color="auto"/>
        <w:right w:val="none" w:sz="0" w:space="0" w:color="auto"/>
      </w:divBdr>
    </w:div>
    <w:div w:id="1705597516">
      <w:bodyDiv w:val="1"/>
      <w:marLeft w:val="0"/>
      <w:marRight w:val="0"/>
      <w:marTop w:val="0"/>
      <w:marBottom w:val="0"/>
      <w:divBdr>
        <w:top w:val="none" w:sz="0" w:space="0" w:color="auto"/>
        <w:left w:val="none" w:sz="0" w:space="0" w:color="auto"/>
        <w:bottom w:val="none" w:sz="0" w:space="0" w:color="auto"/>
        <w:right w:val="none" w:sz="0" w:space="0" w:color="auto"/>
      </w:divBdr>
    </w:div>
    <w:div w:id="1709646500">
      <w:bodyDiv w:val="1"/>
      <w:marLeft w:val="0"/>
      <w:marRight w:val="0"/>
      <w:marTop w:val="0"/>
      <w:marBottom w:val="0"/>
      <w:divBdr>
        <w:top w:val="none" w:sz="0" w:space="0" w:color="auto"/>
        <w:left w:val="none" w:sz="0" w:space="0" w:color="auto"/>
        <w:bottom w:val="none" w:sz="0" w:space="0" w:color="auto"/>
        <w:right w:val="none" w:sz="0" w:space="0" w:color="auto"/>
      </w:divBdr>
    </w:div>
    <w:div w:id="1747024738">
      <w:bodyDiv w:val="1"/>
      <w:marLeft w:val="0"/>
      <w:marRight w:val="0"/>
      <w:marTop w:val="0"/>
      <w:marBottom w:val="0"/>
      <w:divBdr>
        <w:top w:val="none" w:sz="0" w:space="0" w:color="auto"/>
        <w:left w:val="none" w:sz="0" w:space="0" w:color="auto"/>
        <w:bottom w:val="none" w:sz="0" w:space="0" w:color="auto"/>
        <w:right w:val="none" w:sz="0" w:space="0" w:color="auto"/>
      </w:divBdr>
    </w:div>
    <w:div w:id="1748307704">
      <w:bodyDiv w:val="1"/>
      <w:marLeft w:val="0"/>
      <w:marRight w:val="0"/>
      <w:marTop w:val="0"/>
      <w:marBottom w:val="0"/>
      <w:divBdr>
        <w:top w:val="none" w:sz="0" w:space="0" w:color="auto"/>
        <w:left w:val="none" w:sz="0" w:space="0" w:color="auto"/>
        <w:bottom w:val="none" w:sz="0" w:space="0" w:color="auto"/>
        <w:right w:val="none" w:sz="0" w:space="0" w:color="auto"/>
      </w:divBdr>
    </w:div>
    <w:div w:id="1759711344">
      <w:bodyDiv w:val="1"/>
      <w:marLeft w:val="0"/>
      <w:marRight w:val="0"/>
      <w:marTop w:val="0"/>
      <w:marBottom w:val="0"/>
      <w:divBdr>
        <w:top w:val="none" w:sz="0" w:space="0" w:color="auto"/>
        <w:left w:val="none" w:sz="0" w:space="0" w:color="auto"/>
        <w:bottom w:val="none" w:sz="0" w:space="0" w:color="auto"/>
        <w:right w:val="none" w:sz="0" w:space="0" w:color="auto"/>
      </w:divBdr>
    </w:div>
    <w:div w:id="1762993050">
      <w:bodyDiv w:val="1"/>
      <w:marLeft w:val="0"/>
      <w:marRight w:val="0"/>
      <w:marTop w:val="0"/>
      <w:marBottom w:val="0"/>
      <w:divBdr>
        <w:top w:val="none" w:sz="0" w:space="0" w:color="auto"/>
        <w:left w:val="none" w:sz="0" w:space="0" w:color="auto"/>
        <w:bottom w:val="none" w:sz="0" w:space="0" w:color="auto"/>
        <w:right w:val="none" w:sz="0" w:space="0" w:color="auto"/>
      </w:divBdr>
    </w:div>
    <w:div w:id="1792088450">
      <w:bodyDiv w:val="1"/>
      <w:marLeft w:val="0"/>
      <w:marRight w:val="0"/>
      <w:marTop w:val="0"/>
      <w:marBottom w:val="0"/>
      <w:divBdr>
        <w:top w:val="none" w:sz="0" w:space="0" w:color="auto"/>
        <w:left w:val="none" w:sz="0" w:space="0" w:color="auto"/>
        <w:bottom w:val="none" w:sz="0" w:space="0" w:color="auto"/>
        <w:right w:val="none" w:sz="0" w:space="0" w:color="auto"/>
      </w:divBdr>
    </w:div>
    <w:div w:id="1812362821">
      <w:bodyDiv w:val="1"/>
      <w:marLeft w:val="0"/>
      <w:marRight w:val="0"/>
      <w:marTop w:val="0"/>
      <w:marBottom w:val="0"/>
      <w:divBdr>
        <w:top w:val="none" w:sz="0" w:space="0" w:color="auto"/>
        <w:left w:val="none" w:sz="0" w:space="0" w:color="auto"/>
        <w:bottom w:val="none" w:sz="0" w:space="0" w:color="auto"/>
        <w:right w:val="none" w:sz="0" w:space="0" w:color="auto"/>
      </w:divBdr>
    </w:div>
    <w:div w:id="1820609483">
      <w:bodyDiv w:val="1"/>
      <w:marLeft w:val="0"/>
      <w:marRight w:val="0"/>
      <w:marTop w:val="0"/>
      <w:marBottom w:val="0"/>
      <w:divBdr>
        <w:top w:val="none" w:sz="0" w:space="0" w:color="auto"/>
        <w:left w:val="none" w:sz="0" w:space="0" w:color="auto"/>
        <w:bottom w:val="none" w:sz="0" w:space="0" w:color="auto"/>
        <w:right w:val="none" w:sz="0" w:space="0" w:color="auto"/>
      </w:divBdr>
    </w:div>
    <w:div w:id="1821648915">
      <w:bodyDiv w:val="1"/>
      <w:marLeft w:val="0"/>
      <w:marRight w:val="0"/>
      <w:marTop w:val="0"/>
      <w:marBottom w:val="0"/>
      <w:divBdr>
        <w:top w:val="none" w:sz="0" w:space="0" w:color="auto"/>
        <w:left w:val="none" w:sz="0" w:space="0" w:color="auto"/>
        <w:bottom w:val="none" w:sz="0" w:space="0" w:color="auto"/>
        <w:right w:val="none" w:sz="0" w:space="0" w:color="auto"/>
      </w:divBdr>
    </w:div>
    <w:div w:id="1827162143">
      <w:bodyDiv w:val="1"/>
      <w:marLeft w:val="0"/>
      <w:marRight w:val="0"/>
      <w:marTop w:val="0"/>
      <w:marBottom w:val="0"/>
      <w:divBdr>
        <w:top w:val="none" w:sz="0" w:space="0" w:color="auto"/>
        <w:left w:val="none" w:sz="0" w:space="0" w:color="auto"/>
        <w:bottom w:val="none" w:sz="0" w:space="0" w:color="auto"/>
        <w:right w:val="none" w:sz="0" w:space="0" w:color="auto"/>
      </w:divBdr>
    </w:div>
    <w:div w:id="1827893174">
      <w:bodyDiv w:val="1"/>
      <w:marLeft w:val="0"/>
      <w:marRight w:val="0"/>
      <w:marTop w:val="0"/>
      <w:marBottom w:val="0"/>
      <w:divBdr>
        <w:top w:val="none" w:sz="0" w:space="0" w:color="auto"/>
        <w:left w:val="none" w:sz="0" w:space="0" w:color="auto"/>
        <w:bottom w:val="none" w:sz="0" w:space="0" w:color="auto"/>
        <w:right w:val="none" w:sz="0" w:space="0" w:color="auto"/>
      </w:divBdr>
    </w:div>
    <w:div w:id="1832401322">
      <w:bodyDiv w:val="1"/>
      <w:marLeft w:val="0"/>
      <w:marRight w:val="0"/>
      <w:marTop w:val="0"/>
      <w:marBottom w:val="0"/>
      <w:divBdr>
        <w:top w:val="none" w:sz="0" w:space="0" w:color="auto"/>
        <w:left w:val="none" w:sz="0" w:space="0" w:color="auto"/>
        <w:bottom w:val="none" w:sz="0" w:space="0" w:color="auto"/>
        <w:right w:val="none" w:sz="0" w:space="0" w:color="auto"/>
      </w:divBdr>
    </w:div>
    <w:div w:id="1834056598">
      <w:bodyDiv w:val="1"/>
      <w:marLeft w:val="0"/>
      <w:marRight w:val="0"/>
      <w:marTop w:val="0"/>
      <w:marBottom w:val="0"/>
      <w:divBdr>
        <w:top w:val="none" w:sz="0" w:space="0" w:color="auto"/>
        <w:left w:val="none" w:sz="0" w:space="0" w:color="auto"/>
        <w:bottom w:val="none" w:sz="0" w:space="0" w:color="auto"/>
        <w:right w:val="none" w:sz="0" w:space="0" w:color="auto"/>
      </w:divBdr>
    </w:div>
    <w:div w:id="1837382831">
      <w:bodyDiv w:val="1"/>
      <w:marLeft w:val="0"/>
      <w:marRight w:val="0"/>
      <w:marTop w:val="0"/>
      <w:marBottom w:val="0"/>
      <w:divBdr>
        <w:top w:val="none" w:sz="0" w:space="0" w:color="auto"/>
        <w:left w:val="none" w:sz="0" w:space="0" w:color="auto"/>
        <w:bottom w:val="none" w:sz="0" w:space="0" w:color="auto"/>
        <w:right w:val="none" w:sz="0" w:space="0" w:color="auto"/>
      </w:divBdr>
    </w:div>
    <w:div w:id="1838886892">
      <w:bodyDiv w:val="1"/>
      <w:marLeft w:val="0"/>
      <w:marRight w:val="0"/>
      <w:marTop w:val="0"/>
      <w:marBottom w:val="0"/>
      <w:divBdr>
        <w:top w:val="none" w:sz="0" w:space="0" w:color="auto"/>
        <w:left w:val="none" w:sz="0" w:space="0" w:color="auto"/>
        <w:bottom w:val="none" w:sz="0" w:space="0" w:color="auto"/>
        <w:right w:val="none" w:sz="0" w:space="0" w:color="auto"/>
      </w:divBdr>
    </w:div>
    <w:div w:id="1840148808">
      <w:bodyDiv w:val="1"/>
      <w:marLeft w:val="0"/>
      <w:marRight w:val="0"/>
      <w:marTop w:val="0"/>
      <w:marBottom w:val="0"/>
      <w:divBdr>
        <w:top w:val="none" w:sz="0" w:space="0" w:color="auto"/>
        <w:left w:val="none" w:sz="0" w:space="0" w:color="auto"/>
        <w:bottom w:val="none" w:sz="0" w:space="0" w:color="auto"/>
        <w:right w:val="none" w:sz="0" w:space="0" w:color="auto"/>
      </w:divBdr>
    </w:div>
    <w:div w:id="1859810183">
      <w:bodyDiv w:val="1"/>
      <w:marLeft w:val="0"/>
      <w:marRight w:val="0"/>
      <w:marTop w:val="0"/>
      <w:marBottom w:val="0"/>
      <w:divBdr>
        <w:top w:val="none" w:sz="0" w:space="0" w:color="auto"/>
        <w:left w:val="none" w:sz="0" w:space="0" w:color="auto"/>
        <w:bottom w:val="none" w:sz="0" w:space="0" w:color="auto"/>
        <w:right w:val="none" w:sz="0" w:space="0" w:color="auto"/>
      </w:divBdr>
    </w:div>
    <w:div w:id="1873304968">
      <w:bodyDiv w:val="1"/>
      <w:marLeft w:val="0"/>
      <w:marRight w:val="0"/>
      <w:marTop w:val="0"/>
      <w:marBottom w:val="0"/>
      <w:divBdr>
        <w:top w:val="none" w:sz="0" w:space="0" w:color="auto"/>
        <w:left w:val="none" w:sz="0" w:space="0" w:color="auto"/>
        <w:bottom w:val="none" w:sz="0" w:space="0" w:color="auto"/>
        <w:right w:val="none" w:sz="0" w:space="0" w:color="auto"/>
      </w:divBdr>
    </w:div>
    <w:div w:id="1915161088">
      <w:bodyDiv w:val="1"/>
      <w:marLeft w:val="0"/>
      <w:marRight w:val="0"/>
      <w:marTop w:val="0"/>
      <w:marBottom w:val="0"/>
      <w:divBdr>
        <w:top w:val="none" w:sz="0" w:space="0" w:color="auto"/>
        <w:left w:val="none" w:sz="0" w:space="0" w:color="auto"/>
        <w:bottom w:val="none" w:sz="0" w:space="0" w:color="auto"/>
        <w:right w:val="none" w:sz="0" w:space="0" w:color="auto"/>
      </w:divBdr>
    </w:div>
    <w:div w:id="1935167187">
      <w:bodyDiv w:val="1"/>
      <w:marLeft w:val="0"/>
      <w:marRight w:val="0"/>
      <w:marTop w:val="0"/>
      <w:marBottom w:val="0"/>
      <w:divBdr>
        <w:top w:val="none" w:sz="0" w:space="0" w:color="auto"/>
        <w:left w:val="none" w:sz="0" w:space="0" w:color="auto"/>
        <w:bottom w:val="none" w:sz="0" w:space="0" w:color="auto"/>
        <w:right w:val="none" w:sz="0" w:space="0" w:color="auto"/>
      </w:divBdr>
    </w:div>
    <w:div w:id="1947542814">
      <w:bodyDiv w:val="1"/>
      <w:marLeft w:val="0"/>
      <w:marRight w:val="0"/>
      <w:marTop w:val="0"/>
      <w:marBottom w:val="0"/>
      <w:divBdr>
        <w:top w:val="none" w:sz="0" w:space="0" w:color="auto"/>
        <w:left w:val="none" w:sz="0" w:space="0" w:color="auto"/>
        <w:bottom w:val="none" w:sz="0" w:space="0" w:color="auto"/>
        <w:right w:val="none" w:sz="0" w:space="0" w:color="auto"/>
      </w:divBdr>
    </w:div>
    <w:div w:id="1971591980">
      <w:bodyDiv w:val="1"/>
      <w:marLeft w:val="0"/>
      <w:marRight w:val="0"/>
      <w:marTop w:val="0"/>
      <w:marBottom w:val="0"/>
      <w:divBdr>
        <w:top w:val="none" w:sz="0" w:space="0" w:color="auto"/>
        <w:left w:val="none" w:sz="0" w:space="0" w:color="auto"/>
        <w:bottom w:val="none" w:sz="0" w:space="0" w:color="auto"/>
        <w:right w:val="none" w:sz="0" w:space="0" w:color="auto"/>
      </w:divBdr>
    </w:div>
    <w:div w:id="1975211697">
      <w:bodyDiv w:val="1"/>
      <w:marLeft w:val="0"/>
      <w:marRight w:val="0"/>
      <w:marTop w:val="0"/>
      <w:marBottom w:val="0"/>
      <w:divBdr>
        <w:top w:val="none" w:sz="0" w:space="0" w:color="auto"/>
        <w:left w:val="none" w:sz="0" w:space="0" w:color="auto"/>
        <w:bottom w:val="none" w:sz="0" w:space="0" w:color="auto"/>
        <w:right w:val="none" w:sz="0" w:space="0" w:color="auto"/>
      </w:divBdr>
    </w:div>
    <w:div w:id="1975481225">
      <w:bodyDiv w:val="1"/>
      <w:marLeft w:val="0"/>
      <w:marRight w:val="0"/>
      <w:marTop w:val="0"/>
      <w:marBottom w:val="0"/>
      <w:divBdr>
        <w:top w:val="none" w:sz="0" w:space="0" w:color="auto"/>
        <w:left w:val="none" w:sz="0" w:space="0" w:color="auto"/>
        <w:bottom w:val="none" w:sz="0" w:space="0" w:color="auto"/>
        <w:right w:val="none" w:sz="0" w:space="0" w:color="auto"/>
      </w:divBdr>
    </w:div>
    <w:div w:id="1987854679">
      <w:bodyDiv w:val="1"/>
      <w:marLeft w:val="0"/>
      <w:marRight w:val="0"/>
      <w:marTop w:val="0"/>
      <w:marBottom w:val="0"/>
      <w:divBdr>
        <w:top w:val="none" w:sz="0" w:space="0" w:color="auto"/>
        <w:left w:val="none" w:sz="0" w:space="0" w:color="auto"/>
        <w:bottom w:val="none" w:sz="0" w:space="0" w:color="auto"/>
        <w:right w:val="none" w:sz="0" w:space="0" w:color="auto"/>
      </w:divBdr>
    </w:div>
    <w:div w:id="1995721466">
      <w:bodyDiv w:val="1"/>
      <w:marLeft w:val="0"/>
      <w:marRight w:val="0"/>
      <w:marTop w:val="0"/>
      <w:marBottom w:val="0"/>
      <w:divBdr>
        <w:top w:val="none" w:sz="0" w:space="0" w:color="auto"/>
        <w:left w:val="none" w:sz="0" w:space="0" w:color="auto"/>
        <w:bottom w:val="none" w:sz="0" w:space="0" w:color="auto"/>
        <w:right w:val="none" w:sz="0" w:space="0" w:color="auto"/>
      </w:divBdr>
    </w:div>
    <w:div w:id="2002073597">
      <w:bodyDiv w:val="1"/>
      <w:marLeft w:val="0"/>
      <w:marRight w:val="0"/>
      <w:marTop w:val="0"/>
      <w:marBottom w:val="0"/>
      <w:divBdr>
        <w:top w:val="none" w:sz="0" w:space="0" w:color="auto"/>
        <w:left w:val="none" w:sz="0" w:space="0" w:color="auto"/>
        <w:bottom w:val="none" w:sz="0" w:space="0" w:color="auto"/>
        <w:right w:val="none" w:sz="0" w:space="0" w:color="auto"/>
      </w:divBdr>
    </w:div>
    <w:div w:id="2010712059">
      <w:bodyDiv w:val="1"/>
      <w:marLeft w:val="0"/>
      <w:marRight w:val="0"/>
      <w:marTop w:val="0"/>
      <w:marBottom w:val="0"/>
      <w:divBdr>
        <w:top w:val="none" w:sz="0" w:space="0" w:color="auto"/>
        <w:left w:val="none" w:sz="0" w:space="0" w:color="auto"/>
        <w:bottom w:val="none" w:sz="0" w:space="0" w:color="auto"/>
        <w:right w:val="none" w:sz="0" w:space="0" w:color="auto"/>
      </w:divBdr>
    </w:div>
    <w:div w:id="2010979796">
      <w:bodyDiv w:val="1"/>
      <w:marLeft w:val="0"/>
      <w:marRight w:val="0"/>
      <w:marTop w:val="0"/>
      <w:marBottom w:val="0"/>
      <w:divBdr>
        <w:top w:val="none" w:sz="0" w:space="0" w:color="auto"/>
        <w:left w:val="none" w:sz="0" w:space="0" w:color="auto"/>
        <w:bottom w:val="none" w:sz="0" w:space="0" w:color="auto"/>
        <w:right w:val="none" w:sz="0" w:space="0" w:color="auto"/>
      </w:divBdr>
    </w:div>
    <w:div w:id="2015569940">
      <w:bodyDiv w:val="1"/>
      <w:marLeft w:val="0"/>
      <w:marRight w:val="0"/>
      <w:marTop w:val="0"/>
      <w:marBottom w:val="0"/>
      <w:divBdr>
        <w:top w:val="none" w:sz="0" w:space="0" w:color="auto"/>
        <w:left w:val="none" w:sz="0" w:space="0" w:color="auto"/>
        <w:bottom w:val="none" w:sz="0" w:space="0" w:color="auto"/>
        <w:right w:val="none" w:sz="0" w:space="0" w:color="auto"/>
      </w:divBdr>
    </w:div>
    <w:div w:id="2024234787">
      <w:bodyDiv w:val="1"/>
      <w:marLeft w:val="0"/>
      <w:marRight w:val="0"/>
      <w:marTop w:val="0"/>
      <w:marBottom w:val="0"/>
      <w:divBdr>
        <w:top w:val="none" w:sz="0" w:space="0" w:color="auto"/>
        <w:left w:val="none" w:sz="0" w:space="0" w:color="auto"/>
        <w:bottom w:val="none" w:sz="0" w:space="0" w:color="auto"/>
        <w:right w:val="none" w:sz="0" w:space="0" w:color="auto"/>
      </w:divBdr>
    </w:div>
    <w:div w:id="2055496729">
      <w:bodyDiv w:val="1"/>
      <w:marLeft w:val="0"/>
      <w:marRight w:val="0"/>
      <w:marTop w:val="0"/>
      <w:marBottom w:val="0"/>
      <w:divBdr>
        <w:top w:val="none" w:sz="0" w:space="0" w:color="auto"/>
        <w:left w:val="none" w:sz="0" w:space="0" w:color="auto"/>
        <w:bottom w:val="none" w:sz="0" w:space="0" w:color="auto"/>
        <w:right w:val="none" w:sz="0" w:space="0" w:color="auto"/>
      </w:divBdr>
    </w:div>
    <w:div w:id="2072460013">
      <w:bodyDiv w:val="1"/>
      <w:marLeft w:val="0"/>
      <w:marRight w:val="0"/>
      <w:marTop w:val="0"/>
      <w:marBottom w:val="0"/>
      <w:divBdr>
        <w:top w:val="none" w:sz="0" w:space="0" w:color="auto"/>
        <w:left w:val="none" w:sz="0" w:space="0" w:color="auto"/>
        <w:bottom w:val="none" w:sz="0" w:space="0" w:color="auto"/>
        <w:right w:val="none" w:sz="0" w:space="0" w:color="auto"/>
      </w:divBdr>
    </w:div>
    <w:div w:id="2075152891">
      <w:bodyDiv w:val="1"/>
      <w:marLeft w:val="0"/>
      <w:marRight w:val="0"/>
      <w:marTop w:val="0"/>
      <w:marBottom w:val="0"/>
      <w:divBdr>
        <w:top w:val="none" w:sz="0" w:space="0" w:color="auto"/>
        <w:left w:val="none" w:sz="0" w:space="0" w:color="auto"/>
        <w:bottom w:val="none" w:sz="0" w:space="0" w:color="auto"/>
        <w:right w:val="none" w:sz="0" w:space="0" w:color="auto"/>
      </w:divBdr>
    </w:div>
    <w:div w:id="2090036788">
      <w:bodyDiv w:val="1"/>
      <w:marLeft w:val="0"/>
      <w:marRight w:val="0"/>
      <w:marTop w:val="0"/>
      <w:marBottom w:val="0"/>
      <w:divBdr>
        <w:top w:val="none" w:sz="0" w:space="0" w:color="auto"/>
        <w:left w:val="none" w:sz="0" w:space="0" w:color="auto"/>
        <w:bottom w:val="none" w:sz="0" w:space="0" w:color="auto"/>
        <w:right w:val="none" w:sz="0" w:space="0" w:color="auto"/>
      </w:divBdr>
    </w:div>
    <w:div w:id="2099789216">
      <w:bodyDiv w:val="1"/>
      <w:marLeft w:val="0"/>
      <w:marRight w:val="0"/>
      <w:marTop w:val="0"/>
      <w:marBottom w:val="0"/>
      <w:divBdr>
        <w:top w:val="none" w:sz="0" w:space="0" w:color="auto"/>
        <w:left w:val="none" w:sz="0" w:space="0" w:color="auto"/>
        <w:bottom w:val="none" w:sz="0" w:space="0" w:color="auto"/>
        <w:right w:val="none" w:sz="0" w:space="0" w:color="auto"/>
      </w:divBdr>
    </w:div>
    <w:div w:id="2103866100">
      <w:bodyDiv w:val="1"/>
      <w:marLeft w:val="0"/>
      <w:marRight w:val="0"/>
      <w:marTop w:val="0"/>
      <w:marBottom w:val="0"/>
      <w:divBdr>
        <w:top w:val="none" w:sz="0" w:space="0" w:color="auto"/>
        <w:left w:val="none" w:sz="0" w:space="0" w:color="auto"/>
        <w:bottom w:val="none" w:sz="0" w:space="0" w:color="auto"/>
        <w:right w:val="none" w:sz="0" w:space="0" w:color="auto"/>
      </w:divBdr>
    </w:div>
    <w:div w:id="2110588608">
      <w:bodyDiv w:val="1"/>
      <w:marLeft w:val="0"/>
      <w:marRight w:val="0"/>
      <w:marTop w:val="0"/>
      <w:marBottom w:val="0"/>
      <w:divBdr>
        <w:top w:val="none" w:sz="0" w:space="0" w:color="auto"/>
        <w:left w:val="none" w:sz="0" w:space="0" w:color="auto"/>
        <w:bottom w:val="none" w:sz="0" w:space="0" w:color="auto"/>
        <w:right w:val="none" w:sz="0" w:space="0" w:color="auto"/>
      </w:divBdr>
    </w:div>
    <w:div w:id="2111197120">
      <w:bodyDiv w:val="1"/>
      <w:marLeft w:val="0"/>
      <w:marRight w:val="0"/>
      <w:marTop w:val="0"/>
      <w:marBottom w:val="0"/>
      <w:divBdr>
        <w:top w:val="none" w:sz="0" w:space="0" w:color="auto"/>
        <w:left w:val="none" w:sz="0" w:space="0" w:color="auto"/>
        <w:bottom w:val="none" w:sz="0" w:space="0" w:color="auto"/>
        <w:right w:val="none" w:sz="0" w:space="0" w:color="auto"/>
      </w:divBdr>
    </w:div>
    <w:div w:id="2120180248">
      <w:bodyDiv w:val="1"/>
      <w:marLeft w:val="0"/>
      <w:marRight w:val="0"/>
      <w:marTop w:val="0"/>
      <w:marBottom w:val="0"/>
      <w:divBdr>
        <w:top w:val="none" w:sz="0" w:space="0" w:color="auto"/>
        <w:left w:val="none" w:sz="0" w:space="0" w:color="auto"/>
        <w:bottom w:val="none" w:sz="0" w:space="0" w:color="auto"/>
        <w:right w:val="none" w:sz="0" w:space="0" w:color="auto"/>
      </w:divBdr>
    </w:div>
    <w:div w:id="2128087620">
      <w:bodyDiv w:val="1"/>
      <w:marLeft w:val="0"/>
      <w:marRight w:val="0"/>
      <w:marTop w:val="0"/>
      <w:marBottom w:val="0"/>
      <w:divBdr>
        <w:top w:val="none" w:sz="0" w:space="0" w:color="auto"/>
        <w:left w:val="none" w:sz="0" w:space="0" w:color="auto"/>
        <w:bottom w:val="none" w:sz="0" w:space="0" w:color="auto"/>
        <w:right w:val="none" w:sz="0" w:space="0" w:color="auto"/>
      </w:divBdr>
    </w:div>
    <w:div w:id="2130204508">
      <w:bodyDiv w:val="1"/>
      <w:marLeft w:val="0"/>
      <w:marRight w:val="0"/>
      <w:marTop w:val="0"/>
      <w:marBottom w:val="0"/>
      <w:divBdr>
        <w:top w:val="none" w:sz="0" w:space="0" w:color="auto"/>
        <w:left w:val="none" w:sz="0" w:space="0" w:color="auto"/>
        <w:bottom w:val="none" w:sz="0" w:space="0" w:color="auto"/>
        <w:right w:val="none" w:sz="0" w:space="0" w:color="auto"/>
      </w:divBdr>
    </w:div>
    <w:div w:id="2137094317">
      <w:bodyDiv w:val="1"/>
      <w:marLeft w:val="0"/>
      <w:marRight w:val="0"/>
      <w:marTop w:val="0"/>
      <w:marBottom w:val="0"/>
      <w:divBdr>
        <w:top w:val="none" w:sz="0" w:space="0" w:color="auto"/>
        <w:left w:val="none" w:sz="0" w:space="0" w:color="auto"/>
        <w:bottom w:val="none" w:sz="0" w:space="0" w:color="auto"/>
        <w:right w:val="none" w:sz="0" w:space="0" w:color="auto"/>
      </w:divBdr>
    </w:div>
    <w:div w:id="214546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2.xm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hyperlink" Target="https://myintracomm.ec.europa.eu/budgweb/EN/leg/internal/Documents/2016-5-legislative-financial-statement-ann-en.docx" TargetMode="External"/><Relationship Id="rId23" Type="http://schemas.openxmlformats.org/officeDocument/2006/relationships/footer" Target="footer7.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eader" Target="header4.xml"/><Relationship Id="rId27" Type="http://schemas.openxmlformats.org/officeDocument/2006/relationships/footer" Target="footer10.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info/sites/default/files/final_opinion_2021_sbgr2_10_ecodesign.pdf" TargetMode="External"/><Relationship Id="rId13" Type="http://schemas.openxmlformats.org/officeDocument/2006/relationships/hyperlink" Target="https://myintracomm.ec.europa.eu/budgweb/EN/man/budgmanag/Pages/budgmanag.aspx" TargetMode="External"/><Relationship Id="rId3" Type="http://schemas.openxmlformats.org/officeDocument/2006/relationships/hyperlink" Target="http://www.energylabelevaluation.eu/tmce/Final_technical_report-Evaluation_ELD_ED_June_2014.pdf" TargetMode="External"/><Relationship Id="rId7" Type="http://schemas.openxmlformats.org/officeDocument/2006/relationships/hyperlink" Target="https://ec.europa.eu/info/law/better-regulation/have-your-say/initiatives/12567-Sustainable-products-initiative_en" TargetMode="External"/><Relationship Id="rId12" Type="http://schemas.openxmlformats.org/officeDocument/2006/relationships/hyperlink" Target="https://eur-lex.europa.eu/legal-content/EN/AUTO/?uri=OJ:L:2011:055:TOC" TargetMode="External"/><Relationship Id="rId2" Type="http://schemas.openxmlformats.org/officeDocument/2006/relationships/hyperlink" Target="https://op.europa.eu/s/vLEO" TargetMode="External"/><Relationship Id="rId1" Type="http://schemas.openxmlformats.org/officeDocument/2006/relationships/hyperlink" Target="https://ec.europa.eu/commission/presscorner/detail/en/IP_21_3541" TargetMode="External"/><Relationship Id="rId6" Type="http://schemas.openxmlformats.org/officeDocument/2006/relationships/hyperlink" Target="https://op.europa.eu/en/publication-detail/-/publication/379645c0-eeb7-40eb-adc7-e5a4a502c869" TargetMode="External"/><Relationship Id="rId11" Type="http://schemas.openxmlformats.org/officeDocument/2006/relationships/hyperlink" Target="https://ec.europa.eu/environment/gpp/eu_gpp_criteria_en.htm" TargetMode="External"/><Relationship Id="rId5" Type="http://schemas.openxmlformats.org/officeDocument/2006/relationships/hyperlink" Target="https://eur-lex.europa.eu/legal-content/EN/TXT/?uri=CELEX:52008DC0397" TargetMode="External"/><Relationship Id="rId10" Type="http://schemas.openxmlformats.org/officeDocument/2006/relationships/hyperlink" Target="https://ec.europa.eu/commission/presscorner/detail/en/IP_21_3541" TargetMode="External"/><Relationship Id="rId4" Type="http://schemas.openxmlformats.org/officeDocument/2006/relationships/hyperlink" Target="https://op.europa.eu/webpub/eca/special-reports/eu-energy-labels-1-2020/en/" TargetMode="External"/><Relationship Id="rId9" Type="http://schemas.openxmlformats.org/officeDocument/2006/relationships/hyperlink" Target="https://www.europarl.europa.eu/doceo/document/TA-9-2021-0040_E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Status xmlns="http://schemas.microsoft.com/sharepoint/v3/fields" xsi:nil="true"/>
    <EC_Collab_DocumentLanguage xmlns="9bc825b7-3f4d-47da-ab3a-5381cabda5f8"/>
    <EC_Collab_Status xmlns="9bc825b7-3f4d-47da-ab3a-5381cabda5f8"/>
    <EC_Collab_Reference xmlns="9bc825b7-3f4d-47da-ab3a-5381cabda5f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472CC3C3CCCADC42B1DD01F92B87CEE2" ma:contentTypeVersion="0" ma:contentTypeDescription="Create a new document in this library." ma:contentTypeScope="" ma:versionID="636cc57723456e9e34801da0b78241f3">
  <xsd:schema xmlns:xsd="http://www.w3.org/2001/XMLSchema" xmlns:xs="http://www.w3.org/2001/XMLSchema" xmlns:p="http://schemas.microsoft.com/office/2006/metadata/properties" xmlns:ns2="http://schemas.microsoft.com/sharepoint/v3/fields" xmlns:ns3="9bc825b7-3f4d-47da-ab3a-5381cabda5f8" targetNamespace="http://schemas.microsoft.com/office/2006/metadata/properties" ma:root="true" ma:fieldsID="67f0adaf1fe0348f266d24b4800874b7" ns2:_="" ns3:_="">
    <xsd:import namespace="http://schemas.microsoft.com/sharepoint/v3/fields"/>
    <xsd:import namespace="9bc825b7-3f4d-47da-ab3a-5381cabda5f8"/>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bc825b7-3f4d-47da-ab3a-5381cabda5f8"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A28B05-E577-4A57-A586-ACE6DE78ED5A}">
  <ds:schemaRefs>
    <ds:schemaRef ds:uri="http://schemas.openxmlformats.org/officeDocument/2006/bibliography"/>
  </ds:schemaRefs>
</ds:datastoreItem>
</file>

<file path=customXml/itemProps2.xml><?xml version="1.0" encoding="utf-8"?>
<ds:datastoreItem xmlns:ds="http://schemas.openxmlformats.org/officeDocument/2006/customXml" ds:itemID="{06640A4C-7C81-4737-A5E7-C2ED7A36ED8A}">
  <ds:schemaRefs>
    <ds:schemaRef ds:uri="http://schemas.microsoft.com/office/2006/documentManagement/types"/>
    <ds:schemaRef ds:uri="http://schemas.microsoft.com/sharepoint/v3/fields"/>
    <ds:schemaRef ds:uri="http://schemas.openxmlformats.org/package/2006/metadata/core-properties"/>
    <ds:schemaRef ds:uri="http://purl.org/dc/elements/1.1/"/>
    <ds:schemaRef ds:uri="9bc825b7-3f4d-47da-ab3a-5381cabda5f8"/>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3BA5DB13-F291-4CDD-8E2D-2F3E77931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9bc825b7-3f4d-47da-ab3a-5381cabd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DB963F-D6D6-4970-96B0-F382347516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COM.dotm</Template>
  <TotalTime>15</TotalTime>
  <Pages>139</Pages>
  <Words>20296</Words>
  <Characters>115693</Characters>
  <Application>Microsoft Office Word</Application>
  <DocSecurity>0</DocSecurity>
  <Lines>964</Lines>
  <Paragraphs>271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Proposal for a Regulation on Ecodesign for Sustainable Products</vt:lpstr>
      <vt:lpstr>Proposal for a Regulation on Ecodesign for Sustainable Products</vt:lpstr>
    </vt:vector>
  </TitlesOfParts>
  <Manager/>
  <Company/>
  <LinksUpToDate>false</LinksUpToDate>
  <CharactersWithSpaces>135718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 a Regulation on Ecodesign for Sustainable Products</dc:title>
  <dc:subject/>
  <dc:creator>原田 幸明</dc:creator>
  <cp:keywords>, docId:5AD2D68DE1824539DBAC0D62C2A8F415</cp:keywords>
  <dc:description/>
  <cp:lastModifiedBy>原田 幸明</cp:lastModifiedBy>
  <cp:revision>4</cp:revision>
  <cp:lastPrinted>2022-03-03T09:02:00Z</cp:lastPrinted>
  <dcterms:created xsi:type="dcterms:W3CDTF">2023-04-06T04:09:00Z</dcterms:created>
  <dcterms:modified xsi:type="dcterms:W3CDTF">2023-04-06T04:38:00Z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8.0, Build 20220128</vt:lpwstr>
  </property>
  <property fmtid="{D5CDD505-2E9C-101B-9397-08002B2CF9AE}" pid="5" name="Created using">
    <vt:lpwstr>LW 7.0.1, Build 20200226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ContentTypeId">
    <vt:lpwstr>0x010100258AA79CEB83498886A3A0868112325000472CC3C3CCCADC42B1DD01F92B87CEE2</vt:lpwstr>
  </property>
  <property fmtid="{D5CDD505-2E9C-101B-9397-08002B2CF9AE}" pid="11" name="MSIP_Label_6bd9ddd1-4d20-43f6-abfa-fc3c07406f94_Enabled">
    <vt:lpwstr>true</vt:lpwstr>
  </property>
  <property fmtid="{D5CDD505-2E9C-101B-9397-08002B2CF9AE}" pid="12" name="MSIP_Label_6bd9ddd1-4d20-43f6-abfa-fc3c07406f94_SetDate">
    <vt:lpwstr>2021-12-02T12:11:00Z</vt:lpwstr>
  </property>
  <property fmtid="{D5CDD505-2E9C-101B-9397-08002B2CF9AE}" pid="13" name="MSIP_Label_6bd9ddd1-4d20-43f6-abfa-fc3c07406f94_Method">
    <vt:lpwstr>Standard</vt:lpwstr>
  </property>
  <property fmtid="{D5CDD505-2E9C-101B-9397-08002B2CF9AE}" pid="14" name="MSIP_Label_6bd9ddd1-4d20-43f6-abfa-fc3c07406f94_Name">
    <vt:lpwstr>Commission Use</vt:lpwstr>
  </property>
  <property fmtid="{D5CDD505-2E9C-101B-9397-08002B2CF9AE}" pid="15" name="MSIP_Label_6bd9ddd1-4d20-43f6-abfa-fc3c07406f94_SiteId">
    <vt:lpwstr>b24c8b06-522c-46fe-9080-70926f8dddb1</vt:lpwstr>
  </property>
  <property fmtid="{D5CDD505-2E9C-101B-9397-08002B2CF9AE}" pid="16" name="MSIP_Label_6bd9ddd1-4d20-43f6-abfa-fc3c07406f94_ActionId">
    <vt:lpwstr>ba2fbbc0-7b36-44ca-9e87-d1fa01321558</vt:lpwstr>
  </property>
  <property fmtid="{D5CDD505-2E9C-101B-9397-08002B2CF9AE}" pid="17" name="MSIP_Label_6bd9ddd1-4d20-43f6-abfa-fc3c07406f94_ContentBits">
    <vt:lpwstr>0</vt:lpwstr>
  </property>
  <property fmtid="{D5CDD505-2E9C-101B-9397-08002B2CF9AE}" pid="18" name="DQCStatus">
    <vt:lpwstr>Yellow (DQC version 03)</vt:lpwstr>
  </property>
</Properties>
</file>