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6931" w14:textId="77777777" w:rsidR="005F38AA" w:rsidRDefault="009649F8">
      <w:pPr>
        <w:pStyle w:val="a4"/>
        <w:numPr>
          <w:ilvl w:val="0"/>
          <w:numId w:val="79"/>
        </w:numPr>
        <w:tabs>
          <w:tab w:val="left" w:pos="820"/>
          <w:tab w:val="left" w:pos="821"/>
        </w:tabs>
        <w:spacing w:before="79"/>
        <w:rPr>
          <w:b/>
          <w:sz w:val="28"/>
        </w:rPr>
      </w:pPr>
      <w:r>
        <w:rPr>
          <w:b/>
          <w:color w:val="087ADA"/>
          <w:sz w:val="28"/>
        </w:rPr>
        <w:t>製造業</w:t>
      </w:r>
    </w:p>
    <w:p w14:paraId="7F166932" w14:textId="77777777" w:rsidR="005F38AA" w:rsidRDefault="005F38AA">
      <w:pPr>
        <w:pStyle w:val="a3"/>
        <w:spacing w:before="1"/>
        <w:rPr>
          <w:b/>
          <w:sz w:val="25"/>
        </w:rPr>
      </w:pPr>
    </w:p>
    <w:p w14:paraId="7F166933" w14:textId="07462B8B" w:rsidR="005F38AA" w:rsidRDefault="009649F8">
      <w:pPr>
        <w:pStyle w:val="2"/>
        <w:rPr>
          <w:lang w:eastAsia="ja-JP"/>
        </w:rPr>
      </w:pPr>
      <w:r>
        <w:rPr>
          <w:lang w:eastAsia="ja-JP"/>
        </w:rPr>
        <w:t>なぜ製造が</w:t>
      </w:r>
      <w:r w:rsidR="009A6BB8">
        <w:rPr>
          <w:rFonts w:hint="eastAsia"/>
          <w:lang w:eastAsia="ja-JP"/>
        </w:rPr>
        <w:t>タクソノミー</w:t>
      </w:r>
      <w:r>
        <w:rPr>
          <w:lang w:eastAsia="ja-JP"/>
        </w:rPr>
        <w:t>に含まれるのか</w:t>
      </w:r>
    </w:p>
    <w:p w14:paraId="7F166934" w14:textId="1597E510" w:rsidR="005F38AA" w:rsidRDefault="009649F8">
      <w:pPr>
        <w:pStyle w:val="a3"/>
        <w:spacing w:before="153" w:line="276" w:lineRule="auto"/>
        <w:ind w:left="100" w:right="96"/>
        <w:rPr>
          <w:lang w:eastAsia="ja-JP"/>
        </w:rPr>
      </w:pPr>
      <w:r>
        <w:rPr>
          <w:position w:val="1"/>
          <w:lang w:eastAsia="ja-JP"/>
        </w:rPr>
        <w:t>製造業はCO2e排出量</w:t>
      </w:r>
      <w:r w:rsidR="00784A2B">
        <w:rPr>
          <w:rFonts w:hint="eastAsia"/>
          <w:position w:val="1"/>
          <w:lang w:eastAsia="ja-JP"/>
        </w:rPr>
        <w:t>でいえば</w:t>
      </w:r>
      <w:r>
        <w:rPr>
          <w:position w:val="1"/>
          <w:lang w:eastAsia="ja-JP"/>
        </w:rPr>
        <w:t>第2位の寄与</w:t>
      </w:r>
      <w:r w:rsidR="00784A2B">
        <w:rPr>
          <w:rFonts w:hint="eastAsia"/>
          <w:position w:val="1"/>
          <w:lang w:eastAsia="ja-JP"/>
        </w:rPr>
        <w:t>部門</w:t>
      </w:r>
      <w:r>
        <w:rPr>
          <w:position w:val="1"/>
          <w:lang w:eastAsia="ja-JP"/>
        </w:rPr>
        <w:t>であるが、</w:t>
      </w:r>
      <w:r w:rsidR="009A6BB8" w:rsidRPr="00F30B66">
        <w:rPr>
          <w:rFonts w:hint="eastAsia"/>
          <w:position w:val="1"/>
          <w:highlight w:val="yellow"/>
          <w:lang w:eastAsia="ja-JP"/>
        </w:rPr>
        <w:t>農業など</w:t>
      </w:r>
      <w:r>
        <w:rPr>
          <w:position w:val="1"/>
          <w:lang w:eastAsia="ja-JP"/>
        </w:rPr>
        <w:t>他の部門でのGHG排出削減に貢献できる製品や技術を生産することも可能であ</w:t>
      </w:r>
      <w:r w:rsidR="009A6BB8">
        <w:rPr>
          <w:rFonts w:hint="eastAsia"/>
          <w:position w:val="1"/>
          <w:lang w:eastAsia="ja-JP"/>
        </w:rPr>
        <w:t>るため</w:t>
      </w:r>
      <w:r>
        <w:rPr>
          <w:position w:val="1"/>
          <w:lang w:eastAsia="ja-JP"/>
        </w:rPr>
        <w:t>、低炭素経済</w:t>
      </w:r>
      <w:r w:rsidR="009A6BB8" w:rsidRPr="00F30B66">
        <w:rPr>
          <w:rFonts w:hint="eastAsia"/>
          <w:position w:val="1"/>
          <w:highlight w:val="yellow"/>
          <w:lang w:eastAsia="ja-JP"/>
        </w:rPr>
        <w:t>全体</w:t>
      </w:r>
      <w:r>
        <w:rPr>
          <w:position w:val="1"/>
          <w:lang w:eastAsia="ja-JP"/>
        </w:rPr>
        <w:t>の</w:t>
      </w:r>
      <w:r w:rsidR="009A6BB8">
        <w:rPr>
          <w:rFonts w:hint="eastAsia"/>
          <w:position w:val="1"/>
          <w:lang w:eastAsia="ja-JP"/>
        </w:rPr>
        <w:t>基礎をなしているといえる</w:t>
      </w:r>
      <w:r>
        <w:rPr>
          <w:position w:val="1"/>
          <w:lang w:eastAsia="ja-JP"/>
        </w:rPr>
        <w:t>。</w:t>
      </w:r>
    </w:p>
    <w:p w14:paraId="7F166935" w14:textId="77777777" w:rsidR="005F38AA" w:rsidRDefault="005F38AA">
      <w:pPr>
        <w:pStyle w:val="a3"/>
        <w:rPr>
          <w:sz w:val="21"/>
          <w:lang w:eastAsia="ja-JP"/>
        </w:rPr>
      </w:pPr>
    </w:p>
    <w:p w14:paraId="7F166936" w14:textId="062DD7DE" w:rsidR="005F38AA" w:rsidRDefault="009A6BB8">
      <w:pPr>
        <w:pStyle w:val="a3"/>
        <w:spacing w:line="276" w:lineRule="auto"/>
        <w:ind w:left="100" w:right="96"/>
        <w:rPr>
          <w:lang w:eastAsia="ja-JP"/>
        </w:rPr>
      </w:pPr>
      <w:r>
        <w:rPr>
          <w:rFonts w:hint="eastAsia"/>
          <w:lang w:eastAsia="ja-JP"/>
        </w:rPr>
        <w:t>タクソノミー</w:t>
      </w:r>
      <w:r w:rsidR="009649F8">
        <w:rPr>
          <w:lang w:eastAsia="ja-JP"/>
        </w:rPr>
        <w:t>の製造部門には、低炭素技術の製造だけでなく、エネルギー集約的で緩和が困難な製造</w:t>
      </w:r>
      <w:r>
        <w:rPr>
          <w:rFonts w:hint="eastAsia"/>
          <w:lang w:eastAsia="ja-JP"/>
        </w:rPr>
        <w:t>業</w:t>
      </w:r>
      <w:r w:rsidR="009649F8">
        <w:rPr>
          <w:lang w:eastAsia="ja-JP"/>
        </w:rPr>
        <w:t>も含まれている</w:t>
      </w:r>
      <w:r>
        <w:rPr>
          <w:rFonts w:hint="eastAsia"/>
          <w:lang w:eastAsia="ja-JP"/>
        </w:rPr>
        <w:t>が、そうすることで</w:t>
      </w:r>
      <w:r w:rsidR="009649F8">
        <w:rPr>
          <w:lang w:eastAsia="ja-JP"/>
        </w:rPr>
        <w:t>低炭素排出の経済活動と変革に取り組む先駆者を支援することを目的としている。</w:t>
      </w:r>
    </w:p>
    <w:p w14:paraId="7F166937" w14:textId="77777777" w:rsidR="005F38AA" w:rsidRDefault="005F38AA">
      <w:pPr>
        <w:pStyle w:val="a3"/>
        <w:spacing w:before="11"/>
        <w:rPr>
          <w:lang w:eastAsia="ja-JP"/>
        </w:rPr>
      </w:pPr>
    </w:p>
    <w:p w14:paraId="7F166938" w14:textId="647EADEA" w:rsidR="005F38AA" w:rsidRDefault="009649F8">
      <w:pPr>
        <w:pStyle w:val="2"/>
        <w:rPr>
          <w:lang w:eastAsia="ja-JP"/>
        </w:rPr>
      </w:pPr>
      <w:r>
        <w:rPr>
          <w:lang w:eastAsia="ja-JP"/>
        </w:rPr>
        <w:t>製造</w:t>
      </w:r>
      <w:r w:rsidR="00784A2B">
        <w:rPr>
          <w:rFonts w:hint="eastAsia"/>
          <w:lang w:eastAsia="ja-JP"/>
        </w:rPr>
        <w:t>業の</w:t>
      </w:r>
      <w:r>
        <w:rPr>
          <w:lang w:eastAsia="ja-JP"/>
        </w:rPr>
        <w:t>範囲と閾値</w:t>
      </w:r>
    </w:p>
    <w:p w14:paraId="7F166939" w14:textId="77777777" w:rsidR="005F38AA" w:rsidRDefault="005F38AA">
      <w:pPr>
        <w:pStyle w:val="a3"/>
        <w:spacing w:before="10"/>
        <w:rPr>
          <w:b/>
          <w:sz w:val="23"/>
          <w:lang w:eastAsia="ja-JP"/>
        </w:rPr>
      </w:pPr>
    </w:p>
    <w:p w14:paraId="7F16693A" w14:textId="27BF1A3F" w:rsidR="005F38AA" w:rsidRDefault="009649F8">
      <w:pPr>
        <w:ind w:left="100"/>
        <w:rPr>
          <w:b/>
          <w:sz w:val="20"/>
          <w:lang w:eastAsia="ja-JP"/>
        </w:rPr>
      </w:pPr>
      <w:r>
        <w:rPr>
          <w:b/>
          <w:sz w:val="20"/>
          <w:lang w:eastAsia="ja-JP"/>
        </w:rPr>
        <w:t>どの経済活動が含まれているか、またその理由</w:t>
      </w:r>
    </w:p>
    <w:p w14:paraId="7F16693B" w14:textId="608B5E7C" w:rsidR="005F38AA" w:rsidRDefault="009649F8">
      <w:pPr>
        <w:pStyle w:val="a3"/>
        <w:spacing w:before="154" w:line="276" w:lineRule="auto"/>
        <w:ind w:left="100" w:right="96"/>
        <w:rPr>
          <w:lang w:eastAsia="ja-JP"/>
        </w:rPr>
      </w:pPr>
      <w:r>
        <w:rPr>
          <w:lang w:eastAsia="ja-JP"/>
        </w:rPr>
        <w:t>対象となる経済活動には、製品の製造に関連するスコープ1およびスコープ2</w:t>
      </w:r>
      <w:r w:rsidR="009A6BB8">
        <w:rPr>
          <w:rFonts w:hint="eastAsia"/>
          <w:lang w:eastAsia="ja-JP"/>
        </w:rPr>
        <w:t>までの範囲で</w:t>
      </w:r>
      <w:r>
        <w:rPr>
          <w:lang w:eastAsia="ja-JP"/>
        </w:rPr>
        <w:t>GHG排出量の高い割合を占める部門が含まれ</w:t>
      </w:r>
      <w:r w:rsidR="009A6BB8">
        <w:rPr>
          <w:rFonts w:hint="eastAsia"/>
          <w:lang w:eastAsia="ja-JP"/>
        </w:rPr>
        <w:t>ており</w:t>
      </w:r>
      <w:r>
        <w:rPr>
          <w:lang w:eastAsia="ja-JP"/>
        </w:rPr>
        <w:t>、GHG排出削減の潜在的可能性が大きい。 具体的には、アルミニウムの製造(NACE 24.42)、鉄鋼の製造(NACE 24.1, 24.2, 24.3)、セメントの製造(NACE 23.51)、化学品の製造(NACE 20.13, 20.14, 20.15, 20.16)である。</w:t>
      </w:r>
    </w:p>
    <w:p w14:paraId="7F16693C" w14:textId="77777777" w:rsidR="005F38AA" w:rsidRDefault="005F38AA">
      <w:pPr>
        <w:pStyle w:val="a3"/>
        <w:spacing w:before="10"/>
        <w:rPr>
          <w:lang w:eastAsia="ja-JP"/>
        </w:rPr>
      </w:pPr>
    </w:p>
    <w:p w14:paraId="7F16693D" w14:textId="7901DD9C" w:rsidR="005F38AA" w:rsidRDefault="00784A2B">
      <w:pPr>
        <w:pStyle w:val="a3"/>
        <w:spacing w:line="276" w:lineRule="auto"/>
        <w:ind w:left="100" w:right="243"/>
        <w:rPr>
          <w:lang w:eastAsia="ja-JP"/>
        </w:rPr>
      </w:pPr>
      <w:r>
        <w:rPr>
          <w:rFonts w:hint="eastAsia"/>
          <w:lang w:eastAsia="ja-JP"/>
        </w:rPr>
        <w:t>製造業については</w:t>
      </w:r>
      <w:r w:rsidR="00CD5365">
        <w:rPr>
          <w:rFonts w:hint="eastAsia"/>
          <w:lang w:eastAsia="ja-JP"/>
        </w:rPr>
        <w:t>また</w:t>
      </w:r>
      <w:r w:rsidR="009649F8">
        <w:rPr>
          <w:lang w:eastAsia="ja-JP"/>
        </w:rPr>
        <w:t>、「低炭素技術」に含まれる活動と、閾値の達成に結びつく「緩和措置」の両方をカバーする生産活動に、イネーブリング活動</w:t>
      </w:r>
      <w:r w:rsidR="00CD5365">
        <w:rPr>
          <w:rStyle w:val="ad"/>
          <w:lang w:eastAsia="ja-JP"/>
        </w:rPr>
        <w:footnoteReference w:id="1"/>
      </w:r>
      <w:r w:rsidR="009649F8">
        <w:rPr>
          <w:lang w:eastAsia="ja-JP"/>
        </w:rPr>
        <w:t>が含まれている。</w:t>
      </w:r>
    </w:p>
    <w:p w14:paraId="7F16693E" w14:textId="77777777" w:rsidR="005F38AA" w:rsidRDefault="005F38AA">
      <w:pPr>
        <w:pStyle w:val="a3"/>
        <w:spacing w:before="1"/>
        <w:rPr>
          <w:sz w:val="21"/>
          <w:lang w:eastAsia="ja-JP"/>
        </w:rPr>
      </w:pPr>
    </w:p>
    <w:p w14:paraId="7F16693F" w14:textId="76C2E08A" w:rsidR="005F38AA" w:rsidRPr="00F30B66" w:rsidRDefault="009649F8" w:rsidP="00784A2B">
      <w:pPr>
        <w:pStyle w:val="a4"/>
        <w:numPr>
          <w:ilvl w:val="0"/>
          <w:numId w:val="78"/>
        </w:numPr>
        <w:tabs>
          <w:tab w:val="left" w:pos="460"/>
          <w:tab w:val="left" w:pos="461"/>
        </w:tabs>
        <w:spacing w:line="276" w:lineRule="auto"/>
        <w:ind w:right="313"/>
        <w:rPr>
          <w:sz w:val="20"/>
          <w:lang w:eastAsia="ja-JP"/>
        </w:rPr>
      </w:pPr>
      <w:r>
        <w:rPr>
          <w:b/>
          <w:sz w:val="20"/>
          <w:lang w:eastAsia="ja-JP"/>
        </w:rPr>
        <w:t>低炭素活動とは、多くの重要な再生可能エネルギー技術(地熱、水力、集中型太陽光発電(CSP)、太陽光発電(PV)技術、風力、海洋エネルギー)に不可欠な製品、主要部品、設備、機械の製造、低炭素輸送車両、船隊、船舶の製造、建築物やその他の低炭素技術のためのエネルギー効率機器の製造であり、経済部門(民生部門</w:t>
      </w:r>
      <w:r w:rsidR="00784A2B">
        <w:rPr>
          <w:rFonts w:hint="eastAsia"/>
          <w:b/>
          <w:sz w:val="20"/>
          <w:lang w:eastAsia="ja-JP"/>
        </w:rPr>
        <w:t>：家計</w:t>
      </w:r>
      <w:r w:rsidRPr="00F30B66">
        <w:rPr>
          <w:rFonts w:hint="eastAsia"/>
          <w:b/>
          <w:sz w:val="20"/>
          <w:lang w:eastAsia="ja-JP"/>
        </w:rPr>
        <w:t>を含む)のさらなるGHG排出削減につながる。</w:t>
      </w:r>
    </w:p>
    <w:p w14:paraId="7F166940" w14:textId="77777777" w:rsidR="005F38AA" w:rsidRDefault="005F38AA">
      <w:pPr>
        <w:pStyle w:val="a3"/>
        <w:spacing w:before="6"/>
        <w:rPr>
          <w:lang w:eastAsia="ja-JP"/>
        </w:rPr>
      </w:pPr>
    </w:p>
    <w:p w14:paraId="7F166941" w14:textId="500B23D3" w:rsidR="005F38AA" w:rsidRDefault="009649F8">
      <w:pPr>
        <w:pStyle w:val="a4"/>
        <w:numPr>
          <w:ilvl w:val="0"/>
          <w:numId w:val="78"/>
        </w:numPr>
        <w:tabs>
          <w:tab w:val="left" w:pos="460"/>
          <w:tab w:val="left" w:pos="461"/>
        </w:tabs>
        <w:spacing w:line="273" w:lineRule="auto"/>
        <w:ind w:right="312"/>
        <w:rPr>
          <w:sz w:val="20"/>
          <w:lang w:eastAsia="ja-JP"/>
        </w:rPr>
      </w:pPr>
      <w:r>
        <w:rPr>
          <w:b/>
          <w:sz w:val="20"/>
          <w:lang w:eastAsia="ja-JP"/>
        </w:rPr>
        <w:t>緩和措置は、これらの排出量の多い製造部門における経済活動の定義された基準に達するまでの移行を支援する重要なステップと認識されているため、</w:t>
      </w:r>
      <w:r w:rsidR="00784A2B">
        <w:rPr>
          <w:rFonts w:hint="eastAsia"/>
          <w:b/>
          <w:sz w:val="20"/>
          <w:lang w:eastAsia="ja-JP"/>
        </w:rPr>
        <w:t>イネ―ブリング</w:t>
      </w:r>
      <w:r>
        <w:rPr>
          <w:b/>
          <w:sz w:val="20"/>
          <w:lang w:eastAsia="ja-JP"/>
        </w:rPr>
        <w:t>活動として</w:t>
      </w:r>
      <w:r w:rsidR="00CD5365">
        <w:rPr>
          <w:rFonts w:hint="eastAsia"/>
          <w:b/>
          <w:sz w:val="20"/>
          <w:lang w:eastAsia="ja-JP"/>
        </w:rPr>
        <w:t>認められる</w:t>
      </w:r>
      <w:r>
        <w:rPr>
          <w:b/>
          <w:sz w:val="20"/>
          <w:lang w:eastAsia="ja-JP"/>
        </w:rPr>
        <w:t>。</w:t>
      </w:r>
    </w:p>
    <w:p w14:paraId="7F166942" w14:textId="77777777" w:rsidR="005F38AA" w:rsidRDefault="005F38AA">
      <w:pPr>
        <w:pStyle w:val="a3"/>
        <w:rPr>
          <w:sz w:val="21"/>
          <w:lang w:eastAsia="ja-JP"/>
        </w:rPr>
      </w:pPr>
    </w:p>
    <w:p w14:paraId="7F166943" w14:textId="546EB2B9" w:rsidR="005F38AA" w:rsidRDefault="009649F8">
      <w:pPr>
        <w:pStyle w:val="a3"/>
        <w:spacing w:line="276" w:lineRule="auto"/>
        <w:ind w:left="100" w:right="128"/>
        <w:rPr>
          <w:lang w:eastAsia="ja-JP"/>
        </w:rPr>
      </w:pPr>
      <w:r>
        <w:rPr>
          <w:lang w:eastAsia="ja-JP"/>
        </w:rPr>
        <w:t>TEGは、多くの製造活動が現在のところ</w:t>
      </w:r>
      <w:r w:rsidR="00784A2B">
        <w:rPr>
          <w:rFonts w:hint="eastAsia"/>
          <w:lang w:eastAsia="ja-JP"/>
        </w:rPr>
        <w:t>タクソノミー</w:t>
      </w:r>
      <w:r>
        <w:rPr>
          <w:lang w:eastAsia="ja-JP"/>
        </w:rPr>
        <w:t>では扱われていないことを認識しており、</w:t>
      </w:r>
      <w:r w:rsidR="00784A2B">
        <w:rPr>
          <w:rFonts w:hint="eastAsia"/>
          <w:lang w:eastAsia="ja-JP"/>
        </w:rPr>
        <w:t>今後</w:t>
      </w:r>
      <w:r w:rsidR="00CD5365">
        <w:rPr>
          <w:rFonts w:hint="eastAsia"/>
          <w:lang w:eastAsia="ja-JP"/>
        </w:rPr>
        <w:t>順次</w:t>
      </w:r>
      <w:r>
        <w:rPr>
          <w:lang w:eastAsia="ja-JP"/>
        </w:rPr>
        <w:t>対処</w:t>
      </w:r>
      <w:r w:rsidR="00784A2B">
        <w:rPr>
          <w:rFonts w:hint="eastAsia"/>
          <w:lang w:eastAsia="ja-JP"/>
        </w:rPr>
        <w:t>される</w:t>
      </w:r>
      <w:r>
        <w:rPr>
          <w:lang w:eastAsia="ja-JP"/>
        </w:rPr>
        <w:t>。 ただし、TEGは、省略された活動が</w:t>
      </w:r>
      <w:r w:rsidR="00520D32">
        <w:rPr>
          <w:rFonts w:hint="eastAsia"/>
          <w:lang w:eastAsia="ja-JP"/>
        </w:rPr>
        <w:t>ノングリーンまたはブラウン</w:t>
      </w:r>
      <w:r>
        <w:rPr>
          <w:lang w:eastAsia="ja-JP"/>
        </w:rPr>
        <w:t>であるとは想定していないことに留意する必要がある。 時間</w:t>
      </w:r>
      <w:r w:rsidR="00CD5365">
        <w:rPr>
          <w:rFonts w:hint="eastAsia"/>
          <w:lang w:eastAsia="ja-JP"/>
        </w:rPr>
        <w:t>は</w:t>
      </w:r>
      <w:r>
        <w:rPr>
          <w:lang w:eastAsia="ja-JP"/>
        </w:rPr>
        <w:t>限られて</w:t>
      </w:r>
      <w:r w:rsidR="00CD5365">
        <w:rPr>
          <w:rFonts w:hint="eastAsia"/>
          <w:lang w:eastAsia="ja-JP"/>
        </w:rPr>
        <w:t>おり</w:t>
      </w:r>
      <w:r>
        <w:rPr>
          <w:lang w:eastAsia="ja-JP"/>
        </w:rPr>
        <w:t>、</w:t>
      </w:r>
      <w:r w:rsidR="00CD5365">
        <w:rPr>
          <w:rFonts w:hint="eastAsia"/>
          <w:lang w:eastAsia="ja-JP"/>
        </w:rPr>
        <w:t>その中で</w:t>
      </w:r>
      <w:r>
        <w:rPr>
          <w:lang w:eastAsia="ja-JP"/>
        </w:rPr>
        <w:t>TEGは、パリ協定及び2050年の気候中立性目標を達成するための低炭素経路を欧州に導く上で最大の役割を果たす可能性のある経済活動に注目してきた。 したがって</w:t>
      </w:r>
      <w:r w:rsidR="00520D32">
        <w:rPr>
          <w:rFonts w:hint="eastAsia"/>
          <w:lang w:eastAsia="ja-JP"/>
        </w:rPr>
        <w:t>タクソノミー</w:t>
      </w:r>
      <w:r>
        <w:rPr>
          <w:lang w:eastAsia="ja-JP"/>
        </w:rPr>
        <w:t>の製造部門</w:t>
      </w:r>
      <w:r w:rsidR="00CD5365">
        <w:rPr>
          <w:rFonts w:hint="eastAsia"/>
          <w:lang w:eastAsia="ja-JP"/>
        </w:rPr>
        <w:t>で今回選定されたもの</w:t>
      </w:r>
      <w:r>
        <w:rPr>
          <w:lang w:eastAsia="ja-JP"/>
        </w:rPr>
        <w:t>は、最も温室効果ガスを排出するエネルギー集約的で緩和が困難な部門、またはヨーロッパの低炭素経済変革に明らかに必要な製造部門のいずれかである。 このことは、他の製造部門(他のエネルギー集約型部門を含む)は、たとえそれらの影響が大きいとしても、現在は含まれていないことを意味する。</w:t>
      </w:r>
    </w:p>
    <w:p w14:paraId="7F166944" w14:textId="77777777" w:rsidR="005F38AA" w:rsidRDefault="005F38AA">
      <w:pPr>
        <w:spacing w:line="276" w:lineRule="auto"/>
        <w:rPr>
          <w:lang w:eastAsia="ja-JP"/>
        </w:rPr>
        <w:sectPr w:rsidR="005F38AA" w:rsidSect="009649F8">
          <w:footerReference w:type="default" r:id="rId8"/>
          <w:type w:val="continuous"/>
          <w:pgSz w:w="11906" w:h="16838" w:code="9"/>
          <w:pgMar w:top="720" w:right="720" w:bottom="720" w:left="720" w:header="720" w:footer="1372" w:gutter="0"/>
          <w:pgNumType w:start="155"/>
          <w:cols w:space="720"/>
          <w:docGrid w:linePitch="299"/>
        </w:sectPr>
      </w:pPr>
    </w:p>
    <w:p w14:paraId="7F166945" w14:textId="77777777" w:rsidR="005F38AA" w:rsidRDefault="005F38AA">
      <w:pPr>
        <w:pStyle w:val="a3"/>
        <w:rPr>
          <w:lang w:eastAsia="ja-JP"/>
        </w:rPr>
      </w:pPr>
    </w:p>
    <w:p w14:paraId="7F166946" w14:textId="77777777" w:rsidR="005F38AA" w:rsidRDefault="005F38AA">
      <w:pPr>
        <w:pStyle w:val="a3"/>
        <w:spacing w:before="7"/>
        <w:rPr>
          <w:sz w:val="18"/>
          <w:lang w:eastAsia="ja-JP"/>
        </w:rPr>
      </w:pPr>
    </w:p>
    <w:p w14:paraId="7F166947" w14:textId="52508E41" w:rsidR="005F38AA" w:rsidRDefault="009649F8">
      <w:pPr>
        <w:pStyle w:val="2"/>
        <w:rPr>
          <w:lang w:eastAsia="ja-JP"/>
        </w:rPr>
      </w:pPr>
      <w:r>
        <w:rPr>
          <w:lang w:eastAsia="ja-JP"/>
        </w:rPr>
        <w:t>基準、メトリック、</w:t>
      </w:r>
      <w:r w:rsidR="00520D32">
        <w:rPr>
          <w:rFonts w:hint="eastAsia"/>
          <w:lang w:eastAsia="ja-JP"/>
        </w:rPr>
        <w:t>閾</w:t>
      </w:r>
      <w:r>
        <w:rPr>
          <w:lang w:eastAsia="ja-JP"/>
        </w:rPr>
        <w:t>値</w:t>
      </w:r>
    </w:p>
    <w:p w14:paraId="7F166948" w14:textId="357BCAD6" w:rsidR="005F38AA" w:rsidRDefault="009649F8">
      <w:pPr>
        <w:pStyle w:val="a3"/>
        <w:spacing w:before="154" w:line="276" w:lineRule="auto"/>
        <w:ind w:left="100" w:right="138"/>
        <w:rPr>
          <w:lang w:eastAsia="ja-JP"/>
        </w:rPr>
      </w:pPr>
      <w:r>
        <w:rPr>
          <w:lang w:eastAsia="ja-JP"/>
        </w:rPr>
        <w:t>緩和</w:t>
      </w:r>
      <w:r w:rsidR="00520D32">
        <w:rPr>
          <w:rFonts w:hint="eastAsia"/>
          <w:lang w:eastAsia="ja-JP"/>
        </w:rPr>
        <w:t>タクソノミー</w:t>
      </w:r>
      <w:r>
        <w:rPr>
          <w:lang w:eastAsia="ja-JP"/>
        </w:rPr>
        <w:t>の草案で取り上げられた製造活動は、各活動について設定された特定の閾値に達した場合(例えば、セメントのGHG排出量が0.498 tCO2e/t未満のセメントの生産)、気候変動緩和に大きく貢献すると考えられる。</w:t>
      </w:r>
      <w:r>
        <w:rPr>
          <w:position w:val="1"/>
          <w:lang w:eastAsia="ja-JP"/>
        </w:rPr>
        <w:t xml:space="preserve"> その代わり、この基準は、製造活動によって生じるGHG排出量を、ベストパフォーマ</w:t>
      </w:r>
      <w:r w:rsidR="00CD5365">
        <w:rPr>
          <w:rFonts w:hint="eastAsia"/>
          <w:position w:val="1"/>
          <w:lang w:eastAsia="ja-JP"/>
        </w:rPr>
        <w:t>―</w:t>
      </w:r>
      <w:r>
        <w:rPr>
          <w:position w:val="1"/>
          <w:lang w:eastAsia="ja-JP"/>
        </w:rPr>
        <w:t>が達成したパフォーマンスレベルまで削減することに焦点を当てている。</w:t>
      </w:r>
      <w:r>
        <w:rPr>
          <w:lang w:eastAsia="ja-JP"/>
        </w:rPr>
        <w:t xml:space="preserve"> この基準は、一般的にスコープ1と2の排出量の両方をカバーしている。</w:t>
      </w:r>
    </w:p>
    <w:p w14:paraId="7F166949" w14:textId="77777777" w:rsidR="005F38AA" w:rsidRDefault="009649F8">
      <w:pPr>
        <w:pStyle w:val="a3"/>
        <w:spacing w:line="276" w:lineRule="auto"/>
        <w:ind w:left="100" w:right="243"/>
        <w:rPr>
          <w:lang w:eastAsia="ja-JP"/>
        </w:rPr>
      </w:pPr>
      <w:r w:rsidRPr="000A003C">
        <w:rPr>
          <w:lang w:eastAsia="ja-JP"/>
        </w:rPr>
        <w:t>さらに</w:t>
      </w:r>
      <w:r>
        <w:rPr>
          <w:lang w:eastAsia="ja-JP"/>
        </w:rPr>
        <w:t>、多くの部門において、GHG排出量をEU ETSベンチマークで設定されたレベルに制限する要件は、他の閾値(例えば、使用される電力のエネルギー効率と炭素集約度)または代替の定性的基準(例えば、再生アルミニウムの生産を適格とすること)によって補完されている。</w:t>
      </w:r>
    </w:p>
    <w:p w14:paraId="7F16694A" w14:textId="77777777" w:rsidR="005F38AA" w:rsidRDefault="005F38AA">
      <w:pPr>
        <w:pStyle w:val="a3"/>
        <w:spacing w:before="11"/>
        <w:rPr>
          <w:lang w:eastAsia="ja-JP"/>
        </w:rPr>
      </w:pPr>
    </w:p>
    <w:p w14:paraId="7F16694B" w14:textId="62AE1D0E" w:rsidR="005F38AA" w:rsidRDefault="009649F8">
      <w:pPr>
        <w:pStyle w:val="a3"/>
        <w:spacing w:line="276" w:lineRule="auto"/>
        <w:ind w:left="100" w:right="156"/>
        <w:rPr>
          <w:lang w:eastAsia="ja-JP"/>
        </w:rPr>
      </w:pPr>
      <w:r>
        <w:rPr>
          <w:lang w:eastAsia="ja-JP"/>
        </w:rPr>
        <w:t>EUのETSベンチマークは、EU</w:t>
      </w:r>
      <w:r w:rsidR="000A003C">
        <w:rPr>
          <w:rFonts w:hint="eastAsia"/>
          <w:lang w:eastAsia="ja-JP"/>
        </w:rPr>
        <w:t>における上位</w:t>
      </w:r>
      <w:r>
        <w:rPr>
          <w:lang w:eastAsia="ja-JP"/>
        </w:rPr>
        <w:t>10%の</w:t>
      </w:r>
      <w:r w:rsidR="000A003C">
        <w:rPr>
          <w:rFonts w:hint="eastAsia"/>
          <w:lang w:eastAsia="ja-JP"/>
        </w:rPr>
        <w:t>優秀事例</w:t>
      </w:r>
      <w:r>
        <w:rPr>
          <w:lang w:eastAsia="ja-JP"/>
        </w:rPr>
        <w:t>で達成されたパフォーマンスのレベル</w:t>
      </w:r>
      <w:r w:rsidR="00CD5365">
        <w:rPr>
          <w:rFonts w:hint="eastAsia"/>
          <w:lang w:eastAsia="ja-JP"/>
        </w:rPr>
        <w:t>を参照</w:t>
      </w:r>
      <w:r>
        <w:rPr>
          <w:lang w:eastAsia="ja-JP"/>
        </w:rPr>
        <w:t>し、定期的に更新されるため、このような閾値を設定するための主要な基準となっている。</w:t>
      </w:r>
      <w:r w:rsidR="000A003C">
        <w:rPr>
          <w:rFonts w:hint="eastAsia"/>
          <w:lang w:eastAsia="ja-JP"/>
        </w:rPr>
        <w:t>さらに</w:t>
      </w:r>
      <w:r>
        <w:rPr>
          <w:lang w:eastAsia="ja-JP"/>
        </w:rPr>
        <w:t>プラットフォーム</w:t>
      </w:r>
      <w:r w:rsidR="0041696F">
        <w:rPr>
          <w:rStyle w:val="ad"/>
          <w:lang w:eastAsia="ja-JP"/>
        </w:rPr>
        <w:footnoteReference w:id="2"/>
      </w:r>
      <w:r>
        <w:rPr>
          <w:lang w:eastAsia="ja-JP"/>
        </w:rPr>
        <w:t>は、BAT関連エネルギー効率レベル(BAT‐AEL</w:t>
      </w:r>
      <w:r w:rsidR="00CD5365">
        <w:rPr>
          <w:rStyle w:val="ad"/>
          <w:lang w:eastAsia="ja-JP"/>
        </w:rPr>
        <w:footnoteReference w:id="3"/>
      </w:r>
      <w:r>
        <w:rPr>
          <w:lang w:eastAsia="ja-JP"/>
        </w:rPr>
        <w:t>)が</w:t>
      </w:r>
      <w:r w:rsidR="000A003C">
        <w:rPr>
          <w:rFonts w:hint="eastAsia"/>
          <w:lang w:eastAsia="ja-JP"/>
        </w:rPr>
        <w:t>あてはまる</w:t>
      </w:r>
      <w:r>
        <w:rPr>
          <w:lang w:eastAsia="ja-JP"/>
        </w:rPr>
        <w:t>経済活動に対して追加</w:t>
      </w:r>
      <w:r w:rsidR="000A003C">
        <w:rPr>
          <w:rFonts w:hint="eastAsia"/>
          <w:lang w:eastAsia="ja-JP"/>
        </w:rPr>
        <w:t>的な</w:t>
      </w:r>
      <w:r>
        <w:rPr>
          <w:lang w:eastAsia="ja-JP"/>
        </w:rPr>
        <w:t>要</w:t>
      </w:r>
      <w:r w:rsidR="000A003C">
        <w:rPr>
          <w:rFonts w:hint="eastAsia"/>
          <w:lang w:eastAsia="ja-JP"/>
        </w:rPr>
        <w:t>求条</w:t>
      </w:r>
      <w:r>
        <w:rPr>
          <w:lang w:eastAsia="ja-JP"/>
        </w:rPr>
        <w:t>件を設定できるか、またはそのような</w:t>
      </w:r>
      <w:r w:rsidR="000A003C">
        <w:rPr>
          <w:rFonts w:hint="eastAsia"/>
          <w:lang w:eastAsia="ja-JP"/>
        </w:rPr>
        <w:t>基準</w:t>
      </w:r>
      <w:r>
        <w:rPr>
          <w:lang w:eastAsia="ja-JP"/>
        </w:rPr>
        <w:t>に基づいて</w:t>
      </w:r>
      <w:r w:rsidR="000A003C">
        <w:rPr>
          <w:rFonts w:hint="eastAsia"/>
          <w:lang w:eastAsia="ja-JP"/>
        </w:rPr>
        <w:t>時間をかけて条件を作り上げられる</w:t>
      </w:r>
      <w:r>
        <w:rPr>
          <w:lang w:eastAsia="ja-JP"/>
        </w:rPr>
        <w:t>かどうかを</w:t>
      </w:r>
      <w:r w:rsidR="00416990">
        <w:rPr>
          <w:rFonts w:hint="eastAsia"/>
          <w:lang w:eastAsia="ja-JP"/>
        </w:rPr>
        <w:t>検討する</w:t>
      </w:r>
      <w:r>
        <w:rPr>
          <w:lang w:eastAsia="ja-JP"/>
        </w:rPr>
        <w:t>ことが</w:t>
      </w:r>
      <w:r w:rsidR="000A003C">
        <w:rPr>
          <w:rFonts w:hint="eastAsia"/>
          <w:lang w:eastAsia="ja-JP"/>
        </w:rPr>
        <w:t>望ましい</w:t>
      </w:r>
      <w:r>
        <w:rPr>
          <w:lang w:eastAsia="ja-JP"/>
        </w:rPr>
        <w:t xml:space="preserve">。 </w:t>
      </w:r>
      <w:r w:rsidR="000A003C">
        <w:rPr>
          <w:rFonts w:hint="eastAsia"/>
          <w:lang w:eastAsia="ja-JP"/>
        </w:rPr>
        <w:t>タクソノミー</w:t>
      </w:r>
      <w:r>
        <w:rPr>
          <w:lang w:eastAsia="ja-JP"/>
        </w:rPr>
        <w:t>の世界的適用性の観点から、この意味合いを考慮する必要がある。 代替低炭素技術が</w:t>
      </w:r>
      <w:r w:rsidR="000A003C">
        <w:rPr>
          <w:rFonts w:hint="eastAsia"/>
          <w:lang w:eastAsia="ja-JP"/>
        </w:rPr>
        <w:t>実装され</w:t>
      </w:r>
      <w:r>
        <w:rPr>
          <w:lang w:eastAsia="ja-JP"/>
        </w:rPr>
        <w:t>るようになったか評価するためにも、定期的な更新が必要である。 これにより、EU ETSのベンチマークに基づいて現在閾値を設定している活動</w:t>
      </w:r>
      <w:r w:rsidR="0071705D">
        <w:rPr>
          <w:rFonts w:hint="eastAsia"/>
          <w:lang w:eastAsia="ja-JP"/>
        </w:rPr>
        <w:t>について、新たな</w:t>
      </w:r>
      <w:r>
        <w:rPr>
          <w:lang w:eastAsia="ja-JP"/>
        </w:rPr>
        <w:t>閾値基準が生じる可能性がある。</w:t>
      </w:r>
    </w:p>
    <w:p w14:paraId="7F16694C" w14:textId="77777777" w:rsidR="005F38AA" w:rsidRDefault="005F38AA">
      <w:pPr>
        <w:pStyle w:val="a3"/>
        <w:spacing w:before="11"/>
        <w:rPr>
          <w:lang w:eastAsia="ja-JP"/>
        </w:rPr>
      </w:pPr>
    </w:p>
    <w:p w14:paraId="7F16694D" w14:textId="045A211D" w:rsidR="005F38AA" w:rsidRDefault="009649F8">
      <w:pPr>
        <w:pStyle w:val="a3"/>
        <w:spacing w:line="276" w:lineRule="auto"/>
        <w:ind w:left="100" w:right="176" w:firstLine="55"/>
        <w:rPr>
          <w:lang w:eastAsia="ja-JP"/>
        </w:rPr>
      </w:pPr>
      <w:r>
        <w:rPr>
          <w:lang w:eastAsia="ja-JP"/>
        </w:rPr>
        <w:t xml:space="preserve">製造活動の閾値は、主にEU ETSベンチマークと結びついている。 </w:t>
      </w:r>
      <w:r w:rsidR="0071705D">
        <w:rPr>
          <w:rFonts w:hint="eastAsia"/>
          <w:lang w:eastAsia="ja-JP"/>
        </w:rPr>
        <w:t>すなわち</w:t>
      </w:r>
      <w:r>
        <w:rPr>
          <w:lang w:eastAsia="ja-JP"/>
        </w:rPr>
        <w:t>閾値は、特定のセクターにおける最も効率的な10%の</w:t>
      </w:r>
      <w:r w:rsidR="0071705D">
        <w:rPr>
          <w:rFonts w:hint="eastAsia"/>
          <w:lang w:eastAsia="ja-JP"/>
        </w:rPr>
        <w:t>事例</w:t>
      </w:r>
      <w:r>
        <w:rPr>
          <w:lang w:eastAsia="ja-JP"/>
        </w:rPr>
        <w:t>の平均性能</w:t>
      </w:r>
      <w:r w:rsidR="0071705D">
        <w:rPr>
          <w:rFonts w:hint="eastAsia"/>
          <w:lang w:eastAsia="ja-JP"/>
        </w:rPr>
        <w:t>に基づいていることを意味する</w:t>
      </w:r>
      <w:r>
        <w:rPr>
          <w:lang w:eastAsia="ja-JP"/>
        </w:rPr>
        <w:t>。 EU ETSベンチマークは、利用可能な最も</w:t>
      </w:r>
      <w:r w:rsidR="0071705D">
        <w:rPr>
          <w:rFonts w:hint="eastAsia"/>
          <w:lang w:eastAsia="ja-JP"/>
        </w:rPr>
        <w:t>頑強</w:t>
      </w:r>
      <w:r>
        <w:rPr>
          <w:lang w:eastAsia="ja-JP"/>
        </w:rPr>
        <w:t>なベンチマークであり、</w:t>
      </w:r>
      <w:r w:rsidR="0071705D">
        <w:rPr>
          <w:rFonts w:hint="eastAsia"/>
          <w:lang w:eastAsia="ja-JP"/>
        </w:rPr>
        <w:t>準拠して</w:t>
      </w:r>
      <w:r>
        <w:rPr>
          <w:lang w:eastAsia="ja-JP"/>
        </w:rPr>
        <w:t>計算されたデータがEU ETSスキームの一部であるEU内のすべての</w:t>
      </w:r>
      <w:r w:rsidR="0071705D">
        <w:rPr>
          <w:rFonts w:hint="eastAsia"/>
          <w:lang w:eastAsia="ja-JP"/>
        </w:rPr>
        <w:t>事例に適用</w:t>
      </w:r>
      <w:r>
        <w:rPr>
          <w:lang w:eastAsia="ja-JP"/>
        </w:rPr>
        <w:t>可能であるため</w:t>
      </w:r>
      <w:r w:rsidR="0071705D">
        <w:rPr>
          <w:rFonts w:hint="eastAsia"/>
          <w:lang w:eastAsia="ja-JP"/>
        </w:rPr>
        <w:t>採用</w:t>
      </w:r>
      <w:r>
        <w:rPr>
          <w:lang w:eastAsia="ja-JP"/>
        </w:rPr>
        <w:t>された。 このようなメトリックを使用したパフォーマンスデータは、EU以外の</w:t>
      </w:r>
      <w:r w:rsidR="0071705D">
        <w:rPr>
          <w:rFonts w:hint="eastAsia"/>
          <w:lang w:eastAsia="ja-JP"/>
        </w:rPr>
        <w:t>事例に</w:t>
      </w:r>
      <w:r>
        <w:rPr>
          <w:lang w:eastAsia="ja-JP"/>
        </w:rPr>
        <w:t>は必ずしも容易に利用できるわけではないが、</w:t>
      </w:r>
      <w:r w:rsidR="0071705D">
        <w:rPr>
          <w:rFonts w:hint="eastAsia"/>
          <w:lang w:eastAsia="ja-JP"/>
        </w:rPr>
        <w:t>その場合でも</w:t>
      </w:r>
      <w:r>
        <w:rPr>
          <w:lang w:eastAsia="ja-JP"/>
        </w:rPr>
        <w:t>この方法論</w:t>
      </w:r>
      <w:r w:rsidR="0071705D">
        <w:rPr>
          <w:rFonts w:hint="eastAsia"/>
          <w:lang w:eastAsia="ja-JP"/>
        </w:rPr>
        <w:t>を適用して</w:t>
      </w:r>
      <w:r>
        <w:rPr>
          <w:lang w:eastAsia="ja-JP"/>
        </w:rPr>
        <w:t>単独で計算すること</w:t>
      </w:r>
      <w:r w:rsidR="0071705D">
        <w:rPr>
          <w:rFonts w:hint="eastAsia"/>
          <w:lang w:eastAsia="ja-JP"/>
        </w:rPr>
        <w:t>が</w:t>
      </w:r>
      <w:r>
        <w:rPr>
          <w:lang w:eastAsia="ja-JP"/>
        </w:rPr>
        <w:t>できる。 さらに、EU ETSベンチマークは、約5年ごとに定期的に更新され</w:t>
      </w:r>
      <w:r w:rsidR="0071705D">
        <w:rPr>
          <w:rFonts w:hint="eastAsia"/>
          <w:lang w:eastAsia="ja-JP"/>
        </w:rPr>
        <w:t>るため、</w:t>
      </w:r>
      <w:r w:rsidR="00416990">
        <w:rPr>
          <w:rFonts w:hint="eastAsia"/>
          <w:lang w:eastAsia="ja-JP"/>
        </w:rPr>
        <w:t>閾</w:t>
      </w:r>
      <w:r>
        <w:rPr>
          <w:lang w:eastAsia="ja-JP"/>
        </w:rPr>
        <w:t>値</w:t>
      </w:r>
      <w:r w:rsidR="0071705D">
        <w:rPr>
          <w:rFonts w:hint="eastAsia"/>
          <w:lang w:eastAsia="ja-JP"/>
        </w:rPr>
        <w:t>が常</w:t>
      </w:r>
      <w:r>
        <w:rPr>
          <w:lang w:eastAsia="ja-JP"/>
        </w:rPr>
        <w:t>に、10%のベストパフォーマンスプラントのパフォーマンスを表し続ける</w:t>
      </w:r>
      <w:r w:rsidR="0071705D">
        <w:rPr>
          <w:rFonts w:hint="eastAsia"/>
          <w:lang w:eastAsia="ja-JP"/>
        </w:rPr>
        <w:t>る仕組みになっている</w:t>
      </w:r>
      <w:r>
        <w:rPr>
          <w:lang w:eastAsia="ja-JP"/>
        </w:rPr>
        <w:t>。</w:t>
      </w:r>
    </w:p>
    <w:p w14:paraId="7F16694E" w14:textId="77777777" w:rsidR="005F38AA" w:rsidRDefault="005F38AA">
      <w:pPr>
        <w:pStyle w:val="a3"/>
        <w:spacing w:before="10"/>
        <w:rPr>
          <w:lang w:eastAsia="ja-JP"/>
        </w:rPr>
      </w:pPr>
    </w:p>
    <w:p w14:paraId="7F16694F" w14:textId="10B51A53" w:rsidR="005F38AA" w:rsidRDefault="009649F8">
      <w:pPr>
        <w:pStyle w:val="a3"/>
        <w:spacing w:line="276" w:lineRule="auto"/>
        <w:ind w:left="100" w:right="244"/>
        <w:rPr>
          <w:lang w:eastAsia="ja-JP"/>
        </w:rPr>
      </w:pPr>
      <w:r>
        <w:rPr>
          <w:lang w:eastAsia="ja-JP"/>
        </w:rPr>
        <w:t>TEGは、EU ETSベンチマークを用いることには欠点があると認識している。 ベンチマークは、グローバルデータではなく、</w:t>
      </w:r>
      <w:r w:rsidR="0071705D" w:rsidRPr="00F30B66">
        <w:rPr>
          <w:rFonts w:hint="eastAsia"/>
          <w:highlight w:val="yellow"/>
          <w:lang w:eastAsia="ja-JP"/>
        </w:rPr>
        <w:t>使われた技術などに関する</w:t>
      </w:r>
      <w:r>
        <w:rPr>
          <w:lang w:eastAsia="ja-JP"/>
        </w:rPr>
        <w:t>EUの歴史的</w:t>
      </w:r>
      <w:r w:rsidR="0071705D">
        <w:rPr>
          <w:rFonts w:hint="eastAsia"/>
          <w:lang w:eastAsia="ja-JP"/>
        </w:rPr>
        <w:t>な</w:t>
      </w:r>
      <w:r>
        <w:rPr>
          <w:lang w:eastAsia="ja-JP"/>
        </w:rPr>
        <w:t>傾向に基づい</w:t>
      </w:r>
      <w:r w:rsidR="0071705D">
        <w:rPr>
          <w:rFonts w:hint="eastAsia"/>
          <w:lang w:eastAsia="ja-JP"/>
        </w:rPr>
        <w:t>たものになっ</w:t>
      </w:r>
      <w:r>
        <w:rPr>
          <w:lang w:eastAsia="ja-JP"/>
        </w:rPr>
        <w:t>ている。 さらに、EU ETSベンチマークは、プロセスまたは製品のライフサイクル全体を考慮して</w:t>
      </w:r>
      <w:r w:rsidR="0041696F">
        <w:rPr>
          <w:rFonts w:hint="eastAsia"/>
          <w:lang w:eastAsia="ja-JP"/>
        </w:rPr>
        <w:t>おらず</w:t>
      </w:r>
      <w:r>
        <w:rPr>
          <w:lang w:eastAsia="ja-JP"/>
        </w:rPr>
        <w:t>、スコープ1および/またはスコープ2のGHG排出量に焦点を当てている。</w:t>
      </w:r>
    </w:p>
    <w:p w14:paraId="7F166950" w14:textId="656663F8" w:rsidR="005F38AA" w:rsidRDefault="009649F8">
      <w:pPr>
        <w:spacing w:line="276" w:lineRule="auto"/>
        <w:ind w:left="100" w:right="156"/>
        <w:rPr>
          <w:b/>
          <w:sz w:val="20"/>
          <w:lang w:eastAsia="ja-JP"/>
        </w:rPr>
      </w:pPr>
      <w:r>
        <w:rPr>
          <w:sz w:val="20"/>
          <w:lang w:eastAsia="ja-JP"/>
        </w:rPr>
        <w:t>したがって、EU ETSのベンチマーク</w:t>
      </w:r>
      <w:r w:rsidR="0041696F">
        <w:rPr>
          <w:rFonts w:hint="eastAsia"/>
          <w:sz w:val="20"/>
          <w:lang w:eastAsia="ja-JP"/>
        </w:rPr>
        <w:t>を採用したからといって</w:t>
      </w:r>
      <w:r>
        <w:rPr>
          <w:sz w:val="20"/>
          <w:lang w:eastAsia="ja-JP"/>
        </w:rPr>
        <w:t>、上流排出量のリサイクルや改善</w:t>
      </w:r>
      <w:r w:rsidR="0041696F">
        <w:rPr>
          <w:rFonts w:hint="eastAsia"/>
          <w:sz w:val="20"/>
          <w:lang w:eastAsia="ja-JP"/>
        </w:rPr>
        <w:t>に直接つながる</w:t>
      </w:r>
      <w:r>
        <w:rPr>
          <w:sz w:val="20"/>
          <w:lang w:eastAsia="ja-JP"/>
        </w:rPr>
        <w:t>ものではない。 TEGは、これらの限界を念頭に置き、同等に頑健なデータソースを積極的に求めてきたが、今日まで、同等に頑健なデータソースを特定することはできなかった。 同等に頑健なデータが提供される場合、プラットフォームはこれらを考慮すべきである。</w:t>
      </w:r>
    </w:p>
    <w:p w14:paraId="7F166951" w14:textId="77777777" w:rsidR="005F38AA" w:rsidRDefault="005F38AA">
      <w:pPr>
        <w:pStyle w:val="a3"/>
        <w:spacing w:before="10"/>
        <w:rPr>
          <w:b/>
          <w:lang w:eastAsia="ja-JP"/>
        </w:rPr>
      </w:pPr>
    </w:p>
    <w:p w14:paraId="7F166952" w14:textId="767C4E0E" w:rsidR="005F38AA" w:rsidRDefault="009649F8">
      <w:pPr>
        <w:pStyle w:val="a3"/>
        <w:spacing w:line="276" w:lineRule="auto"/>
        <w:ind w:left="100" w:right="143"/>
        <w:rPr>
          <w:lang w:eastAsia="ja-JP"/>
        </w:rPr>
      </w:pPr>
      <w:r>
        <w:rPr>
          <w:lang w:eastAsia="ja-JP"/>
        </w:rPr>
        <w:t>「低炭素技術」のカテゴリーに記載されている製造活動については、明確な閾値はない。 これらの製品、部品、設備、技術の緩和効果が、製造工程から排出される温室効果ガスを上回ると考えられるため、記載された製品</w:t>
      </w:r>
      <w:r>
        <w:rPr>
          <w:lang w:eastAsia="ja-JP"/>
        </w:rPr>
        <w:lastRenderedPageBreak/>
        <w:t>の製造からの温室効果ガス排出量に関する基準は規定されていない。</w:t>
      </w:r>
      <w:r w:rsidR="002A7E9A">
        <w:rPr>
          <w:rFonts w:hint="eastAsia"/>
          <w:lang w:eastAsia="ja-JP"/>
        </w:rPr>
        <w:t>このような技術</w:t>
      </w:r>
      <w:r>
        <w:rPr>
          <w:lang w:eastAsia="ja-JP"/>
        </w:rPr>
        <w:t>は、、</w:t>
      </w:r>
      <w:r w:rsidR="00652FB2">
        <w:rPr>
          <w:rFonts w:hint="eastAsia"/>
          <w:lang w:eastAsia="ja-JP"/>
        </w:rPr>
        <w:t>LCAで評価される</w:t>
      </w:r>
      <w:r>
        <w:rPr>
          <w:lang w:eastAsia="ja-JP"/>
        </w:rPr>
        <w:t>GHG排出量</w:t>
      </w:r>
      <w:r w:rsidR="00652FB2">
        <w:rPr>
          <w:rFonts w:hint="eastAsia"/>
          <w:lang w:eastAsia="ja-JP"/>
        </w:rPr>
        <w:t>につい</w:t>
      </w:r>
      <w:r>
        <w:rPr>
          <w:lang w:eastAsia="ja-JP"/>
        </w:rPr>
        <w:t>て便益がある</w:t>
      </w:r>
      <w:r w:rsidR="00652FB2">
        <w:rPr>
          <w:rFonts w:hint="eastAsia"/>
          <w:lang w:eastAsia="ja-JP"/>
        </w:rPr>
        <w:t>と</w:t>
      </w:r>
      <w:r w:rsidR="002A7E9A">
        <w:rPr>
          <w:rFonts w:hint="eastAsia"/>
          <w:lang w:eastAsia="ja-JP"/>
        </w:rPr>
        <w:t>判定</w:t>
      </w:r>
      <w:r w:rsidR="00652FB2">
        <w:rPr>
          <w:rFonts w:hint="eastAsia"/>
          <w:lang w:eastAsia="ja-JP"/>
        </w:rPr>
        <w:t>される</w:t>
      </w:r>
      <w:r>
        <w:rPr>
          <w:lang w:eastAsia="ja-JP"/>
        </w:rPr>
        <w:t>場合、</w:t>
      </w:r>
      <w:r w:rsidR="002A7E9A">
        <w:rPr>
          <w:rFonts w:hint="eastAsia"/>
          <w:lang w:eastAsia="ja-JP"/>
        </w:rPr>
        <w:t>に</w:t>
      </w:r>
      <w:r>
        <w:rPr>
          <w:lang w:eastAsia="ja-JP"/>
        </w:rPr>
        <w:t>適格</w:t>
      </w:r>
      <w:r w:rsidR="002A7E9A">
        <w:rPr>
          <w:rFonts w:hint="eastAsia"/>
          <w:lang w:eastAsia="ja-JP"/>
        </w:rPr>
        <w:t>となる</w:t>
      </w:r>
      <w:r>
        <w:rPr>
          <w:lang w:eastAsia="ja-JP"/>
        </w:rPr>
        <w:t>追加的な基準によ</w:t>
      </w:r>
      <w:r w:rsidR="00652FB2">
        <w:rPr>
          <w:rFonts w:hint="eastAsia"/>
          <w:lang w:eastAsia="ja-JP"/>
        </w:rPr>
        <w:t>り救済</w:t>
      </w:r>
      <w:r>
        <w:rPr>
          <w:lang w:eastAsia="ja-JP"/>
        </w:rPr>
        <w:t>される。</w:t>
      </w:r>
    </w:p>
    <w:p w14:paraId="7F166953" w14:textId="77777777" w:rsidR="005F38AA" w:rsidRDefault="005F38AA">
      <w:pPr>
        <w:spacing w:line="276" w:lineRule="auto"/>
        <w:rPr>
          <w:lang w:eastAsia="ja-JP"/>
        </w:rPr>
        <w:sectPr w:rsidR="005F38AA">
          <w:pgSz w:w="12240" w:h="15840"/>
          <w:pgMar w:top="1500" w:right="1320" w:bottom="1640" w:left="1340" w:header="0" w:footer="1372" w:gutter="0"/>
          <w:cols w:space="720"/>
        </w:sectPr>
      </w:pPr>
    </w:p>
    <w:p w14:paraId="7F166954" w14:textId="2ADB4E41" w:rsidR="005F38AA" w:rsidRDefault="009649F8">
      <w:pPr>
        <w:pStyle w:val="a3"/>
        <w:spacing w:before="79" w:line="276" w:lineRule="auto"/>
        <w:ind w:left="100"/>
        <w:rPr>
          <w:lang w:eastAsia="ja-JP"/>
        </w:rPr>
      </w:pPr>
      <w:r>
        <w:rPr>
          <w:lang w:eastAsia="ja-JP"/>
        </w:rPr>
        <w:lastRenderedPageBreak/>
        <w:t>(下表の低炭素技術セクションを参照)。</w:t>
      </w:r>
    </w:p>
    <w:p w14:paraId="7F166955" w14:textId="77777777" w:rsidR="005F38AA" w:rsidRDefault="005F38AA">
      <w:pPr>
        <w:pStyle w:val="a3"/>
        <w:spacing w:before="10"/>
        <w:rPr>
          <w:lang w:eastAsia="ja-JP"/>
        </w:rPr>
      </w:pPr>
    </w:p>
    <w:p w14:paraId="7F166956" w14:textId="5FD3895A" w:rsidR="005F38AA" w:rsidRDefault="00652FB2">
      <w:pPr>
        <w:pStyle w:val="a3"/>
        <w:spacing w:line="276" w:lineRule="auto"/>
        <w:ind w:left="100" w:right="277"/>
        <w:rPr>
          <w:lang w:eastAsia="ja-JP"/>
        </w:rPr>
      </w:pPr>
      <w:r>
        <w:rPr>
          <w:rFonts w:hint="eastAsia"/>
          <w:b/>
          <w:lang w:eastAsia="ja-JP"/>
        </w:rPr>
        <w:t>製造活動における</w:t>
      </w:r>
      <w:r w:rsidR="009649F8">
        <w:rPr>
          <w:b/>
          <w:lang w:eastAsia="ja-JP"/>
        </w:rPr>
        <w:t>緩和措置は、</w:t>
      </w:r>
      <w:r w:rsidR="009649F8" w:rsidRPr="00F30B66">
        <w:rPr>
          <w:rFonts w:hint="eastAsia"/>
          <w:lang w:eastAsia="ja-JP"/>
        </w:rPr>
        <w:t>エネルギー効率化措置、プロセス改善、その他の</w:t>
      </w:r>
      <w:r>
        <w:rPr>
          <w:rFonts w:hint="eastAsia"/>
          <w:lang w:eastAsia="ja-JP"/>
        </w:rPr>
        <w:t>支出</w:t>
      </w:r>
      <w:r w:rsidR="002A7E9A" w:rsidRPr="00F30B66">
        <w:rPr>
          <w:rFonts w:hint="eastAsia"/>
          <w:highlight w:val="yellow"/>
          <w:lang w:eastAsia="ja-JP"/>
        </w:rPr>
        <w:t>（費用又は投資）</w:t>
      </w:r>
      <w:r>
        <w:rPr>
          <w:rFonts w:hint="eastAsia"/>
          <w:lang w:eastAsia="ja-JP"/>
        </w:rPr>
        <w:t>が現状の効率水準と閾値で定義された「緩和目的に持続性を持ちながら貢献する」水準とのギャップを狭めるためのものであれば適格とされる</w:t>
      </w:r>
      <w:r w:rsidR="009649F8">
        <w:rPr>
          <w:lang w:eastAsia="ja-JP"/>
        </w:rPr>
        <w:t>これは、</w:t>
      </w:r>
      <w:r>
        <w:rPr>
          <w:rFonts w:hint="eastAsia"/>
          <w:lang w:eastAsia="ja-JP"/>
        </w:rPr>
        <w:t>タクソノミー</w:t>
      </w:r>
      <w:r w:rsidR="009649F8">
        <w:rPr>
          <w:lang w:eastAsia="ja-JP"/>
        </w:rPr>
        <w:t>の利用者にとって2つの意味を持っている。</w:t>
      </w:r>
    </w:p>
    <w:p w14:paraId="7F166957" w14:textId="77777777" w:rsidR="005F38AA" w:rsidRDefault="005F38AA">
      <w:pPr>
        <w:pStyle w:val="a3"/>
        <w:spacing w:before="10"/>
        <w:rPr>
          <w:lang w:eastAsia="ja-JP"/>
        </w:rPr>
      </w:pPr>
    </w:p>
    <w:p w14:paraId="7F166958" w14:textId="0A6A9C01" w:rsidR="005F38AA" w:rsidRDefault="009649F8">
      <w:pPr>
        <w:pStyle w:val="a4"/>
        <w:numPr>
          <w:ilvl w:val="1"/>
          <w:numId w:val="79"/>
        </w:numPr>
        <w:tabs>
          <w:tab w:val="left" w:pos="820"/>
          <w:tab w:val="left" w:pos="821"/>
        </w:tabs>
        <w:spacing w:line="276" w:lineRule="auto"/>
        <w:ind w:right="146"/>
        <w:rPr>
          <w:sz w:val="20"/>
          <w:lang w:eastAsia="ja-JP"/>
        </w:rPr>
      </w:pPr>
      <w:r>
        <w:rPr>
          <w:sz w:val="20"/>
          <w:lang w:eastAsia="ja-JP"/>
        </w:rPr>
        <w:t>資金</w:t>
      </w:r>
      <w:r w:rsidR="00652FB2">
        <w:rPr>
          <w:rFonts w:hint="eastAsia"/>
          <w:sz w:val="20"/>
          <w:lang w:eastAsia="ja-JP"/>
        </w:rPr>
        <w:t>運用に関わる</w:t>
      </w:r>
      <w:r>
        <w:rPr>
          <w:sz w:val="20"/>
          <w:lang w:eastAsia="ja-JP"/>
        </w:rPr>
        <w:t>利用者については、持分(法人の持分は、タ</w:t>
      </w:r>
      <w:r w:rsidR="002A7E9A">
        <w:rPr>
          <w:rFonts w:hint="eastAsia"/>
          <w:sz w:val="20"/>
          <w:lang w:eastAsia="ja-JP"/>
        </w:rPr>
        <w:t>ク</w:t>
      </w:r>
      <w:r>
        <w:rPr>
          <w:sz w:val="20"/>
          <w:lang w:eastAsia="ja-JP"/>
        </w:rPr>
        <w:t>ソノミー適格活動からの収入の割合に基づいて適格とみなされる)のような、タ</w:t>
      </w:r>
      <w:r w:rsidR="002A7E9A">
        <w:rPr>
          <w:rFonts w:hint="eastAsia"/>
          <w:sz w:val="20"/>
          <w:lang w:eastAsia="ja-JP"/>
        </w:rPr>
        <w:t>ク</w:t>
      </w:r>
      <w:r>
        <w:rPr>
          <w:sz w:val="20"/>
          <w:lang w:eastAsia="ja-JP"/>
        </w:rPr>
        <w:t>ソノミー適格活動カウントからの収入がある場合、活動基準を満たす製造活動のみが適格とみなされる。</w:t>
      </w:r>
    </w:p>
    <w:p w14:paraId="7F166959" w14:textId="77777777" w:rsidR="005F38AA" w:rsidRDefault="005F38AA">
      <w:pPr>
        <w:pStyle w:val="a3"/>
        <w:spacing w:before="11"/>
        <w:rPr>
          <w:lang w:eastAsia="ja-JP"/>
        </w:rPr>
      </w:pPr>
    </w:p>
    <w:p w14:paraId="7F16695A" w14:textId="665CED85" w:rsidR="005F38AA" w:rsidRDefault="00652FB2">
      <w:pPr>
        <w:pStyle w:val="a4"/>
        <w:numPr>
          <w:ilvl w:val="1"/>
          <w:numId w:val="79"/>
        </w:numPr>
        <w:tabs>
          <w:tab w:val="left" w:pos="820"/>
          <w:tab w:val="left" w:pos="821"/>
        </w:tabs>
        <w:spacing w:line="276" w:lineRule="auto"/>
        <w:ind w:right="125" w:hanging="504"/>
        <w:rPr>
          <w:sz w:val="20"/>
          <w:lang w:eastAsia="ja-JP"/>
        </w:rPr>
      </w:pPr>
      <w:r>
        <w:rPr>
          <w:rFonts w:hint="eastAsia"/>
          <w:sz w:val="20"/>
          <w:lang w:eastAsia="ja-JP"/>
        </w:rPr>
        <w:t>タクソノミー</w:t>
      </w:r>
      <w:r w:rsidR="009649F8">
        <w:rPr>
          <w:sz w:val="20"/>
          <w:lang w:eastAsia="ja-JP"/>
        </w:rPr>
        <w:t>の適用対象となる措置の支出(プロジェクトへの融資、グリーン・モーゲージ、グリーン・ボンド</w:t>
      </w:r>
      <w:r w:rsidR="00636A27">
        <w:rPr>
          <w:rFonts w:hint="eastAsia"/>
          <w:sz w:val="20"/>
          <w:lang w:eastAsia="ja-JP"/>
        </w:rPr>
        <w:t>資金の活</w:t>
      </w:r>
      <w:r w:rsidR="009649F8">
        <w:rPr>
          <w:sz w:val="20"/>
          <w:lang w:eastAsia="ja-JP"/>
        </w:rPr>
        <w:t>用、または単に企業が気候緩和に投資した額をカウントするなど)がカウントされる場合、活動基準に達するために必要なすべての投資は適格とみなされる。 これは、措置が完全に実施され、閾値に達すると、また、異なる措置への個別の投資が、全体的な投資計画の一部として(例えば、5年または10年)定められた期間にわたって実施され、基準値を達成</w:t>
      </w:r>
      <w:r w:rsidR="00636A27">
        <w:rPr>
          <w:rFonts w:hint="eastAsia"/>
          <w:sz w:val="20"/>
          <w:lang w:eastAsia="ja-JP"/>
        </w:rPr>
        <w:t>しようと</w:t>
      </w:r>
      <w:r w:rsidR="009649F8">
        <w:rPr>
          <w:sz w:val="20"/>
          <w:lang w:eastAsia="ja-JP"/>
        </w:rPr>
        <w:t>する活動を実質的に支援する場合に、措置が適格</w:t>
      </w:r>
      <w:r w:rsidR="002A7E9A">
        <w:rPr>
          <w:rFonts w:hint="eastAsia"/>
          <w:sz w:val="20"/>
          <w:lang w:eastAsia="ja-JP"/>
        </w:rPr>
        <w:t>とみなされる</w:t>
      </w:r>
      <w:r w:rsidR="009649F8">
        <w:rPr>
          <w:sz w:val="20"/>
          <w:lang w:eastAsia="ja-JP"/>
        </w:rPr>
        <w:t>ることを意味する。</w:t>
      </w:r>
    </w:p>
    <w:p w14:paraId="7F16695B" w14:textId="77777777" w:rsidR="005F38AA" w:rsidRDefault="005F38AA">
      <w:pPr>
        <w:pStyle w:val="a3"/>
        <w:rPr>
          <w:sz w:val="21"/>
          <w:lang w:eastAsia="ja-JP"/>
        </w:rPr>
      </w:pPr>
    </w:p>
    <w:p w14:paraId="7F16695C" w14:textId="77777777" w:rsidR="005F38AA" w:rsidRDefault="009649F8">
      <w:pPr>
        <w:pStyle w:val="2"/>
        <w:rPr>
          <w:lang w:eastAsia="ja-JP"/>
        </w:rPr>
      </w:pPr>
      <w:r>
        <w:rPr>
          <w:lang w:eastAsia="ja-JP"/>
        </w:rPr>
        <w:t>製造部門におけるCCSの適用</w:t>
      </w:r>
    </w:p>
    <w:p w14:paraId="7F16695D" w14:textId="22505283" w:rsidR="005F38AA" w:rsidRDefault="009649F8">
      <w:pPr>
        <w:pStyle w:val="a3"/>
        <w:spacing w:before="154" w:line="276" w:lineRule="auto"/>
        <w:ind w:left="100" w:right="125"/>
        <w:rPr>
          <w:lang w:eastAsia="ja-JP"/>
        </w:rPr>
      </w:pPr>
      <w:r>
        <w:rPr>
          <w:lang w:eastAsia="ja-JP"/>
        </w:rPr>
        <w:t>製造部門では、特定のプロセス、特に金属、鉱物および化学部門において、非常に低い炭素レベルにまで低減することが困難である。 このような場合、再生可能エネルギー源への転換やエネルギー効率化対策</w:t>
      </w:r>
      <w:r w:rsidR="00636A27">
        <w:rPr>
          <w:rFonts w:hint="eastAsia"/>
          <w:lang w:eastAsia="ja-JP"/>
        </w:rPr>
        <w:t>だけでは不十分と言わざるを得ず</w:t>
      </w:r>
      <w:r>
        <w:rPr>
          <w:lang w:eastAsia="ja-JP"/>
        </w:rPr>
        <w:t>、低炭素レベルは、代替生産物の生産への転換のような代替的な製造プロセスの実施、または、</w:t>
      </w:r>
      <w:r w:rsidR="00636A27">
        <w:rPr>
          <w:rFonts w:hint="eastAsia"/>
          <w:lang w:eastAsia="ja-JP"/>
        </w:rPr>
        <w:t>タクソノミー</w:t>
      </w:r>
      <w:r>
        <w:rPr>
          <w:lang w:eastAsia="ja-JP"/>
        </w:rPr>
        <w:t>の別のセクションで扱われている炭素回収貯留技術の導入によってのみ達成される。 さらに、CCSが製造部門の経済活動をそのスクリーニング基準を満たすことを可能にする場合、CCS技術の導入は、スクリーニング基準が満たされれば、</w:t>
      </w:r>
      <w:r w:rsidR="00636A27">
        <w:rPr>
          <w:rFonts w:hint="eastAsia"/>
          <w:lang w:eastAsia="ja-JP"/>
        </w:rPr>
        <w:t>タクソノミー</w:t>
      </w:r>
      <w:r>
        <w:rPr>
          <w:lang w:eastAsia="ja-JP"/>
        </w:rPr>
        <w:t>的に適格であるとみなすことができる。 これは、経済活動全体にも当てはまる。</w:t>
      </w:r>
      <w:r>
        <w:rPr>
          <w:position w:val="1"/>
          <w:lang w:eastAsia="ja-JP"/>
        </w:rPr>
        <w:t xml:space="preserve"> 回収されたCO2を飼料原料(例えば、化学プロセス用)として利用する炭素回収利用(CCU)もまた、活動基準を満たすために排出量を削減することによって実質的な緩和影響が実証できる場合(例えば、石油抽出の強化にCO2を使用することは適格ではない)は、適格</w:t>
      </w:r>
      <w:r w:rsidR="002A7E9A">
        <w:rPr>
          <w:rFonts w:hint="eastAsia"/>
          <w:position w:val="1"/>
          <w:lang w:eastAsia="ja-JP"/>
        </w:rPr>
        <w:t>とみなされる</w:t>
      </w:r>
      <w:r>
        <w:rPr>
          <w:position w:val="1"/>
          <w:lang w:eastAsia="ja-JP"/>
        </w:rPr>
        <w:t>。</w:t>
      </w:r>
    </w:p>
    <w:p w14:paraId="7F16695E" w14:textId="77777777" w:rsidR="005F38AA" w:rsidRDefault="005F38AA">
      <w:pPr>
        <w:pStyle w:val="a3"/>
        <w:spacing w:before="9"/>
        <w:rPr>
          <w:lang w:eastAsia="ja-JP"/>
        </w:rPr>
      </w:pPr>
    </w:p>
    <w:p w14:paraId="7F16695F" w14:textId="7E7A2BA6" w:rsidR="005F38AA" w:rsidRDefault="00636A27">
      <w:pPr>
        <w:pStyle w:val="2"/>
        <w:rPr>
          <w:lang w:eastAsia="ja-JP"/>
        </w:rPr>
      </w:pPr>
      <w:r>
        <w:rPr>
          <w:rFonts w:hint="eastAsia"/>
          <w:lang w:eastAsia="ja-JP"/>
        </w:rPr>
        <w:t>タクソノミー</w:t>
      </w:r>
      <w:r w:rsidR="009649F8">
        <w:rPr>
          <w:lang w:eastAsia="ja-JP"/>
        </w:rPr>
        <w:t>の他の節との整合性</w:t>
      </w:r>
    </w:p>
    <w:p w14:paraId="7F166960" w14:textId="786EAD2D" w:rsidR="005F38AA" w:rsidRDefault="009649F8">
      <w:pPr>
        <w:pStyle w:val="a3"/>
        <w:spacing w:before="154" w:line="276" w:lineRule="auto"/>
        <w:ind w:left="100" w:right="144"/>
        <w:rPr>
          <w:lang w:eastAsia="ja-JP"/>
        </w:rPr>
      </w:pPr>
      <w:r>
        <w:rPr>
          <w:lang w:eastAsia="ja-JP"/>
        </w:rPr>
        <w:t>製造業の性質</w:t>
      </w:r>
      <w:r w:rsidR="002A7E9A">
        <w:rPr>
          <w:rFonts w:hint="eastAsia"/>
          <w:lang w:eastAsia="ja-JP"/>
        </w:rPr>
        <w:t>によって</w:t>
      </w:r>
      <w:r>
        <w:rPr>
          <w:lang w:eastAsia="ja-JP"/>
        </w:rPr>
        <w:t>、</w:t>
      </w:r>
      <w:r w:rsidR="002A7E9A">
        <w:rPr>
          <w:rFonts w:hint="eastAsia"/>
          <w:lang w:eastAsia="ja-JP"/>
        </w:rPr>
        <w:t>また</w:t>
      </w:r>
      <w:r w:rsidR="00907DD1">
        <w:rPr>
          <w:rFonts w:hint="eastAsia"/>
          <w:lang w:eastAsia="ja-JP"/>
        </w:rPr>
        <w:t>タクソノミー</w:t>
      </w:r>
      <w:r>
        <w:rPr>
          <w:lang w:eastAsia="ja-JP"/>
        </w:rPr>
        <w:t>における適切な体系的バリューチェーンアプローチを実施するために、</w:t>
      </w:r>
      <w:r w:rsidR="00907DD1">
        <w:rPr>
          <w:rFonts w:hint="eastAsia"/>
          <w:lang w:eastAsia="ja-JP"/>
        </w:rPr>
        <w:t>製造業と</w:t>
      </w:r>
      <w:r>
        <w:rPr>
          <w:lang w:eastAsia="ja-JP"/>
        </w:rPr>
        <w:t>エネルギー、運輸、農業、建築部門と</w:t>
      </w:r>
      <w:r w:rsidR="00907DD1">
        <w:rPr>
          <w:rFonts w:hint="eastAsia"/>
          <w:lang w:eastAsia="ja-JP"/>
        </w:rPr>
        <w:t>の間には</w:t>
      </w:r>
      <w:r>
        <w:rPr>
          <w:lang w:eastAsia="ja-JP"/>
        </w:rPr>
        <w:t xml:space="preserve">密接な関係が作られてきた。 </w:t>
      </w:r>
      <w:r w:rsidR="00FC139D" w:rsidRPr="00F30B66">
        <w:rPr>
          <w:rFonts w:hint="eastAsia"/>
          <w:highlight w:val="yellow"/>
          <w:lang w:eastAsia="ja-JP"/>
        </w:rPr>
        <w:t>ここでは</w:t>
      </w:r>
      <w:r>
        <w:rPr>
          <w:lang w:eastAsia="ja-JP"/>
        </w:rPr>
        <w:t>可能</w:t>
      </w:r>
      <w:r w:rsidR="00907DD1">
        <w:rPr>
          <w:rFonts w:hint="eastAsia"/>
          <w:lang w:eastAsia="ja-JP"/>
        </w:rPr>
        <w:t>な限り</w:t>
      </w:r>
      <w:r w:rsidR="00FC139D">
        <w:rPr>
          <w:rFonts w:hint="eastAsia"/>
          <w:lang w:eastAsia="ja-JP"/>
        </w:rPr>
        <w:t>の</w:t>
      </w:r>
      <w:r>
        <w:rPr>
          <w:lang w:eastAsia="ja-JP"/>
        </w:rPr>
        <w:t>(GHG排出量に影響を与える</w:t>
      </w:r>
      <w:r w:rsidR="00907DD1">
        <w:rPr>
          <w:rFonts w:hint="eastAsia"/>
          <w:lang w:eastAsia="ja-JP"/>
        </w:rPr>
        <w:t>場合</w:t>
      </w:r>
      <w:r>
        <w:rPr>
          <w:lang w:eastAsia="ja-JP"/>
        </w:rPr>
        <w:t>)循環性の考慮と、より広範なバリューチェーンアプローチが</w:t>
      </w:r>
      <w:r w:rsidR="00907DD1">
        <w:rPr>
          <w:rFonts w:hint="eastAsia"/>
          <w:lang w:eastAsia="ja-JP"/>
        </w:rPr>
        <w:t>勘案</w:t>
      </w:r>
      <w:r>
        <w:rPr>
          <w:lang w:eastAsia="ja-JP"/>
        </w:rPr>
        <w:t>されている。 サプライチェーンにおける製造部門の役割を考えると、プラットフォームは、</w:t>
      </w:r>
      <w:r w:rsidR="00907DD1">
        <w:rPr>
          <w:rFonts w:hint="eastAsia"/>
          <w:lang w:eastAsia="ja-JP"/>
        </w:rPr>
        <w:t>いずれタクソノミーが目指す</w:t>
      </w:r>
      <w:r w:rsidR="00FC139D">
        <w:rPr>
          <w:rFonts w:hint="eastAsia"/>
          <w:lang w:eastAsia="ja-JP"/>
        </w:rPr>
        <w:t>サーキュラーエコノミーに関する</w:t>
      </w:r>
      <w:r>
        <w:rPr>
          <w:lang w:eastAsia="ja-JP"/>
        </w:rPr>
        <w:t>計画目標に適合するため、閾値を見直す必要が</w:t>
      </w:r>
      <w:r w:rsidR="00907DD1">
        <w:rPr>
          <w:rFonts w:hint="eastAsia"/>
          <w:lang w:eastAsia="ja-JP"/>
        </w:rPr>
        <w:t>出てくるのではないかと思われる</w:t>
      </w:r>
      <w:r>
        <w:rPr>
          <w:lang w:eastAsia="ja-JP"/>
        </w:rPr>
        <w:t xml:space="preserve">。 </w:t>
      </w:r>
      <w:r w:rsidR="00FC139D">
        <w:rPr>
          <w:rFonts w:hint="eastAsia"/>
          <w:lang w:eastAsia="ja-JP"/>
        </w:rPr>
        <w:t>つまり</w:t>
      </w:r>
      <w:r>
        <w:rPr>
          <w:lang w:eastAsia="ja-JP"/>
        </w:rPr>
        <w:t>、プラットフォームが実質的な</w:t>
      </w:r>
      <w:r w:rsidR="00FC139D">
        <w:rPr>
          <w:rFonts w:hint="eastAsia"/>
          <w:lang w:eastAsia="ja-JP"/>
        </w:rPr>
        <w:t>サーキュラーエコノミーの目標</w:t>
      </w:r>
      <w:r>
        <w:rPr>
          <w:lang w:eastAsia="ja-JP"/>
        </w:rPr>
        <w:t>を満たす閾値基準を定義する作業を行う時点で、緩和および適応目的に関して現在定義されている製造閾値</w:t>
      </w:r>
      <w:r w:rsidR="00FC139D">
        <w:rPr>
          <w:rFonts w:hint="eastAsia"/>
          <w:lang w:eastAsia="ja-JP"/>
        </w:rPr>
        <w:t>は</w:t>
      </w:r>
      <w:r w:rsidR="00907DD1">
        <w:rPr>
          <w:rFonts w:hint="eastAsia"/>
          <w:lang w:eastAsia="ja-JP"/>
        </w:rPr>
        <w:t>見直</w:t>
      </w:r>
      <w:r w:rsidR="00FC139D">
        <w:rPr>
          <w:rFonts w:hint="eastAsia"/>
          <w:lang w:eastAsia="ja-JP"/>
        </w:rPr>
        <w:t>されることになる</w:t>
      </w:r>
      <w:r>
        <w:rPr>
          <w:lang w:eastAsia="ja-JP"/>
        </w:rPr>
        <w:t>。</w:t>
      </w:r>
    </w:p>
    <w:p w14:paraId="7F166961" w14:textId="77777777" w:rsidR="005F38AA" w:rsidRDefault="005F38AA">
      <w:pPr>
        <w:spacing w:line="276" w:lineRule="auto"/>
        <w:rPr>
          <w:lang w:eastAsia="ja-JP"/>
        </w:rPr>
        <w:sectPr w:rsidR="005F38AA">
          <w:pgSz w:w="12240" w:h="15840"/>
          <w:pgMar w:top="1360" w:right="1320" w:bottom="1640" w:left="1340" w:header="0" w:footer="1372" w:gutter="0"/>
          <w:cols w:space="720"/>
        </w:sectPr>
      </w:pPr>
    </w:p>
    <w:p w14:paraId="7F166962" w14:textId="77777777" w:rsidR="005F38AA" w:rsidRDefault="009649F8">
      <w:pPr>
        <w:pStyle w:val="2"/>
        <w:spacing w:before="79"/>
        <w:rPr>
          <w:lang w:eastAsia="ja-JP"/>
        </w:rPr>
      </w:pPr>
      <w:r>
        <w:rPr>
          <w:lang w:eastAsia="ja-JP"/>
        </w:rPr>
        <w:lastRenderedPageBreak/>
        <w:t>ステークホルダーの声</w:t>
      </w:r>
    </w:p>
    <w:p w14:paraId="7F166963" w14:textId="05F39D5D" w:rsidR="005F38AA" w:rsidRDefault="009649F8" w:rsidP="00406BC4">
      <w:pPr>
        <w:pStyle w:val="a3"/>
        <w:spacing w:before="155" w:line="276" w:lineRule="auto"/>
        <w:ind w:left="100" w:right="96"/>
        <w:rPr>
          <w:lang w:eastAsia="ja-JP"/>
        </w:rPr>
      </w:pPr>
      <w:r>
        <w:rPr>
          <w:lang w:eastAsia="ja-JP"/>
        </w:rPr>
        <w:t>2019年6月、TEGはEU Taxonomyに関する報告書を発表した。</w:t>
      </w:r>
      <w:r w:rsidRPr="00F30B66">
        <w:rPr>
          <w:sz w:val="16"/>
          <w:szCs w:val="16"/>
          <w:lang w:eastAsia="ja-JP"/>
        </w:rPr>
        <w:t>196</w:t>
      </w:r>
      <w:r>
        <w:rPr>
          <w:lang w:eastAsia="ja-JP"/>
        </w:rPr>
        <w:t>製造グループは、TEG</w:t>
      </w:r>
      <w:r w:rsidR="00907DD1">
        <w:rPr>
          <w:rFonts w:hint="eastAsia"/>
          <w:lang w:eastAsia="ja-JP"/>
        </w:rPr>
        <w:t>経由で寄せられた</w:t>
      </w:r>
      <w:r>
        <w:rPr>
          <w:lang w:eastAsia="ja-JP"/>
        </w:rPr>
        <w:t>豊富で洞察に富んだコメント</w:t>
      </w:r>
      <w:r w:rsidR="00907DD1">
        <w:rPr>
          <w:rFonts w:hint="eastAsia"/>
          <w:lang w:eastAsia="ja-JP"/>
        </w:rPr>
        <w:t>に</w:t>
      </w:r>
      <w:r>
        <w:rPr>
          <w:lang w:eastAsia="ja-JP"/>
        </w:rPr>
        <w:t>、大変喜</w:t>
      </w:r>
      <w:r w:rsidR="00907DD1">
        <w:rPr>
          <w:rFonts w:hint="eastAsia"/>
          <w:lang w:eastAsia="ja-JP"/>
        </w:rPr>
        <w:t>こんだ</w:t>
      </w:r>
      <w:r>
        <w:rPr>
          <w:lang w:eastAsia="ja-JP"/>
        </w:rPr>
        <w:t>。 いくつかのセクターは、業界の代表者を通じてコメントをまとめて提出し、他のセクター</w:t>
      </w:r>
      <w:r w:rsidR="00907DD1">
        <w:rPr>
          <w:rFonts w:hint="eastAsia"/>
          <w:lang w:eastAsia="ja-JP"/>
        </w:rPr>
        <w:t>で</w:t>
      </w:r>
      <w:r w:rsidR="00406BC4">
        <w:rPr>
          <w:rFonts w:hint="eastAsia"/>
          <w:lang w:eastAsia="ja-JP"/>
        </w:rPr>
        <w:t>は</w:t>
      </w:r>
      <w:r>
        <w:rPr>
          <w:lang w:eastAsia="ja-JP"/>
        </w:rPr>
        <w:t>同一のテキスト</w:t>
      </w:r>
      <w:r w:rsidR="00FC139D">
        <w:rPr>
          <w:rFonts w:hint="eastAsia"/>
          <w:lang w:eastAsia="ja-JP"/>
        </w:rPr>
        <w:t>が</w:t>
      </w:r>
      <w:r>
        <w:rPr>
          <w:lang w:eastAsia="ja-JP"/>
        </w:rPr>
        <w:t>複数回提出</w:t>
      </w:r>
      <w:r w:rsidR="00FC139D">
        <w:rPr>
          <w:rFonts w:hint="eastAsia"/>
          <w:lang w:eastAsia="ja-JP"/>
        </w:rPr>
        <w:t>された</w:t>
      </w:r>
      <w:r>
        <w:rPr>
          <w:lang w:eastAsia="ja-JP"/>
        </w:rPr>
        <w:t>。 以下では、TEGサブグループが「Call for Feedback」にどのように対応し、出版物</w:t>
      </w:r>
      <w:r w:rsidR="00406BC4">
        <w:rPr>
          <w:rFonts w:hint="eastAsia"/>
          <w:lang w:eastAsia="ja-JP"/>
        </w:rPr>
        <w:t>に関する</w:t>
      </w:r>
      <w:r>
        <w:rPr>
          <w:lang w:eastAsia="ja-JP"/>
        </w:rPr>
        <w:t>フィードバックを</w:t>
      </w:r>
      <w:r w:rsidR="00406BC4">
        <w:rPr>
          <w:rFonts w:hint="eastAsia"/>
          <w:lang w:eastAsia="ja-JP"/>
        </w:rPr>
        <w:t>収集して</w:t>
      </w:r>
      <w:r>
        <w:rPr>
          <w:lang w:eastAsia="ja-JP"/>
        </w:rPr>
        <w:t>きたかを概観する。</w:t>
      </w:r>
    </w:p>
    <w:p w14:paraId="7F166964" w14:textId="77777777" w:rsidR="005F38AA" w:rsidRDefault="005F38AA">
      <w:pPr>
        <w:pStyle w:val="a3"/>
        <w:spacing w:before="10"/>
        <w:rPr>
          <w:lang w:eastAsia="ja-JP"/>
        </w:rPr>
      </w:pPr>
    </w:p>
    <w:p w14:paraId="7F166965" w14:textId="138F87B8" w:rsidR="005F38AA" w:rsidRDefault="00406BC4">
      <w:pPr>
        <w:pStyle w:val="a4"/>
        <w:numPr>
          <w:ilvl w:val="0"/>
          <w:numId w:val="77"/>
        </w:numPr>
        <w:tabs>
          <w:tab w:val="left" w:pos="322"/>
        </w:tabs>
        <w:spacing w:line="276" w:lineRule="auto"/>
        <w:ind w:right="203" w:firstLine="0"/>
        <w:rPr>
          <w:sz w:val="20"/>
          <w:lang w:eastAsia="ja-JP"/>
        </w:rPr>
      </w:pPr>
      <w:r>
        <w:rPr>
          <w:rFonts w:hint="eastAsia"/>
          <w:sz w:val="20"/>
          <w:lang w:eastAsia="ja-JP"/>
        </w:rPr>
        <w:t>製造業について</w:t>
      </w:r>
      <w:r w:rsidR="009649F8">
        <w:rPr>
          <w:sz w:val="20"/>
          <w:lang w:eastAsia="ja-JP"/>
        </w:rPr>
        <w:t>最も</w:t>
      </w:r>
      <w:r>
        <w:rPr>
          <w:rFonts w:hint="eastAsia"/>
          <w:sz w:val="20"/>
          <w:lang w:eastAsia="ja-JP"/>
        </w:rPr>
        <w:t>異論</w:t>
      </w:r>
      <w:r w:rsidR="009649F8">
        <w:rPr>
          <w:sz w:val="20"/>
          <w:lang w:eastAsia="ja-JP"/>
        </w:rPr>
        <w:t>が多かったのは、低炭素技術リストとの関連であった。 ほとんどの申請は、その多くが同一であったが、追加の技術をリストに含めるよう要請していた。 これらの意見を踏まえ、リストを見直し、適切な修正を行った。</w:t>
      </w:r>
    </w:p>
    <w:p w14:paraId="7F166966" w14:textId="77777777" w:rsidR="005F38AA" w:rsidRDefault="005F38AA">
      <w:pPr>
        <w:pStyle w:val="a3"/>
        <w:spacing w:before="10"/>
        <w:rPr>
          <w:lang w:eastAsia="ja-JP"/>
        </w:rPr>
      </w:pPr>
    </w:p>
    <w:p w14:paraId="7F166967" w14:textId="01156A76" w:rsidR="005F38AA" w:rsidRDefault="009649F8">
      <w:pPr>
        <w:pStyle w:val="a4"/>
        <w:numPr>
          <w:ilvl w:val="0"/>
          <w:numId w:val="77"/>
        </w:numPr>
        <w:tabs>
          <w:tab w:val="left" w:pos="322"/>
        </w:tabs>
        <w:spacing w:line="276" w:lineRule="auto"/>
        <w:ind w:right="276" w:firstLine="0"/>
        <w:rPr>
          <w:sz w:val="20"/>
        </w:rPr>
      </w:pPr>
      <w:r>
        <w:rPr>
          <w:sz w:val="20"/>
          <w:lang w:eastAsia="ja-JP"/>
        </w:rPr>
        <w:t>2050年のゼロ・フューチャーに貢献するグリーン・水素の必要性を考慮</w:t>
      </w:r>
      <w:r w:rsidR="00406BC4">
        <w:rPr>
          <w:rFonts w:hint="eastAsia"/>
          <w:sz w:val="20"/>
          <w:lang w:eastAsia="ja-JP"/>
        </w:rPr>
        <w:t>して</w:t>
      </w:r>
      <w:r>
        <w:rPr>
          <w:sz w:val="20"/>
          <w:lang w:eastAsia="ja-JP"/>
        </w:rPr>
        <w:t>、水素製造の閾値が厳しいことに懸念を表明した</w:t>
      </w:r>
      <w:r w:rsidR="00406BC4">
        <w:rPr>
          <w:rFonts w:hint="eastAsia"/>
          <w:sz w:val="20"/>
          <w:lang w:eastAsia="ja-JP"/>
        </w:rPr>
        <w:t>意見があった</w:t>
      </w:r>
      <w:r>
        <w:rPr>
          <w:sz w:val="20"/>
          <w:lang w:eastAsia="ja-JP"/>
        </w:rPr>
        <w:t xml:space="preserve">。 </w:t>
      </w:r>
      <w:r>
        <w:rPr>
          <w:sz w:val="20"/>
        </w:rPr>
        <w:t>フィードバックの結果、閾値が修正された。</w:t>
      </w:r>
    </w:p>
    <w:p w14:paraId="7F166968" w14:textId="77777777" w:rsidR="005F38AA" w:rsidRDefault="005F38AA">
      <w:pPr>
        <w:pStyle w:val="a3"/>
        <w:rPr>
          <w:sz w:val="21"/>
        </w:rPr>
      </w:pPr>
    </w:p>
    <w:p w14:paraId="7F166969" w14:textId="7B1F5465" w:rsidR="005F38AA" w:rsidRDefault="009649F8">
      <w:pPr>
        <w:pStyle w:val="a4"/>
        <w:numPr>
          <w:ilvl w:val="0"/>
          <w:numId w:val="77"/>
        </w:numPr>
        <w:tabs>
          <w:tab w:val="left" w:pos="322"/>
        </w:tabs>
        <w:spacing w:line="276" w:lineRule="auto"/>
        <w:ind w:right="184" w:firstLine="0"/>
        <w:rPr>
          <w:sz w:val="20"/>
          <w:lang w:eastAsia="ja-JP"/>
        </w:rPr>
      </w:pPr>
      <w:r>
        <w:rPr>
          <w:sz w:val="20"/>
          <w:lang w:eastAsia="ja-JP"/>
        </w:rPr>
        <w:t>鋼材のライフサイクル分析は、鋼材が完全にリサイクル可能な材料であり、低炭素経済において引き続き役割を果たすことを認めるために提案された閾値において考慮されるべきであるとの複数の要請があった。 我々は、鉄鋼がサプライチェーンの効率性において果たす役割を認識しているが、実際的な理由から、一次鉄鋼と鋼のリサイクルのみの生産に提案された閾値の範囲が制限されている。</w:t>
      </w:r>
      <w:r w:rsidR="00406BC4">
        <w:rPr>
          <w:rFonts w:hint="eastAsia"/>
          <w:sz w:val="20"/>
          <w:lang w:eastAsia="ja-JP"/>
        </w:rPr>
        <w:t>今回</w:t>
      </w:r>
      <w:r>
        <w:rPr>
          <w:sz w:val="20"/>
          <w:lang w:eastAsia="ja-JP"/>
        </w:rPr>
        <w:t>は、鉄鋼の</w:t>
      </w:r>
      <w:r w:rsidR="00FC139D">
        <w:rPr>
          <w:rFonts w:hint="eastAsia"/>
          <w:sz w:val="20"/>
          <w:lang w:eastAsia="ja-JP"/>
        </w:rPr>
        <w:t>サーキュラーエコノミー</w:t>
      </w:r>
      <w:r>
        <w:rPr>
          <w:sz w:val="20"/>
          <w:lang w:eastAsia="ja-JP"/>
        </w:rPr>
        <w:t>基準は提案されておらず、</w:t>
      </w:r>
      <w:r w:rsidR="00406BC4">
        <w:rPr>
          <w:rFonts w:hint="eastAsia"/>
          <w:sz w:val="20"/>
          <w:lang w:eastAsia="ja-JP"/>
        </w:rPr>
        <w:t>今後の議論に委ねられる</w:t>
      </w:r>
      <w:r>
        <w:rPr>
          <w:sz w:val="20"/>
          <w:lang w:eastAsia="ja-JP"/>
        </w:rPr>
        <w:t>必要がある。 この点に関して、例えばアルミニウムまたはセメントの製造も同様の方法で取り扱われる。</w:t>
      </w:r>
    </w:p>
    <w:p w14:paraId="7F16696A" w14:textId="77777777" w:rsidR="005F38AA" w:rsidRDefault="005F38AA">
      <w:pPr>
        <w:pStyle w:val="a3"/>
        <w:spacing w:before="9"/>
        <w:rPr>
          <w:lang w:eastAsia="ja-JP"/>
        </w:rPr>
      </w:pPr>
    </w:p>
    <w:p w14:paraId="7F16696B" w14:textId="1AB72971" w:rsidR="005F38AA" w:rsidRDefault="009649F8">
      <w:pPr>
        <w:pStyle w:val="a4"/>
        <w:numPr>
          <w:ilvl w:val="0"/>
          <w:numId w:val="77"/>
        </w:numPr>
        <w:tabs>
          <w:tab w:val="left" w:pos="322"/>
        </w:tabs>
        <w:spacing w:line="276" w:lineRule="auto"/>
        <w:ind w:right="369" w:firstLine="0"/>
        <w:rPr>
          <w:sz w:val="20"/>
          <w:lang w:eastAsia="ja-JP"/>
        </w:rPr>
      </w:pPr>
      <w:r>
        <w:rPr>
          <w:sz w:val="20"/>
          <w:lang w:eastAsia="ja-JP"/>
        </w:rPr>
        <w:t>セメントを含む様々な製造活動に関する申請の多く</w:t>
      </w:r>
      <w:r w:rsidR="00FC139D">
        <w:rPr>
          <w:rFonts w:hint="eastAsia"/>
          <w:sz w:val="20"/>
          <w:lang w:eastAsia="ja-JP"/>
        </w:rPr>
        <w:t>が</w:t>
      </w:r>
      <w:r>
        <w:rPr>
          <w:sz w:val="20"/>
          <w:lang w:eastAsia="ja-JP"/>
        </w:rPr>
        <w:t>、</w:t>
      </w:r>
      <w:r w:rsidR="00406BC4">
        <w:rPr>
          <w:rFonts w:hint="eastAsia"/>
          <w:sz w:val="20"/>
          <w:lang w:eastAsia="ja-JP"/>
        </w:rPr>
        <w:t>純粋に</w:t>
      </w:r>
      <w:r>
        <w:rPr>
          <w:sz w:val="20"/>
          <w:lang w:eastAsia="ja-JP"/>
        </w:rPr>
        <w:t>技術的なものではなく、むしろ立場として提出されたものであることが指摘された。 TEGは、適用される閾値が低炭素生産を促進することを確実にするために努力してきた</w:t>
      </w:r>
      <w:r w:rsidR="00FC139D">
        <w:rPr>
          <w:rFonts w:hint="eastAsia"/>
          <w:sz w:val="20"/>
          <w:lang w:eastAsia="ja-JP"/>
        </w:rPr>
        <w:t>のである</w:t>
      </w:r>
      <w:r>
        <w:rPr>
          <w:sz w:val="20"/>
          <w:lang w:eastAsia="ja-JP"/>
        </w:rPr>
        <w:t>。</w:t>
      </w:r>
    </w:p>
    <w:p w14:paraId="7F16696C" w14:textId="77777777" w:rsidR="005F38AA" w:rsidRDefault="005F38AA">
      <w:pPr>
        <w:pStyle w:val="a3"/>
        <w:rPr>
          <w:sz w:val="21"/>
          <w:lang w:eastAsia="ja-JP"/>
        </w:rPr>
      </w:pPr>
    </w:p>
    <w:p w14:paraId="7F16696D" w14:textId="24AEDB99" w:rsidR="005F38AA" w:rsidRDefault="009649F8">
      <w:pPr>
        <w:pStyle w:val="a4"/>
        <w:numPr>
          <w:ilvl w:val="0"/>
          <w:numId w:val="77"/>
        </w:numPr>
        <w:tabs>
          <w:tab w:val="left" w:pos="322"/>
        </w:tabs>
        <w:spacing w:line="276" w:lineRule="auto"/>
        <w:ind w:right="252" w:firstLine="0"/>
        <w:rPr>
          <w:sz w:val="20"/>
          <w:lang w:eastAsia="ja-JP"/>
        </w:rPr>
      </w:pPr>
      <w:r>
        <w:rPr>
          <w:sz w:val="20"/>
          <w:lang w:eastAsia="ja-JP"/>
        </w:rPr>
        <w:t>プラスチックの製造、特に単一原料プラスチックの製造に関して、利害関係者からかなりの懸念があった。 提出書類の多くは、循環的な経済的視点を導入することを推奨している。 これに応えて、最終プラスチックの少なくとも90%が単回使用の消費者製品に使用されず、かつリサイクルされないプラスチック製造業者に適格性を制限する</w:t>
      </w:r>
      <w:r w:rsidR="00FC139D">
        <w:rPr>
          <w:rFonts w:hint="eastAsia"/>
          <w:sz w:val="20"/>
          <w:lang w:eastAsia="ja-JP"/>
        </w:rPr>
        <w:t>ことによって</w:t>
      </w:r>
      <w:r>
        <w:rPr>
          <w:sz w:val="20"/>
          <w:lang w:eastAsia="ja-JP"/>
        </w:rPr>
        <w:t>、この閾値はより</w:t>
      </w:r>
      <w:r w:rsidR="00FC139D">
        <w:rPr>
          <w:rFonts w:hint="eastAsia"/>
          <w:sz w:val="20"/>
          <w:lang w:eastAsia="ja-JP"/>
        </w:rPr>
        <w:t>明示的</w:t>
      </w:r>
      <w:r>
        <w:rPr>
          <w:sz w:val="20"/>
          <w:lang w:eastAsia="ja-JP"/>
        </w:rPr>
        <w:t>になっている。 このことは、科学的根拠に基づく研究・研究等から確認する必要がある。</w:t>
      </w:r>
    </w:p>
    <w:p w14:paraId="7F16696E" w14:textId="77777777" w:rsidR="005F38AA" w:rsidRDefault="005F38AA">
      <w:pPr>
        <w:pStyle w:val="a3"/>
        <w:rPr>
          <w:sz w:val="22"/>
          <w:lang w:eastAsia="ja-JP"/>
        </w:rPr>
      </w:pPr>
    </w:p>
    <w:p w14:paraId="7F16696F" w14:textId="77777777" w:rsidR="005F38AA" w:rsidRDefault="005F38AA">
      <w:pPr>
        <w:pStyle w:val="a3"/>
        <w:spacing w:before="4"/>
        <w:rPr>
          <w:sz w:val="32"/>
          <w:lang w:eastAsia="ja-JP"/>
        </w:rPr>
      </w:pPr>
    </w:p>
    <w:p w14:paraId="7F166970" w14:textId="77777777" w:rsidR="005F38AA" w:rsidRDefault="009649F8">
      <w:pPr>
        <w:ind w:left="100"/>
        <w:rPr>
          <w:b/>
          <w:sz w:val="24"/>
        </w:rPr>
      </w:pPr>
      <w:r>
        <w:rPr>
          <w:b/>
          <w:sz w:val="24"/>
        </w:rPr>
        <w:t>次のステップと提言</w:t>
      </w:r>
    </w:p>
    <w:p w14:paraId="7F166971" w14:textId="0C15F328" w:rsidR="005F38AA" w:rsidRDefault="009649F8">
      <w:pPr>
        <w:pStyle w:val="a4"/>
        <w:numPr>
          <w:ilvl w:val="0"/>
          <w:numId w:val="76"/>
        </w:numPr>
        <w:tabs>
          <w:tab w:val="left" w:pos="322"/>
        </w:tabs>
        <w:spacing w:before="160" w:line="276" w:lineRule="auto"/>
        <w:ind w:right="199" w:firstLine="0"/>
        <w:jc w:val="both"/>
        <w:rPr>
          <w:sz w:val="20"/>
        </w:rPr>
      </w:pPr>
      <w:r>
        <w:rPr>
          <w:sz w:val="20"/>
          <w:lang w:eastAsia="ja-JP"/>
        </w:rPr>
        <w:t>TEGは、</w:t>
      </w:r>
      <w:r w:rsidR="00406BC4">
        <w:rPr>
          <w:rFonts w:hint="eastAsia"/>
          <w:sz w:val="20"/>
          <w:lang w:eastAsia="ja-JP"/>
        </w:rPr>
        <w:t>タクソノミー</w:t>
      </w:r>
      <w:r>
        <w:rPr>
          <w:sz w:val="20"/>
          <w:lang w:eastAsia="ja-JP"/>
        </w:rPr>
        <w:t xml:space="preserve">の製造部門の範囲を拡大して、より多くの製造活動をカバーすべきであると認識している。 </w:t>
      </w:r>
      <w:r w:rsidR="00406BC4">
        <w:rPr>
          <w:rFonts w:hint="eastAsia"/>
          <w:sz w:val="20"/>
          <w:lang w:eastAsia="ja-JP"/>
        </w:rPr>
        <w:t>タクソノミー</w:t>
      </w:r>
      <w:r>
        <w:rPr>
          <w:sz w:val="20"/>
          <w:lang w:eastAsia="ja-JP"/>
        </w:rPr>
        <w:t xml:space="preserve">が適用される文脈を見直し、それが他の環境目的に悪いインセンティブや悪影響を与えるような活動をグリーンと特定しないことを確実にするために、引き続き注意を払わなければならない。 </w:t>
      </w:r>
      <w:r>
        <w:rPr>
          <w:sz w:val="20"/>
        </w:rPr>
        <w:t>TEGは、モノづくりの視点から</w:t>
      </w:r>
    </w:p>
    <w:p w14:paraId="7F166972" w14:textId="77777777" w:rsidR="005F38AA" w:rsidRDefault="005F38AA">
      <w:pPr>
        <w:pStyle w:val="a3"/>
      </w:pPr>
    </w:p>
    <w:p w14:paraId="7F166973" w14:textId="77777777" w:rsidR="005F38AA" w:rsidRDefault="005F38AA">
      <w:pPr>
        <w:pStyle w:val="a3"/>
      </w:pPr>
    </w:p>
    <w:p w14:paraId="7F166974" w14:textId="19A6ED71" w:rsidR="005F38AA" w:rsidRDefault="00520D32">
      <w:pPr>
        <w:pStyle w:val="a3"/>
        <w:spacing w:before="10"/>
        <w:rPr>
          <w:sz w:val="27"/>
        </w:rPr>
      </w:pPr>
      <w:r>
        <w:rPr>
          <w:noProof/>
          <w:lang w:val="en-US" w:eastAsia="ja-JP"/>
        </w:rPr>
        <mc:AlternateContent>
          <mc:Choice Requires="wps">
            <w:drawing>
              <wp:anchor distT="0" distB="0" distL="0" distR="0" simplePos="0" relativeHeight="251650048" behindDoc="1" locked="0" layoutInCell="1" allowOverlap="1" wp14:anchorId="7F166D92" wp14:editId="6A109812">
                <wp:simplePos x="0" y="0"/>
                <wp:positionH relativeFrom="page">
                  <wp:posOffset>914400</wp:posOffset>
                </wp:positionH>
                <wp:positionV relativeFrom="paragraph">
                  <wp:posOffset>231775</wp:posOffset>
                </wp:positionV>
                <wp:extent cx="1829435" cy="0"/>
                <wp:effectExtent l="9525" t="6985" r="8890" b="12065"/>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E345" id="Line 35"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1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M5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jhESNF&#10;OpjRRiiOQIXe9MYV4FKprQ3V0ZN6NhtNfzqkdNUSteeR48vZQFwWIpJXIUFxBjLs+q+agQ85eB0b&#10;dWpsFyChBegU53G+zYOfPKJwmc0m8zzwooMtIcUQaKzzX7juUBBKLIF0BCbHjfOBCCkGl5BH6bWQ&#10;Mo5bKtSXeJrOpzHAaSlYMAY3Z/e7Slp0JGFh4herAsu9m9UHxSJYywlbXWVPhLzIkFyqgAelAJ2r&#10;dNmIX/N0vpqtZvkon0xXozyt69HndZWPpuvs02P9UFdVnf0O1LK8aAVjXAV2w3Zm+dumf30nl726&#10;7eetDclr9NgvIDv8I+k4yzC+yyLsNDtv7TBjWMjofH08YePvdZDvn/jyDwAAAP//AwBQSwMEFAAG&#10;AAgAAAAhAIACfr3fAAAACQEAAA8AAABkcnMvZG93bnJldi54bWxMj8FOwzAQRO9I/IO1SNyo0za0&#10;IcSpEAikHipEW/XsxksSEq+j2G3Sv2cRBzjO7Gj2TbYabSvO2PvakYLpJAKBVDhTU6lgv3u9S0D4&#10;oMno1hEquKCHVX59lenUuIE+8LwNpeAS8qlWUIXQpVL6okKr/cR1SHz7dL3VgWVfStPrgcttK2dR&#10;tJBW18QfKt3hc4VFsz1ZBZtEvrj35lBcvobdW5Ksm4fleq/U7c349Agi4Bj+wvCDz+iQM9PRnch4&#10;0bKOY94SFMwX9yA4EM9nUxDHX0Pmmfy/IP8GAAD//wMAUEsBAi0AFAAGAAgAAAAhALaDOJL+AAAA&#10;4QEAABMAAAAAAAAAAAAAAAAAAAAAAFtDb250ZW50X1R5cGVzXS54bWxQSwECLQAUAAYACAAAACEA&#10;OP0h/9YAAACUAQAACwAAAAAAAAAAAAAAAAAvAQAAX3JlbHMvLnJlbHNQSwECLQAUAAYACAAAACEA&#10;ojVjORMCAAAqBAAADgAAAAAAAAAAAAAAAAAuAgAAZHJzL2Uyb0RvYy54bWxQSwECLQAUAAYACAAA&#10;ACEAgAJ+vd8AAAAJAQAADwAAAAAAAAAAAAAAAABtBAAAZHJzL2Rvd25yZXYueG1sUEsFBgAAAAAE&#10;AAQA8wAAAHkFAAAAAA==&#10;" strokeweight=".48pt">
                <w10:wrap type="topAndBottom" anchorx="page"/>
              </v:line>
            </w:pict>
          </mc:Fallback>
        </mc:AlternateContent>
      </w:r>
    </w:p>
    <w:p w14:paraId="7F166975" w14:textId="77777777" w:rsidR="005F38AA" w:rsidRDefault="005F38AA">
      <w:pPr>
        <w:pStyle w:val="a3"/>
        <w:spacing w:before="4"/>
        <w:rPr>
          <w:sz w:val="17"/>
        </w:rPr>
      </w:pPr>
    </w:p>
    <w:p w14:paraId="7F166976" w14:textId="77777777" w:rsidR="005F38AA" w:rsidRDefault="009649F8">
      <w:pPr>
        <w:spacing w:before="96"/>
        <w:ind w:left="100"/>
        <w:rPr>
          <w:sz w:val="16"/>
        </w:rPr>
      </w:pPr>
      <w:r>
        <w:rPr>
          <w:sz w:val="16"/>
        </w:rPr>
        <w:lastRenderedPageBreak/>
        <w:t>196、https://ec.europa.eu/info/publications/sustainable-finance-teg-taxonomy_en参照。</w:t>
      </w:r>
      <w:hyperlink r:id="rId9"/>
    </w:p>
    <w:p w14:paraId="7F166977" w14:textId="77777777" w:rsidR="005F38AA" w:rsidRDefault="005F38AA">
      <w:pPr>
        <w:rPr>
          <w:sz w:val="16"/>
        </w:rPr>
        <w:sectPr w:rsidR="005F38AA">
          <w:pgSz w:w="12240" w:h="15840"/>
          <w:pgMar w:top="1360" w:right="1320" w:bottom="1640" w:left="1340" w:header="0" w:footer="1372" w:gutter="0"/>
          <w:cols w:space="720"/>
        </w:sectPr>
      </w:pPr>
    </w:p>
    <w:p w14:paraId="7F166978" w14:textId="411E07D8" w:rsidR="005F38AA" w:rsidRDefault="009649F8">
      <w:pPr>
        <w:pStyle w:val="a3"/>
        <w:spacing w:before="79" w:line="276" w:lineRule="auto"/>
        <w:ind w:left="100" w:right="766"/>
        <w:rPr>
          <w:lang w:eastAsia="ja-JP"/>
        </w:rPr>
      </w:pPr>
      <w:r>
        <w:rPr>
          <w:lang w:eastAsia="ja-JP"/>
        </w:rPr>
        <w:lastRenderedPageBreak/>
        <w:t>次回のラウンドでは、将来のプラットフォームが、少なくとも短期的には含まれる他の製造部門の閾値を設定するために実施された作業</w:t>
      </w:r>
      <w:r w:rsidR="00406BC4">
        <w:rPr>
          <w:rFonts w:hint="eastAsia"/>
          <w:lang w:eastAsia="ja-JP"/>
        </w:rPr>
        <w:t>を尊重</w:t>
      </w:r>
      <w:r>
        <w:rPr>
          <w:lang w:eastAsia="ja-JP"/>
        </w:rPr>
        <w:t>するよう勧告する。</w:t>
      </w:r>
    </w:p>
    <w:p w14:paraId="7F166979" w14:textId="77777777" w:rsidR="005F38AA" w:rsidRDefault="005F38AA">
      <w:pPr>
        <w:pStyle w:val="a3"/>
        <w:spacing w:before="11"/>
        <w:rPr>
          <w:lang w:eastAsia="ja-JP"/>
        </w:rPr>
      </w:pPr>
    </w:p>
    <w:p w14:paraId="7F16697A" w14:textId="34276FCC" w:rsidR="005F38AA" w:rsidRDefault="009649F8">
      <w:pPr>
        <w:pStyle w:val="a4"/>
        <w:numPr>
          <w:ilvl w:val="0"/>
          <w:numId w:val="78"/>
        </w:numPr>
        <w:tabs>
          <w:tab w:val="left" w:pos="460"/>
          <w:tab w:val="left" w:pos="461"/>
        </w:tabs>
        <w:spacing w:line="276" w:lineRule="auto"/>
        <w:ind w:right="158"/>
        <w:rPr>
          <w:sz w:val="20"/>
          <w:lang w:eastAsia="ja-JP"/>
        </w:rPr>
      </w:pPr>
      <w:r>
        <w:rPr>
          <w:b/>
          <w:sz w:val="20"/>
          <w:lang w:eastAsia="ja-JP"/>
        </w:rPr>
        <w:t>ガラス製造、紙・パルプ製造、繊維などの</w:t>
      </w:r>
      <w:r w:rsidR="00FC139D">
        <w:rPr>
          <w:rFonts w:hint="eastAsia"/>
          <w:b/>
          <w:sz w:val="20"/>
          <w:lang w:eastAsia="ja-JP"/>
        </w:rPr>
        <w:t>環境汚染度の高い</w:t>
      </w:r>
      <w:r>
        <w:rPr>
          <w:b/>
          <w:sz w:val="20"/>
          <w:lang w:eastAsia="ja-JP"/>
        </w:rPr>
        <w:t xml:space="preserve">活動のさらなる分析 </w:t>
      </w:r>
      <w:r w:rsidRPr="00F30B66">
        <w:rPr>
          <w:rFonts w:hint="eastAsia"/>
          <w:sz w:val="20"/>
          <w:lang w:eastAsia="ja-JP"/>
        </w:rPr>
        <w:t>これらの活動のための製造プロセスは複雑</w:t>
      </w:r>
      <w:r w:rsidR="00FC139D">
        <w:rPr>
          <w:rFonts w:hint="eastAsia"/>
          <w:sz w:val="20"/>
          <w:lang w:eastAsia="ja-JP"/>
        </w:rPr>
        <w:t>に絡み合っており</w:t>
      </w:r>
      <w:r w:rsidRPr="00F30B66">
        <w:rPr>
          <w:rFonts w:hint="eastAsia"/>
          <w:sz w:val="20"/>
          <w:lang w:eastAsia="ja-JP"/>
        </w:rPr>
        <w:t>、その結果、多種多様な製品が生産される。</w:t>
      </w:r>
      <w:r w:rsidRPr="00DC444A">
        <w:rPr>
          <w:sz w:val="20"/>
          <w:lang w:eastAsia="ja-JP"/>
        </w:rPr>
        <w:t xml:space="preserve"> </w:t>
      </w:r>
      <w:r>
        <w:rPr>
          <w:sz w:val="20"/>
          <w:lang w:eastAsia="ja-JP"/>
        </w:rPr>
        <w:t>TEGは、将来のプラットフォームが、排出量の最も重要な部分(例えば、紙・パルプ部門における蒸気発生)に貢献するプロセスに優先順位を付けることにより、これらの製造部門に対処し、これらの特定のプロセスに対する閾値の設定に取り組むことを勧告する。</w:t>
      </w:r>
    </w:p>
    <w:p w14:paraId="7F16697B" w14:textId="77777777" w:rsidR="005F38AA" w:rsidRDefault="005F38AA">
      <w:pPr>
        <w:pStyle w:val="a3"/>
        <w:spacing w:before="6"/>
        <w:rPr>
          <w:lang w:eastAsia="ja-JP"/>
        </w:rPr>
      </w:pPr>
    </w:p>
    <w:p w14:paraId="7F16697C" w14:textId="4AA2FA64" w:rsidR="005F38AA" w:rsidRDefault="009649F8">
      <w:pPr>
        <w:pStyle w:val="a4"/>
        <w:numPr>
          <w:ilvl w:val="0"/>
          <w:numId w:val="78"/>
        </w:numPr>
        <w:tabs>
          <w:tab w:val="left" w:pos="460"/>
          <w:tab w:val="left" w:pos="461"/>
        </w:tabs>
        <w:spacing w:line="276" w:lineRule="auto"/>
        <w:ind w:right="127"/>
        <w:rPr>
          <w:sz w:val="20"/>
          <w:lang w:eastAsia="ja-JP"/>
        </w:rPr>
      </w:pPr>
      <w:r>
        <w:rPr>
          <w:b/>
          <w:sz w:val="20"/>
          <w:lang w:eastAsia="ja-JP"/>
        </w:rPr>
        <w:t>鉱業:</w:t>
      </w:r>
      <w:r w:rsidRPr="00F30B66">
        <w:rPr>
          <w:rFonts w:hint="eastAsia"/>
          <w:sz w:val="20"/>
          <w:lang w:eastAsia="ja-JP"/>
        </w:rPr>
        <w:t>これは、低炭素技術に必要な重要材料を提供することによって低炭素技術の展開におけるボトルネックを回避すると同時に、エネルギー集約型製造部門とのバリューチェーンのリンクという点で重要な部門である。</w:t>
      </w:r>
      <w:r>
        <w:rPr>
          <w:sz w:val="20"/>
          <w:lang w:eastAsia="ja-JP"/>
        </w:rPr>
        <w:t xml:space="preserve"> 残念ながら、TEGは、時間の制約と問題の複雑さのために、この部門の作業を完了することができなかった。TEGは、この部門の可能性を検討する観点から、持続可能で責任ある方法で原材料を調達する一方で、気候中立、循環、資源効率の良い経済を創出するために、現在および将来の技術に必要な重要物質の利用可能性を高めるという点で、この部門が果たす役割を分析することを勧告する。 プラットフォームは、鉱業のバリューチェーンの異なるフェーズを評価する際に、ライフサイクルアプローチ</w:t>
      </w:r>
      <w:r w:rsidR="00DC444A">
        <w:rPr>
          <w:rFonts w:hint="eastAsia"/>
          <w:sz w:val="20"/>
          <w:lang w:eastAsia="ja-JP"/>
        </w:rPr>
        <w:t>の適用を行うべきである</w:t>
      </w:r>
      <w:r>
        <w:rPr>
          <w:sz w:val="20"/>
          <w:lang w:eastAsia="ja-JP"/>
        </w:rPr>
        <w:t>。 ライフサイクル分析を適用する合理的な理由は、多くの金属が</w:t>
      </w:r>
      <w:r w:rsidR="00DC444A">
        <w:rPr>
          <w:rFonts w:hint="eastAsia"/>
          <w:sz w:val="20"/>
          <w:lang w:eastAsia="ja-JP"/>
        </w:rPr>
        <w:t>低炭素技術にとって</w:t>
      </w:r>
      <w:r>
        <w:rPr>
          <w:sz w:val="20"/>
          <w:lang w:eastAsia="ja-JP"/>
        </w:rPr>
        <w:t>不可欠</w:t>
      </w:r>
      <w:r w:rsidR="00DC444A">
        <w:rPr>
          <w:rFonts w:hint="eastAsia"/>
          <w:sz w:val="20"/>
          <w:lang w:eastAsia="ja-JP"/>
        </w:rPr>
        <w:t>な</w:t>
      </w:r>
      <w:r>
        <w:rPr>
          <w:sz w:val="20"/>
          <w:lang w:eastAsia="ja-JP"/>
        </w:rPr>
        <w:t>ことである。</w:t>
      </w:r>
    </w:p>
    <w:p w14:paraId="7F16697D" w14:textId="525CF758" w:rsidR="005F38AA" w:rsidRDefault="009649F8">
      <w:pPr>
        <w:pStyle w:val="a3"/>
        <w:spacing w:line="276" w:lineRule="auto"/>
        <w:ind w:left="460" w:right="312"/>
        <w:rPr>
          <w:lang w:eastAsia="ja-JP"/>
        </w:rPr>
      </w:pPr>
      <w:r>
        <w:rPr>
          <w:lang w:eastAsia="ja-JP"/>
        </w:rPr>
        <w:t>例えば、軽量車用アルミニウム、</w:t>
      </w:r>
      <w:r w:rsidR="00DC444A">
        <w:rPr>
          <w:rFonts w:hint="eastAsia"/>
          <w:lang w:eastAsia="ja-JP"/>
        </w:rPr>
        <w:t>電気や</w:t>
      </w:r>
      <w:r>
        <w:rPr>
          <w:lang w:eastAsia="ja-JP"/>
        </w:rPr>
        <w:t>電気自動車</w:t>
      </w:r>
      <w:r w:rsidR="00DC444A">
        <w:rPr>
          <w:rFonts w:hint="eastAsia"/>
          <w:lang w:eastAsia="ja-JP"/>
        </w:rPr>
        <w:t>向けの銅</w:t>
      </w:r>
      <w:r>
        <w:rPr>
          <w:lang w:eastAsia="ja-JP"/>
        </w:rPr>
        <w:t>、ソーラーパネル、風力タービン、クリーンなモビリティとグリッド蓄電池用の電池金属(コバルト、鉛、リチウム、マンガン、ニッケル)、洋上風力タービン保護用の亜鉛とコバルト、ソーラーパネルのシリコン、クリーンなモビリティとソーラーパネル用の貴金属</w:t>
      </w:r>
      <w:r w:rsidR="00DC444A">
        <w:rPr>
          <w:rFonts w:hint="eastAsia"/>
          <w:lang w:eastAsia="ja-JP"/>
        </w:rPr>
        <w:t>などである</w:t>
      </w:r>
      <w:r>
        <w:rPr>
          <w:lang w:eastAsia="ja-JP"/>
        </w:rPr>
        <w:t>。</w:t>
      </w:r>
    </w:p>
    <w:p w14:paraId="7F16697E" w14:textId="77777777" w:rsidR="005F38AA" w:rsidRDefault="005F38AA">
      <w:pPr>
        <w:pStyle w:val="a3"/>
        <w:spacing w:before="8"/>
        <w:rPr>
          <w:lang w:eastAsia="ja-JP"/>
        </w:rPr>
      </w:pPr>
    </w:p>
    <w:p w14:paraId="7F16697F" w14:textId="1E3229E0" w:rsidR="005F38AA" w:rsidRDefault="009649F8">
      <w:pPr>
        <w:pStyle w:val="a4"/>
        <w:numPr>
          <w:ilvl w:val="0"/>
          <w:numId w:val="78"/>
        </w:numPr>
        <w:tabs>
          <w:tab w:val="left" w:pos="461"/>
        </w:tabs>
        <w:spacing w:before="1" w:line="273" w:lineRule="auto"/>
        <w:ind w:right="290"/>
        <w:jc w:val="both"/>
        <w:rPr>
          <w:sz w:val="20"/>
          <w:lang w:eastAsia="ja-JP"/>
        </w:rPr>
      </w:pPr>
      <w:r>
        <w:rPr>
          <w:b/>
          <w:sz w:val="20"/>
          <w:lang w:eastAsia="ja-JP"/>
        </w:rPr>
        <w:t>軽工業部門のさらなる分析</w:t>
      </w:r>
      <w:r w:rsidRPr="00F30B66">
        <w:rPr>
          <w:rFonts w:hint="eastAsia"/>
          <w:sz w:val="20"/>
          <w:lang w:eastAsia="ja-JP"/>
        </w:rPr>
        <w:t>も、これらの部門が影響力を増すにつれて、プラットフォームによって検討される必要があるかもしれない。</w:t>
      </w:r>
      <w:r>
        <w:rPr>
          <w:sz w:val="20"/>
          <w:lang w:eastAsia="ja-JP"/>
        </w:rPr>
        <w:t xml:space="preserve"> これらのために、プラットフォームは、</w:t>
      </w:r>
      <w:r w:rsidR="00DC444A">
        <w:rPr>
          <w:rFonts w:hint="eastAsia"/>
          <w:sz w:val="20"/>
          <w:lang w:eastAsia="ja-JP"/>
        </w:rPr>
        <w:t>現実的</w:t>
      </w:r>
      <w:r>
        <w:rPr>
          <w:sz w:val="20"/>
          <w:lang w:eastAsia="ja-JP"/>
        </w:rPr>
        <w:t>な場合には)各セクターの個別の活動基準を策定するか、これらのセクター全体に適用可能な主要な改善措置を特定し、それらを個々の</w:t>
      </w:r>
      <w:r w:rsidR="00DC444A">
        <w:rPr>
          <w:rFonts w:hint="eastAsia"/>
          <w:sz w:val="20"/>
          <w:lang w:eastAsia="ja-JP"/>
        </w:rPr>
        <w:t>イネーブリング</w:t>
      </w:r>
      <w:r>
        <w:rPr>
          <w:sz w:val="20"/>
          <w:lang w:eastAsia="ja-JP"/>
        </w:rPr>
        <w:t>活動として分類することができる。</w:t>
      </w:r>
    </w:p>
    <w:p w14:paraId="7F166980" w14:textId="77777777" w:rsidR="005F38AA" w:rsidRDefault="005F38AA">
      <w:pPr>
        <w:pStyle w:val="a3"/>
        <w:spacing w:before="2"/>
        <w:rPr>
          <w:sz w:val="21"/>
          <w:lang w:eastAsia="ja-JP"/>
        </w:rPr>
      </w:pPr>
    </w:p>
    <w:p w14:paraId="7F166981" w14:textId="42DCDE66" w:rsidR="005F38AA" w:rsidRDefault="009649F8">
      <w:pPr>
        <w:pStyle w:val="a4"/>
        <w:numPr>
          <w:ilvl w:val="0"/>
          <w:numId w:val="76"/>
        </w:numPr>
        <w:tabs>
          <w:tab w:val="left" w:pos="322"/>
        </w:tabs>
        <w:ind w:left="321"/>
        <w:rPr>
          <w:sz w:val="20"/>
          <w:lang w:eastAsia="ja-JP"/>
        </w:rPr>
      </w:pPr>
      <w:r>
        <w:rPr>
          <w:sz w:val="20"/>
          <w:lang w:eastAsia="ja-JP"/>
        </w:rPr>
        <w:t>DNSH</w:t>
      </w:r>
      <w:r w:rsidR="00D66F1B" w:rsidRPr="00F30B66">
        <w:rPr>
          <w:rFonts w:hint="eastAsia"/>
          <w:sz w:val="20"/>
          <w:highlight w:val="yellow"/>
          <w:lang w:eastAsia="ja-JP"/>
        </w:rPr>
        <w:t>（</w:t>
      </w:r>
      <w:r w:rsidR="00D66F1B">
        <w:rPr>
          <w:rFonts w:hint="eastAsia"/>
          <w:sz w:val="20"/>
          <w:highlight w:val="yellow"/>
          <w:lang w:eastAsia="ja-JP"/>
        </w:rPr>
        <w:t>他のタクソノミーに対する</w:t>
      </w:r>
      <w:r w:rsidR="00D66F1B" w:rsidRPr="00F30B66">
        <w:rPr>
          <w:rFonts w:hint="eastAsia"/>
          <w:sz w:val="20"/>
          <w:highlight w:val="yellow"/>
          <w:lang w:eastAsia="ja-JP"/>
        </w:rPr>
        <w:t>「重大な有害性」がないこと）</w:t>
      </w:r>
      <w:r>
        <w:rPr>
          <w:sz w:val="20"/>
          <w:lang w:eastAsia="ja-JP"/>
        </w:rPr>
        <w:t>のさらなる基準は、特に以下の問題に関して分析することができる。</w:t>
      </w:r>
    </w:p>
    <w:p w14:paraId="7F166982" w14:textId="77777777" w:rsidR="005F38AA" w:rsidRDefault="005F38AA">
      <w:pPr>
        <w:pStyle w:val="a3"/>
        <w:spacing w:before="10"/>
        <w:rPr>
          <w:sz w:val="23"/>
          <w:lang w:eastAsia="ja-JP"/>
        </w:rPr>
      </w:pPr>
    </w:p>
    <w:p w14:paraId="7F166983" w14:textId="780CFC81" w:rsidR="005F38AA" w:rsidRDefault="009649F8">
      <w:pPr>
        <w:pStyle w:val="a4"/>
        <w:numPr>
          <w:ilvl w:val="0"/>
          <w:numId w:val="78"/>
        </w:numPr>
        <w:tabs>
          <w:tab w:val="left" w:pos="460"/>
          <w:tab w:val="left" w:pos="461"/>
        </w:tabs>
        <w:spacing w:before="1" w:line="276" w:lineRule="auto"/>
        <w:ind w:right="146"/>
        <w:rPr>
          <w:sz w:val="20"/>
          <w:lang w:eastAsia="ja-JP"/>
        </w:rPr>
      </w:pPr>
      <w:r>
        <w:rPr>
          <w:b/>
          <w:sz w:val="20"/>
          <w:lang w:eastAsia="ja-JP"/>
        </w:rPr>
        <w:t>赤泥:</w:t>
      </w:r>
      <w:r w:rsidRPr="00F30B66">
        <w:rPr>
          <w:rFonts w:hint="eastAsia"/>
          <w:sz w:val="20"/>
          <w:lang w:eastAsia="ja-JP"/>
        </w:rPr>
        <w:t>アルミニウムのボーキサイト鉱からアルミニウム酸化物を製造する工程で発生する廃棄物で、赤泥と呼ばれるものは有毒な重金属を含み、アルカリ性が高いため土壌や生物に腐食性を与え、廃棄時に大きな影響を与える可能性があ</w:t>
      </w:r>
      <w:r w:rsidR="00DC444A">
        <w:rPr>
          <w:rFonts w:hint="eastAsia"/>
          <w:sz w:val="20"/>
          <w:lang w:eastAsia="ja-JP"/>
        </w:rPr>
        <w:t>る</w:t>
      </w:r>
      <w:r w:rsidRPr="00F30B66">
        <w:rPr>
          <w:rFonts w:hint="eastAsia"/>
          <w:sz w:val="20"/>
          <w:lang w:eastAsia="ja-JP"/>
        </w:rPr>
        <w:t>。</w:t>
      </w:r>
      <w:r>
        <w:rPr>
          <w:sz w:val="20"/>
          <w:lang w:eastAsia="ja-JP"/>
        </w:rPr>
        <w:t xml:space="preserve"> 有害廃棄物集積場や沈降プールは、ヨーロッパ、ロシア、中国、ギニア、ブラジル、ジャマイカ、オーストラリアを含む全世界のボーキサイト/アルミナ工場</w:t>
      </w:r>
      <w:r w:rsidR="00AA1CF7">
        <w:rPr>
          <w:rFonts w:hint="eastAsia"/>
          <w:sz w:val="20"/>
          <w:lang w:eastAsia="ja-JP"/>
        </w:rPr>
        <w:t>に見られる特徴的な施設である。</w:t>
      </w:r>
      <w:r>
        <w:rPr>
          <w:sz w:val="20"/>
          <w:lang w:eastAsia="ja-JP"/>
        </w:rPr>
        <w:t xml:space="preserve"> アルミナ1トン当たりのボーキサイト残留物の世界平均は1~1.5トンであり、年間1億5,000万トン以上のボーキサイト残留物が生産されており、ヨーロッパだけでは500万~600万トンと推定され、この廃棄物の大部分は埋め立てられている。 プラットフォームは、最低限の社会的・健康的セーフガードの下での赤泥の影響を考慮し、これをDNSHの環境影響に統合するための基準を設定するアプローチを開発</w:t>
      </w:r>
      <w:r w:rsidR="00AA1CF7">
        <w:rPr>
          <w:rFonts w:hint="eastAsia"/>
          <w:sz w:val="20"/>
          <w:lang w:eastAsia="ja-JP"/>
        </w:rPr>
        <w:t>すべきである</w:t>
      </w:r>
      <w:r>
        <w:rPr>
          <w:sz w:val="20"/>
          <w:lang w:eastAsia="ja-JP"/>
        </w:rPr>
        <w:t>。</w:t>
      </w:r>
    </w:p>
    <w:p w14:paraId="7F166984" w14:textId="77777777" w:rsidR="005F38AA" w:rsidRDefault="005F38AA">
      <w:pPr>
        <w:pStyle w:val="a3"/>
        <w:spacing w:before="7"/>
        <w:rPr>
          <w:lang w:eastAsia="ja-JP"/>
        </w:rPr>
      </w:pPr>
    </w:p>
    <w:p w14:paraId="7F166985" w14:textId="59616292" w:rsidR="005F38AA" w:rsidRDefault="009649F8">
      <w:pPr>
        <w:pStyle w:val="a4"/>
        <w:numPr>
          <w:ilvl w:val="0"/>
          <w:numId w:val="78"/>
        </w:numPr>
        <w:tabs>
          <w:tab w:val="left" w:pos="460"/>
          <w:tab w:val="left" w:pos="461"/>
        </w:tabs>
        <w:spacing w:line="273" w:lineRule="auto"/>
        <w:ind w:right="352"/>
        <w:rPr>
          <w:sz w:val="20"/>
          <w:lang w:eastAsia="ja-JP"/>
        </w:rPr>
      </w:pPr>
      <w:r>
        <w:rPr>
          <w:sz w:val="20"/>
          <w:lang w:eastAsia="ja-JP"/>
        </w:rPr>
        <w:t>プラットフォームは、</w:t>
      </w:r>
      <w:r w:rsidR="00AA1CF7">
        <w:rPr>
          <w:rFonts w:hint="eastAsia"/>
          <w:sz w:val="20"/>
          <w:lang w:eastAsia="ja-JP"/>
        </w:rPr>
        <w:t>タクソノミー</w:t>
      </w:r>
      <w:r>
        <w:rPr>
          <w:sz w:val="20"/>
          <w:lang w:eastAsia="ja-JP"/>
        </w:rPr>
        <w:t>に含まれる</w:t>
      </w:r>
      <w:r w:rsidRPr="00F30B66">
        <w:rPr>
          <w:rFonts w:hint="eastAsia"/>
          <w:b/>
          <w:sz w:val="20"/>
          <w:lang w:eastAsia="ja-JP"/>
        </w:rPr>
        <w:t>すべての化学物質/製品/副産物のばく露シナリオに基づいてリスクに基づく評価</w:t>
      </w:r>
      <w:r>
        <w:rPr>
          <w:sz w:val="20"/>
          <w:lang w:eastAsia="ja-JP"/>
        </w:rPr>
        <w:t>を実施することが推奨される。</w:t>
      </w:r>
      <w:r w:rsidR="00D66F1B">
        <w:rPr>
          <w:rFonts w:hint="eastAsia"/>
          <w:sz w:val="20"/>
          <w:lang w:eastAsia="ja-JP"/>
        </w:rPr>
        <w:t>タクソノミー</w:t>
      </w:r>
      <w:r>
        <w:rPr>
          <w:sz w:val="20"/>
          <w:lang w:eastAsia="ja-JP"/>
        </w:rPr>
        <w:t>に含まれる他の有機及び無機の化学物質/製品/副産物も、ばく露シナリオに依存してヒトの健康及び環境に対して潜在的に有害であることに留意すべきであり、従って、全てに対して客観的で科学的に頑健なリスクに基づく評価が実施されるべきである。</w:t>
      </w:r>
    </w:p>
    <w:p w14:paraId="7F166986" w14:textId="77777777" w:rsidR="005F38AA" w:rsidRDefault="005F38AA">
      <w:pPr>
        <w:spacing w:line="273" w:lineRule="auto"/>
        <w:rPr>
          <w:sz w:val="20"/>
          <w:lang w:eastAsia="ja-JP"/>
        </w:rPr>
        <w:sectPr w:rsidR="005F38AA">
          <w:pgSz w:w="12240" w:h="15840"/>
          <w:pgMar w:top="1360" w:right="1320" w:bottom="1640" w:left="1340" w:header="0" w:footer="1372" w:gutter="0"/>
          <w:cols w:space="720"/>
        </w:sectPr>
      </w:pPr>
    </w:p>
    <w:p w14:paraId="7F166987" w14:textId="03B87298" w:rsidR="005F38AA" w:rsidRDefault="009649F8">
      <w:pPr>
        <w:pStyle w:val="a3"/>
        <w:spacing w:before="79" w:line="276" w:lineRule="auto"/>
        <w:ind w:left="460" w:right="138"/>
        <w:rPr>
          <w:lang w:eastAsia="ja-JP"/>
        </w:rPr>
      </w:pPr>
      <w:r>
        <w:rPr>
          <w:lang w:eastAsia="ja-JP"/>
        </w:rPr>
        <w:lastRenderedPageBreak/>
        <w:t>さらに、プラットフォームは、化学品/製品/副産物のバリューチェーンと</w:t>
      </w:r>
      <w:r w:rsidR="00AA1CF7">
        <w:rPr>
          <w:rFonts w:hint="eastAsia"/>
          <w:lang w:eastAsia="ja-JP"/>
        </w:rPr>
        <w:t>サーキュラーエコノミー</w:t>
      </w:r>
      <w:r>
        <w:rPr>
          <w:lang w:eastAsia="ja-JP"/>
        </w:rPr>
        <w:t>的</w:t>
      </w:r>
      <w:r w:rsidR="00AA1CF7">
        <w:rPr>
          <w:rFonts w:hint="eastAsia"/>
          <w:lang w:eastAsia="ja-JP"/>
        </w:rPr>
        <w:t>な</w:t>
      </w:r>
      <w:r>
        <w:rPr>
          <w:lang w:eastAsia="ja-JP"/>
        </w:rPr>
        <w:t>側面を考慮に入れるべきである。 例えば、塩</w:t>
      </w:r>
      <w:r w:rsidR="00AA1CF7">
        <w:rPr>
          <w:rFonts w:hint="eastAsia"/>
          <w:lang w:eastAsia="ja-JP"/>
        </w:rPr>
        <w:t>素</w:t>
      </w:r>
      <w:r>
        <w:rPr>
          <w:lang w:eastAsia="ja-JP"/>
        </w:rPr>
        <w:t>や塩化ビニルは、建築部門のエネルギー効率向上に必要な塩化ビニル扉</w:t>
      </w:r>
      <w:r w:rsidR="00AA1CF7">
        <w:rPr>
          <w:rFonts w:hint="eastAsia"/>
          <w:lang w:eastAsia="ja-JP"/>
        </w:rPr>
        <w:t>および</w:t>
      </w:r>
      <w:r>
        <w:rPr>
          <w:lang w:eastAsia="ja-JP"/>
        </w:rPr>
        <w:t>窓の製造に必要とされてい</w:t>
      </w:r>
      <w:r w:rsidR="00AA1CF7">
        <w:rPr>
          <w:rFonts w:hint="eastAsia"/>
          <w:lang w:eastAsia="ja-JP"/>
        </w:rPr>
        <w:t>る</w:t>
      </w:r>
      <w:r>
        <w:rPr>
          <w:lang w:eastAsia="ja-JP"/>
        </w:rPr>
        <w:t>。 このような</w:t>
      </w:r>
      <w:r w:rsidR="00AA1CF7">
        <w:rPr>
          <w:rFonts w:hint="eastAsia"/>
          <w:lang w:eastAsia="ja-JP"/>
        </w:rPr>
        <w:t>事例で</w:t>
      </w:r>
      <w:r>
        <w:rPr>
          <w:lang w:eastAsia="ja-JP"/>
        </w:rPr>
        <w:t>は、</w:t>
      </w:r>
      <w:r w:rsidR="00AA1CF7">
        <w:rPr>
          <w:rFonts w:hint="eastAsia"/>
          <w:lang w:eastAsia="ja-JP"/>
        </w:rPr>
        <w:t>現行版タクソノミーにおいてソーダ灰が</w:t>
      </w:r>
      <w:r>
        <w:rPr>
          <w:lang w:eastAsia="ja-JP"/>
        </w:rPr>
        <w:t>二重および三重ガラス窓のガラス化に必要であること</w:t>
      </w:r>
      <w:r w:rsidR="00AA1CF7">
        <w:rPr>
          <w:rFonts w:hint="eastAsia"/>
          <w:lang w:eastAsia="ja-JP"/>
        </w:rPr>
        <w:t>と同様の考え方に基づく</w:t>
      </w:r>
      <w:r w:rsidR="00D66F1B">
        <w:rPr>
          <w:rFonts w:hint="eastAsia"/>
          <w:lang w:eastAsia="ja-JP"/>
        </w:rPr>
        <w:t>考察がなされる</w:t>
      </w:r>
      <w:r w:rsidR="00AA1CF7">
        <w:rPr>
          <w:rFonts w:hint="eastAsia"/>
          <w:lang w:eastAsia="ja-JP"/>
        </w:rPr>
        <w:t>べきであろう</w:t>
      </w:r>
      <w:r>
        <w:rPr>
          <w:lang w:eastAsia="ja-JP"/>
        </w:rPr>
        <w:t>、</w:t>
      </w:r>
    </w:p>
    <w:p w14:paraId="7F166988" w14:textId="77777777" w:rsidR="005F38AA" w:rsidRDefault="005F38AA">
      <w:pPr>
        <w:pStyle w:val="a3"/>
        <w:spacing w:before="10"/>
        <w:rPr>
          <w:lang w:eastAsia="ja-JP"/>
        </w:rPr>
      </w:pPr>
    </w:p>
    <w:p w14:paraId="7F166989" w14:textId="49588B43" w:rsidR="005F38AA" w:rsidRDefault="009649F8">
      <w:pPr>
        <w:pStyle w:val="a4"/>
        <w:numPr>
          <w:ilvl w:val="0"/>
          <w:numId w:val="76"/>
        </w:numPr>
        <w:tabs>
          <w:tab w:val="left" w:pos="322"/>
        </w:tabs>
        <w:ind w:left="321"/>
        <w:rPr>
          <w:sz w:val="20"/>
          <w:lang w:eastAsia="ja-JP"/>
        </w:rPr>
      </w:pPr>
      <w:r>
        <w:rPr>
          <w:sz w:val="20"/>
          <w:lang w:eastAsia="ja-JP"/>
        </w:rPr>
        <w:t>プラットフォームは、特に次の点に注意して</w:t>
      </w:r>
      <w:r w:rsidR="00D66F1B">
        <w:rPr>
          <w:rFonts w:hint="eastAsia"/>
          <w:sz w:val="20"/>
          <w:lang w:eastAsia="ja-JP"/>
        </w:rPr>
        <w:t>閾</w:t>
      </w:r>
      <w:r>
        <w:rPr>
          <w:sz w:val="20"/>
          <w:lang w:eastAsia="ja-JP"/>
        </w:rPr>
        <w:t>値を定期的に更新</w:t>
      </w:r>
      <w:r w:rsidR="007B4FA3">
        <w:rPr>
          <w:rFonts w:hint="eastAsia"/>
          <w:sz w:val="20"/>
          <w:lang w:eastAsia="ja-JP"/>
        </w:rPr>
        <w:t>べきである。</w:t>
      </w:r>
    </w:p>
    <w:p w14:paraId="7F16698A" w14:textId="77777777" w:rsidR="005F38AA" w:rsidRDefault="005F38AA">
      <w:pPr>
        <w:pStyle w:val="a3"/>
        <w:spacing w:before="11"/>
        <w:rPr>
          <w:sz w:val="23"/>
          <w:lang w:eastAsia="ja-JP"/>
        </w:rPr>
      </w:pPr>
    </w:p>
    <w:p w14:paraId="7F16698B" w14:textId="64E3582A" w:rsidR="005F38AA" w:rsidRDefault="009649F8">
      <w:pPr>
        <w:pStyle w:val="a4"/>
        <w:numPr>
          <w:ilvl w:val="0"/>
          <w:numId w:val="78"/>
        </w:numPr>
        <w:tabs>
          <w:tab w:val="left" w:pos="460"/>
          <w:tab w:val="left" w:pos="461"/>
        </w:tabs>
        <w:rPr>
          <w:sz w:val="20"/>
          <w:lang w:eastAsia="ja-JP"/>
        </w:rPr>
      </w:pPr>
      <w:r>
        <w:rPr>
          <w:sz w:val="20"/>
          <w:lang w:eastAsia="ja-JP"/>
        </w:rPr>
        <w:t>EU ETSベンチマークの改訂に</w:t>
      </w:r>
      <w:r w:rsidR="00D66F1B">
        <w:rPr>
          <w:rFonts w:hint="eastAsia"/>
          <w:sz w:val="20"/>
          <w:lang w:eastAsia="ja-JP"/>
        </w:rPr>
        <w:t>準拠して</w:t>
      </w:r>
      <w:r>
        <w:rPr>
          <w:sz w:val="20"/>
          <w:lang w:eastAsia="ja-JP"/>
        </w:rPr>
        <w:t>、</w:t>
      </w:r>
      <w:r w:rsidRPr="00F30B66">
        <w:rPr>
          <w:rFonts w:hint="eastAsia"/>
          <w:b/>
          <w:sz w:val="20"/>
          <w:lang w:eastAsia="ja-JP"/>
        </w:rPr>
        <w:t>閾値が確実に更新</w:t>
      </w:r>
      <w:r>
        <w:rPr>
          <w:sz w:val="20"/>
          <w:lang w:eastAsia="ja-JP"/>
        </w:rPr>
        <w:t>されるようにする。</w:t>
      </w:r>
    </w:p>
    <w:p w14:paraId="7F16698C" w14:textId="77777777" w:rsidR="005F38AA" w:rsidRDefault="005F38AA">
      <w:pPr>
        <w:pStyle w:val="a3"/>
        <w:spacing w:before="8"/>
        <w:rPr>
          <w:sz w:val="23"/>
          <w:lang w:eastAsia="ja-JP"/>
        </w:rPr>
      </w:pPr>
    </w:p>
    <w:p w14:paraId="7F16698D" w14:textId="46FDAF60" w:rsidR="005F38AA" w:rsidRDefault="007B4FA3">
      <w:pPr>
        <w:pStyle w:val="a4"/>
        <w:numPr>
          <w:ilvl w:val="0"/>
          <w:numId w:val="78"/>
        </w:numPr>
        <w:tabs>
          <w:tab w:val="left" w:pos="460"/>
          <w:tab w:val="left" w:pos="461"/>
        </w:tabs>
        <w:spacing w:before="1" w:line="273" w:lineRule="auto"/>
        <w:ind w:right="231"/>
        <w:rPr>
          <w:sz w:val="20"/>
          <w:lang w:eastAsia="ja-JP"/>
        </w:rPr>
      </w:pPr>
      <w:r>
        <w:rPr>
          <w:rFonts w:hint="eastAsia"/>
          <w:sz w:val="20"/>
          <w:lang w:eastAsia="ja-JP"/>
        </w:rPr>
        <w:t>サーキュラーエコノミー</w:t>
      </w:r>
      <w:r w:rsidR="009649F8">
        <w:rPr>
          <w:sz w:val="20"/>
          <w:lang w:eastAsia="ja-JP"/>
        </w:rPr>
        <w:t>の目的に照らして閾値を見直し、BAT関連のエネルギー効率レベル(BAT-AEL)が存在する経済活動に対して</w:t>
      </w:r>
      <w:r>
        <w:rPr>
          <w:rFonts w:hint="eastAsia"/>
          <w:sz w:val="20"/>
          <w:lang w:eastAsia="ja-JP"/>
        </w:rPr>
        <w:t>、</w:t>
      </w:r>
      <w:r w:rsidR="009649F8">
        <w:rPr>
          <w:sz w:val="20"/>
          <w:lang w:eastAsia="ja-JP"/>
        </w:rPr>
        <w:t>これらも</w:t>
      </w:r>
      <w:r>
        <w:rPr>
          <w:rFonts w:hint="eastAsia"/>
          <w:sz w:val="20"/>
          <w:lang w:eastAsia="ja-JP"/>
        </w:rPr>
        <w:t>一致的に</w:t>
      </w:r>
      <w:r w:rsidR="009649F8">
        <w:rPr>
          <w:sz w:val="20"/>
          <w:lang w:eastAsia="ja-JP"/>
        </w:rPr>
        <w:t>満</w:t>
      </w:r>
      <w:r>
        <w:rPr>
          <w:rFonts w:hint="eastAsia"/>
          <w:sz w:val="20"/>
          <w:lang w:eastAsia="ja-JP"/>
        </w:rPr>
        <w:t>足され</w:t>
      </w:r>
      <w:r w:rsidR="009649F8">
        <w:rPr>
          <w:sz w:val="20"/>
          <w:lang w:eastAsia="ja-JP"/>
        </w:rPr>
        <w:t>なければならないという追加要件を適用することの影響を考慮する。</w:t>
      </w:r>
      <w:r>
        <w:rPr>
          <w:rFonts w:hint="eastAsia"/>
          <w:sz w:val="20"/>
          <w:lang w:eastAsia="ja-JP"/>
        </w:rPr>
        <w:t>これは</w:t>
      </w:r>
      <w:r w:rsidR="009649F8">
        <w:rPr>
          <w:sz w:val="20"/>
          <w:lang w:eastAsia="ja-JP"/>
        </w:rPr>
        <w:t>、</w:t>
      </w:r>
      <w:r>
        <w:rPr>
          <w:rFonts w:hint="eastAsia"/>
          <w:sz w:val="20"/>
          <w:lang w:eastAsia="ja-JP"/>
        </w:rPr>
        <w:t>タクソノミー</w:t>
      </w:r>
      <w:r w:rsidR="009649F8">
        <w:rPr>
          <w:sz w:val="20"/>
          <w:lang w:eastAsia="ja-JP"/>
        </w:rPr>
        <w:t>の世界的な適用という観点から考える必要がある。</w:t>
      </w:r>
    </w:p>
    <w:p w14:paraId="7F16698E" w14:textId="77777777" w:rsidR="005F38AA" w:rsidRDefault="005F38AA">
      <w:pPr>
        <w:pStyle w:val="a3"/>
        <w:spacing w:before="5"/>
        <w:rPr>
          <w:sz w:val="21"/>
          <w:lang w:eastAsia="ja-JP"/>
        </w:rPr>
      </w:pPr>
    </w:p>
    <w:p w14:paraId="7F16698F" w14:textId="77777777" w:rsidR="005F38AA" w:rsidRDefault="009649F8">
      <w:pPr>
        <w:pStyle w:val="a4"/>
        <w:numPr>
          <w:ilvl w:val="0"/>
          <w:numId w:val="76"/>
        </w:numPr>
        <w:tabs>
          <w:tab w:val="left" w:pos="322"/>
        </w:tabs>
        <w:ind w:left="321"/>
        <w:rPr>
          <w:sz w:val="20"/>
          <w:lang w:eastAsia="ja-JP"/>
        </w:rPr>
      </w:pPr>
      <w:r w:rsidRPr="00FB0065">
        <w:rPr>
          <w:sz w:val="20"/>
          <w:lang w:eastAsia="ja-JP"/>
        </w:rPr>
        <w:t>低炭素技術リストの拡大を検討する</w:t>
      </w:r>
      <w:r>
        <w:rPr>
          <w:sz w:val="20"/>
          <w:lang w:eastAsia="ja-JP"/>
        </w:rPr>
        <w:t>。</w:t>
      </w:r>
    </w:p>
    <w:p w14:paraId="7F166990" w14:textId="77777777" w:rsidR="005F38AA" w:rsidRDefault="005F38AA">
      <w:pPr>
        <w:pStyle w:val="a3"/>
        <w:spacing w:before="10"/>
        <w:rPr>
          <w:sz w:val="23"/>
          <w:lang w:eastAsia="ja-JP"/>
        </w:rPr>
      </w:pPr>
    </w:p>
    <w:p w14:paraId="7F166991" w14:textId="77777777" w:rsidR="005F38AA" w:rsidRDefault="009649F8">
      <w:pPr>
        <w:pStyle w:val="a4"/>
        <w:numPr>
          <w:ilvl w:val="0"/>
          <w:numId w:val="78"/>
        </w:numPr>
        <w:tabs>
          <w:tab w:val="left" w:pos="460"/>
          <w:tab w:val="left" w:pos="461"/>
        </w:tabs>
        <w:spacing w:line="273" w:lineRule="auto"/>
        <w:ind w:right="130"/>
        <w:rPr>
          <w:sz w:val="20"/>
          <w:lang w:eastAsia="ja-JP"/>
        </w:rPr>
      </w:pPr>
      <w:r>
        <w:rPr>
          <w:sz w:val="20"/>
          <w:lang w:eastAsia="ja-JP"/>
        </w:rPr>
        <w:t>以下の技術を生産する工場・企業の追加分析。 例えば、ヨーロッパウォーターラベルスキーム(http://www.europeanwaterlabel.eu/)のトップクラス(ダークグリーン)の定格のヒートポンプ、LED照明、給湯器(例えば、水栓、シャワー)は、工場または企業によって製造されてもよいが、他のものも製造されてもよい。</w:t>
      </w:r>
      <w:hyperlink r:id="rId10"/>
      <w:hyperlink r:id="rId11"/>
    </w:p>
    <w:p w14:paraId="7F166992" w14:textId="77777777" w:rsidR="005F38AA" w:rsidRDefault="005F38AA">
      <w:pPr>
        <w:pStyle w:val="a3"/>
        <w:spacing w:before="3"/>
        <w:rPr>
          <w:sz w:val="21"/>
          <w:lang w:eastAsia="ja-JP"/>
        </w:rPr>
      </w:pPr>
    </w:p>
    <w:p w14:paraId="7F166993" w14:textId="77777777" w:rsidR="005F38AA" w:rsidRDefault="009649F8">
      <w:pPr>
        <w:pStyle w:val="a4"/>
        <w:numPr>
          <w:ilvl w:val="0"/>
          <w:numId w:val="78"/>
        </w:numPr>
        <w:tabs>
          <w:tab w:val="left" w:pos="460"/>
          <w:tab w:val="left" w:pos="461"/>
        </w:tabs>
        <w:rPr>
          <w:sz w:val="20"/>
          <w:lang w:eastAsia="ja-JP"/>
        </w:rPr>
      </w:pPr>
      <w:r>
        <w:rPr>
          <w:sz w:val="20"/>
          <w:lang w:eastAsia="ja-JP"/>
        </w:rPr>
        <w:t>TEGは、今後、プラットフォームが以下を考慮することを推奨する。</w:t>
      </w:r>
    </w:p>
    <w:p w14:paraId="7F166994" w14:textId="77777777" w:rsidR="005F38AA" w:rsidRDefault="005F38AA">
      <w:pPr>
        <w:pStyle w:val="a3"/>
        <w:spacing w:before="8"/>
        <w:rPr>
          <w:sz w:val="23"/>
          <w:lang w:eastAsia="ja-JP"/>
        </w:rPr>
      </w:pPr>
    </w:p>
    <w:p w14:paraId="7F166995" w14:textId="77777777" w:rsidR="005F38AA" w:rsidRDefault="009649F8">
      <w:pPr>
        <w:pStyle w:val="a4"/>
        <w:numPr>
          <w:ilvl w:val="1"/>
          <w:numId w:val="78"/>
        </w:numPr>
        <w:tabs>
          <w:tab w:val="left" w:pos="1540"/>
          <w:tab w:val="left" w:pos="1541"/>
        </w:tabs>
        <w:rPr>
          <w:sz w:val="20"/>
          <w:lang w:eastAsia="ja-JP"/>
        </w:rPr>
      </w:pPr>
      <w:r>
        <w:rPr>
          <w:sz w:val="20"/>
          <w:lang w:eastAsia="ja-JP"/>
        </w:rPr>
        <w:t>電気自動車の充電点の製造</w:t>
      </w:r>
    </w:p>
    <w:p w14:paraId="7F166996" w14:textId="77777777" w:rsidR="005F38AA" w:rsidRDefault="005F38AA">
      <w:pPr>
        <w:pStyle w:val="a3"/>
        <w:spacing w:before="4"/>
        <w:rPr>
          <w:sz w:val="22"/>
          <w:lang w:eastAsia="ja-JP"/>
        </w:rPr>
      </w:pPr>
    </w:p>
    <w:p w14:paraId="7F166997" w14:textId="77777777" w:rsidR="005F38AA" w:rsidRDefault="009649F8">
      <w:pPr>
        <w:pStyle w:val="a4"/>
        <w:numPr>
          <w:ilvl w:val="1"/>
          <w:numId w:val="78"/>
        </w:numPr>
        <w:tabs>
          <w:tab w:val="left" w:pos="1540"/>
          <w:tab w:val="left" w:pos="1541"/>
        </w:tabs>
        <w:spacing w:line="266" w:lineRule="auto"/>
        <w:ind w:right="556"/>
        <w:rPr>
          <w:sz w:val="20"/>
          <w:lang w:eastAsia="ja-JP"/>
        </w:rPr>
      </w:pPr>
      <w:r>
        <w:rPr>
          <w:sz w:val="20"/>
          <w:lang w:eastAsia="ja-JP"/>
        </w:rPr>
        <w:t>さまざまな製造部門における炭素回収利用(CCU)技術、およびそのような設備の製造をどのように、どのような条件下で含めるか。</w:t>
      </w:r>
    </w:p>
    <w:p w14:paraId="7F166998" w14:textId="77777777" w:rsidR="005F38AA" w:rsidRDefault="005F38AA">
      <w:pPr>
        <w:pStyle w:val="a3"/>
        <w:spacing w:before="9"/>
        <w:rPr>
          <w:sz w:val="21"/>
          <w:lang w:eastAsia="ja-JP"/>
        </w:rPr>
      </w:pPr>
    </w:p>
    <w:p w14:paraId="7F166999" w14:textId="4BF9398D" w:rsidR="005F38AA" w:rsidRDefault="009649F8">
      <w:pPr>
        <w:pStyle w:val="a4"/>
        <w:numPr>
          <w:ilvl w:val="0"/>
          <w:numId w:val="76"/>
        </w:numPr>
        <w:tabs>
          <w:tab w:val="left" w:pos="322"/>
        </w:tabs>
        <w:ind w:left="321"/>
        <w:rPr>
          <w:sz w:val="20"/>
          <w:lang w:eastAsia="ja-JP"/>
        </w:rPr>
      </w:pPr>
      <w:r>
        <w:rPr>
          <w:sz w:val="20"/>
          <w:lang w:eastAsia="ja-JP"/>
        </w:rPr>
        <w:t>セメントの様々な用途に対応するため、既存の閾値を</w:t>
      </w:r>
      <w:r w:rsidR="00FB0065">
        <w:rPr>
          <w:rFonts w:hint="eastAsia"/>
          <w:sz w:val="20"/>
          <w:lang w:eastAsia="ja-JP"/>
        </w:rPr>
        <w:t>拡充</w:t>
      </w:r>
      <w:r>
        <w:rPr>
          <w:sz w:val="20"/>
          <w:lang w:eastAsia="ja-JP"/>
        </w:rPr>
        <w:t>強化する。</w:t>
      </w:r>
    </w:p>
    <w:p w14:paraId="7F16699A" w14:textId="77777777" w:rsidR="005F38AA" w:rsidRDefault="005F38AA">
      <w:pPr>
        <w:pStyle w:val="a3"/>
        <w:spacing w:before="11"/>
        <w:rPr>
          <w:sz w:val="23"/>
          <w:lang w:eastAsia="ja-JP"/>
        </w:rPr>
      </w:pPr>
    </w:p>
    <w:p w14:paraId="7F16699B" w14:textId="532AD62C" w:rsidR="005F38AA" w:rsidRDefault="009649F8">
      <w:pPr>
        <w:pStyle w:val="a4"/>
        <w:numPr>
          <w:ilvl w:val="0"/>
          <w:numId w:val="78"/>
        </w:numPr>
        <w:tabs>
          <w:tab w:val="left" w:pos="460"/>
          <w:tab w:val="left" w:pos="461"/>
        </w:tabs>
        <w:spacing w:line="276" w:lineRule="auto"/>
        <w:ind w:right="158"/>
        <w:rPr>
          <w:sz w:val="20"/>
          <w:lang w:eastAsia="ja-JP"/>
        </w:rPr>
      </w:pPr>
      <w:r>
        <w:rPr>
          <w:sz w:val="20"/>
          <w:lang w:eastAsia="ja-JP"/>
        </w:rPr>
        <w:t>プラットフォームは、セメントの異なる用途、例えば、特定の建築用途のためのコンクリートのための特定の閾値を開発することを考慮す</w:t>
      </w:r>
      <w:r w:rsidR="00FB0065">
        <w:rPr>
          <w:rFonts w:hint="eastAsia"/>
          <w:sz w:val="20"/>
          <w:lang w:eastAsia="ja-JP"/>
        </w:rPr>
        <w:t>べきであ</w:t>
      </w:r>
      <w:r>
        <w:rPr>
          <w:sz w:val="20"/>
          <w:lang w:eastAsia="ja-JP"/>
        </w:rPr>
        <w:t>る。 焦点は、埋め込みCO2の含有量が少ないバインダーによるクリンカーの代替である。 現在、セメントは様々な品質で製造されており、異なる用途で使用される。 その結果、</w:t>
      </w:r>
      <w:r w:rsidR="00FB0065">
        <w:rPr>
          <w:rFonts w:hint="eastAsia"/>
          <w:sz w:val="20"/>
          <w:lang w:eastAsia="ja-JP"/>
        </w:rPr>
        <w:t>異なる</w:t>
      </w:r>
      <w:r>
        <w:rPr>
          <w:sz w:val="20"/>
          <w:lang w:eastAsia="ja-JP"/>
        </w:rPr>
        <w:t>品質間の交換は必ずしも可能ではない。 従って、気候中立経済への道筋では、クリンカ代替物</w:t>
      </w:r>
      <w:r w:rsidR="00FB0065">
        <w:rPr>
          <w:rFonts w:hint="eastAsia"/>
          <w:sz w:val="20"/>
          <w:lang w:eastAsia="ja-JP"/>
        </w:rPr>
        <w:t>確保の</w:t>
      </w:r>
      <w:r>
        <w:rPr>
          <w:sz w:val="20"/>
          <w:lang w:eastAsia="ja-JP"/>
        </w:rPr>
        <w:t xml:space="preserve">可能性を考慮して、どのような種類のセメントを適用区域でクリンカ含有量の少ないセメントに置き換えることができるかを決定しなければならない。 他の産業の脱炭素化の中で、現在使用されている物質の流れ(例えばフライアッシュ)が、クリンカ代替物として将来利用できなくなる可能性があるが、他の物質の適切性はまだ証明されていない。 </w:t>
      </w:r>
      <w:r w:rsidR="00FB0065">
        <w:rPr>
          <w:rFonts w:hint="eastAsia"/>
          <w:sz w:val="20"/>
          <w:lang w:eastAsia="ja-JP"/>
        </w:rPr>
        <w:t>種類の異なる</w:t>
      </w:r>
      <w:r>
        <w:rPr>
          <w:sz w:val="20"/>
          <w:lang w:eastAsia="ja-JP"/>
        </w:rPr>
        <w:t>セメントは、気候中立経済において絶対に必要であり、置き換えることができないものであり、気候に優しい方法で生産されなければならない。 これらについては、クリンカ比をどの程度下げることができるか、エネルギー効率をどのように高めることができるか、再生可能エネルギーによる電力をどのように利用できるかなど</w:t>
      </w:r>
      <w:r w:rsidR="00FB0065">
        <w:rPr>
          <w:rFonts w:hint="eastAsia"/>
          <w:sz w:val="20"/>
          <w:lang w:eastAsia="ja-JP"/>
        </w:rPr>
        <w:t>が</w:t>
      </w:r>
      <w:r>
        <w:rPr>
          <w:sz w:val="20"/>
          <w:lang w:eastAsia="ja-JP"/>
        </w:rPr>
        <w:t>検討</w:t>
      </w:r>
      <w:r w:rsidR="00FB0065">
        <w:rPr>
          <w:rFonts w:hint="eastAsia"/>
          <w:sz w:val="20"/>
          <w:lang w:eastAsia="ja-JP"/>
        </w:rPr>
        <w:t>され</w:t>
      </w:r>
      <w:r>
        <w:rPr>
          <w:sz w:val="20"/>
          <w:lang w:eastAsia="ja-JP"/>
        </w:rPr>
        <w:t>る必要がある。</w:t>
      </w:r>
    </w:p>
    <w:p w14:paraId="7F16699C" w14:textId="77777777" w:rsidR="005F38AA" w:rsidRDefault="005F38AA">
      <w:pPr>
        <w:pStyle w:val="a3"/>
        <w:spacing w:before="5"/>
        <w:rPr>
          <w:lang w:eastAsia="ja-JP"/>
        </w:rPr>
      </w:pPr>
    </w:p>
    <w:p w14:paraId="7F16699D" w14:textId="77777777" w:rsidR="005F38AA" w:rsidRDefault="009649F8">
      <w:pPr>
        <w:pStyle w:val="a4"/>
        <w:numPr>
          <w:ilvl w:val="0"/>
          <w:numId w:val="76"/>
        </w:numPr>
        <w:tabs>
          <w:tab w:val="left" w:pos="322"/>
        </w:tabs>
        <w:ind w:left="321"/>
        <w:rPr>
          <w:sz w:val="20"/>
          <w:lang w:eastAsia="ja-JP"/>
        </w:rPr>
      </w:pPr>
      <w:r>
        <w:rPr>
          <w:sz w:val="20"/>
          <w:lang w:eastAsia="ja-JP"/>
        </w:rPr>
        <w:t>この部門の循環経済目標をどのように強化するかを検討する。</w:t>
      </w:r>
    </w:p>
    <w:p w14:paraId="7F16699E" w14:textId="77777777" w:rsidR="005F38AA" w:rsidRDefault="005F38AA">
      <w:pPr>
        <w:rPr>
          <w:sz w:val="20"/>
          <w:lang w:eastAsia="ja-JP"/>
        </w:rPr>
        <w:sectPr w:rsidR="005F38AA">
          <w:pgSz w:w="12240" w:h="15840"/>
          <w:pgMar w:top="1360" w:right="1320" w:bottom="1640" w:left="1340" w:header="0" w:footer="1372" w:gutter="0"/>
          <w:cols w:space="720"/>
        </w:sectPr>
      </w:pPr>
    </w:p>
    <w:p w14:paraId="7F16699F" w14:textId="22CAEA81" w:rsidR="005F38AA" w:rsidRDefault="009649F8">
      <w:pPr>
        <w:pStyle w:val="a4"/>
        <w:numPr>
          <w:ilvl w:val="0"/>
          <w:numId w:val="78"/>
        </w:numPr>
        <w:tabs>
          <w:tab w:val="left" w:pos="460"/>
          <w:tab w:val="left" w:pos="461"/>
        </w:tabs>
        <w:spacing w:before="80" w:line="276" w:lineRule="auto"/>
        <w:ind w:right="166"/>
        <w:rPr>
          <w:sz w:val="20"/>
          <w:lang w:eastAsia="ja-JP"/>
        </w:rPr>
      </w:pPr>
      <w:r>
        <w:rPr>
          <w:sz w:val="20"/>
          <w:lang w:eastAsia="ja-JP"/>
        </w:rPr>
        <w:lastRenderedPageBreak/>
        <w:t>製造</w:t>
      </w:r>
      <w:r w:rsidR="00FB0065">
        <w:rPr>
          <w:rFonts w:hint="eastAsia"/>
          <w:sz w:val="20"/>
          <w:lang w:eastAsia="ja-JP"/>
        </w:rPr>
        <w:t>業</w:t>
      </w:r>
      <w:r>
        <w:rPr>
          <w:sz w:val="20"/>
          <w:lang w:eastAsia="ja-JP"/>
        </w:rPr>
        <w:t>のための</w:t>
      </w:r>
      <w:r w:rsidR="00FB0065">
        <w:rPr>
          <w:rFonts w:hint="eastAsia"/>
          <w:sz w:val="20"/>
          <w:lang w:eastAsia="ja-JP"/>
        </w:rPr>
        <w:t>タクソノミー</w:t>
      </w:r>
      <w:r>
        <w:rPr>
          <w:sz w:val="20"/>
          <w:lang w:eastAsia="ja-JP"/>
        </w:rPr>
        <w:t>で提案された緩和</w:t>
      </w:r>
      <w:r w:rsidR="00FB0065">
        <w:rPr>
          <w:rFonts w:hint="eastAsia"/>
          <w:sz w:val="20"/>
          <w:lang w:eastAsia="ja-JP"/>
        </w:rPr>
        <w:t>策に関わる</w:t>
      </w:r>
      <w:r>
        <w:rPr>
          <w:sz w:val="20"/>
          <w:lang w:eastAsia="ja-JP"/>
        </w:rPr>
        <w:t>閾値は、最も高い直接排出量(すなわち、製品の製造に関連するスコープ1および2の排出量)を有するサプライチェーン内のセグメントに具体的に対応している。 サプライチェーンにおける製造部門の役割を考えると、</w:t>
      </w:r>
      <w:r w:rsidR="00FB0065">
        <w:rPr>
          <w:rFonts w:hint="eastAsia"/>
          <w:sz w:val="20"/>
          <w:lang w:eastAsia="ja-JP"/>
        </w:rPr>
        <w:t>サーキュラーエコノミー</w:t>
      </w:r>
      <w:r>
        <w:rPr>
          <w:sz w:val="20"/>
          <w:lang w:eastAsia="ja-JP"/>
        </w:rPr>
        <w:t>の目標はこの部門にとって特に重要である。 実質的な</w:t>
      </w:r>
      <w:r w:rsidR="00FB0065">
        <w:rPr>
          <w:rFonts w:hint="eastAsia"/>
          <w:sz w:val="20"/>
          <w:lang w:eastAsia="ja-JP"/>
        </w:rPr>
        <w:t>サーキュラーエコノミー</w:t>
      </w:r>
      <w:r w:rsidR="005B697F">
        <w:rPr>
          <w:rFonts w:hint="eastAsia"/>
          <w:sz w:val="20"/>
          <w:lang w:eastAsia="ja-JP"/>
        </w:rPr>
        <w:t>について</w:t>
      </w:r>
      <w:r>
        <w:rPr>
          <w:sz w:val="20"/>
          <w:lang w:eastAsia="ja-JP"/>
        </w:rPr>
        <w:t>の閾値基準が開発された後、我々は、循環経済の特定のセグメントを扱う緩和閾値基準の文脈でこれらを見直すことを推奨する。 例えば、製造部門におけるLCAの改善。 例えば、製品(鉄鋼・アルミニウム・セメント)のLCA検討。</w:t>
      </w:r>
    </w:p>
    <w:p w14:paraId="7F1669A0" w14:textId="77777777" w:rsidR="005F38AA" w:rsidRDefault="005F38AA">
      <w:pPr>
        <w:pStyle w:val="a3"/>
        <w:spacing w:before="6"/>
        <w:rPr>
          <w:lang w:eastAsia="ja-JP"/>
        </w:rPr>
      </w:pPr>
    </w:p>
    <w:p w14:paraId="7F1669A1" w14:textId="1FD53F5A" w:rsidR="005F38AA" w:rsidRDefault="009649F8">
      <w:pPr>
        <w:pStyle w:val="a4"/>
        <w:numPr>
          <w:ilvl w:val="0"/>
          <w:numId w:val="78"/>
        </w:numPr>
        <w:tabs>
          <w:tab w:val="left" w:pos="460"/>
          <w:tab w:val="left" w:pos="461"/>
        </w:tabs>
        <w:spacing w:line="276" w:lineRule="auto"/>
        <w:ind w:right="308"/>
        <w:rPr>
          <w:sz w:val="20"/>
          <w:lang w:eastAsia="ja-JP"/>
        </w:rPr>
      </w:pPr>
      <w:r>
        <w:rPr>
          <w:sz w:val="20"/>
          <w:lang w:eastAsia="ja-JP"/>
        </w:rPr>
        <w:t>データの利用可能性とバリューチェーンの深さの両方に関して、プラットフォーム</w:t>
      </w:r>
      <w:r w:rsidR="005B697F">
        <w:rPr>
          <w:rFonts w:hint="eastAsia"/>
          <w:sz w:val="20"/>
          <w:lang w:eastAsia="ja-JP"/>
        </w:rPr>
        <w:t>に対し</w:t>
      </w:r>
      <w:r>
        <w:rPr>
          <w:sz w:val="20"/>
          <w:lang w:eastAsia="ja-JP"/>
        </w:rPr>
        <w:t>、以下の2つの問題に対処するために、さらなる注意を払うこと</w:t>
      </w:r>
      <w:r w:rsidR="005B697F">
        <w:rPr>
          <w:rFonts w:hint="eastAsia"/>
          <w:sz w:val="20"/>
          <w:lang w:eastAsia="ja-JP"/>
        </w:rPr>
        <w:t>を</w:t>
      </w:r>
      <w:r>
        <w:rPr>
          <w:sz w:val="20"/>
          <w:lang w:eastAsia="ja-JP"/>
        </w:rPr>
        <w:t>推奨</w:t>
      </w:r>
      <w:r w:rsidR="005B697F">
        <w:rPr>
          <w:rFonts w:hint="eastAsia"/>
          <w:sz w:val="20"/>
          <w:lang w:eastAsia="ja-JP"/>
        </w:rPr>
        <w:t>す</w:t>
      </w:r>
      <w:r>
        <w:rPr>
          <w:sz w:val="20"/>
          <w:lang w:eastAsia="ja-JP"/>
        </w:rPr>
        <w:t>る:1)ETSベンチマークを補完するデータを</w:t>
      </w:r>
      <w:r w:rsidR="005B697F">
        <w:rPr>
          <w:rFonts w:hint="eastAsia"/>
          <w:sz w:val="20"/>
          <w:lang w:eastAsia="ja-JP"/>
        </w:rPr>
        <w:t>使う</w:t>
      </w:r>
      <w:r>
        <w:rPr>
          <w:sz w:val="20"/>
          <w:lang w:eastAsia="ja-JP"/>
        </w:rPr>
        <w:t>可能性;2)責任ある調達を含め、循環性と重要物質の利用に関する現在の法的議論</w:t>
      </w:r>
      <w:r w:rsidR="005B697F">
        <w:rPr>
          <w:rFonts w:hint="eastAsia"/>
          <w:sz w:val="20"/>
          <w:lang w:eastAsia="ja-JP"/>
        </w:rPr>
        <w:t>と平仄を合わせ</w:t>
      </w:r>
      <w:r>
        <w:rPr>
          <w:sz w:val="20"/>
          <w:lang w:eastAsia="ja-JP"/>
        </w:rPr>
        <w:t>るために、資源効率を含むより完全なバリューチェーン分析が確実に行われること。</w:t>
      </w:r>
    </w:p>
    <w:p w14:paraId="7F1669A2" w14:textId="77777777" w:rsidR="005F38AA" w:rsidRDefault="005F38AA">
      <w:pPr>
        <w:spacing w:line="276" w:lineRule="auto"/>
        <w:rPr>
          <w:sz w:val="20"/>
          <w:lang w:eastAsia="ja-JP"/>
        </w:rPr>
        <w:sectPr w:rsidR="005F38AA">
          <w:pgSz w:w="12240" w:h="15840"/>
          <w:pgMar w:top="1360" w:right="1320" w:bottom="1640" w:left="1340" w:header="0" w:footer="1372" w:gutter="0"/>
          <w:cols w:space="720"/>
        </w:sectPr>
      </w:pPr>
    </w:p>
    <w:p w14:paraId="7F1669A3" w14:textId="77777777" w:rsidR="005F38AA" w:rsidRDefault="009649F8">
      <w:pPr>
        <w:pStyle w:val="1"/>
        <w:numPr>
          <w:ilvl w:val="1"/>
          <w:numId w:val="75"/>
        </w:numPr>
        <w:tabs>
          <w:tab w:val="left" w:pos="820"/>
          <w:tab w:val="left" w:pos="821"/>
        </w:tabs>
      </w:pPr>
      <w:r>
        <w:rPr>
          <w:color w:val="006FC0"/>
        </w:rPr>
        <w:lastRenderedPageBreak/>
        <w:t>低炭素技術の製造</w:t>
      </w:r>
    </w:p>
    <w:p w14:paraId="7F1669A4" w14:textId="77777777" w:rsidR="005F38AA" w:rsidRDefault="005F38AA">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367"/>
      </w:tblGrid>
      <w:tr w:rsidR="005F38AA" w14:paraId="7F1669A6" w14:textId="77777777">
        <w:trPr>
          <w:trHeight w:val="383"/>
        </w:trPr>
        <w:tc>
          <w:tcPr>
            <w:tcW w:w="9352" w:type="dxa"/>
            <w:gridSpan w:val="2"/>
            <w:shd w:val="clear" w:color="auto" w:fill="4471C4"/>
          </w:tcPr>
          <w:p w14:paraId="7F1669A5" w14:textId="77777777" w:rsidR="005F38AA" w:rsidRDefault="009649F8">
            <w:pPr>
              <w:pStyle w:val="TableParagraph"/>
              <w:rPr>
                <w:b/>
                <w:sz w:val="20"/>
              </w:rPr>
            </w:pPr>
            <w:r>
              <w:rPr>
                <w:b/>
                <w:color w:val="FFFFFF"/>
                <w:sz w:val="20"/>
              </w:rPr>
              <w:t>セクター分類と活動</w:t>
            </w:r>
          </w:p>
        </w:tc>
      </w:tr>
      <w:tr w:rsidR="005F38AA" w14:paraId="7F1669A9" w14:textId="77777777">
        <w:trPr>
          <w:trHeight w:val="386"/>
        </w:trPr>
        <w:tc>
          <w:tcPr>
            <w:tcW w:w="1985" w:type="dxa"/>
          </w:tcPr>
          <w:p w14:paraId="7F1669A7" w14:textId="77777777" w:rsidR="005F38AA" w:rsidRDefault="009649F8">
            <w:pPr>
              <w:pStyle w:val="TableParagraph"/>
              <w:rPr>
                <w:sz w:val="20"/>
              </w:rPr>
            </w:pPr>
            <w:r>
              <w:rPr>
                <w:sz w:val="20"/>
              </w:rPr>
              <w:t>マクロセクター</w:t>
            </w:r>
          </w:p>
        </w:tc>
        <w:tc>
          <w:tcPr>
            <w:tcW w:w="7367" w:type="dxa"/>
          </w:tcPr>
          <w:p w14:paraId="7F1669A8" w14:textId="77777777" w:rsidR="005F38AA" w:rsidRDefault="009649F8">
            <w:pPr>
              <w:pStyle w:val="TableParagraph"/>
              <w:rPr>
                <w:sz w:val="20"/>
              </w:rPr>
            </w:pPr>
            <w:r>
              <w:rPr>
                <w:sz w:val="20"/>
              </w:rPr>
              <w:t>C-製造</w:t>
            </w:r>
          </w:p>
        </w:tc>
      </w:tr>
      <w:tr w:rsidR="005F38AA" w14:paraId="7F1669AC" w14:textId="77777777">
        <w:trPr>
          <w:trHeight w:val="383"/>
        </w:trPr>
        <w:tc>
          <w:tcPr>
            <w:tcW w:w="1985" w:type="dxa"/>
          </w:tcPr>
          <w:p w14:paraId="7F1669AA" w14:textId="77777777" w:rsidR="005F38AA" w:rsidRDefault="009649F8">
            <w:pPr>
              <w:pStyle w:val="TableParagraph"/>
              <w:rPr>
                <w:sz w:val="20"/>
              </w:rPr>
            </w:pPr>
            <w:r>
              <w:rPr>
                <w:sz w:val="20"/>
              </w:rPr>
              <w:t>NACEレベル</w:t>
            </w:r>
          </w:p>
        </w:tc>
        <w:tc>
          <w:tcPr>
            <w:tcW w:w="7367" w:type="dxa"/>
          </w:tcPr>
          <w:p w14:paraId="7F1669AB" w14:textId="77777777" w:rsidR="005F38AA" w:rsidRDefault="005F38AA">
            <w:pPr>
              <w:pStyle w:val="TableParagraph"/>
              <w:spacing w:before="0"/>
              <w:ind w:left="0"/>
              <w:rPr>
                <w:rFonts w:ascii="Times New Roman"/>
                <w:sz w:val="18"/>
              </w:rPr>
            </w:pPr>
          </w:p>
        </w:tc>
      </w:tr>
      <w:tr w:rsidR="005F38AA" w14:paraId="7F1669AF" w14:textId="77777777">
        <w:trPr>
          <w:trHeight w:val="383"/>
        </w:trPr>
        <w:tc>
          <w:tcPr>
            <w:tcW w:w="1985" w:type="dxa"/>
          </w:tcPr>
          <w:p w14:paraId="7F1669AD" w14:textId="77777777" w:rsidR="005F38AA" w:rsidRDefault="009649F8">
            <w:pPr>
              <w:pStyle w:val="TableParagraph"/>
              <w:rPr>
                <w:sz w:val="20"/>
              </w:rPr>
            </w:pPr>
            <w:r>
              <w:rPr>
                <w:sz w:val="20"/>
              </w:rPr>
              <w:t>コード</w:t>
            </w:r>
          </w:p>
        </w:tc>
        <w:tc>
          <w:tcPr>
            <w:tcW w:w="7367" w:type="dxa"/>
          </w:tcPr>
          <w:p w14:paraId="7F1669AE" w14:textId="77777777" w:rsidR="005F38AA" w:rsidRDefault="009649F8">
            <w:pPr>
              <w:pStyle w:val="TableParagraph"/>
              <w:rPr>
                <w:sz w:val="20"/>
                <w:lang w:eastAsia="ja-JP"/>
              </w:rPr>
            </w:pPr>
            <w:r>
              <w:rPr>
                <w:sz w:val="20"/>
                <w:lang w:eastAsia="ja-JP"/>
              </w:rPr>
              <w:t>特定のNACEコードなし</w:t>
            </w:r>
          </w:p>
        </w:tc>
      </w:tr>
      <w:tr w:rsidR="005F38AA" w14:paraId="7F1669B6" w14:textId="77777777">
        <w:trPr>
          <w:trHeight w:val="2611"/>
        </w:trPr>
        <w:tc>
          <w:tcPr>
            <w:tcW w:w="1985" w:type="dxa"/>
          </w:tcPr>
          <w:p w14:paraId="7F1669B0" w14:textId="77777777" w:rsidR="005F38AA" w:rsidRDefault="009649F8">
            <w:pPr>
              <w:pStyle w:val="TableParagraph"/>
              <w:spacing w:before="42"/>
              <w:rPr>
                <w:sz w:val="20"/>
              </w:rPr>
            </w:pPr>
            <w:r>
              <w:rPr>
                <w:sz w:val="20"/>
              </w:rPr>
              <w:t>内容</w:t>
            </w:r>
          </w:p>
        </w:tc>
        <w:tc>
          <w:tcPr>
            <w:tcW w:w="7367" w:type="dxa"/>
          </w:tcPr>
          <w:p w14:paraId="7F1669B1" w14:textId="77777777" w:rsidR="005F38AA" w:rsidRDefault="009649F8">
            <w:pPr>
              <w:pStyle w:val="TableParagraph"/>
              <w:spacing w:before="42"/>
              <w:rPr>
                <w:b/>
                <w:sz w:val="20"/>
              </w:rPr>
            </w:pPr>
            <w:r>
              <w:rPr>
                <w:b/>
                <w:sz w:val="20"/>
              </w:rPr>
              <w:t>低炭素技術の製造</w:t>
            </w:r>
          </w:p>
          <w:p w14:paraId="7F1669B2" w14:textId="77777777" w:rsidR="005F38AA" w:rsidRDefault="009649F8">
            <w:pPr>
              <w:pStyle w:val="TableParagraph"/>
              <w:numPr>
                <w:ilvl w:val="0"/>
                <w:numId w:val="74"/>
              </w:numPr>
              <w:tabs>
                <w:tab w:val="left" w:pos="828"/>
                <w:tab w:val="left" w:pos="829"/>
              </w:tabs>
              <w:spacing w:before="114" w:line="271" w:lineRule="auto"/>
              <w:ind w:right="498"/>
              <w:rPr>
                <w:sz w:val="20"/>
                <w:lang w:eastAsia="ja-JP"/>
              </w:rPr>
            </w:pPr>
            <w:r>
              <w:rPr>
                <w:sz w:val="20"/>
                <w:lang w:eastAsia="ja-JP"/>
              </w:rPr>
              <w:t>適格な再生可能エネルギー技術に不可欠な製品、主要部品、機械の製造</w:t>
            </w:r>
          </w:p>
          <w:p w14:paraId="7F1669B3" w14:textId="77777777" w:rsidR="005F38AA" w:rsidRDefault="009649F8">
            <w:pPr>
              <w:pStyle w:val="TableParagraph"/>
              <w:numPr>
                <w:ilvl w:val="0"/>
                <w:numId w:val="74"/>
              </w:numPr>
              <w:tabs>
                <w:tab w:val="left" w:pos="828"/>
                <w:tab w:val="left" w:pos="829"/>
              </w:tabs>
              <w:spacing w:before="85"/>
              <w:rPr>
                <w:sz w:val="20"/>
                <w:lang w:eastAsia="ja-JP"/>
              </w:rPr>
            </w:pPr>
            <w:r>
              <w:rPr>
                <w:sz w:val="20"/>
                <w:lang w:eastAsia="ja-JP"/>
              </w:rPr>
              <w:t>適格な低炭素輸送車両、フリート、船舶の製造。</w:t>
            </w:r>
          </w:p>
          <w:p w14:paraId="7F1669B4" w14:textId="77777777" w:rsidR="005F38AA" w:rsidRDefault="009649F8">
            <w:pPr>
              <w:pStyle w:val="TableParagraph"/>
              <w:numPr>
                <w:ilvl w:val="0"/>
                <w:numId w:val="74"/>
              </w:numPr>
              <w:tabs>
                <w:tab w:val="left" w:pos="828"/>
                <w:tab w:val="left" w:pos="829"/>
              </w:tabs>
              <w:spacing w:before="113"/>
              <w:rPr>
                <w:sz w:val="20"/>
                <w:lang w:eastAsia="ja-JP"/>
              </w:rPr>
            </w:pPr>
            <w:r>
              <w:rPr>
                <w:sz w:val="20"/>
                <w:lang w:eastAsia="ja-JP"/>
              </w:rPr>
              <w:t>建築物用適格エネルギー効率機器の製造</w:t>
            </w:r>
          </w:p>
          <w:p w14:paraId="7F1669B5" w14:textId="77777777" w:rsidR="005F38AA" w:rsidRDefault="009649F8">
            <w:pPr>
              <w:pStyle w:val="TableParagraph"/>
              <w:numPr>
                <w:ilvl w:val="0"/>
                <w:numId w:val="74"/>
              </w:numPr>
              <w:tabs>
                <w:tab w:val="left" w:pos="828"/>
                <w:tab w:val="left" w:pos="829"/>
              </w:tabs>
              <w:spacing w:before="113" w:line="273" w:lineRule="auto"/>
              <w:ind w:right="324"/>
              <w:rPr>
                <w:sz w:val="20"/>
                <w:lang w:eastAsia="ja-JP"/>
              </w:rPr>
            </w:pPr>
            <w:r>
              <w:rPr>
                <w:sz w:val="20"/>
                <w:lang w:eastAsia="ja-JP"/>
              </w:rPr>
              <w:t>経済の他の部門(民間世帯を含む)において実質的なGHG排出削減をもたらす他の低炭素技術の製造</w:t>
            </w:r>
          </w:p>
        </w:tc>
      </w:tr>
      <w:tr w:rsidR="005F38AA" w14:paraId="7F1669B8" w14:textId="77777777">
        <w:trPr>
          <w:trHeight w:val="383"/>
        </w:trPr>
        <w:tc>
          <w:tcPr>
            <w:tcW w:w="9352" w:type="dxa"/>
            <w:gridSpan w:val="2"/>
            <w:shd w:val="clear" w:color="auto" w:fill="4471C4"/>
          </w:tcPr>
          <w:p w14:paraId="7F1669B7" w14:textId="77777777" w:rsidR="005F38AA" w:rsidRDefault="009649F8">
            <w:pPr>
              <w:pStyle w:val="TableParagraph"/>
              <w:rPr>
                <w:b/>
                <w:sz w:val="20"/>
              </w:rPr>
            </w:pPr>
            <w:r>
              <w:rPr>
                <w:b/>
                <w:color w:val="FFFFFF"/>
                <w:sz w:val="20"/>
              </w:rPr>
              <w:t>緩和基準</w:t>
            </w:r>
          </w:p>
        </w:tc>
      </w:tr>
      <w:tr w:rsidR="005F38AA" w14:paraId="7F1669BB" w14:textId="77777777">
        <w:trPr>
          <w:trHeight w:val="1442"/>
        </w:trPr>
        <w:tc>
          <w:tcPr>
            <w:tcW w:w="1985" w:type="dxa"/>
          </w:tcPr>
          <w:p w14:paraId="7F1669B9" w14:textId="77777777" w:rsidR="005F38AA" w:rsidRDefault="009649F8">
            <w:pPr>
              <w:pStyle w:val="TableParagraph"/>
              <w:rPr>
                <w:sz w:val="20"/>
              </w:rPr>
            </w:pPr>
            <w:r>
              <w:rPr>
                <w:sz w:val="20"/>
              </w:rPr>
              <w:t>原則</w:t>
            </w:r>
          </w:p>
        </w:tc>
        <w:tc>
          <w:tcPr>
            <w:tcW w:w="7367" w:type="dxa"/>
          </w:tcPr>
          <w:p w14:paraId="7F1669BA" w14:textId="77777777" w:rsidR="005F38AA" w:rsidRDefault="009649F8">
            <w:pPr>
              <w:pStyle w:val="TableParagraph"/>
              <w:spacing w:line="276" w:lineRule="auto"/>
              <w:rPr>
                <w:sz w:val="20"/>
                <w:lang w:eastAsia="ja-JP"/>
              </w:rPr>
            </w:pPr>
            <w:r>
              <w:rPr>
                <w:sz w:val="20"/>
                <w:lang w:eastAsia="ja-JP"/>
              </w:rPr>
              <w:t>経済の他の部門(民間世帯を含む)において実質的なGHG排出削減をもたらす低炭素技術の製造は、製品関連の排出が、少なくとも利用可能な最良の技術、すなわち電気自動車を生産するが石炭を燃焼する工場のレベルであれば、適格である。</w:t>
            </w:r>
          </w:p>
        </w:tc>
      </w:tr>
      <w:tr w:rsidR="005F38AA" w14:paraId="7F1669C5" w14:textId="77777777">
        <w:trPr>
          <w:trHeight w:val="4570"/>
        </w:trPr>
        <w:tc>
          <w:tcPr>
            <w:tcW w:w="1985" w:type="dxa"/>
          </w:tcPr>
          <w:p w14:paraId="7F1669BC" w14:textId="77777777" w:rsidR="005F38AA" w:rsidRDefault="009649F8">
            <w:pPr>
              <w:pStyle w:val="TableParagraph"/>
              <w:spacing w:before="42"/>
              <w:rPr>
                <w:sz w:val="20"/>
              </w:rPr>
            </w:pPr>
            <w:r>
              <w:rPr>
                <w:sz w:val="20"/>
              </w:rPr>
              <w:t>閾値</w:t>
            </w:r>
          </w:p>
        </w:tc>
        <w:tc>
          <w:tcPr>
            <w:tcW w:w="7367" w:type="dxa"/>
          </w:tcPr>
          <w:p w14:paraId="7F1669BD" w14:textId="77777777" w:rsidR="005F38AA" w:rsidRDefault="009649F8">
            <w:pPr>
              <w:pStyle w:val="TableParagraph"/>
              <w:numPr>
                <w:ilvl w:val="0"/>
                <w:numId w:val="73"/>
              </w:numPr>
              <w:tabs>
                <w:tab w:val="left" w:pos="329"/>
              </w:tabs>
              <w:spacing w:before="42" w:line="276" w:lineRule="auto"/>
              <w:ind w:right="353" w:firstLine="0"/>
              <w:rPr>
                <w:b/>
                <w:sz w:val="10"/>
                <w:lang w:eastAsia="ja-JP"/>
              </w:rPr>
            </w:pPr>
            <w:r>
              <w:rPr>
                <w:b/>
                <w:sz w:val="20"/>
                <w:lang w:eastAsia="ja-JP"/>
              </w:rPr>
              <w:t>適格な再生可能エネルギー技術(地熱、水力、集中型太陽光発電(CSP)、太陽光発電(PV)、地域熱生産のための太陽熱エネルギー、風力、海洋エネルギー、再生可能エネルギー指令(2018/2001/EU)で定められた変換効率要件を満たすバイオエネルギー技術、およびグリーン水素・水素電解設備197)に不可欠な製品、主要部品および機械の製造</w:t>
            </w:r>
          </w:p>
          <w:p w14:paraId="7F1669BE" w14:textId="77777777" w:rsidR="005F38AA" w:rsidRDefault="005F38AA">
            <w:pPr>
              <w:pStyle w:val="TableParagraph"/>
              <w:spacing w:before="0"/>
              <w:ind w:left="0"/>
              <w:rPr>
                <w:b/>
                <w:lang w:eastAsia="ja-JP"/>
              </w:rPr>
            </w:pPr>
          </w:p>
          <w:p w14:paraId="7F1669BF" w14:textId="77777777" w:rsidR="005F38AA" w:rsidRDefault="009649F8">
            <w:pPr>
              <w:pStyle w:val="TableParagraph"/>
              <w:numPr>
                <w:ilvl w:val="0"/>
                <w:numId w:val="73"/>
              </w:numPr>
              <w:tabs>
                <w:tab w:val="left" w:pos="385"/>
              </w:tabs>
              <w:spacing w:before="172" w:line="276" w:lineRule="auto"/>
              <w:ind w:right="268" w:firstLine="0"/>
              <w:rPr>
                <w:b/>
                <w:sz w:val="20"/>
                <w:lang w:eastAsia="ja-JP"/>
              </w:rPr>
            </w:pPr>
            <w:r>
              <w:rPr>
                <w:b/>
                <w:sz w:val="20"/>
                <w:lang w:eastAsia="ja-JP"/>
              </w:rPr>
              <w:t>低炭素輸送車両及びその主要部品である以下の基準を満たす船隊及び船舶の製造が適格である。</w:t>
            </w:r>
          </w:p>
          <w:p w14:paraId="7F1669C0" w14:textId="77777777" w:rsidR="005F38AA" w:rsidRDefault="005F38AA">
            <w:pPr>
              <w:pStyle w:val="TableParagraph"/>
              <w:spacing w:before="1"/>
              <w:ind w:left="0"/>
              <w:rPr>
                <w:b/>
                <w:sz w:val="24"/>
                <w:lang w:eastAsia="ja-JP"/>
              </w:rPr>
            </w:pPr>
          </w:p>
          <w:p w14:paraId="7F1669C1" w14:textId="77777777" w:rsidR="005F38AA" w:rsidRDefault="009649F8">
            <w:pPr>
              <w:pStyle w:val="TableParagraph"/>
              <w:spacing w:before="0"/>
              <w:ind w:right="371"/>
              <w:rPr>
                <w:sz w:val="20"/>
                <w:lang w:eastAsia="ja-JP"/>
              </w:rPr>
            </w:pPr>
            <w:r>
              <w:rPr>
                <w:sz w:val="20"/>
                <w:lang w:eastAsia="ja-JP"/>
              </w:rPr>
              <w:t>乗用車、軽商用車(EU)2019/631</w:t>
            </w:r>
          </w:p>
          <w:p w14:paraId="7F1669C2" w14:textId="77777777" w:rsidR="005F38AA" w:rsidRDefault="005F38AA">
            <w:pPr>
              <w:pStyle w:val="TableParagraph"/>
              <w:spacing w:before="9"/>
              <w:ind w:left="0"/>
              <w:rPr>
                <w:b/>
                <w:sz w:val="24"/>
                <w:lang w:eastAsia="ja-JP"/>
              </w:rPr>
            </w:pPr>
          </w:p>
          <w:p w14:paraId="7F1669C3" w14:textId="185580AC" w:rsidR="005F38AA" w:rsidRDefault="009649F8">
            <w:pPr>
              <w:pStyle w:val="TableParagraph"/>
              <w:numPr>
                <w:ilvl w:val="1"/>
                <w:numId w:val="73"/>
              </w:numPr>
              <w:tabs>
                <w:tab w:val="left" w:pos="828"/>
                <w:tab w:val="left" w:pos="829"/>
              </w:tabs>
              <w:spacing w:before="0" w:line="237" w:lineRule="auto"/>
              <w:ind w:right="184"/>
              <w:rPr>
                <w:sz w:val="20"/>
                <w:lang w:eastAsia="ja-JP"/>
              </w:rPr>
            </w:pPr>
            <w:r>
              <w:rPr>
                <w:position w:val="1"/>
                <w:sz w:val="20"/>
                <w:lang w:eastAsia="ja-JP"/>
              </w:rPr>
              <w:t>2025年までは、テールパイプ排出原単位が最大50g CO2/km(WLTP)の車両。</w:t>
            </w:r>
            <w:r>
              <w:rPr>
                <w:sz w:val="20"/>
                <w:lang w:eastAsia="ja-JP"/>
              </w:rPr>
              <w:t xml:space="preserve"> これには、排気ガスゼロの車両(例:電気自動車</w:t>
            </w:r>
            <w:r w:rsidR="005B697F">
              <w:rPr>
                <w:rFonts w:hint="eastAsia"/>
                <w:sz w:val="20"/>
                <w:lang w:eastAsia="ja-JP"/>
              </w:rPr>
              <w:t>、水素自動車</w:t>
            </w:r>
            <w:r>
              <w:rPr>
                <w:sz w:val="20"/>
                <w:lang w:eastAsia="ja-JP"/>
              </w:rPr>
              <w:t>)も含まれる。</w:t>
            </w:r>
          </w:p>
          <w:p w14:paraId="7F1669C4" w14:textId="52EC10EC" w:rsidR="005F38AA" w:rsidRDefault="005F38AA">
            <w:pPr>
              <w:pStyle w:val="TableParagraph"/>
              <w:spacing w:before="0" w:line="211" w:lineRule="exact"/>
              <w:ind w:left="828"/>
              <w:rPr>
                <w:sz w:val="20"/>
                <w:lang w:eastAsia="ja-JP"/>
              </w:rPr>
            </w:pPr>
          </w:p>
        </w:tc>
      </w:tr>
    </w:tbl>
    <w:p w14:paraId="7F1669C6" w14:textId="77777777" w:rsidR="005F38AA" w:rsidRDefault="005F38AA">
      <w:pPr>
        <w:pStyle w:val="a3"/>
        <w:rPr>
          <w:b/>
          <w:lang w:eastAsia="ja-JP"/>
        </w:rPr>
      </w:pPr>
    </w:p>
    <w:p w14:paraId="7F1669C7" w14:textId="77777777" w:rsidR="005F38AA" w:rsidRDefault="005F38AA">
      <w:pPr>
        <w:pStyle w:val="a3"/>
        <w:rPr>
          <w:b/>
          <w:lang w:eastAsia="ja-JP"/>
        </w:rPr>
      </w:pPr>
    </w:p>
    <w:p w14:paraId="7F1669C8" w14:textId="175159EC" w:rsidR="005F38AA" w:rsidRDefault="00520D32">
      <w:pPr>
        <w:pStyle w:val="a3"/>
        <w:spacing w:before="5"/>
        <w:rPr>
          <w:b/>
          <w:sz w:val="10"/>
          <w:lang w:eastAsia="ja-JP"/>
        </w:rPr>
      </w:pPr>
      <w:r>
        <w:rPr>
          <w:noProof/>
          <w:lang w:val="en-US" w:eastAsia="ja-JP"/>
        </w:rPr>
        <mc:AlternateContent>
          <mc:Choice Requires="wps">
            <w:drawing>
              <wp:anchor distT="0" distB="0" distL="0" distR="0" simplePos="0" relativeHeight="251651072" behindDoc="1" locked="0" layoutInCell="1" allowOverlap="1" wp14:anchorId="7F166D93" wp14:editId="5B423E00">
                <wp:simplePos x="0" y="0"/>
                <wp:positionH relativeFrom="page">
                  <wp:posOffset>914400</wp:posOffset>
                </wp:positionH>
                <wp:positionV relativeFrom="paragraph">
                  <wp:posOffset>104140</wp:posOffset>
                </wp:positionV>
                <wp:extent cx="1829435" cy="0"/>
                <wp:effectExtent l="9525" t="10160" r="8890" b="889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BB86" id="Line 34"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21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MD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zjBTp&#10;YEZboTgCFXrTG1eAS6V2NlRHz+rFbDX97pDSVUvUgUeOrxcDcVmISN6EBMUZyLDvP2sGPuTodWzU&#10;ubFdgIQWoHOcx+U+D372iMJlNp8s8ukTRnSwJaQYAo11/hPXHQpCiSWQjsDktHU+ECHF4BLyKL0R&#10;UsZxS4X6Es/SxSwGOC0FC8bg5uxhX0mLTiQsTPxiVWB5dLP6qFgEazlh65vsiZBXGZJLFfCgFKBz&#10;k64b8WORLtbz9Twf5ZPZepSndT36uKny0WyTfXiqp3VV1dnPQC3Li1YwxlVgN2xnlv/d9G/v5LpX&#10;9/28tyF5ix77BWSHfyQdZxnGd12EvWaXnR1mDAsZnW+PJ2z8ow7y4xNf/QIAAP//AwBQSwMEFAAG&#10;AAgAAAAhALWqSNvfAAAACQEAAA8AAABkcnMvZG93bnJldi54bWxMj0FPwkAQhe8m/IfNkHiTLdhg&#10;rd0SgtGEgyEC8bx0x7a2O9t0F1r+vWM86G3ezMub72Wr0bbigr2vHSmYzyIQSIUzNZUKjoeXuwSE&#10;D5qMbh2hgit6WOWTm0ynxg30jpd9KAWHkE+1giqELpXSFxVa7WeuQ+Lbp+utDiz7UppeDxxuW7mI&#10;oqW0uib+UOkONxUWzf5sFbwl8tntmo/i+jUcXpNk2zw+bI9K3U7H9ROIgGP4M8MPPqNDzkwndybj&#10;Rcs6jrlL4GEZg2BDfL+Ygzj9LmSeyf8N8m8AAAD//wMAUEsBAi0AFAAGAAgAAAAhALaDOJL+AAAA&#10;4QEAABMAAAAAAAAAAAAAAAAAAAAAAFtDb250ZW50X1R5cGVzXS54bWxQSwECLQAUAAYACAAAACEA&#10;OP0h/9YAAACUAQAACwAAAAAAAAAAAAAAAAAvAQAAX3JlbHMvLnJlbHNQSwECLQAUAAYACAAAACEA&#10;yQojAxMCAAAqBAAADgAAAAAAAAAAAAAAAAAuAgAAZHJzL2Uyb0RvYy54bWxQSwECLQAUAAYACAAA&#10;ACEAtapI298AAAAJAQAADwAAAAAAAAAAAAAAAABtBAAAZHJzL2Rvd25yZXYueG1sUEsFBgAAAAAE&#10;AAQA8wAAAHkFAAAAAA==&#10;" strokeweight=".48pt">
                <w10:wrap type="topAndBottom" anchorx="page"/>
              </v:line>
            </w:pict>
          </mc:Fallback>
        </mc:AlternateContent>
      </w:r>
    </w:p>
    <w:p w14:paraId="7F1669C9" w14:textId="77777777" w:rsidR="005F38AA" w:rsidRDefault="005F38AA">
      <w:pPr>
        <w:pStyle w:val="a3"/>
        <w:spacing w:before="8"/>
        <w:rPr>
          <w:b/>
          <w:sz w:val="25"/>
          <w:lang w:eastAsia="ja-JP"/>
        </w:rPr>
      </w:pPr>
    </w:p>
    <w:p w14:paraId="7F1669CA" w14:textId="77777777" w:rsidR="005F38AA" w:rsidRDefault="009649F8">
      <w:pPr>
        <w:spacing w:line="259" w:lineRule="auto"/>
        <w:ind w:left="100" w:right="243"/>
        <w:rPr>
          <w:sz w:val="16"/>
          <w:lang w:eastAsia="ja-JP"/>
        </w:rPr>
      </w:pPr>
      <w:r>
        <w:rPr>
          <w:sz w:val="16"/>
          <w:lang w:eastAsia="ja-JP"/>
        </w:rPr>
        <w:t>197の水素電解設備は、かなりのレベルのグリーン電力消費を示し、今後数年間にわたってグリーン電力の割合が増加する道筋を示すならば、分類学の一部となるであろう。</w:t>
      </w:r>
    </w:p>
    <w:p w14:paraId="7F1669CB" w14:textId="77777777" w:rsidR="005F38AA" w:rsidRDefault="005F38AA">
      <w:pPr>
        <w:spacing w:line="259" w:lineRule="auto"/>
        <w:rPr>
          <w:sz w:val="16"/>
          <w:lang w:eastAsia="ja-JP"/>
        </w:rPr>
        <w:sectPr w:rsidR="005F38AA">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367"/>
      </w:tblGrid>
      <w:tr w:rsidR="005F38AA" w14:paraId="7F1669E8" w14:textId="77777777">
        <w:trPr>
          <w:trHeight w:val="12555"/>
        </w:trPr>
        <w:tc>
          <w:tcPr>
            <w:tcW w:w="1985" w:type="dxa"/>
          </w:tcPr>
          <w:p w14:paraId="7F1669CC" w14:textId="77777777" w:rsidR="005F38AA" w:rsidRDefault="005F38AA">
            <w:pPr>
              <w:pStyle w:val="TableParagraph"/>
              <w:spacing w:before="0"/>
              <w:ind w:left="0"/>
              <w:rPr>
                <w:rFonts w:ascii="Times New Roman"/>
                <w:sz w:val="18"/>
                <w:lang w:eastAsia="ja-JP"/>
              </w:rPr>
            </w:pPr>
          </w:p>
        </w:tc>
        <w:tc>
          <w:tcPr>
            <w:tcW w:w="7367" w:type="dxa"/>
          </w:tcPr>
          <w:p w14:paraId="7F1669CD" w14:textId="77777777" w:rsidR="005F38AA" w:rsidRDefault="009649F8">
            <w:pPr>
              <w:pStyle w:val="TableParagraph"/>
              <w:numPr>
                <w:ilvl w:val="0"/>
                <w:numId w:val="72"/>
              </w:numPr>
              <w:tabs>
                <w:tab w:val="left" w:pos="828"/>
                <w:tab w:val="left" w:pos="829"/>
              </w:tabs>
              <w:spacing w:before="2" w:line="237" w:lineRule="auto"/>
              <w:ind w:right="196"/>
              <w:rPr>
                <w:sz w:val="20"/>
              </w:rPr>
            </w:pPr>
            <w:r>
              <w:rPr>
                <w:position w:val="1"/>
                <w:sz w:val="20"/>
              </w:rPr>
              <w:t>2026年以降、排出ガス原単位0g CO2/km(WLTP)の車のみ。</w:t>
            </w:r>
          </w:p>
          <w:p w14:paraId="7F1669CE" w14:textId="77777777" w:rsidR="005F38AA" w:rsidRDefault="005F38AA">
            <w:pPr>
              <w:pStyle w:val="TableParagraph"/>
              <w:spacing w:before="5"/>
              <w:ind w:left="0"/>
              <w:rPr>
                <w:sz w:val="24"/>
              </w:rPr>
            </w:pPr>
          </w:p>
          <w:p w14:paraId="7F1669CF" w14:textId="77777777" w:rsidR="005F38AA" w:rsidRDefault="009649F8">
            <w:pPr>
              <w:pStyle w:val="TableParagraph"/>
              <w:spacing w:before="0"/>
              <w:rPr>
                <w:sz w:val="20"/>
                <w:lang w:eastAsia="ja-JP"/>
              </w:rPr>
            </w:pPr>
            <w:r>
              <w:rPr>
                <w:sz w:val="20"/>
                <w:lang w:eastAsia="ja-JP"/>
              </w:rPr>
              <w:t>カテゴリーLの車両については:</w:t>
            </w:r>
          </w:p>
          <w:p w14:paraId="7F1669D0" w14:textId="77777777" w:rsidR="005F38AA" w:rsidRDefault="005F38AA">
            <w:pPr>
              <w:pStyle w:val="TableParagraph"/>
              <w:spacing w:before="6"/>
              <w:ind w:left="0"/>
              <w:rPr>
                <w:sz w:val="24"/>
                <w:lang w:eastAsia="ja-JP"/>
              </w:rPr>
            </w:pPr>
          </w:p>
          <w:p w14:paraId="7F1669D1" w14:textId="77777777" w:rsidR="005F38AA" w:rsidRDefault="009649F8">
            <w:pPr>
              <w:pStyle w:val="TableParagraph"/>
              <w:numPr>
                <w:ilvl w:val="0"/>
                <w:numId w:val="72"/>
              </w:numPr>
              <w:tabs>
                <w:tab w:val="left" w:pos="828"/>
                <w:tab w:val="left" w:pos="829"/>
              </w:tabs>
              <w:spacing w:before="0"/>
              <w:rPr>
                <w:sz w:val="20"/>
                <w:lang w:eastAsia="ja-JP"/>
              </w:rPr>
            </w:pPr>
            <w:r>
              <w:rPr>
                <w:sz w:val="20"/>
                <w:lang w:eastAsia="ja-JP"/>
              </w:rPr>
              <w:t>排気ガスゼロ車(水素、燃料電池、電気を含む)</w:t>
            </w:r>
          </w:p>
          <w:p w14:paraId="7F1669D2" w14:textId="77777777" w:rsidR="005F38AA" w:rsidRDefault="005F38AA">
            <w:pPr>
              <w:pStyle w:val="TableParagraph"/>
              <w:spacing w:before="1"/>
              <w:ind w:left="0"/>
              <w:rPr>
                <w:sz w:val="24"/>
                <w:lang w:eastAsia="ja-JP"/>
              </w:rPr>
            </w:pPr>
          </w:p>
          <w:p w14:paraId="7F1669D3" w14:textId="77777777" w:rsidR="005F38AA" w:rsidRDefault="009649F8">
            <w:pPr>
              <w:pStyle w:val="TableParagraph"/>
              <w:spacing w:before="0"/>
              <w:rPr>
                <w:sz w:val="20"/>
              </w:rPr>
            </w:pPr>
            <w:r>
              <w:rPr>
                <w:sz w:val="20"/>
              </w:rPr>
              <w:t>重量車両: N2およびN3車両(Heavy Duty CO2 Regulation (EU) 2019/1242に定義):</w:t>
            </w:r>
          </w:p>
          <w:p w14:paraId="7F1669D4" w14:textId="77777777" w:rsidR="005F38AA" w:rsidRDefault="005F38AA">
            <w:pPr>
              <w:pStyle w:val="TableParagraph"/>
              <w:spacing w:before="8"/>
              <w:ind w:left="0"/>
              <w:rPr>
                <w:sz w:val="24"/>
              </w:rPr>
            </w:pPr>
          </w:p>
          <w:p w14:paraId="7F1669D5" w14:textId="45521489" w:rsidR="005F38AA" w:rsidRDefault="009649F8">
            <w:pPr>
              <w:pStyle w:val="TableParagraph"/>
              <w:numPr>
                <w:ilvl w:val="0"/>
                <w:numId w:val="72"/>
              </w:numPr>
              <w:tabs>
                <w:tab w:val="left" w:pos="883"/>
                <w:tab w:val="left" w:pos="884"/>
              </w:tabs>
              <w:spacing w:before="1" w:line="235" w:lineRule="auto"/>
              <w:ind w:left="883" w:right="802" w:hanging="396"/>
              <w:rPr>
                <w:sz w:val="20"/>
              </w:rPr>
            </w:pPr>
            <w:r>
              <w:rPr>
                <w:sz w:val="20"/>
              </w:rPr>
              <w:t>排出量1g CO2/kWh未満(一部のN2車では1g CO2/km)の</w:t>
            </w:r>
            <w:r w:rsidR="005B697F">
              <w:rPr>
                <w:rFonts w:hint="eastAsia"/>
                <w:sz w:val="20"/>
                <w:lang w:eastAsia="ja-JP"/>
              </w:rPr>
              <w:t>直接排出ゼロ</w:t>
            </w:r>
            <w:r>
              <w:rPr>
                <w:sz w:val="20"/>
              </w:rPr>
              <w:t>大型車。</w:t>
            </w:r>
          </w:p>
          <w:p w14:paraId="7F1669D6" w14:textId="5E169560" w:rsidR="005F38AA" w:rsidRDefault="009649F8">
            <w:pPr>
              <w:pStyle w:val="TableParagraph"/>
              <w:numPr>
                <w:ilvl w:val="0"/>
                <w:numId w:val="72"/>
              </w:numPr>
              <w:tabs>
                <w:tab w:val="left" w:pos="883"/>
                <w:tab w:val="left" w:pos="884"/>
              </w:tabs>
              <w:spacing w:before="2"/>
              <w:ind w:left="883" w:right="288" w:hanging="396"/>
              <w:rPr>
                <w:sz w:val="20"/>
                <w:lang w:eastAsia="ja-JP"/>
              </w:rPr>
            </w:pPr>
            <w:r>
              <w:rPr>
                <w:position w:val="1"/>
                <w:sz w:val="20"/>
                <w:lang w:eastAsia="ja-JP"/>
              </w:rPr>
              <w:t>同一サブグループ内の全車両の基準CO2排出量の50%未満</w:t>
            </w:r>
            <w:r w:rsidR="005B697F">
              <w:rPr>
                <w:rFonts w:hint="eastAsia"/>
                <w:position w:val="1"/>
                <w:sz w:val="20"/>
                <w:lang w:eastAsia="ja-JP"/>
              </w:rPr>
              <w:t>しか</w:t>
            </w:r>
            <w:r>
              <w:rPr>
                <w:position w:val="1"/>
                <w:sz w:val="20"/>
                <w:lang w:eastAsia="ja-JP"/>
              </w:rPr>
              <w:t>CO2</w:t>
            </w:r>
            <w:r w:rsidR="005B697F">
              <w:rPr>
                <w:rFonts w:hint="eastAsia"/>
                <w:position w:val="1"/>
                <w:sz w:val="20"/>
                <w:lang w:eastAsia="ja-JP"/>
              </w:rPr>
              <w:t>を</w:t>
            </w:r>
            <w:r>
              <w:rPr>
                <w:position w:val="1"/>
                <w:sz w:val="20"/>
                <w:lang w:eastAsia="ja-JP"/>
              </w:rPr>
              <w:t>排出</w:t>
            </w:r>
            <w:r w:rsidR="005B697F">
              <w:rPr>
                <w:rFonts w:hint="eastAsia"/>
                <w:position w:val="1"/>
                <w:sz w:val="20"/>
                <w:lang w:eastAsia="ja-JP"/>
              </w:rPr>
              <w:t>しない</w:t>
            </w:r>
            <w:r>
              <w:rPr>
                <w:position w:val="1"/>
                <w:sz w:val="20"/>
                <w:lang w:eastAsia="ja-JP"/>
              </w:rPr>
              <w:t>低排出ガス大型車</w:t>
            </w:r>
          </w:p>
          <w:p w14:paraId="7F1669D7" w14:textId="77777777" w:rsidR="005F38AA" w:rsidRDefault="005F38AA">
            <w:pPr>
              <w:pStyle w:val="TableParagraph"/>
              <w:spacing w:before="3"/>
              <w:ind w:left="0"/>
              <w:rPr>
                <w:sz w:val="24"/>
                <w:lang w:eastAsia="ja-JP"/>
              </w:rPr>
            </w:pPr>
          </w:p>
          <w:p w14:paraId="7F1669D8" w14:textId="236D6CB4" w:rsidR="005F38AA" w:rsidRDefault="009649F8">
            <w:pPr>
              <w:pStyle w:val="TableParagraph"/>
              <w:spacing w:before="1"/>
              <w:rPr>
                <w:sz w:val="20"/>
              </w:rPr>
            </w:pPr>
            <w:r>
              <w:rPr>
                <w:sz w:val="20"/>
              </w:rPr>
              <w:t>鉄道:</w:t>
            </w:r>
          </w:p>
          <w:p w14:paraId="7F1669D9" w14:textId="37EFED4A" w:rsidR="005F38AA" w:rsidRDefault="005B697F">
            <w:pPr>
              <w:pStyle w:val="TableParagraph"/>
              <w:numPr>
                <w:ilvl w:val="0"/>
                <w:numId w:val="72"/>
              </w:numPr>
              <w:tabs>
                <w:tab w:val="left" w:pos="828"/>
                <w:tab w:val="left" w:pos="829"/>
              </w:tabs>
              <w:spacing w:before="116"/>
              <w:rPr>
                <w:sz w:val="20"/>
                <w:lang w:eastAsia="ja-JP"/>
              </w:rPr>
            </w:pPr>
            <w:r>
              <w:rPr>
                <w:rFonts w:hint="eastAsia"/>
                <w:sz w:val="20"/>
                <w:lang w:eastAsia="ja-JP"/>
              </w:rPr>
              <w:t>ゼロ</w:t>
            </w:r>
            <w:r w:rsidR="009649F8">
              <w:rPr>
                <w:sz w:val="20"/>
                <w:lang w:eastAsia="ja-JP"/>
              </w:rPr>
              <w:t>ダイレクトエミッション車</w:t>
            </w:r>
          </w:p>
          <w:p w14:paraId="7F1669DA" w14:textId="0A6EF6B2" w:rsidR="005F38AA" w:rsidRDefault="009649F8">
            <w:pPr>
              <w:pStyle w:val="TableParagraph"/>
              <w:spacing w:before="112"/>
              <w:rPr>
                <w:sz w:val="20"/>
                <w:lang w:eastAsia="ja-JP"/>
              </w:rPr>
            </w:pPr>
            <w:r>
              <w:rPr>
                <w:sz w:val="20"/>
                <w:lang w:eastAsia="ja-JP"/>
              </w:rPr>
              <w:t>都市、郊外、都市間の旅客陸上輸送</w:t>
            </w:r>
            <w:r w:rsidR="005B697F">
              <w:rPr>
                <w:rFonts w:hint="eastAsia"/>
                <w:sz w:val="20"/>
                <w:lang w:eastAsia="ja-JP"/>
              </w:rPr>
              <w:t>列車</w:t>
            </w:r>
          </w:p>
          <w:p w14:paraId="7F1669DB" w14:textId="5DFAB0BA" w:rsidR="005F38AA" w:rsidRDefault="009649F8">
            <w:pPr>
              <w:pStyle w:val="TableParagraph"/>
              <w:numPr>
                <w:ilvl w:val="0"/>
                <w:numId w:val="72"/>
              </w:numPr>
              <w:tabs>
                <w:tab w:val="left" w:pos="828"/>
                <w:tab w:val="left" w:pos="829"/>
              </w:tabs>
              <w:spacing w:before="114" w:line="271" w:lineRule="auto"/>
              <w:ind w:right="343"/>
              <w:rPr>
                <w:sz w:val="20"/>
                <w:lang w:eastAsia="ja-JP"/>
              </w:rPr>
            </w:pPr>
            <w:r>
              <w:rPr>
                <w:sz w:val="20"/>
                <w:lang w:eastAsia="ja-JP"/>
              </w:rPr>
              <w:t>直接排出量ゼロの陸上輸送</w:t>
            </w:r>
            <w:r w:rsidR="005B697F">
              <w:rPr>
                <w:rFonts w:hint="eastAsia"/>
                <w:sz w:val="20"/>
                <w:lang w:eastAsia="ja-JP"/>
              </w:rPr>
              <w:t>列車</w:t>
            </w:r>
            <w:r>
              <w:rPr>
                <w:sz w:val="20"/>
                <w:lang w:eastAsia="ja-JP"/>
              </w:rPr>
              <w:t>(例えば、軽鉄道輸送、メトロ、電車、トロリバス、バス、鉄道)</w:t>
            </w:r>
          </w:p>
          <w:p w14:paraId="7F1669DC" w14:textId="77777777" w:rsidR="005F38AA" w:rsidRDefault="009649F8">
            <w:pPr>
              <w:pStyle w:val="TableParagraph"/>
              <w:spacing w:before="86"/>
              <w:rPr>
                <w:sz w:val="20"/>
              </w:rPr>
            </w:pPr>
            <w:r>
              <w:rPr>
                <w:sz w:val="20"/>
              </w:rPr>
              <w:t>水運業</w:t>
            </w:r>
          </w:p>
          <w:p w14:paraId="7F1669DD" w14:textId="77777777" w:rsidR="005F38AA" w:rsidRDefault="009649F8">
            <w:pPr>
              <w:pStyle w:val="TableParagraph"/>
              <w:numPr>
                <w:ilvl w:val="0"/>
                <w:numId w:val="72"/>
              </w:numPr>
              <w:tabs>
                <w:tab w:val="left" w:pos="828"/>
                <w:tab w:val="left" w:pos="829"/>
              </w:tabs>
              <w:spacing w:before="114"/>
              <w:rPr>
                <w:sz w:val="20"/>
                <w:lang w:eastAsia="ja-JP"/>
              </w:rPr>
            </w:pPr>
            <w:r>
              <w:rPr>
                <w:sz w:val="20"/>
                <w:lang w:eastAsia="ja-JP"/>
              </w:rPr>
              <w:t>直接排出のない水上輸送船。</w:t>
            </w:r>
          </w:p>
          <w:p w14:paraId="7F1669DE" w14:textId="77777777" w:rsidR="005F38AA" w:rsidRDefault="005F38AA">
            <w:pPr>
              <w:pStyle w:val="TableParagraph"/>
              <w:spacing w:before="0"/>
              <w:ind w:left="0"/>
              <w:rPr>
                <w:sz w:val="24"/>
                <w:lang w:eastAsia="ja-JP"/>
              </w:rPr>
            </w:pPr>
          </w:p>
          <w:p w14:paraId="7F1669DF" w14:textId="77777777" w:rsidR="005F38AA" w:rsidRDefault="009649F8">
            <w:pPr>
              <w:pStyle w:val="TableParagraph"/>
              <w:numPr>
                <w:ilvl w:val="0"/>
                <w:numId w:val="71"/>
              </w:numPr>
              <w:tabs>
                <w:tab w:val="left" w:pos="329"/>
              </w:tabs>
              <w:spacing w:before="182" w:line="276" w:lineRule="auto"/>
              <w:ind w:right="612" w:firstLine="0"/>
              <w:rPr>
                <w:b/>
                <w:sz w:val="20"/>
                <w:lang w:eastAsia="ja-JP"/>
              </w:rPr>
            </w:pPr>
            <w:r>
              <w:rPr>
                <w:b/>
                <w:sz w:val="20"/>
                <w:lang w:eastAsia="ja-JP"/>
              </w:rPr>
              <w:t>建物およびその主要構成部品のエネルギー効率の良い設備のために、以下の製品(必要に応じて閾値付き)を製造することが適格である。</w:t>
            </w:r>
          </w:p>
          <w:p w14:paraId="7F1669E0" w14:textId="77777777" w:rsidR="005F38AA" w:rsidRDefault="009649F8">
            <w:pPr>
              <w:pStyle w:val="TableParagraph"/>
              <w:numPr>
                <w:ilvl w:val="1"/>
                <w:numId w:val="71"/>
              </w:numPr>
              <w:tabs>
                <w:tab w:val="left" w:pos="828"/>
                <w:tab w:val="left" w:pos="829"/>
              </w:tabs>
              <w:spacing w:before="81"/>
              <w:rPr>
                <w:sz w:val="20"/>
              </w:rPr>
            </w:pPr>
            <w:r>
              <w:rPr>
                <w:sz w:val="20"/>
              </w:rPr>
              <w:t>BMS(Building Management Systems)の導入</w:t>
            </w:r>
          </w:p>
          <w:p w14:paraId="7F1669E1" w14:textId="77777777" w:rsidR="005F38AA" w:rsidRDefault="009649F8">
            <w:pPr>
              <w:pStyle w:val="TableParagraph"/>
              <w:numPr>
                <w:ilvl w:val="1"/>
                <w:numId w:val="71"/>
              </w:numPr>
              <w:tabs>
                <w:tab w:val="left" w:pos="828"/>
                <w:tab w:val="left" w:pos="829"/>
              </w:tabs>
              <w:spacing w:before="113"/>
              <w:rPr>
                <w:sz w:val="20"/>
              </w:rPr>
            </w:pPr>
            <w:r>
              <w:rPr>
                <w:sz w:val="20"/>
              </w:rPr>
              <w:t>高効率窓(U値0.7W/m2K以上)</w:t>
            </w:r>
          </w:p>
          <w:p w14:paraId="7F1669E2" w14:textId="77777777" w:rsidR="005F38AA" w:rsidRDefault="009649F8">
            <w:pPr>
              <w:pStyle w:val="TableParagraph"/>
              <w:numPr>
                <w:ilvl w:val="1"/>
                <w:numId w:val="71"/>
              </w:numPr>
              <w:tabs>
                <w:tab w:val="left" w:pos="828"/>
                <w:tab w:val="left" w:pos="829"/>
              </w:tabs>
              <w:spacing w:before="112"/>
              <w:rPr>
                <w:sz w:val="20"/>
                <w:lang w:eastAsia="ja-JP"/>
              </w:rPr>
            </w:pPr>
            <w:r>
              <w:rPr>
                <w:sz w:val="20"/>
                <w:lang w:eastAsia="ja-JP"/>
              </w:rPr>
              <w:t>高効率ドア(U値1.2W/m2K以上)</w:t>
            </w:r>
          </w:p>
          <w:p w14:paraId="7F1669E3" w14:textId="77777777" w:rsidR="005F38AA" w:rsidRDefault="009649F8">
            <w:pPr>
              <w:pStyle w:val="TableParagraph"/>
              <w:numPr>
                <w:ilvl w:val="1"/>
                <w:numId w:val="71"/>
              </w:numPr>
              <w:tabs>
                <w:tab w:val="left" w:pos="828"/>
                <w:tab w:val="left" w:pos="829"/>
              </w:tabs>
              <w:spacing w:before="113" w:line="273" w:lineRule="auto"/>
              <w:ind w:right="175"/>
              <w:rPr>
                <w:sz w:val="20"/>
                <w:lang w:eastAsia="ja-JP"/>
              </w:rPr>
            </w:pPr>
            <w:r>
              <w:rPr>
                <w:sz w:val="20"/>
                <w:lang w:eastAsia="ja-JP"/>
              </w:rPr>
              <w:t>熱伝導率の低い断熱材(ラムダ0.045 W/mK以下)、U値0.5W/m2K以下の外装材、U値0.3W/m2K以下の屋根材</w:t>
            </w:r>
          </w:p>
          <w:p w14:paraId="7F1669E4" w14:textId="77777777" w:rsidR="005F38AA" w:rsidRDefault="009649F8">
            <w:pPr>
              <w:pStyle w:val="TableParagraph"/>
              <w:numPr>
                <w:ilvl w:val="1"/>
                <w:numId w:val="71"/>
              </w:numPr>
              <w:tabs>
                <w:tab w:val="left" w:pos="828"/>
                <w:tab w:val="left" w:pos="829"/>
              </w:tabs>
              <w:spacing w:before="84" w:line="273" w:lineRule="auto"/>
              <w:ind w:right="599"/>
              <w:rPr>
                <w:sz w:val="20"/>
                <w:lang w:eastAsia="ja-JP"/>
              </w:rPr>
            </w:pPr>
            <w:r>
              <w:rPr>
                <w:sz w:val="20"/>
                <w:lang w:eastAsia="ja-JP"/>
              </w:rPr>
              <w:t>ヨーロッパウォーターラベル制度(http://www.europeanwaterlabel.eu/)のトップクラス(ダークグリーン)の給湯器(給湯栓、シャワーなど)</w:t>
            </w:r>
            <w:hyperlink r:id="rId12"/>
          </w:p>
          <w:p w14:paraId="7F1669E5" w14:textId="77777777" w:rsidR="005F38AA" w:rsidRDefault="009649F8">
            <w:pPr>
              <w:pStyle w:val="TableParagraph"/>
              <w:numPr>
                <w:ilvl w:val="1"/>
                <w:numId w:val="71"/>
              </w:numPr>
              <w:tabs>
                <w:tab w:val="left" w:pos="828"/>
                <w:tab w:val="left" w:pos="829"/>
              </w:tabs>
              <w:spacing w:before="83" w:line="273" w:lineRule="auto"/>
              <w:ind w:right="309"/>
              <w:rPr>
                <w:sz w:val="20"/>
                <w:lang w:eastAsia="ja-JP"/>
              </w:rPr>
            </w:pPr>
            <w:r>
              <w:rPr>
                <w:sz w:val="20"/>
                <w:lang w:eastAsia="ja-JP"/>
              </w:rPr>
              <w:t>家電製品(例えば、洗濯機、食器洗い乾燥機)で、EUのエネルギーラベルに従い、機器の種類ごとに、利用可能な上位クラスに分類されるもの。</w:t>
            </w:r>
          </w:p>
          <w:p w14:paraId="7F1669E6" w14:textId="77777777" w:rsidR="005F38AA" w:rsidRDefault="009649F8">
            <w:pPr>
              <w:pStyle w:val="TableParagraph"/>
              <w:numPr>
                <w:ilvl w:val="1"/>
                <w:numId w:val="71"/>
              </w:numPr>
              <w:tabs>
                <w:tab w:val="left" w:pos="828"/>
                <w:tab w:val="left" w:pos="829"/>
              </w:tabs>
              <w:spacing w:before="84" w:line="273" w:lineRule="auto"/>
              <w:ind w:right="220"/>
              <w:rPr>
                <w:sz w:val="20"/>
                <w:lang w:eastAsia="ja-JP"/>
              </w:rPr>
            </w:pPr>
            <w:r>
              <w:rPr>
                <w:sz w:val="20"/>
                <w:lang w:eastAsia="ja-JP"/>
              </w:rPr>
              <w:t>EUのエネルギーラベル規制に従い、エネルギー効率ラベル(またはそれ以上のクラス)に著しく組み込まれている最高エネルギー効率クラスに格付けされた高効率照明器具</w:t>
            </w:r>
          </w:p>
          <w:p w14:paraId="7F1669E7" w14:textId="77777777" w:rsidR="005F38AA" w:rsidRDefault="009649F8">
            <w:pPr>
              <w:pStyle w:val="TableParagraph"/>
              <w:numPr>
                <w:ilvl w:val="1"/>
                <w:numId w:val="71"/>
              </w:numPr>
              <w:tabs>
                <w:tab w:val="left" w:pos="828"/>
                <w:tab w:val="left" w:pos="829"/>
              </w:tabs>
              <w:spacing w:before="82"/>
              <w:rPr>
                <w:sz w:val="20"/>
                <w:lang w:eastAsia="ja-JP"/>
              </w:rPr>
            </w:pPr>
            <w:r>
              <w:rPr>
                <w:sz w:val="20"/>
                <w:lang w:eastAsia="ja-JP"/>
              </w:rPr>
              <w:t>照明システムの存在と昼光制御</w:t>
            </w:r>
          </w:p>
        </w:tc>
      </w:tr>
    </w:tbl>
    <w:p w14:paraId="7F1669E9" w14:textId="77777777" w:rsidR="005F38AA" w:rsidRDefault="005F38AA">
      <w:pPr>
        <w:rPr>
          <w:sz w:val="20"/>
          <w:lang w:eastAsia="ja-JP"/>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367"/>
      </w:tblGrid>
      <w:tr w:rsidR="005F38AA" w14:paraId="7F1669F4" w14:textId="77777777">
        <w:trPr>
          <w:trHeight w:val="8391"/>
        </w:trPr>
        <w:tc>
          <w:tcPr>
            <w:tcW w:w="1985" w:type="dxa"/>
          </w:tcPr>
          <w:p w14:paraId="7F1669EA" w14:textId="77777777" w:rsidR="005F38AA" w:rsidRDefault="005F38AA">
            <w:pPr>
              <w:pStyle w:val="TableParagraph"/>
              <w:spacing w:before="0"/>
              <w:ind w:left="0"/>
              <w:rPr>
                <w:rFonts w:ascii="Times New Roman"/>
                <w:sz w:val="18"/>
                <w:lang w:eastAsia="ja-JP"/>
              </w:rPr>
            </w:pPr>
          </w:p>
        </w:tc>
        <w:tc>
          <w:tcPr>
            <w:tcW w:w="7367" w:type="dxa"/>
          </w:tcPr>
          <w:p w14:paraId="7F1669EB" w14:textId="755AB3E5" w:rsidR="005F38AA" w:rsidRDefault="009649F8">
            <w:pPr>
              <w:pStyle w:val="TableParagraph"/>
              <w:numPr>
                <w:ilvl w:val="0"/>
                <w:numId w:val="70"/>
              </w:numPr>
              <w:tabs>
                <w:tab w:val="left" w:pos="828"/>
                <w:tab w:val="left" w:pos="829"/>
              </w:tabs>
              <w:spacing w:before="0" w:line="273" w:lineRule="auto"/>
              <w:ind w:right="253"/>
              <w:rPr>
                <w:sz w:val="20"/>
                <w:lang w:eastAsia="ja-JP"/>
              </w:rPr>
            </w:pPr>
            <w:r>
              <w:rPr>
                <w:sz w:val="20"/>
                <w:lang w:eastAsia="ja-JP"/>
              </w:rPr>
              <w:t>EUのエネルギーラベル規制に従い、エネルギー効率ラベル(またはそれ以上のクラス)に</w:t>
            </w:r>
            <w:r w:rsidR="00C16472">
              <w:rPr>
                <w:rFonts w:hint="eastAsia"/>
                <w:sz w:val="20"/>
                <w:lang w:eastAsia="ja-JP"/>
              </w:rPr>
              <w:t>分類される</w:t>
            </w:r>
            <w:r>
              <w:rPr>
                <w:sz w:val="20"/>
                <w:lang w:eastAsia="ja-JP"/>
              </w:rPr>
              <w:t>最高のエネルギー効率クラスに格付けされた高効率の暖房・家庭用給湯システム</w:t>
            </w:r>
          </w:p>
          <w:p w14:paraId="7F1669EC" w14:textId="33B460B6" w:rsidR="005F38AA" w:rsidRDefault="009649F8">
            <w:pPr>
              <w:pStyle w:val="TableParagraph"/>
              <w:numPr>
                <w:ilvl w:val="0"/>
                <w:numId w:val="70"/>
              </w:numPr>
              <w:tabs>
                <w:tab w:val="left" w:pos="828"/>
                <w:tab w:val="left" w:pos="829"/>
              </w:tabs>
              <w:spacing w:before="7" w:line="273" w:lineRule="auto"/>
              <w:ind w:right="399"/>
              <w:rPr>
                <w:sz w:val="20"/>
                <w:lang w:eastAsia="ja-JP"/>
              </w:rPr>
            </w:pPr>
            <w:r>
              <w:rPr>
                <w:sz w:val="20"/>
                <w:lang w:eastAsia="ja-JP"/>
              </w:rPr>
              <w:t>EUのエネルギーラベル規制に従い、エネルギー効率ラベルまたはそれ以上のクラスに</w:t>
            </w:r>
            <w:r w:rsidR="00C16472">
              <w:rPr>
                <w:rFonts w:hint="eastAsia"/>
                <w:sz w:val="20"/>
                <w:lang w:eastAsia="ja-JP"/>
              </w:rPr>
              <w:t>分類される</w:t>
            </w:r>
            <w:r>
              <w:rPr>
                <w:sz w:val="20"/>
                <w:lang w:eastAsia="ja-JP"/>
              </w:rPr>
              <w:t>最高エネルギー効率クラスに格付けされた高効率の冷却・換気システム</w:t>
            </w:r>
          </w:p>
          <w:p w14:paraId="7F1669ED" w14:textId="29EEFE29" w:rsidR="005F38AA" w:rsidRDefault="00C16472">
            <w:pPr>
              <w:pStyle w:val="TableParagraph"/>
              <w:numPr>
                <w:ilvl w:val="0"/>
                <w:numId w:val="70"/>
              </w:numPr>
              <w:tabs>
                <w:tab w:val="left" w:pos="828"/>
                <w:tab w:val="left" w:pos="829"/>
              </w:tabs>
              <w:spacing w:before="3" w:line="271" w:lineRule="auto"/>
              <w:ind w:right="674"/>
              <w:rPr>
                <w:sz w:val="20"/>
                <w:lang w:eastAsia="ja-JP"/>
              </w:rPr>
            </w:pPr>
            <w:r>
              <w:rPr>
                <w:rFonts w:hint="eastAsia"/>
                <w:sz w:val="20"/>
                <w:lang w:eastAsia="ja-JP"/>
              </w:rPr>
              <w:t>タクソノミー</w:t>
            </w:r>
            <w:r w:rsidR="009649F8">
              <w:rPr>
                <w:sz w:val="20"/>
                <w:lang w:eastAsia="ja-JP"/>
              </w:rPr>
              <w:t>のエネルギーセクションに記載されているヒートポンプの基準に適合するヒートポンプ</w:t>
            </w:r>
          </w:p>
          <w:p w14:paraId="7F1669EE" w14:textId="50992EC7" w:rsidR="005F38AA" w:rsidRDefault="009649F8">
            <w:pPr>
              <w:pStyle w:val="TableParagraph"/>
              <w:numPr>
                <w:ilvl w:val="0"/>
                <w:numId w:val="70"/>
              </w:numPr>
              <w:tabs>
                <w:tab w:val="left" w:pos="828"/>
                <w:tab w:val="left" w:pos="829"/>
              </w:tabs>
              <w:spacing w:before="85" w:line="271" w:lineRule="auto"/>
              <w:ind w:right="739"/>
              <w:rPr>
                <w:sz w:val="20"/>
              </w:rPr>
            </w:pPr>
            <w:r>
              <w:rPr>
                <w:sz w:val="20"/>
                <w:lang w:eastAsia="ja-JP"/>
              </w:rPr>
              <w:t>日よけ又は日射制御の機能を有する外面及び屋根の</w:t>
            </w:r>
            <w:r w:rsidR="00C16472">
              <w:rPr>
                <w:rFonts w:hint="eastAsia"/>
                <w:sz w:val="20"/>
                <w:lang w:eastAsia="ja-JP"/>
              </w:rPr>
              <w:t>部材</w:t>
            </w:r>
            <w:r>
              <w:rPr>
                <w:sz w:val="20"/>
                <w:lang w:eastAsia="ja-JP"/>
              </w:rPr>
              <w:t>(植生の生育を支えるものを含む。</w:t>
            </w:r>
            <w:r>
              <w:rPr>
                <w:sz w:val="20"/>
              </w:rPr>
              <w:t>)</w:t>
            </w:r>
          </w:p>
          <w:p w14:paraId="7F1669EF" w14:textId="77777777" w:rsidR="005F38AA" w:rsidRDefault="009649F8">
            <w:pPr>
              <w:pStyle w:val="TableParagraph"/>
              <w:numPr>
                <w:ilvl w:val="0"/>
                <w:numId w:val="70"/>
              </w:numPr>
              <w:tabs>
                <w:tab w:val="left" w:pos="828"/>
                <w:tab w:val="left" w:pos="829"/>
              </w:tabs>
              <w:spacing w:before="85" w:line="271" w:lineRule="auto"/>
              <w:ind w:right="152"/>
              <w:rPr>
                <w:sz w:val="20"/>
                <w:lang w:eastAsia="ja-JP"/>
              </w:rPr>
            </w:pPr>
            <w:r>
              <w:rPr>
                <w:sz w:val="20"/>
                <w:lang w:eastAsia="ja-JP"/>
              </w:rPr>
              <w:t>EN 15232規格に準拠した商業ビルのエネルギー効率の良いビル自動化・制御システム。</w:t>
            </w:r>
          </w:p>
          <w:p w14:paraId="7F1669F0" w14:textId="77777777" w:rsidR="005F38AA" w:rsidRDefault="009649F8">
            <w:pPr>
              <w:pStyle w:val="TableParagraph"/>
              <w:numPr>
                <w:ilvl w:val="0"/>
                <w:numId w:val="70"/>
              </w:numPr>
              <w:tabs>
                <w:tab w:val="left" w:pos="828"/>
                <w:tab w:val="left" w:pos="829"/>
              </w:tabs>
              <w:spacing w:before="88" w:line="273" w:lineRule="auto"/>
              <w:ind w:right="256"/>
              <w:rPr>
                <w:sz w:val="20"/>
                <w:lang w:eastAsia="ja-JP"/>
              </w:rPr>
            </w:pPr>
            <w:r>
              <w:rPr>
                <w:sz w:val="20"/>
                <w:lang w:eastAsia="ja-JP"/>
              </w:rPr>
              <w:t>住宅用建築物の主な電力負荷をスマートに監視するためのゾーン化されたサーモスタットおよび装置、ならびに、例えば、運動制御などのセンサ装置。</w:t>
            </w:r>
          </w:p>
          <w:p w14:paraId="7F1669F1" w14:textId="77777777" w:rsidR="005F38AA" w:rsidRDefault="009649F8">
            <w:pPr>
              <w:pStyle w:val="TableParagraph"/>
              <w:spacing w:before="81" w:line="276" w:lineRule="auto"/>
              <w:rPr>
                <w:sz w:val="20"/>
                <w:lang w:eastAsia="ja-JP"/>
              </w:rPr>
            </w:pPr>
            <w:r>
              <w:rPr>
                <w:sz w:val="20"/>
                <w:lang w:eastAsia="ja-JP"/>
              </w:rPr>
              <w:t>地域冷暖房システムに接続された個々の住宅の熱量計測・温度制御用の製品と、建物全体を対象としたセントラルヒーティングシステムに接続された個々のアパート。</w:t>
            </w:r>
          </w:p>
          <w:p w14:paraId="7F1669F2" w14:textId="77777777" w:rsidR="005F38AA" w:rsidRDefault="005F38AA">
            <w:pPr>
              <w:pStyle w:val="TableParagraph"/>
              <w:spacing w:before="0"/>
              <w:ind w:left="0"/>
              <w:rPr>
                <w:lang w:eastAsia="ja-JP"/>
              </w:rPr>
            </w:pPr>
          </w:p>
          <w:p w14:paraId="7F1669F3" w14:textId="1FA477DD" w:rsidR="005F38AA" w:rsidRDefault="009649F8">
            <w:pPr>
              <w:pStyle w:val="TableParagraph"/>
              <w:spacing w:before="172" w:line="276" w:lineRule="auto"/>
              <w:ind w:right="115"/>
              <w:rPr>
                <w:b/>
                <w:sz w:val="20"/>
                <w:lang w:eastAsia="ja-JP"/>
              </w:rPr>
            </w:pPr>
            <w:r>
              <w:rPr>
                <w:sz w:val="20"/>
                <w:lang w:eastAsia="ja-JP"/>
              </w:rPr>
              <w:t>4. 経済の他の部門(民間世帯を含む)において実質的なGHG排出削減をもたらす低炭素技術及びその主要な構成要素の製造は、認知された/標準化されたクレードル・ツー・クレードル・カーボン・フットプリント評価(例えば、クレードル・ツー・クレードル・カーボン・フットプリント評価に基づいて、市場で利用可能な最良のパフォーマンスの代替技術/製品/ソリューションと比較して、実質的に高い純GHG排出削減量を実証する場合には、適格である。</w:t>
            </w:r>
            <w:r>
              <w:rPr>
                <w:b/>
                <w:sz w:val="20"/>
                <w:lang w:eastAsia="ja-JP"/>
              </w:rPr>
              <w:t xml:space="preserve"> ISO 14067、14040、EPD、PEF</w:t>
            </w:r>
            <w:r w:rsidR="00C16472">
              <w:rPr>
                <w:rFonts w:hint="eastAsia"/>
                <w:b/>
                <w:sz w:val="20"/>
                <w:lang w:eastAsia="ja-JP"/>
              </w:rPr>
              <w:t>など、</w:t>
            </w:r>
            <w:r>
              <w:rPr>
                <w:b/>
                <w:sz w:val="20"/>
                <w:lang w:eastAsia="ja-JP"/>
              </w:rPr>
              <w:t>第三者認証</w:t>
            </w:r>
            <w:r w:rsidR="00C16472">
              <w:rPr>
                <w:rFonts w:hint="eastAsia"/>
                <w:b/>
                <w:sz w:val="20"/>
                <w:lang w:eastAsia="ja-JP"/>
              </w:rPr>
              <w:t>されたもの。</w:t>
            </w:r>
          </w:p>
        </w:tc>
      </w:tr>
      <w:tr w:rsidR="005F38AA" w14:paraId="7F1669F6" w14:textId="77777777">
        <w:trPr>
          <w:trHeight w:val="386"/>
        </w:trPr>
        <w:tc>
          <w:tcPr>
            <w:tcW w:w="9352" w:type="dxa"/>
            <w:gridSpan w:val="2"/>
            <w:shd w:val="clear" w:color="auto" w:fill="4471C4"/>
          </w:tcPr>
          <w:p w14:paraId="7F1669F5" w14:textId="77777777" w:rsidR="005F38AA" w:rsidRDefault="009649F8">
            <w:pPr>
              <w:pStyle w:val="TableParagraph"/>
              <w:rPr>
                <w:b/>
                <w:sz w:val="20"/>
              </w:rPr>
            </w:pPr>
            <w:r>
              <w:rPr>
                <w:b/>
                <w:color w:val="FFFFFF"/>
                <w:sz w:val="20"/>
              </w:rPr>
              <w:t>根拠</w:t>
            </w:r>
          </w:p>
        </w:tc>
      </w:tr>
      <w:tr w:rsidR="005F38AA" w14:paraId="7F1669FA" w14:textId="77777777">
        <w:trPr>
          <w:trHeight w:val="2659"/>
        </w:trPr>
        <w:tc>
          <w:tcPr>
            <w:tcW w:w="9352" w:type="dxa"/>
            <w:gridSpan w:val="2"/>
          </w:tcPr>
          <w:p w14:paraId="7F1669F7" w14:textId="03971E86" w:rsidR="005F38AA" w:rsidRDefault="009649F8">
            <w:pPr>
              <w:pStyle w:val="TableParagraph"/>
              <w:spacing w:line="276" w:lineRule="auto"/>
              <w:rPr>
                <w:sz w:val="20"/>
                <w:lang w:eastAsia="ja-JP"/>
              </w:rPr>
            </w:pPr>
            <w:r>
              <w:rPr>
                <w:sz w:val="20"/>
                <w:lang w:eastAsia="ja-JP"/>
              </w:rPr>
              <w:t>特定の適格技術のリストは、</w:t>
            </w:r>
            <w:r w:rsidR="00C16472">
              <w:rPr>
                <w:rFonts w:hint="eastAsia"/>
                <w:sz w:val="20"/>
                <w:lang w:eastAsia="ja-JP"/>
              </w:rPr>
              <w:t>タクソノミー</w:t>
            </w:r>
            <w:r>
              <w:rPr>
                <w:sz w:val="20"/>
                <w:lang w:eastAsia="ja-JP"/>
              </w:rPr>
              <w:t>の他のセクション、すなわちエネルギー、輸送、建築における適格な活動と首尾一貫している。</w:t>
            </w:r>
          </w:p>
          <w:p w14:paraId="7F1669F8" w14:textId="577AA7DC" w:rsidR="005F38AA" w:rsidRDefault="009649F8">
            <w:pPr>
              <w:pStyle w:val="TableParagraph"/>
              <w:spacing w:before="78" w:line="276" w:lineRule="auto"/>
              <w:ind w:right="127"/>
              <w:rPr>
                <w:sz w:val="20"/>
                <w:lang w:eastAsia="ja-JP"/>
              </w:rPr>
            </w:pPr>
            <w:r>
              <w:rPr>
                <w:sz w:val="20"/>
                <w:lang w:eastAsia="ja-JP"/>
              </w:rPr>
              <w:t>しかし、場合によっては、このリストは、同じ製品、コンポーネント、機器、インフラストラクチャの他の部門での使用に対する意味合いを、このフェーズで探索する資源が限られているため、</w:t>
            </w:r>
            <w:r w:rsidR="00C16472">
              <w:rPr>
                <w:rFonts w:hint="eastAsia"/>
                <w:sz w:val="20"/>
                <w:lang w:eastAsia="ja-JP"/>
              </w:rPr>
              <w:t>タクソノミー</w:t>
            </w:r>
            <w:r>
              <w:rPr>
                <w:sz w:val="20"/>
                <w:lang w:eastAsia="ja-JP"/>
              </w:rPr>
              <w:t>の対応するセクションの適格な活動よりも広くない。 逆のインセンティブが生じないようにするためには、さらなる分析が必要である。</w:t>
            </w:r>
          </w:p>
          <w:p w14:paraId="7F1669F9" w14:textId="398F915A" w:rsidR="005F38AA" w:rsidRDefault="009649F8" w:rsidP="00C16472">
            <w:pPr>
              <w:pStyle w:val="TableParagraph"/>
              <w:spacing w:before="80" w:line="276" w:lineRule="auto"/>
              <w:rPr>
                <w:sz w:val="20"/>
                <w:lang w:eastAsia="ja-JP"/>
              </w:rPr>
            </w:pPr>
            <w:r>
              <w:rPr>
                <w:sz w:val="20"/>
                <w:lang w:eastAsia="ja-JP"/>
              </w:rPr>
              <w:t>輸送</w:t>
            </w:r>
            <w:r w:rsidR="00C16472">
              <w:rPr>
                <w:rFonts w:hint="eastAsia"/>
                <w:sz w:val="20"/>
                <w:lang w:eastAsia="ja-JP"/>
              </w:rPr>
              <w:t>について</w:t>
            </w:r>
            <w:r>
              <w:rPr>
                <w:sz w:val="20"/>
                <w:lang w:eastAsia="ja-JP"/>
              </w:rPr>
              <w:t>、製造は、適格な車両の販売からの収入または特に適格な車両に関連する製造能力への投資のいずれか</w:t>
            </w:r>
            <w:r w:rsidR="00C16472">
              <w:rPr>
                <w:rFonts w:hint="eastAsia"/>
                <w:sz w:val="20"/>
                <w:lang w:eastAsia="ja-JP"/>
              </w:rPr>
              <w:t>において適格と認められる</w:t>
            </w:r>
            <w:r>
              <w:rPr>
                <w:sz w:val="20"/>
                <w:lang w:eastAsia="ja-JP"/>
              </w:rPr>
              <w:t>ように、完全な低炭素車両またはゼロ炭素車両、フリートまたは船舶の生産に焦点を当てている。</w:t>
            </w:r>
          </w:p>
        </w:tc>
      </w:tr>
      <w:tr w:rsidR="005F38AA" w14:paraId="7F1669FC" w14:textId="77777777">
        <w:trPr>
          <w:trHeight w:val="385"/>
        </w:trPr>
        <w:tc>
          <w:tcPr>
            <w:tcW w:w="9352" w:type="dxa"/>
            <w:gridSpan w:val="2"/>
            <w:shd w:val="clear" w:color="auto" w:fill="4471C4"/>
          </w:tcPr>
          <w:p w14:paraId="7F1669FB" w14:textId="53C7EA5C" w:rsidR="005F38AA" w:rsidRDefault="009649F8" w:rsidP="00375B33">
            <w:pPr>
              <w:pStyle w:val="TableParagraph"/>
              <w:rPr>
                <w:b/>
                <w:sz w:val="20"/>
                <w:lang w:eastAsia="ja-JP"/>
              </w:rPr>
            </w:pPr>
            <w:r>
              <w:rPr>
                <w:b/>
                <w:color w:val="FFFFFF"/>
                <w:sz w:val="20"/>
                <w:lang w:eastAsia="ja-JP"/>
              </w:rPr>
              <w:t>重大な有害性</w:t>
            </w:r>
          </w:p>
        </w:tc>
      </w:tr>
      <w:tr w:rsidR="005F38AA" w14:paraId="7F1669FE" w14:textId="77777777">
        <w:trPr>
          <w:trHeight w:val="647"/>
        </w:trPr>
        <w:tc>
          <w:tcPr>
            <w:tcW w:w="9352" w:type="dxa"/>
            <w:gridSpan w:val="2"/>
          </w:tcPr>
          <w:p w14:paraId="7F1669FD" w14:textId="37769BE5" w:rsidR="005F38AA" w:rsidRDefault="009649F8">
            <w:pPr>
              <w:pStyle w:val="TableParagraph"/>
              <w:spacing w:line="276" w:lineRule="auto"/>
              <w:ind w:right="166"/>
              <w:rPr>
                <w:sz w:val="20"/>
                <w:lang w:eastAsia="ja-JP"/>
              </w:rPr>
            </w:pPr>
            <w:r>
              <w:rPr>
                <w:sz w:val="20"/>
                <w:lang w:eastAsia="ja-JP"/>
              </w:rPr>
              <w:t>低炭素技術の製造による他の環境目的への重大な潜在的</w:t>
            </w:r>
            <w:r w:rsidR="00C16472">
              <w:rPr>
                <w:rFonts w:hint="eastAsia"/>
                <w:sz w:val="20"/>
                <w:lang w:eastAsia="ja-JP"/>
              </w:rPr>
              <w:t>脅威</w:t>
            </w:r>
            <w:r>
              <w:rPr>
                <w:sz w:val="20"/>
                <w:lang w:eastAsia="ja-JP"/>
              </w:rPr>
              <w:t>は、次のものである。</w:t>
            </w:r>
          </w:p>
        </w:tc>
      </w:tr>
    </w:tbl>
    <w:p w14:paraId="7F1669FF" w14:textId="77777777" w:rsidR="005F38AA" w:rsidRDefault="005F38AA">
      <w:pPr>
        <w:spacing w:line="276" w:lineRule="auto"/>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367"/>
      </w:tblGrid>
      <w:tr w:rsidR="005F38AA" w14:paraId="7F166A04" w14:textId="77777777">
        <w:trPr>
          <w:trHeight w:val="2462"/>
        </w:trPr>
        <w:tc>
          <w:tcPr>
            <w:tcW w:w="9352" w:type="dxa"/>
            <w:gridSpan w:val="2"/>
          </w:tcPr>
          <w:p w14:paraId="7F166A00" w14:textId="77777777" w:rsidR="005F38AA" w:rsidRDefault="009649F8">
            <w:pPr>
              <w:pStyle w:val="TableParagraph"/>
              <w:numPr>
                <w:ilvl w:val="0"/>
                <w:numId w:val="69"/>
              </w:numPr>
              <w:tabs>
                <w:tab w:val="left" w:pos="827"/>
                <w:tab w:val="left" w:pos="828"/>
              </w:tabs>
              <w:spacing w:before="0" w:line="271" w:lineRule="auto"/>
              <w:ind w:right="849"/>
              <w:rPr>
                <w:sz w:val="20"/>
                <w:lang w:eastAsia="ja-JP"/>
              </w:rPr>
            </w:pPr>
            <w:r>
              <w:rPr>
                <w:sz w:val="20"/>
                <w:lang w:eastAsia="ja-JP"/>
              </w:rPr>
              <w:lastRenderedPageBreak/>
              <w:t>有害物質の(潜在的な)使用および有害廃棄物の発生(製造段階および製品/設備のライフサイクルの他の段階の両方);</w:t>
            </w:r>
          </w:p>
          <w:p w14:paraId="7F166A01" w14:textId="77777777" w:rsidR="005F38AA" w:rsidRDefault="009649F8">
            <w:pPr>
              <w:pStyle w:val="TableParagraph"/>
              <w:numPr>
                <w:ilvl w:val="0"/>
                <w:numId w:val="69"/>
              </w:numPr>
              <w:tabs>
                <w:tab w:val="left" w:pos="827"/>
                <w:tab w:val="left" w:pos="828"/>
              </w:tabs>
              <w:spacing w:before="88"/>
              <w:rPr>
                <w:sz w:val="20"/>
                <w:lang w:eastAsia="ja-JP"/>
              </w:rPr>
            </w:pPr>
            <w:r>
              <w:rPr>
                <w:sz w:val="20"/>
                <w:lang w:eastAsia="ja-JP"/>
              </w:rPr>
              <w:t>製造工程からの大気、水、土壌への汚染物質の排出の可能性。</w:t>
            </w:r>
          </w:p>
          <w:p w14:paraId="7F166A02" w14:textId="77777777" w:rsidR="005F38AA" w:rsidRDefault="005F38AA">
            <w:pPr>
              <w:pStyle w:val="TableParagraph"/>
              <w:spacing w:before="0"/>
              <w:ind w:left="0"/>
              <w:rPr>
                <w:sz w:val="24"/>
                <w:lang w:eastAsia="ja-JP"/>
              </w:rPr>
            </w:pPr>
          </w:p>
          <w:p w14:paraId="7F166A03" w14:textId="5C477D2D" w:rsidR="005F38AA" w:rsidRDefault="009649F8" w:rsidP="00C16472">
            <w:pPr>
              <w:pStyle w:val="TableParagraph"/>
              <w:spacing w:before="179" w:line="276" w:lineRule="auto"/>
              <w:ind w:right="166"/>
              <w:rPr>
                <w:sz w:val="20"/>
                <w:lang w:eastAsia="ja-JP"/>
              </w:rPr>
            </w:pPr>
            <w:r>
              <w:rPr>
                <w:sz w:val="20"/>
                <w:lang w:eastAsia="ja-JP"/>
              </w:rPr>
              <w:t>製造される製品/設備によっては、炭素、および供給が限られており、鉱業段階に関連する重大な環境影響問題を有する特定の金属および材料(例えば、レアアース金属)の需要に関しても問題が生じる可能性がある。</w:t>
            </w:r>
          </w:p>
        </w:tc>
      </w:tr>
      <w:tr w:rsidR="005F38AA" w14:paraId="7F166A07" w14:textId="77777777">
        <w:trPr>
          <w:trHeight w:val="397"/>
        </w:trPr>
        <w:tc>
          <w:tcPr>
            <w:tcW w:w="1985" w:type="dxa"/>
          </w:tcPr>
          <w:p w14:paraId="7F166A05" w14:textId="77777777" w:rsidR="005F38AA" w:rsidRDefault="009649F8">
            <w:pPr>
              <w:pStyle w:val="TableParagraph"/>
              <w:rPr>
                <w:sz w:val="20"/>
              </w:rPr>
            </w:pPr>
            <w:r>
              <w:rPr>
                <w:sz w:val="20"/>
              </w:rPr>
              <w:t>(2)適応</w:t>
            </w:r>
          </w:p>
        </w:tc>
        <w:tc>
          <w:tcPr>
            <w:tcW w:w="7367" w:type="dxa"/>
          </w:tcPr>
          <w:p w14:paraId="7F166A06" w14:textId="77777777" w:rsidR="005F38AA" w:rsidRDefault="009649F8">
            <w:pPr>
              <w:pStyle w:val="TableParagraph"/>
              <w:numPr>
                <w:ilvl w:val="0"/>
                <w:numId w:val="68"/>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5F38AA" w14:paraId="7F166A0B" w14:textId="77777777">
        <w:trPr>
          <w:trHeight w:val="1550"/>
        </w:trPr>
        <w:tc>
          <w:tcPr>
            <w:tcW w:w="1985" w:type="dxa"/>
          </w:tcPr>
          <w:p w14:paraId="7F166A08" w14:textId="77777777" w:rsidR="005F38AA" w:rsidRDefault="009649F8">
            <w:pPr>
              <w:pStyle w:val="TableParagraph"/>
              <w:rPr>
                <w:sz w:val="20"/>
              </w:rPr>
            </w:pPr>
            <w:r>
              <w:rPr>
                <w:sz w:val="20"/>
              </w:rPr>
              <w:t>(3) 水</w:t>
            </w:r>
          </w:p>
        </w:tc>
        <w:tc>
          <w:tcPr>
            <w:tcW w:w="7367" w:type="dxa"/>
          </w:tcPr>
          <w:p w14:paraId="7F166A09" w14:textId="3D9A1126" w:rsidR="005F38AA" w:rsidRDefault="009649F8">
            <w:pPr>
              <w:pStyle w:val="TableParagraph"/>
              <w:numPr>
                <w:ilvl w:val="0"/>
                <w:numId w:val="67"/>
              </w:numPr>
              <w:tabs>
                <w:tab w:val="left" w:pos="468"/>
                <w:tab w:val="left" w:pos="469"/>
              </w:tabs>
              <w:spacing w:before="41" w:line="273" w:lineRule="auto"/>
              <w:ind w:right="188"/>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F166A0A" w14:textId="77777777" w:rsidR="005F38AA" w:rsidRDefault="009649F8">
            <w:pPr>
              <w:pStyle w:val="TableParagraph"/>
              <w:numPr>
                <w:ilvl w:val="0"/>
                <w:numId w:val="67"/>
              </w:numPr>
              <w:tabs>
                <w:tab w:val="left" w:pos="468"/>
                <w:tab w:val="left" w:pos="469"/>
              </w:tabs>
              <w:spacing w:before="87"/>
              <w:rPr>
                <w:sz w:val="20"/>
                <w:lang w:eastAsia="ja-JP"/>
              </w:rPr>
            </w:pPr>
            <w:r>
              <w:rPr>
                <w:sz w:val="20"/>
                <w:lang w:eastAsia="ja-JP"/>
              </w:rPr>
              <w:t>EUでは、EU水関連法規の要件を満たす。</w:t>
            </w:r>
          </w:p>
        </w:tc>
      </w:tr>
      <w:tr w:rsidR="005F38AA" w14:paraId="7F166A0E" w14:textId="77777777">
        <w:trPr>
          <w:trHeight w:val="1178"/>
        </w:trPr>
        <w:tc>
          <w:tcPr>
            <w:tcW w:w="1985" w:type="dxa"/>
          </w:tcPr>
          <w:p w14:paraId="7F166A0C" w14:textId="7A060645" w:rsidR="005F38AA" w:rsidRDefault="00C16472" w:rsidP="00C16472">
            <w:pPr>
              <w:pStyle w:val="TableParagraph"/>
              <w:spacing w:line="276" w:lineRule="auto"/>
              <w:ind w:right="859"/>
              <w:rPr>
                <w:sz w:val="20"/>
                <w:lang w:eastAsia="ja-JP"/>
              </w:rPr>
            </w:pPr>
            <w:r>
              <w:rPr>
                <w:rFonts w:hint="eastAsia"/>
                <w:sz w:val="20"/>
                <w:lang w:eastAsia="ja-JP"/>
              </w:rPr>
              <w:t>（4）サーキュラーエコノミー</w:t>
            </w:r>
          </w:p>
        </w:tc>
        <w:tc>
          <w:tcPr>
            <w:tcW w:w="7367" w:type="dxa"/>
          </w:tcPr>
          <w:p w14:paraId="7F166A0D" w14:textId="542B7CBA" w:rsidR="005F38AA" w:rsidRDefault="009649F8" w:rsidP="00C16472">
            <w:pPr>
              <w:pStyle w:val="TableParagraph"/>
              <w:spacing w:line="276" w:lineRule="auto"/>
              <w:rPr>
                <w:sz w:val="20"/>
                <w:lang w:eastAsia="ja-JP"/>
              </w:rPr>
            </w:pPr>
            <w:r>
              <w:rPr>
                <w:sz w:val="20"/>
                <w:lang w:eastAsia="ja-JP"/>
              </w:rPr>
              <w:t>実装された炭素排出は、エネルギー効率の良い機器の使用によって節約された炭素排出総量の50%未満でなければならない。 使用済み</w:t>
            </w:r>
            <w:r w:rsidR="00C16472">
              <w:rPr>
                <w:rFonts w:hint="eastAsia"/>
                <w:sz w:val="20"/>
                <w:lang w:eastAsia="ja-JP"/>
              </w:rPr>
              <w:t>・廃棄</w:t>
            </w:r>
            <w:r>
              <w:rPr>
                <w:sz w:val="20"/>
                <w:lang w:eastAsia="ja-JP"/>
              </w:rPr>
              <w:t>段階での炭素排出量と節約量は、この基準の評価には含まれていない(不確実</w:t>
            </w:r>
            <w:r w:rsidR="00C16472">
              <w:rPr>
                <w:rFonts w:hint="eastAsia"/>
                <w:sz w:val="20"/>
                <w:lang w:eastAsia="ja-JP"/>
              </w:rPr>
              <w:t>性が高い</w:t>
            </w:r>
            <w:r>
              <w:rPr>
                <w:sz w:val="20"/>
                <w:lang w:eastAsia="ja-JP"/>
              </w:rPr>
              <w:t>)。</w:t>
            </w:r>
          </w:p>
        </w:tc>
      </w:tr>
      <w:tr w:rsidR="005F38AA" w14:paraId="7F166A11" w14:textId="77777777">
        <w:trPr>
          <w:trHeight w:val="1706"/>
        </w:trPr>
        <w:tc>
          <w:tcPr>
            <w:tcW w:w="1985" w:type="dxa"/>
          </w:tcPr>
          <w:p w14:paraId="7F166A0F" w14:textId="77777777" w:rsidR="005F38AA" w:rsidRDefault="009649F8">
            <w:pPr>
              <w:pStyle w:val="TableParagraph"/>
              <w:rPr>
                <w:sz w:val="20"/>
              </w:rPr>
            </w:pPr>
            <w:r>
              <w:rPr>
                <w:sz w:val="20"/>
              </w:rPr>
              <w:t>(5)汚染</w:t>
            </w:r>
          </w:p>
        </w:tc>
        <w:tc>
          <w:tcPr>
            <w:tcW w:w="7367" w:type="dxa"/>
          </w:tcPr>
          <w:p w14:paraId="7F166A10" w14:textId="77777777" w:rsidR="005F38AA" w:rsidRDefault="009649F8">
            <w:pPr>
              <w:pStyle w:val="TableParagraph"/>
              <w:spacing w:line="276" w:lineRule="auto"/>
              <w:ind w:right="115"/>
              <w:rPr>
                <w:sz w:val="20"/>
                <w:lang w:eastAsia="ja-JP"/>
              </w:rPr>
            </w:pPr>
            <w:r>
              <w:rPr>
                <w:sz w:val="20"/>
                <w:lang w:eastAsia="ja-JP"/>
              </w:rPr>
              <w:t>REACH(化学品の登録、評価、認可および制限)規則(1272/2008/EC)およびRoHS(有害物質の制限)規則(2002/95/EC)またはEU外で製造・使用される設備(n.b.:EU外で製造され、EUに輸入される設備は、REACHおよびRoHS規則に準拠しなければならない)の遵守。</w:t>
            </w:r>
          </w:p>
        </w:tc>
      </w:tr>
      <w:tr w:rsidR="005F38AA" w14:paraId="7F166A15" w14:textId="77777777">
        <w:trPr>
          <w:trHeight w:val="5227"/>
        </w:trPr>
        <w:tc>
          <w:tcPr>
            <w:tcW w:w="1985" w:type="dxa"/>
          </w:tcPr>
          <w:p w14:paraId="7F166A12" w14:textId="77777777" w:rsidR="005F38AA" w:rsidRDefault="009649F8">
            <w:pPr>
              <w:pStyle w:val="TableParagraph"/>
              <w:spacing w:before="42"/>
              <w:rPr>
                <w:sz w:val="20"/>
              </w:rPr>
            </w:pPr>
            <w:r>
              <w:rPr>
                <w:sz w:val="20"/>
              </w:rPr>
              <w:t>(6)</w:t>
            </w:r>
            <w:r w:rsidRPr="00375B33">
              <w:rPr>
                <w:sz w:val="20"/>
              </w:rPr>
              <w:t>生態系</w:t>
            </w:r>
          </w:p>
        </w:tc>
        <w:tc>
          <w:tcPr>
            <w:tcW w:w="7367" w:type="dxa"/>
          </w:tcPr>
          <w:p w14:paraId="7F166A13" w14:textId="235CC88F" w:rsidR="005F38AA" w:rsidRDefault="009649F8">
            <w:pPr>
              <w:pStyle w:val="TableParagraph"/>
              <w:spacing w:before="42" w:line="276" w:lineRule="auto"/>
              <w:ind w:right="115"/>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のサイト/事業の場合、より厳しい方—は、サイト/運営(輸送インフラ、運営、廃棄物処理施設などの付随サービスを含む)や、生物多様性/生態系を保護するために必要な緩和措置、特にユネスコ世界遺産および主要な生物多様性地域(KBA)が実施されて</w:t>
            </w:r>
            <w:r w:rsidR="00375B33">
              <w:rPr>
                <w:rFonts w:hint="eastAsia"/>
                <w:sz w:val="20"/>
                <w:lang w:eastAsia="ja-JP"/>
              </w:rPr>
              <w:t>いること</w:t>
            </w:r>
            <w:r>
              <w:rPr>
                <w:sz w:val="20"/>
                <w:lang w:eastAsia="ja-JP"/>
              </w:rPr>
              <w:t>。</w:t>
            </w:r>
          </w:p>
          <w:p w14:paraId="7F166A14" w14:textId="3986D963" w:rsidR="005F38AA" w:rsidRDefault="009649F8" w:rsidP="00375B33">
            <w:pPr>
              <w:pStyle w:val="TableParagraph"/>
              <w:spacing w:before="80" w:line="276" w:lineRule="auto"/>
              <w:ind w:right="44"/>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 IFC Performance Standard 6) - EU非加盟国のサイト/オペレーションの場合、保護地域の保全目的に基づいて、より厳しい方。 そのようなサイト/オペレーションのために、以下を確実にする。</w:t>
            </w:r>
          </w:p>
        </w:tc>
      </w:tr>
    </w:tbl>
    <w:p w14:paraId="7F166A16" w14:textId="77777777" w:rsidR="005F38AA" w:rsidRDefault="005F38AA">
      <w:pPr>
        <w:spacing w:line="276" w:lineRule="auto"/>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367"/>
      </w:tblGrid>
      <w:tr w:rsidR="005F38AA" w14:paraId="7F166A1B" w14:textId="77777777">
        <w:trPr>
          <w:trHeight w:val="2039"/>
        </w:trPr>
        <w:tc>
          <w:tcPr>
            <w:tcW w:w="1985" w:type="dxa"/>
          </w:tcPr>
          <w:p w14:paraId="7F166A17" w14:textId="77777777" w:rsidR="005F38AA" w:rsidRDefault="005F38AA">
            <w:pPr>
              <w:pStyle w:val="TableParagraph"/>
              <w:spacing w:before="0"/>
              <w:ind w:left="0"/>
              <w:rPr>
                <w:rFonts w:ascii="Times New Roman"/>
                <w:sz w:val="18"/>
                <w:lang w:eastAsia="ja-JP"/>
              </w:rPr>
            </w:pPr>
          </w:p>
        </w:tc>
        <w:tc>
          <w:tcPr>
            <w:tcW w:w="7367" w:type="dxa"/>
          </w:tcPr>
          <w:p w14:paraId="7F166A18" w14:textId="77777777" w:rsidR="005F38AA" w:rsidRDefault="009649F8">
            <w:pPr>
              <w:pStyle w:val="TableParagraph"/>
              <w:numPr>
                <w:ilvl w:val="0"/>
                <w:numId w:val="66"/>
              </w:numPr>
              <w:tabs>
                <w:tab w:val="left" w:pos="468"/>
                <w:tab w:val="left" w:pos="469"/>
              </w:tabs>
              <w:spacing w:before="0" w:line="273" w:lineRule="auto"/>
              <w:ind w:right="300"/>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A19" w14:textId="77777777" w:rsidR="005F38AA" w:rsidRDefault="009649F8">
            <w:pPr>
              <w:pStyle w:val="TableParagraph"/>
              <w:numPr>
                <w:ilvl w:val="0"/>
                <w:numId w:val="66"/>
              </w:numPr>
              <w:tabs>
                <w:tab w:val="left" w:pos="468"/>
                <w:tab w:val="left" w:pos="469"/>
              </w:tabs>
              <w:spacing w:before="3" w:line="271" w:lineRule="auto"/>
              <w:ind w:right="545"/>
              <w:rPr>
                <w:sz w:val="20"/>
                <w:lang w:eastAsia="ja-JP"/>
              </w:rPr>
            </w:pPr>
            <w:r>
              <w:rPr>
                <w:sz w:val="20"/>
                <w:lang w:eastAsia="ja-JP"/>
              </w:rPr>
              <w:t>種及び生息地への影響を低減するために必要なすべての緩和措置がとられていること。</w:t>
            </w:r>
          </w:p>
          <w:p w14:paraId="7F166A1A" w14:textId="77777777" w:rsidR="005F38AA" w:rsidRDefault="009649F8">
            <w:pPr>
              <w:pStyle w:val="TableParagraph"/>
              <w:spacing w:before="86" w:line="276" w:lineRule="auto"/>
              <w:rPr>
                <w:sz w:val="20"/>
                <w:lang w:eastAsia="ja-JP"/>
              </w:rPr>
            </w:pPr>
            <w:r>
              <w:rPr>
                <w:sz w:val="20"/>
                <w:lang w:eastAsia="ja-JP"/>
              </w:rPr>
              <w:t>強固で、適切に設計され、長期的な生物多様性のモニタリングと評価プログラムが存在し、実施されている。</w:t>
            </w:r>
          </w:p>
        </w:tc>
      </w:tr>
    </w:tbl>
    <w:p w14:paraId="7F166A1C" w14:textId="77777777" w:rsidR="005F38AA" w:rsidRDefault="005F38AA">
      <w:pPr>
        <w:spacing w:line="276" w:lineRule="auto"/>
        <w:rPr>
          <w:sz w:val="20"/>
          <w:lang w:eastAsia="ja-JP"/>
        </w:rPr>
        <w:sectPr w:rsidR="005F38AA">
          <w:pgSz w:w="12240" w:h="15840"/>
          <w:pgMar w:top="1440" w:right="1320" w:bottom="1560" w:left="1340" w:header="0" w:footer="1372" w:gutter="0"/>
          <w:cols w:space="720"/>
        </w:sectPr>
      </w:pPr>
    </w:p>
    <w:p w14:paraId="7F166A1D" w14:textId="77777777" w:rsidR="005F38AA" w:rsidRDefault="009649F8">
      <w:pPr>
        <w:pStyle w:val="1"/>
        <w:numPr>
          <w:ilvl w:val="1"/>
          <w:numId w:val="75"/>
        </w:numPr>
        <w:tabs>
          <w:tab w:val="left" w:pos="820"/>
          <w:tab w:val="left" w:pos="821"/>
        </w:tabs>
      </w:pPr>
      <w:r>
        <w:rPr>
          <w:color w:val="006FC0"/>
        </w:rPr>
        <w:lastRenderedPageBreak/>
        <w:t>セメント製造</w:t>
      </w:r>
    </w:p>
    <w:p w14:paraId="7F166A1E" w14:textId="77777777" w:rsidR="005F38AA" w:rsidRDefault="005F38AA">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6"/>
        <w:gridCol w:w="7105"/>
      </w:tblGrid>
      <w:tr w:rsidR="005F38AA" w14:paraId="7F166A20" w14:textId="77777777">
        <w:trPr>
          <w:trHeight w:val="383"/>
        </w:trPr>
        <w:tc>
          <w:tcPr>
            <w:tcW w:w="9351" w:type="dxa"/>
            <w:gridSpan w:val="2"/>
            <w:shd w:val="clear" w:color="auto" w:fill="4471C4"/>
          </w:tcPr>
          <w:p w14:paraId="7F166A1F" w14:textId="77777777" w:rsidR="005F38AA" w:rsidRDefault="009649F8">
            <w:pPr>
              <w:pStyle w:val="TableParagraph"/>
              <w:rPr>
                <w:b/>
                <w:sz w:val="20"/>
              </w:rPr>
            </w:pPr>
            <w:r>
              <w:rPr>
                <w:b/>
                <w:color w:val="FFFFFF"/>
                <w:sz w:val="20"/>
              </w:rPr>
              <w:t>セクター分類と活動</w:t>
            </w:r>
          </w:p>
        </w:tc>
      </w:tr>
      <w:tr w:rsidR="005F38AA" w14:paraId="7F166A23" w14:textId="77777777">
        <w:trPr>
          <w:trHeight w:val="386"/>
        </w:trPr>
        <w:tc>
          <w:tcPr>
            <w:tcW w:w="2246" w:type="dxa"/>
          </w:tcPr>
          <w:p w14:paraId="7F166A21" w14:textId="77777777" w:rsidR="005F38AA" w:rsidRDefault="009649F8">
            <w:pPr>
              <w:pStyle w:val="TableParagraph"/>
              <w:rPr>
                <w:sz w:val="20"/>
              </w:rPr>
            </w:pPr>
            <w:r>
              <w:rPr>
                <w:sz w:val="20"/>
              </w:rPr>
              <w:t>マクロセクター</w:t>
            </w:r>
          </w:p>
        </w:tc>
        <w:tc>
          <w:tcPr>
            <w:tcW w:w="7105" w:type="dxa"/>
          </w:tcPr>
          <w:p w14:paraId="7F166A22" w14:textId="77777777" w:rsidR="005F38AA" w:rsidRDefault="009649F8">
            <w:pPr>
              <w:pStyle w:val="TableParagraph"/>
              <w:ind w:left="105"/>
              <w:rPr>
                <w:sz w:val="20"/>
              </w:rPr>
            </w:pPr>
            <w:r>
              <w:rPr>
                <w:sz w:val="20"/>
              </w:rPr>
              <w:t>C-製造</w:t>
            </w:r>
          </w:p>
        </w:tc>
      </w:tr>
      <w:tr w:rsidR="005F38AA" w14:paraId="7F166A26" w14:textId="77777777">
        <w:trPr>
          <w:trHeight w:val="383"/>
        </w:trPr>
        <w:tc>
          <w:tcPr>
            <w:tcW w:w="2246" w:type="dxa"/>
          </w:tcPr>
          <w:p w14:paraId="7F166A24" w14:textId="77777777" w:rsidR="005F38AA" w:rsidRDefault="009649F8">
            <w:pPr>
              <w:pStyle w:val="TableParagraph"/>
              <w:rPr>
                <w:sz w:val="20"/>
              </w:rPr>
            </w:pPr>
            <w:r>
              <w:rPr>
                <w:sz w:val="20"/>
              </w:rPr>
              <w:t>NACEレベル</w:t>
            </w:r>
          </w:p>
        </w:tc>
        <w:tc>
          <w:tcPr>
            <w:tcW w:w="7105" w:type="dxa"/>
          </w:tcPr>
          <w:p w14:paraId="7F166A25" w14:textId="77777777" w:rsidR="005F38AA" w:rsidRDefault="009649F8">
            <w:pPr>
              <w:pStyle w:val="TableParagraph"/>
              <w:ind w:left="105"/>
              <w:rPr>
                <w:sz w:val="20"/>
              </w:rPr>
            </w:pPr>
            <w:r>
              <w:rPr>
                <w:w w:val="99"/>
                <w:sz w:val="20"/>
              </w:rPr>
              <w:t>4</w:t>
            </w:r>
          </w:p>
        </w:tc>
      </w:tr>
      <w:tr w:rsidR="005F38AA" w14:paraId="7F166A29" w14:textId="77777777">
        <w:trPr>
          <w:trHeight w:val="383"/>
        </w:trPr>
        <w:tc>
          <w:tcPr>
            <w:tcW w:w="2246" w:type="dxa"/>
          </w:tcPr>
          <w:p w14:paraId="7F166A27" w14:textId="77777777" w:rsidR="005F38AA" w:rsidRDefault="009649F8">
            <w:pPr>
              <w:pStyle w:val="TableParagraph"/>
              <w:rPr>
                <w:sz w:val="20"/>
              </w:rPr>
            </w:pPr>
            <w:r>
              <w:rPr>
                <w:sz w:val="20"/>
              </w:rPr>
              <w:t>コード</w:t>
            </w:r>
          </w:p>
        </w:tc>
        <w:tc>
          <w:tcPr>
            <w:tcW w:w="7105" w:type="dxa"/>
          </w:tcPr>
          <w:p w14:paraId="7F166A28" w14:textId="77777777" w:rsidR="005F38AA" w:rsidRDefault="009649F8">
            <w:pPr>
              <w:pStyle w:val="TableParagraph"/>
              <w:ind w:left="105"/>
              <w:rPr>
                <w:sz w:val="20"/>
              </w:rPr>
            </w:pPr>
            <w:r>
              <w:rPr>
                <w:sz w:val="20"/>
              </w:rPr>
              <w:t>C23.5.1</w:t>
            </w:r>
          </w:p>
        </w:tc>
      </w:tr>
      <w:tr w:rsidR="005F38AA" w14:paraId="7F166A2C" w14:textId="77777777">
        <w:trPr>
          <w:trHeight w:val="385"/>
        </w:trPr>
        <w:tc>
          <w:tcPr>
            <w:tcW w:w="2246" w:type="dxa"/>
          </w:tcPr>
          <w:p w14:paraId="7F166A2A" w14:textId="77777777" w:rsidR="005F38AA" w:rsidRDefault="009649F8">
            <w:pPr>
              <w:pStyle w:val="TableParagraph"/>
              <w:spacing w:before="42"/>
              <w:rPr>
                <w:sz w:val="20"/>
              </w:rPr>
            </w:pPr>
            <w:r>
              <w:rPr>
                <w:sz w:val="20"/>
              </w:rPr>
              <w:t>内容</w:t>
            </w:r>
          </w:p>
        </w:tc>
        <w:tc>
          <w:tcPr>
            <w:tcW w:w="7105" w:type="dxa"/>
          </w:tcPr>
          <w:p w14:paraId="7F166A2B" w14:textId="77777777" w:rsidR="005F38AA" w:rsidRDefault="009649F8">
            <w:pPr>
              <w:pStyle w:val="TableParagraph"/>
              <w:spacing w:before="42"/>
              <w:ind w:left="105"/>
              <w:rPr>
                <w:sz w:val="20"/>
              </w:rPr>
            </w:pPr>
            <w:r>
              <w:rPr>
                <w:sz w:val="20"/>
              </w:rPr>
              <w:t>セメント製造</w:t>
            </w:r>
          </w:p>
        </w:tc>
      </w:tr>
      <w:tr w:rsidR="005F38AA" w14:paraId="7F166A2E" w14:textId="77777777">
        <w:trPr>
          <w:trHeight w:val="383"/>
        </w:trPr>
        <w:tc>
          <w:tcPr>
            <w:tcW w:w="9351" w:type="dxa"/>
            <w:gridSpan w:val="2"/>
            <w:shd w:val="clear" w:color="auto" w:fill="4471C4"/>
          </w:tcPr>
          <w:p w14:paraId="7F166A2D" w14:textId="77777777" w:rsidR="005F38AA" w:rsidRDefault="009649F8">
            <w:pPr>
              <w:pStyle w:val="TableParagraph"/>
              <w:rPr>
                <w:b/>
                <w:sz w:val="20"/>
              </w:rPr>
            </w:pPr>
            <w:r>
              <w:rPr>
                <w:b/>
                <w:color w:val="FFFFFF"/>
                <w:sz w:val="20"/>
              </w:rPr>
              <w:t>緩和基準</w:t>
            </w:r>
          </w:p>
        </w:tc>
      </w:tr>
      <w:tr w:rsidR="005F38AA" w14:paraId="7F166A32" w14:textId="77777777">
        <w:trPr>
          <w:trHeight w:val="2580"/>
        </w:trPr>
        <w:tc>
          <w:tcPr>
            <w:tcW w:w="2246" w:type="dxa"/>
          </w:tcPr>
          <w:p w14:paraId="7F166A2F" w14:textId="77777777" w:rsidR="005F38AA" w:rsidRDefault="009649F8">
            <w:pPr>
              <w:pStyle w:val="TableParagraph"/>
              <w:rPr>
                <w:sz w:val="20"/>
              </w:rPr>
            </w:pPr>
            <w:r>
              <w:rPr>
                <w:sz w:val="20"/>
              </w:rPr>
              <w:t>原則</w:t>
            </w:r>
          </w:p>
        </w:tc>
        <w:tc>
          <w:tcPr>
            <w:tcW w:w="7105" w:type="dxa"/>
          </w:tcPr>
          <w:p w14:paraId="7F166A30" w14:textId="77777777" w:rsidR="005F38AA" w:rsidRDefault="009649F8">
            <w:pPr>
              <w:pStyle w:val="TableParagraph"/>
              <w:spacing w:line="276" w:lineRule="auto"/>
              <w:ind w:left="105"/>
              <w:rPr>
                <w:sz w:val="20"/>
                <w:lang w:eastAsia="ja-JP"/>
              </w:rPr>
            </w:pPr>
            <w:r>
              <w:rPr>
                <w:position w:val="1"/>
                <w:sz w:val="20"/>
                <w:lang w:eastAsia="ja-JP"/>
              </w:rPr>
              <w:t>セメント製造に伴うCO2排出量は大きい。 エネルギー効率の改善および代替燃料への転換を通してプロセス排出を最小化し、クリンカーのセメント比への削減を促進し、代替クリンカーおよびバインダーの使用を促進することは、緩和目標に寄与することができる。</w:t>
            </w:r>
          </w:p>
          <w:p w14:paraId="7F166A31" w14:textId="77777777" w:rsidR="005F38AA" w:rsidRDefault="009649F8">
            <w:pPr>
              <w:pStyle w:val="TableParagraph"/>
              <w:spacing w:before="80" w:line="276" w:lineRule="auto"/>
              <w:ind w:left="105" w:right="178"/>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5F38AA" w14:paraId="7F166A3A" w14:textId="77777777">
        <w:trPr>
          <w:trHeight w:val="3695"/>
        </w:trPr>
        <w:tc>
          <w:tcPr>
            <w:tcW w:w="2246" w:type="dxa"/>
          </w:tcPr>
          <w:p w14:paraId="7F166A33" w14:textId="77777777" w:rsidR="005F38AA" w:rsidRDefault="009649F8">
            <w:pPr>
              <w:pStyle w:val="TableParagraph"/>
              <w:spacing w:before="42"/>
              <w:rPr>
                <w:sz w:val="20"/>
              </w:rPr>
            </w:pPr>
            <w:r>
              <w:rPr>
                <w:sz w:val="20"/>
              </w:rPr>
              <w:t>閾値</w:t>
            </w:r>
          </w:p>
        </w:tc>
        <w:tc>
          <w:tcPr>
            <w:tcW w:w="7105" w:type="dxa"/>
          </w:tcPr>
          <w:p w14:paraId="7F166A34" w14:textId="77777777" w:rsidR="005F38AA" w:rsidRDefault="009649F8">
            <w:pPr>
              <w:pStyle w:val="TableParagraph"/>
              <w:spacing w:before="42" w:line="276" w:lineRule="auto"/>
              <w:ind w:left="105" w:right="178"/>
              <w:rPr>
                <w:sz w:val="20"/>
                <w:lang w:eastAsia="ja-JP"/>
              </w:rPr>
            </w:pPr>
            <w:r>
              <w:rPr>
                <w:sz w:val="20"/>
                <w:lang w:eastAsia="ja-JP"/>
              </w:rPr>
              <w:t>セメントクリンカ(A)の閾値は、クリンカのみを生産し、最終セメントを生産しない工場に適用される。 他のすべてのプラントは、セメントまたは代替バインダーの閾値を満たす必要がある。</w:t>
            </w:r>
          </w:p>
          <w:p w14:paraId="7F166A35" w14:textId="77777777" w:rsidR="005F38AA" w:rsidRDefault="009649F8">
            <w:pPr>
              <w:pStyle w:val="TableParagraph"/>
              <w:numPr>
                <w:ilvl w:val="0"/>
                <w:numId w:val="64"/>
              </w:numPr>
              <w:tabs>
                <w:tab w:val="left" w:pos="1547"/>
              </w:tabs>
              <w:spacing w:before="78"/>
              <w:rPr>
                <w:sz w:val="20"/>
              </w:rPr>
            </w:pPr>
            <w:r>
              <w:rPr>
                <w:sz w:val="20"/>
              </w:rPr>
              <w:t>セメントクリンカ:</w:t>
            </w:r>
          </w:p>
          <w:p w14:paraId="7F166A36" w14:textId="77777777" w:rsidR="005F38AA" w:rsidRDefault="009649F8">
            <w:pPr>
              <w:pStyle w:val="TableParagraph"/>
              <w:spacing w:before="116" w:line="276" w:lineRule="auto"/>
              <w:ind w:left="105" w:right="351"/>
              <w:rPr>
                <w:sz w:val="20"/>
                <w:lang w:eastAsia="ja-JP"/>
              </w:rPr>
            </w:pPr>
            <w:r>
              <w:rPr>
                <w:sz w:val="20"/>
                <w:lang w:eastAsia="ja-JP"/>
              </w:rPr>
              <w:t>クリンカ製造プロセスに関連する排出量(EU- ETSベンチマークに使用された方法に従って計算)は、関連するEU- ETSベンチマークの値よりも低い。</w:t>
            </w:r>
          </w:p>
          <w:p w14:paraId="7F166A37" w14:textId="77777777" w:rsidR="005F38AA" w:rsidRDefault="009649F8">
            <w:pPr>
              <w:pStyle w:val="TableParagraph"/>
              <w:spacing w:before="80" w:line="276" w:lineRule="auto"/>
              <w:ind w:left="105"/>
              <w:rPr>
                <w:sz w:val="13"/>
                <w:lang w:eastAsia="ja-JP"/>
              </w:rPr>
            </w:pPr>
            <w:r>
              <w:rPr>
                <w:sz w:val="20"/>
                <w:lang w:eastAsia="ja-JP"/>
              </w:rPr>
              <w:t>2020年2月現在、セメントクリンカ製造のEU-ETSベンチマーク値は、0.766 tCO2e/tクリンカ198である。</w:t>
            </w:r>
          </w:p>
          <w:p w14:paraId="7F166A38" w14:textId="77777777" w:rsidR="005F38AA" w:rsidRDefault="009649F8">
            <w:pPr>
              <w:pStyle w:val="TableParagraph"/>
              <w:numPr>
                <w:ilvl w:val="0"/>
                <w:numId w:val="64"/>
              </w:numPr>
              <w:tabs>
                <w:tab w:val="left" w:pos="1547"/>
              </w:tabs>
              <w:spacing w:before="79"/>
              <w:rPr>
                <w:sz w:val="20"/>
              </w:rPr>
            </w:pPr>
            <w:r>
              <w:rPr>
                <w:sz w:val="20"/>
              </w:rPr>
              <w:t>セメント:</w:t>
            </w:r>
          </w:p>
          <w:p w14:paraId="7F166A39" w14:textId="77777777" w:rsidR="005F38AA" w:rsidRDefault="009649F8">
            <w:pPr>
              <w:pStyle w:val="TableParagraph"/>
              <w:spacing w:before="115" w:line="276" w:lineRule="auto"/>
              <w:ind w:left="105" w:right="405"/>
              <w:rPr>
                <w:sz w:val="13"/>
                <w:lang w:eastAsia="ja-JP"/>
              </w:rPr>
            </w:pPr>
            <w:r>
              <w:rPr>
                <w:sz w:val="20"/>
                <w:lang w:eastAsia="ja-JP"/>
              </w:rPr>
              <w:t>クリンカーおよびセメント製造プロセスに関連する排出量は、セメントまたは代替バインダー199の0.498 tCO2e/t以下である。</w:t>
            </w:r>
          </w:p>
        </w:tc>
      </w:tr>
      <w:tr w:rsidR="005F38AA" w14:paraId="7F166A3C" w14:textId="77777777">
        <w:trPr>
          <w:trHeight w:val="383"/>
        </w:trPr>
        <w:tc>
          <w:tcPr>
            <w:tcW w:w="9351" w:type="dxa"/>
            <w:gridSpan w:val="2"/>
            <w:shd w:val="clear" w:color="auto" w:fill="4471C4"/>
          </w:tcPr>
          <w:p w14:paraId="7F166A3B" w14:textId="77777777" w:rsidR="005F38AA" w:rsidRDefault="009649F8">
            <w:pPr>
              <w:pStyle w:val="TableParagraph"/>
              <w:rPr>
                <w:b/>
                <w:sz w:val="20"/>
              </w:rPr>
            </w:pPr>
            <w:r>
              <w:rPr>
                <w:b/>
                <w:color w:val="FFFFFF"/>
                <w:sz w:val="20"/>
              </w:rPr>
              <w:t>根拠</w:t>
            </w:r>
          </w:p>
        </w:tc>
      </w:tr>
      <w:tr w:rsidR="005F38AA" w14:paraId="7F166A3F" w14:textId="77777777">
        <w:trPr>
          <w:trHeight w:val="835"/>
        </w:trPr>
        <w:tc>
          <w:tcPr>
            <w:tcW w:w="9351" w:type="dxa"/>
            <w:gridSpan w:val="2"/>
          </w:tcPr>
          <w:p w14:paraId="7F166A3D" w14:textId="77777777" w:rsidR="005F38AA" w:rsidRDefault="009649F8">
            <w:pPr>
              <w:pStyle w:val="TableParagraph"/>
              <w:spacing w:line="276" w:lineRule="auto"/>
              <w:rPr>
                <w:sz w:val="20"/>
                <w:lang w:eastAsia="ja-JP"/>
              </w:rPr>
            </w:pPr>
            <w:r>
              <w:rPr>
                <w:sz w:val="20"/>
                <w:lang w:eastAsia="ja-JP"/>
              </w:rPr>
              <w:t>セメント製造は、C.23での排出量の70%以上を占め、コンクリートはセメントの使用のための最も重要な用途である。</w:t>
            </w:r>
            <w:r>
              <w:rPr>
                <w:spacing w:val="28"/>
                <w:sz w:val="20"/>
                <w:lang w:eastAsia="ja-JP"/>
              </w:rPr>
              <w:t xml:space="preserve"> セメントはコンクリートの主成分である。 ザ</w:t>
            </w:r>
          </w:p>
          <w:p w14:paraId="7F166A3E" w14:textId="77777777" w:rsidR="005F38AA" w:rsidRDefault="009649F8">
            <w:pPr>
              <w:pStyle w:val="TableParagraph"/>
              <w:spacing w:before="0" w:line="230" w:lineRule="exact"/>
              <w:rPr>
                <w:sz w:val="20"/>
                <w:lang w:eastAsia="ja-JP"/>
              </w:rPr>
            </w:pPr>
            <w:r>
              <w:rPr>
                <w:sz w:val="20"/>
                <w:lang w:eastAsia="ja-JP"/>
              </w:rPr>
              <w:t>コンクリート中のセメントの含有量およびGHG総排出量は、次の条件によって大きく異なる可能性がある。</w:t>
            </w:r>
          </w:p>
        </w:tc>
      </w:tr>
    </w:tbl>
    <w:p w14:paraId="7F166A40" w14:textId="77777777" w:rsidR="005F38AA" w:rsidRDefault="005F38AA">
      <w:pPr>
        <w:pStyle w:val="a3"/>
        <w:rPr>
          <w:b/>
          <w:lang w:eastAsia="ja-JP"/>
        </w:rPr>
      </w:pPr>
    </w:p>
    <w:p w14:paraId="7F166A41" w14:textId="37FD9C1A" w:rsidR="005F38AA" w:rsidRDefault="00520D32">
      <w:pPr>
        <w:pStyle w:val="a3"/>
        <w:spacing w:before="4"/>
        <w:rPr>
          <w:b/>
          <w:sz w:val="10"/>
          <w:lang w:eastAsia="ja-JP"/>
        </w:rPr>
      </w:pPr>
      <w:r>
        <w:rPr>
          <w:noProof/>
          <w:lang w:val="en-US" w:eastAsia="ja-JP"/>
        </w:rPr>
        <mc:AlternateContent>
          <mc:Choice Requires="wps">
            <w:drawing>
              <wp:anchor distT="0" distB="0" distL="0" distR="0" simplePos="0" relativeHeight="251652096" behindDoc="1" locked="0" layoutInCell="1" allowOverlap="1" wp14:anchorId="7F166D94" wp14:editId="4AABB2F7">
                <wp:simplePos x="0" y="0"/>
                <wp:positionH relativeFrom="page">
                  <wp:posOffset>914400</wp:posOffset>
                </wp:positionH>
                <wp:positionV relativeFrom="paragraph">
                  <wp:posOffset>104140</wp:posOffset>
                </wp:positionV>
                <wp:extent cx="1829435" cy="0"/>
                <wp:effectExtent l="9525" t="7620" r="8890" b="1143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94DC" id="Line 33"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21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Ok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nGCnS&#10;wYy2QnEEKvSmN64Al0rtbKiOntWL2Wr63SGlq5aoA48cXy8G4rIQkbwJCYozkGHff9YMfMjR69io&#10;c2O7AAktQOc4j8t9HvzsEYXLbD5Z5NMnjOhgS0gxBBrr/CeuOxSEEksgHYHJaet8IEKKwSXkUXoj&#10;pIzjlgr1JZ6li1kMcFoKFozBzdnDvpIWnUhYmPjFqsDy6Gb1UbEI1nLC1jfZEyGvMiSXKuBBKUDn&#10;Jl034sciXazn63k+yiez9ShP63r0cVPlo9km+/BUT+uqqrOfgVqWF61gjKvAbtjOLP+76d/eyXWv&#10;7vt5b0PyFj32C8gO/0g6zjKM77oIe80uOzvMGBYyOt8eT9j4Rx3kxye++gUAAP//AwBQSwMEFAAG&#10;AAgAAAAhALWqSNvfAAAACQEAAA8AAABkcnMvZG93bnJldi54bWxMj0FPwkAQhe8m/IfNkHiTLdhg&#10;rd0SgtGEgyEC8bx0x7a2O9t0F1r+vWM86G3ezMub72Wr0bbigr2vHSmYzyIQSIUzNZUKjoeXuwSE&#10;D5qMbh2hgit6WOWTm0ynxg30jpd9KAWHkE+1giqELpXSFxVa7WeuQ+Lbp+utDiz7UppeDxxuW7mI&#10;oqW0uib+UOkONxUWzf5sFbwl8tntmo/i+jUcXpNk2zw+bI9K3U7H9ROIgGP4M8MPPqNDzkwndybj&#10;Rcs6jrlL4GEZg2BDfL+Ygzj9LmSeyf8N8m8AAAD//wMAUEsBAi0AFAAGAAgAAAAhALaDOJL+AAAA&#10;4QEAABMAAAAAAAAAAAAAAAAAAAAAAFtDb250ZW50X1R5cGVzXS54bWxQSwECLQAUAAYACAAAACEA&#10;OP0h/9YAAACUAQAACwAAAAAAAAAAAAAAAAAvAQAAX3JlbHMvLnJlbHNQSwECLQAUAAYACAAAACEA&#10;2LbjpBMCAAAqBAAADgAAAAAAAAAAAAAAAAAuAgAAZHJzL2Uyb0RvYy54bWxQSwECLQAUAAYACAAA&#10;ACEAtapI298AAAAJAQAADwAAAAAAAAAAAAAAAABtBAAAZHJzL2Rvd25yZXYueG1sUEsFBgAAAAAE&#10;AAQA8wAAAHkFAAAAAA==&#10;" strokeweight=".48pt">
                <w10:wrap type="topAndBottom" anchorx="page"/>
              </v:line>
            </w:pict>
          </mc:Fallback>
        </mc:AlternateContent>
      </w:r>
    </w:p>
    <w:p w14:paraId="7F166A42" w14:textId="77777777" w:rsidR="005F38AA" w:rsidRDefault="005F38AA">
      <w:pPr>
        <w:pStyle w:val="a3"/>
        <w:spacing w:before="8"/>
        <w:rPr>
          <w:b/>
          <w:sz w:val="25"/>
          <w:lang w:eastAsia="ja-JP"/>
        </w:rPr>
      </w:pPr>
    </w:p>
    <w:p w14:paraId="7F166A43" w14:textId="77777777" w:rsidR="005F38AA" w:rsidRDefault="009649F8">
      <w:pPr>
        <w:pStyle w:val="a4"/>
        <w:numPr>
          <w:ilvl w:val="0"/>
          <w:numId w:val="65"/>
        </w:numPr>
        <w:tabs>
          <w:tab w:val="left" w:pos="413"/>
        </w:tabs>
        <w:spacing w:line="259" w:lineRule="auto"/>
        <w:ind w:right="333" w:firstLine="0"/>
        <w:rPr>
          <w:sz w:val="16"/>
          <w:lang w:eastAsia="ja-JP"/>
        </w:rPr>
      </w:pPr>
      <w:r>
        <w:rPr>
          <w:sz w:val="16"/>
          <w:lang w:eastAsia="ja-JP"/>
        </w:rPr>
        <w:t>灰色セメントクリンカのEU ETS基準に基づく(https://eur-lex.europa.eu/legal-含有量/EN/TXT/PDF/?uri=CELEX:3201D0278&amp;from=EN)。</w:t>
      </w:r>
      <w:hyperlink r:id="rId13"/>
      <w:hyperlink r:id="rId14"/>
      <w:r>
        <w:rPr>
          <w:sz w:val="16"/>
          <w:lang w:eastAsia="ja-JP"/>
        </w:rPr>
        <w:t xml:space="preserve"> セメントクリンカの閾値は、グレーセメントクリンカのEU ETSベンチマーク値が更新されるたびに改訂する必要がある。</w:t>
      </w:r>
    </w:p>
    <w:p w14:paraId="7F166A44" w14:textId="77777777" w:rsidR="005F38AA" w:rsidRDefault="009649F8">
      <w:pPr>
        <w:pStyle w:val="a4"/>
        <w:numPr>
          <w:ilvl w:val="0"/>
          <w:numId w:val="65"/>
        </w:numPr>
        <w:tabs>
          <w:tab w:val="left" w:pos="413"/>
        </w:tabs>
        <w:spacing w:before="158" w:line="259" w:lineRule="auto"/>
        <w:ind w:right="602" w:firstLine="0"/>
        <w:rPr>
          <w:sz w:val="16"/>
          <w:lang w:eastAsia="ja-JP"/>
        </w:rPr>
      </w:pPr>
      <w:r>
        <w:rPr>
          <w:sz w:val="16"/>
          <w:lang w:eastAsia="ja-JP"/>
        </w:rPr>
        <w:t>セメントクリンカの閾値とクリンカ/セメント比の閾値を考慮して閾値を導出した。</w:t>
      </w:r>
      <w:r>
        <w:rPr>
          <w:spacing w:val="-2"/>
          <w:sz w:val="16"/>
          <w:lang w:eastAsia="ja-JP"/>
        </w:rPr>
        <w:t xml:space="preserve"> 主に仕上げ研削、原料研削、排気ファン(キルン・原料ミル、セメントミル)に必要な電力使用からの排出を除く。</w:t>
      </w:r>
    </w:p>
    <w:p w14:paraId="7F166A45" w14:textId="77777777" w:rsidR="005F38AA" w:rsidRDefault="005F38AA">
      <w:pPr>
        <w:spacing w:line="259" w:lineRule="auto"/>
        <w:rPr>
          <w:sz w:val="16"/>
          <w:lang w:eastAsia="ja-JP"/>
        </w:rPr>
        <w:sectPr w:rsidR="005F38AA">
          <w:pgSz w:w="12240" w:h="15840"/>
          <w:pgMar w:top="1360" w:right="1320" w:bottom="1640" w:left="1340" w:header="0" w:footer="1372" w:gutter="0"/>
          <w:cols w:space="720"/>
        </w:sectPr>
      </w:pPr>
    </w:p>
    <w:p w14:paraId="7F166A46" w14:textId="054E70BA" w:rsidR="005F38AA" w:rsidRDefault="00520D32">
      <w:pPr>
        <w:pStyle w:val="a3"/>
        <w:spacing w:before="69" w:line="276" w:lineRule="auto"/>
        <w:ind w:left="213" w:right="238"/>
        <w:jc w:val="both"/>
        <w:rPr>
          <w:lang w:eastAsia="ja-JP"/>
        </w:rPr>
      </w:pPr>
      <w:r>
        <w:rPr>
          <w:noProof/>
          <w:lang w:val="en-US" w:eastAsia="ja-JP"/>
        </w:rPr>
        <w:lastRenderedPageBreak/>
        <mc:AlternateContent>
          <mc:Choice Requires="wpg">
            <w:drawing>
              <wp:anchor distT="0" distB="0" distL="114300" distR="114300" simplePos="0" relativeHeight="251648000" behindDoc="1" locked="0" layoutInCell="1" allowOverlap="1" wp14:anchorId="7F166D95" wp14:editId="5428CF5E">
                <wp:simplePos x="0" y="0"/>
                <wp:positionH relativeFrom="page">
                  <wp:posOffset>914400</wp:posOffset>
                </wp:positionH>
                <wp:positionV relativeFrom="paragraph">
                  <wp:posOffset>38100</wp:posOffset>
                </wp:positionV>
                <wp:extent cx="5944870" cy="6283325"/>
                <wp:effectExtent l="9525" t="9525" r="8255" b="31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283325"/>
                          <a:chOff x="1440" y="60"/>
                          <a:chExt cx="9362" cy="9895"/>
                        </a:xfrm>
                      </wpg:grpSpPr>
                      <wps:wsp>
                        <wps:cNvPr id="27" name="Line 32"/>
                        <wps:cNvCnPr>
                          <a:cxnSpLocks noChangeShapeType="1"/>
                        </wps:cNvCnPr>
                        <wps:spPr bwMode="auto">
                          <a:xfrm>
                            <a:off x="1450" y="65"/>
                            <a:ext cx="9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445" y="60"/>
                            <a:ext cx="0" cy="9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1440" y="99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9"/>
                        <wps:cNvCnPr>
                          <a:cxnSpLocks noChangeShapeType="1"/>
                        </wps:cNvCnPr>
                        <wps:spPr bwMode="auto">
                          <a:xfrm>
                            <a:off x="1450" y="9949"/>
                            <a:ext cx="9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0797" y="60"/>
                            <a:ext cx="0" cy="9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10792" y="99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31147" id="Group 26" o:spid="_x0000_s1026" style="position:absolute;left:0;text-align:left;margin-left:1in;margin-top:3pt;width:468.1pt;height:494.75pt;z-index:-251668480;mso-position-horizontal-relative:page" coordorigin="1440,60" coordsize="936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h1EgQAADEUAAAOAAAAZHJzL2Uyb0RvYy54bWzsWNtu4zYQfS/QfyD07liSaVsUoiyyvgQF&#10;0m6wu/0AWqIuqESqpBw5LfrvHV4k22l3u5t281DYDzZpiqPhmTNnRrp+c2hq9MikqgRPvODK9xDj&#10;qcgqXiTezx+3k8hDqqM8o7XgLPGemPLe3Hz/3XXfxiwUpagzJhEY4Sru28Qru66Np1OVlqyh6kq0&#10;jMNiLmRDO5jKYppJ2oP1pp6Gvr+Y9kJmrRQpUwr+XdtF78bYz3OWdu/yXLEO1YkHvnXmW5rvnf6e&#10;3lzTuJC0LavUuUFf4EVDKw43HU2taUfRXlZ/MdVUqRRK5N1VKpqpyPMqZeYMcJrAf3aaOyn2rTlL&#10;EfdFO8IE0D7D6cVm058eHySqssQLFx7itIEYmdsimAM4fVvEcM2dbD+0D9KeEIb3Iv1FwfL0+bqe&#10;F/ZitOt/FBnYo/tOGHAOuWy0CTg2OpgYPI0xYIcOpfDnnGAcLSFUKawtwmg2C+c2SmkJodT7Aoxh&#10;XS+7+KXlxu0ms0Vot5KImH1TGtvbGleda/pcwDd1hFT9O0g/lLRlJlJKwzVAuhwgva84Q7PQImou&#10;WXELZ3rgDk7ExaqkvGDG2MenFqAL9A7w/GSLniiIxT/CG+C5g8kBOEBMZtiBZPAbEaJxK1V3x0SD&#10;9CDxavDaBI4+3qtOe3K8RMeRi21V1/A/jWuOeh0QsjAblKirTC/qNSWL3aqW6JHqJDQfcyxYOb0M&#10;yM4zY6xkNNu4cUer2o7h5jXX9uAc4I4b2Sz7nfhkE20iPMHhYjPB/no9ud2u8GSxDZbz9Wy9Wq2D&#10;P7RrAY7LKssY194NGR/gLwu/0x6bq2POjzBMz60bvMDZ4dc4bYKp42c5uBPZ04McggyMfC1qgi7b&#10;bLfUNEQ74xmNvyU18fwsgwdqurwnUYQdRQbNuFBzLIp/K/b/I2qSgZrvoXyDINYgnUapHD+HSqRs&#10;GRp181ZK0WvtADE/E0674SuE09UXArVI09BIjqlOgSMo/OqcHWrLURadckrw/HPKeSZ8X6iPVvxO&#10;xOZzchiE2H8bksl2ES0neIvnE7L0o4kfkLdk4WOC19tzOTQyYPswULGXyqEuAmQOFVuD9pJDNlUH&#10;/WBdNYkXjZWCxp+qCKOaa/cHnR1+P623SAoobxBL6FxhUAr5m4d66AITT/26p5J5qP6BA42I7TU6&#10;M8HzZQh75OnK7nSF8hRMJV7nITtcdbbV3LeyKkq4U2CA4eIWWqK8MiVV09JWAfBbT16vCEBWnRaB&#10;kGhSuyR7xf4E0szc+Zhmlw7l0qHMgnNyRq9LTn9JoHs/eci4tCiX7nl4sIMnOSecxxYlXJ4Q9Ju3&#10;KEBP8AHoeelRvrYvvvQo/1GPYt6owHsp02+5d2j6xdfp3PQ0xzd9N38CAAD//wMAUEsDBBQABgAI&#10;AAAAIQD2q4uS4AAAAAoBAAAPAAAAZHJzL2Rvd25yZXYueG1sTI9Ba8JAEIXvhf6HZQq91d1YIxqz&#10;EZG2JylUC8XbmIxJMDsbsmsS/33XU3saHu/x5nvpejSN6KlztWUN0USBIM5tUXOp4fvw/rIA4Txy&#10;gY1l0nAjB+vs8SHFpLADf1G/96UIJewS1FB53yZSurwig25iW+LgnW1n0AfZlbLocAjlppFTpebS&#10;YM3hQ4UtbSvKL/ur0fAx4LB5jd763eW8vR0P8efPLiKtn5/GzQqEp9H/heGOH9AhC0wne+XCiSbo&#10;2Sxs8Rrm4dx9tVBTECcNy2Ucg8xS+X9C9gsAAP//AwBQSwECLQAUAAYACAAAACEAtoM4kv4AAADh&#10;AQAAEwAAAAAAAAAAAAAAAAAAAAAAW0NvbnRlbnRfVHlwZXNdLnhtbFBLAQItABQABgAIAAAAIQA4&#10;/SH/1gAAAJQBAAALAAAAAAAAAAAAAAAAAC8BAABfcmVscy8ucmVsc1BLAQItABQABgAIAAAAIQCN&#10;uZh1EgQAADEUAAAOAAAAAAAAAAAAAAAAAC4CAABkcnMvZTJvRG9jLnhtbFBLAQItABQABgAIAAAA&#10;IQD2q4uS4AAAAAoBAAAPAAAAAAAAAAAAAAAAAGwGAABkcnMvZG93bnJldi54bWxQSwUGAAAAAAQA&#10;BADzAAAAeQcAAAAA&#10;">
                <v:line id="Line 32"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28" style="position:absolute;visibility:visible;mso-wrap-style:square" from="1445,60" to="1445,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30" o:spid="_x0000_s1029" style="position:absolute;left:1440;top:99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29" o:spid="_x0000_s1030" style="position:absolute;visibility:visible;mso-wrap-style:square" from="1450,9949" to="10792,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31" style="position:absolute;visibility:visible;mso-wrap-style:square" from="10797,60" to="10797,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27" o:spid="_x0000_s1032" style="position:absolute;left:10792;top:99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wrap anchorx="page"/>
              </v:group>
            </w:pict>
          </mc:Fallback>
        </mc:AlternateContent>
      </w:r>
      <w:r w:rsidR="009649F8">
        <w:rPr>
          <w:lang w:eastAsia="ja-JP"/>
        </w:rPr>
        <w:t>コンクリートを使用するアプリケーションの仕様</w:t>
      </w:r>
      <w:r w:rsidR="009649F8">
        <w:rPr>
          <w:spacing w:val="-7"/>
          <w:lang w:eastAsia="ja-JP"/>
        </w:rPr>
        <w:t xml:space="preserve"> このため、コンクリート(コンクリート-NACE C.23.6)の製造は、持続可能な</w:t>
      </w:r>
      <w:r w:rsidR="00375B33">
        <w:rPr>
          <w:rFonts w:hint="eastAsia"/>
          <w:spacing w:val="-7"/>
          <w:lang w:eastAsia="ja-JP"/>
        </w:rPr>
        <w:t>タクソノミー</w:t>
      </w:r>
      <w:r w:rsidR="009649F8">
        <w:rPr>
          <w:spacing w:val="-7"/>
          <w:lang w:eastAsia="ja-JP"/>
        </w:rPr>
        <w:t>の対象とはならない。</w:t>
      </w:r>
    </w:p>
    <w:p w14:paraId="7F166A47" w14:textId="77777777" w:rsidR="005F38AA" w:rsidRDefault="009649F8">
      <w:pPr>
        <w:pStyle w:val="a3"/>
        <w:spacing w:before="81"/>
        <w:ind w:left="213"/>
        <w:rPr>
          <w:lang w:eastAsia="ja-JP"/>
        </w:rPr>
      </w:pPr>
      <w:r>
        <w:rPr>
          <w:lang w:eastAsia="ja-JP"/>
        </w:rPr>
        <w:t>セメント製造には3つの主要な段階がある。</w:t>
      </w:r>
    </w:p>
    <w:p w14:paraId="7F166A48" w14:textId="77777777" w:rsidR="005F38AA" w:rsidRDefault="009649F8">
      <w:pPr>
        <w:pStyle w:val="a4"/>
        <w:numPr>
          <w:ilvl w:val="1"/>
          <w:numId w:val="65"/>
        </w:numPr>
        <w:tabs>
          <w:tab w:val="left" w:pos="934"/>
        </w:tabs>
        <w:spacing w:before="113"/>
        <w:rPr>
          <w:sz w:val="20"/>
        </w:rPr>
      </w:pPr>
      <w:r>
        <w:rPr>
          <w:sz w:val="20"/>
        </w:rPr>
        <w:t>原材料の調製</w:t>
      </w:r>
    </w:p>
    <w:p w14:paraId="7F166A49" w14:textId="77777777" w:rsidR="005F38AA" w:rsidRDefault="009649F8">
      <w:pPr>
        <w:pStyle w:val="a4"/>
        <w:numPr>
          <w:ilvl w:val="1"/>
          <w:numId w:val="65"/>
        </w:numPr>
        <w:tabs>
          <w:tab w:val="left" w:pos="934"/>
        </w:tabs>
        <w:spacing w:before="37"/>
        <w:rPr>
          <w:sz w:val="20"/>
        </w:rPr>
      </w:pPr>
      <w:r>
        <w:rPr>
          <w:sz w:val="20"/>
        </w:rPr>
        <w:t>クリンカー生産</w:t>
      </w:r>
    </w:p>
    <w:p w14:paraId="7F166A4A" w14:textId="77777777" w:rsidR="005F38AA" w:rsidRDefault="009649F8">
      <w:pPr>
        <w:pStyle w:val="a4"/>
        <w:numPr>
          <w:ilvl w:val="1"/>
          <w:numId w:val="65"/>
        </w:numPr>
        <w:tabs>
          <w:tab w:val="left" w:pos="934"/>
        </w:tabs>
        <w:spacing w:before="34" w:line="276" w:lineRule="auto"/>
        <w:ind w:right="240"/>
        <w:rPr>
          <w:sz w:val="20"/>
          <w:lang w:eastAsia="ja-JP"/>
        </w:rPr>
      </w:pPr>
      <w:r>
        <w:rPr>
          <w:sz w:val="20"/>
          <w:lang w:eastAsia="ja-JP"/>
        </w:rPr>
        <w:t>クリンカを石膏、フライアッシュ、粉砕高炉スラグ(GGBFS)および微細石灰石などの他の成分で研削して完成セメントを製造する。</w:t>
      </w:r>
    </w:p>
    <w:p w14:paraId="7F166A4B" w14:textId="77777777" w:rsidR="005F38AA" w:rsidRDefault="009649F8">
      <w:pPr>
        <w:pStyle w:val="a3"/>
        <w:spacing w:before="80" w:line="276" w:lineRule="auto"/>
        <w:ind w:left="213" w:right="231"/>
        <w:jc w:val="both"/>
        <w:rPr>
          <w:lang w:eastAsia="ja-JP"/>
        </w:rPr>
      </w:pPr>
      <w:r>
        <w:rPr>
          <w:rFonts w:hAnsi="Cambria Math"/>
          <w:position w:val="1"/>
          <w:lang w:eastAsia="ja-JP"/>
        </w:rPr>
        <w:t>通常、直接的なCO2排出量の30~40%は燃料の燃焼によるものであり、残りの60~70%は石灰石をカルシウム酸化物200に変換する化学反応によるものである。</w:t>
      </w:r>
    </w:p>
    <w:p w14:paraId="7F166A4C" w14:textId="77777777" w:rsidR="005F38AA" w:rsidRDefault="009649F8">
      <w:pPr>
        <w:pStyle w:val="a3"/>
        <w:spacing w:before="78" w:line="278" w:lineRule="auto"/>
        <w:ind w:left="213" w:right="239"/>
        <w:jc w:val="both"/>
        <w:rPr>
          <w:lang w:eastAsia="ja-JP"/>
        </w:rPr>
      </w:pPr>
      <w:r>
        <w:rPr>
          <w:lang w:eastAsia="ja-JP"/>
        </w:rPr>
        <w:t>したがって、セメントの製造工程からの排出を削減することは、緩和目標に積極的に貢献することができる。</w:t>
      </w:r>
    </w:p>
    <w:p w14:paraId="7F166A4D" w14:textId="77777777" w:rsidR="005F38AA" w:rsidRDefault="009649F8">
      <w:pPr>
        <w:pStyle w:val="a3"/>
        <w:spacing w:before="76" w:line="276" w:lineRule="auto"/>
        <w:ind w:left="213" w:right="239"/>
        <w:jc w:val="both"/>
        <w:rPr>
          <w:lang w:eastAsia="ja-JP"/>
        </w:rPr>
      </w:pPr>
      <w:r>
        <w:rPr>
          <w:lang w:eastAsia="ja-JP"/>
        </w:rPr>
        <w:t>絶対性能アプローチは、緩和目標に実質的に寄与することができるように、活動が遵守すべき最大許容炭素強度を特定するために提案されている。</w:t>
      </w:r>
    </w:p>
    <w:p w14:paraId="7F166A4E" w14:textId="77777777" w:rsidR="005F38AA" w:rsidRDefault="009649F8">
      <w:pPr>
        <w:pStyle w:val="a3"/>
        <w:spacing w:before="81" w:line="276" w:lineRule="auto"/>
        <w:ind w:left="213" w:right="242"/>
        <w:jc w:val="both"/>
        <w:rPr>
          <w:lang w:eastAsia="ja-JP"/>
        </w:rPr>
      </w:pPr>
      <w:r>
        <w:rPr>
          <w:lang w:eastAsia="ja-JP"/>
        </w:rPr>
        <w:t>ETS製品のベンチマークは、セメントクリンカ製造の閾値の1つとして選択されている。 これらは、あるセクターで最も効率的な10%の設備の平均的な性能を反映している。</w:t>
      </w:r>
    </w:p>
    <w:p w14:paraId="7F166A4F" w14:textId="77777777" w:rsidR="005F38AA" w:rsidRDefault="009649F8">
      <w:pPr>
        <w:pStyle w:val="a3"/>
        <w:spacing w:before="81"/>
        <w:ind w:left="213"/>
        <w:rPr>
          <w:lang w:eastAsia="ja-JP"/>
        </w:rPr>
      </w:pPr>
      <w:r>
        <w:rPr>
          <w:lang w:eastAsia="ja-JP"/>
        </w:rPr>
        <w:t>セメント製造においては、以下の活動が考慮された。</w:t>
      </w:r>
    </w:p>
    <w:p w14:paraId="7F166A50" w14:textId="77777777" w:rsidR="005F38AA" w:rsidRDefault="009649F8">
      <w:pPr>
        <w:pStyle w:val="a4"/>
        <w:numPr>
          <w:ilvl w:val="0"/>
          <w:numId w:val="63"/>
        </w:numPr>
        <w:tabs>
          <w:tab w:val="left" w:pos="934"/>
        </w:tabs>
        <w:spacing w:before="113"/>
        <w:rPr>
          <w:sz w:val="20"/>
          <w:lang w:eastAsia="ja-JP"/>
        </w:rPr>
      </w:pPr>
      <w:r>
        <w:rPr>
          <w:sz w:val="20"/>
          <w:lang w:eastAsia="ja-JP"/>
        </w:rPr>
        <w:t>プロセス排出:セメントクリンカ製造のための焼成プロセスからの排出</w:t>
      </w:r>
    </w:p>
    <w:p w14:paraId="7F166A51" w14:textId="77777777" w:rsidR="005F38AA" w:rsidRDefault="009649F8">
      <w:pPr>
        <w:pStyle w:val="a4"/>
        <w:numPr>
          <w:ilvl w:val="0"/>
          <w:numId w:val="63"/>
        </w:numPr>
        <w:tabs>
          <w:tab w:val="left" w:pos="934"/>
        </w:tabs>
        <w:spacing w:before="36"/>
        <w:rPr>
          <w:sz w:val="20"/>
          <w:lang w:eastAsia="ja-JP"/>
        </w:rPr>
      </w:pPr>
      <w:r>
        <w:rPr>
          <w:sz w:val="20"/>
          <w:lang w:eastAsia="ja-JP"/>
        </w:rPr>
        <w:t>燃料排出量:クリンカ製造時の焼成工程に必要なエネルギー</w:t>
      </w:r>
    </w:p>
    <w:p w14:paraId="7F166A52" w14:textId="77777777" w:rsidR="005F38AA" w:rsidRDefault="005F38AA">
      <w:pPr>
        <w:pStyle w:val="a3"/>
        <w:rPr>
          <w:sz w:val="22"/>
          <w:lang w:eastAsia="ja-JP"/>
        </w:rPr>
      </w:pPr>
    </w:p>
    <w:p w14:paraId="7F166A53" w14:textId="77777777" w:rsidR="005F38AA" w:rsidRDefault="005F38AA">
      <w:pPr>
        <w:pStyle w:val="a3"/>
        <w:spacing w:before="10"/>
        <w:rPr>
          <w:sz w:val="17"/>
          <w:lang w:eastAsia="ja-JP"/>
        </w:rPr>
      </w:pPr>
    </w:p>
    <w:p w14:paraId="7F166A54" w14:textId="77777777" w:rsidR="005F38AA" w:rsidRDefault="009649F8">
      <w:pPr>
        <w:pStyle w:val="a3"/>
        <w:spacing w:before="1" w:line="276" w:lineRule="auto"/>
        <w:ind w:left="213" w:right="241"/>
        <w:jc w:val="both"/>
        <w:rPr>
          <w:lang w:eastAsia="ja-JP"/>
        </w:rPr>
      </w:pPr>
      <w:r>
        <w:rPr>
          <w:lang w:eastAsia="ja-JP"/>
        </w:rPr>
        <w:t>同定された閾値を満たすセメント製造設備は、2.9～3,4GJ/tクリンカの範囲で熱エネルギー原単位を達成すると予想される。</w:t>
      </w:r>
    </w:p>
    <w:p w14:paraId="7F166A55" w14:textId="77777777" w:rsidR="005F38AA" w:rsidRDefault="005F38AA">
      <w:pPr>
        <w:pStyle w:val="a3"/>
        <w:rPr>
          <w:sz w:val="22"/>
          <w:lang w:eastAsia="ja-JP"/>
        </w:rPr>
      </w:pPr>
    </w:p>
    <w:p w14:paraId="7F166A56" w14:textId="77777777" w:rsidR="005F38AA" w:rsidRDefault="009649F8">
      <w:pPr>
        <w:pStyle w:val="a3"/>
        <w:spacing w:before="171"/>
        <w:ind w:left="213"/>
        <w:jc w:val="both"/>
      </w:pPr>
      <w:r>
        <w:t>しきい値の計算:</w:t>
      </w:r>
    </w:p>
    <w:p w14:paraId="7F166A57" w14:textId="77777777" w:rsidR="005F38AA" w:rsidRDefault="009649F8">
      <w:pPr>
        <w:pStyle w:val="a4"/>
        <w:numPr>
          <w:ilvl w:val="0"/>
          <w:numId w:val="62"/>
        </w:numPr>
        <w:tabs>
          <w:tab w:val="left" w:pos="933"/>
          <w:tab w:val="left" w:pos="934"/>
        </w:tabs>
        <w:spacing w:before="114"/>
        <w:rPr>
          <w:sz w:val="20"/>
          <w:lang w:eastAsia="ja-JP"/>
        </w:rPr>
      </w:pPr>
      <w:r>
        <w:rPr>
          <w:position w:val="1"/>
          <w:sz w:val="20"/>
          <w:lang w:eastAsia="ja-JP"/>
        </w:rPr>
        <w:t>セメントクリンカー:排出量:0.766 tCO2e/tクリンカー(EU-ETS)</w:t>
      </w:r>
    </w:p>
    <w:p w14:paraId="7F166A58" w14:textId="77777777" w:rsidR="005F38AA" w:rsidRDefault="009649F8">
      <w:pPr>
        <w:pStyle w:val="a4"/>
        <w:numPr>
          <w:ilvl w:val="0"/>
          <w:numId w:val="62"/>
        </w:numPr>
        <w:tabs>
          <w:tab w:val="left" w:pos="933"/>
          <w:tab w:val="left" w:pos="934"/>
        </w:tabs>
        <w:spacing w:before="35"/>
        <w:rPr>
          <w:sz w:val="13"/>
          <w:lang w:eastAsia="ja-JP"/>
        </w:rPr>
      </w:pPr>
      <w:r>
        <w:rPr>
          <w:sz w:val="20"/>
          <w:lang w:eastAsia="ja-JP"/>
        </w:rPr>
        <w:t>クリンカーセメント比:0.65201</w:t>
      </w:r>
    </w:p>
    <w:p w14:paraId="7F166A59" w14:textId="77777777" w:rsidR="005F38AA" w:rsidRDefault="009649F8">
      <w:pPr>
        <w:pStyle w:val="a4"/>
        <w:numPr>
          <w:ilvl w:val="0"/>
          <w:numId w:val="62"/>
        </w:numPr>
        <w:tabs>
          <w:tab w:val="left" w:pos="933"/>
          <w:tab w:val="left" w:pos="934"/>
        </w:tabs>
        <w:spacing w:before="33"/>
        <w:rPr>
          <w:sz w:val="20"/>
          <w:lang w:eastAsia="ja-JP"/>
        </w:rPr>
      </w:pPr>
      <w:r>
        <w:rPr>
          <w:position w:val="1"/>
          <w:sz w:val="20"/>
          <w:lang w:eastAsia="ja-JP"/>
        </w:rPr>
        <w:t>比排出量:0.766×0.65 = 0.498 tCO2e/tのセメント(または代替バインダー)</w:t>
      </w:r>
    </w:p>
    <w:p w14:paraId="7F166A5A" w14:textId="77777777" w:rsidR="005F38AA" w:rsidRDefault="005F38AA">
      <w:pPr>
        <w:pStyle w:val="a3"/>
        <w:rPr>
          <w:sz w:val="24"/>
          <w:lang w:eastAsia="ja-JP"/>
        </w:rPr>
      </w:pPr>
    </w:p>
    <w:p w14:paraId="7F166A5B" w14:textId="77777777" w:rsidR="005F38AA" w:rsidRDefault="009649F8">
      <w:pPr>
        <w:pStyle w:val="a3"/>
        <w:spacing w:before="182"/>
        <w:ind w:left="213"/>
        <w:jc w:val="both"/>
        <w:rPr>
          <w:lang w:eastAsia="ja-JP"/>
        </w:rPr>
      </w:pPr>
      <w:r>
        <w:rPr>
          <w:u w:val="single"/>
          <w:lang w:eastAsia="ja-JP"/>
        </w:rPr>
        <w:t>電気:クリンカ・セメント製造時の電気使用による間接排出</w:t>
      </w:r>
    </w:p>
    <w:p w14:paraId="7F166A5C" w14:textId="77777777" w:rsidR="005F38AA" w:rsidRDefault="009649F8">
      <w:pPr>
        <w:pStyle w:val="a3"/>
        <w:spacing w:before="113" w:line="276" w:lineRule="auto"/>
        <w:ind w:left="213" w:right="228"/>
        <w:jc w:val="both"/>
        <w:rPr>
          <w:lang w:eastAsia="ja-JP"/>
        </w:rPr>
      </w:pPr>
      <w:r>
        <w:rPr>
          <w:lang w:eastAsia="ja-JP"/>
        </w:rPr>
        <w:t>セメントプラントの主な電力需要は、工場(セメントの粉砕、原料のフライス削り)と排気ファン(キルン/原料ミル、セメントミル)であり、これらが合わせて電気エネルギー使用量の80%以上を占めている。</w:t>
      </w:r>
      <w:r>
        <w:rPr>
          <w:spacing w:val="-11"/>
          <w:lang w:eastAsia="ja-JP"/>
        </w:rPr>
        <w:t xml:space="preserve"> セメントプラントの電力需要は90~150kWh/tセメント202である。</w:t>
      </w:r>
    </w:p>
    <w:p w14:paraId="7F166A5D" w14:textId="77777777" w:rsidR="005F38AA" w:rsidRDefault="005F38AA">
      <w:pPr>
        <w:pStyle w:val="a3"/>
        <w:rPr>
          <w:lang w:eastAsia="ja-JP"/>
        </w:rPr>
      </w:pPr>
    </w:p>
    <w:p w14:paraId="7F166A5E" w14:textId="77777777" w:rsidR="005F38AA" w:rsidRDefault="005F38AA">
      <w:pPr>
        <w:pStyle w:val="a3"/>
        <w:rPr>
          <w:lang w:eastAsia="ja-JP"/>
        </w:rPr>
      </w:pPr>
    </w:p>
    <w:p w14:paraId="7F166A5F" w14:textId="77777777" w:rsidR="005F38AA" w:rsidRDefault="005F38AA">
      <w:pPr>
        <w:pStyle w:val="a3"/>
        <w:rPr>
          <w:lang w:eastAsia="ja-JP"/>
        </w:rPr>
      </w:pPr>
    </w:p>
    <w:p w14:paraId="7F166A60" w14:textId="77777777" w:rsidR="005F38AA" w:rsidRDefault="005F38AA">
      <w:pPr>
        <w:pStyle w:val="a3"/>
        <w:rPr>
          <w:lang w:eastAsia="ja-JP"/>
        </w:rPr>
      </w:pPr>
    </w:p>
    <w:p w14:paraId="7F166A61" w14:textId="4231A73E" w:rsidR="005F38AA" w:rsidRDefault="00520D32">
      <w:pPr>
        <w:pStyle w:val="a3"/>
        <w:spacing w:before="2"/>
        <w:rPr>
          <w:sz w:val="22"/>
          <w:lang w:eastAsia="ja-JP"/>
        </w:rPr>
      </w:pPr>
      <w:r>
        <w:rPr>
          <w:noProof/>
          <w:lang w:val="en-US" w:eastAsia="ja-JP"/>
        </w:rPr>
        <mc:AlternateContent>
          <mc:Choice Requires="wps">
            <w:drawing>
              <wp:anchor distT="0" distB="0" distL="0" distR="0" simplePos="0" relativeHeight="251653120" behindDoc="1" locked="0" layoutInCell="1" allowOverlap="1" wp14:anchorId="7F166D96" wp14:editId="27E2C87A">
                <wp:simplePos x="0" y="0"/>
                <wp:positionH relativeFrom="page">
                  <wp:posOffset>914400</wp:posOffset>
                </wp:positionH>
                <wp:positionV relativeFrom="paragraph">
                  <wp:posOffset>189865</wp:posOffset>
                </wp:positionV>
                <wp:extent cx="1829435" cy="0"/>
                <wp:effectExtent l="9525" t="12065" r="8890" b="698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768B" id="Line 25"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5pt" to="21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nj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jyiJEi&#10;HcxoIxRHoEJveuMKcKnU1obq6Ek9m42mPx1SumqJ2vPI8eVsIC4LEcmrkKA4Axl2/VfNwIccvI6N&#10;OjW2C5DQAnSK8zjf5sFPHlG4zGaTef4AvOhgS0gxBBrr/BeuOxSEEksgHYHJceN8IEKKwSXkUXot&#10;pIzjlgr1JZ6m82kMcFoKFozBzdn9rpIWHUlYmPjFqsBy72b1QbEI1nLCVlfZEyEvMiSXKuBBKUDn&#10;Kl024tc8na9mq1k+yifT1ShP63r0eV3lo+k6+/RYP9RVVWe/A7UsL1rBGFeB3bCdWf626V/fyWWv&#10;bvt5a0PyGj32C8gO/0g6zjKM77IIO83OWzvMGBYyOl8fT9j4ex3k+ye+/AMAAP//AwBQSwMEFAAG&#10;AAgAAAAhAKIxHpPeAAAACQEAAA8AAABkcnMvZG93bnJldi54bWxMj0FPg0AQhe8m/ofNmHizS5Eo&#10;IEtjNJr0YBrbxvOWHQFhZwm7LfTfO8aDHt+blzffK1az7cUJR986UrBcRCCQKmdaqhXsdy83KQgf&#10;NBndO0IFZ/SwKi8vCp0bN9E7nrahFlxCPtcKmhCGXEpfNWi1X7gBiW+fbrQ6sBxraUY9cbntZRxF&#10;d9LqlvhDowd8arDqtker4C2Vz27TfVTnr2n3mqbrLrtf75W6vpofH0AEnMNfGH7wGR1KZjq4Ixkv&#10;etZJwluCgjjLQHAguY2XIA6/hiwL+X9B+Q0AAP//AwBQSwECLQAUAAYACAAAACEAtoM4kv4AAADh&#10;AQAAEwAAAAAAAAAAAAAAAAAAAAAAW0NvbnRlbnRfVHlwZXNdLnhtbFBLAQItABQABgAIAAAAIQA4&#10;/SH/1gAAAJQBAAALAAAAAAAAAAAAAAAAAC8BAABfcmVscy8ucmVsc1BLAQItABQABgAIAAAAIQBN&#10;zTnjEwIAACoEAAAOAAAAAAAAAAAAAAAAAC4CAABkcnMvZTJvRG9jLnhtbFBLAQItABQABgAIAAAA&#10;IQCiMR6T3gAAAAkBAAAPAAAAAAAAAAAAAAAAAG0EAABkcnMvZG93bnJldi54bWxQSwUGAAAAAAQA&#10;BADzAAAAeAUAAAAA&#10;" strokeweight=".48pt">
                <w10:wrap type="topAndBottom" anchorx="page"/>
              </v:line>
            </w:pict>
          </mc:Fallback>
        </mc:AlternateContent>
      </w:r>
    </w:p>
    <w:p w14:paraId="7F166A62" w14:textId="77777777" w:rsidR="005F38AA" w:rsidRDefault="005F38AA">
      <w:pPr>
        <w:pStyle w:val="a3"/>
        <w:spacing w:before="2"/>
        <w:rPr>
          <w:sz w:val="17"/>
          <w:lang w:eastAsia="ja-JP"/>
        </w:rPr>
      </w:pPr>
    </w:p>
    <w:p w14:paraId="7F166A63" w14:textId="77777777" w:rsidR="005F38AA" w:rsidRDefault="00AC57BC">
      <w:pPr>
        <w:pStyle w:val="a4"/>
        <w:numPr>
          <w:ilvl w:val="0"/>
          <w:numId w:val="65"/>
        </w:numPr>
        <w:tabs>
          <w:tab w:val="left" w:pos="413"/>
        </w:tabs>
        <w:spacing w:before="96"/>
        <w:ind w:left="412"/>
        <w:rPr>
          <w:sz w:val="16"/>
          <w:lang w:eastAsia="ja-JP"/>
        </w:rPr>
      </w:pPr>
      <w:hyperlink r:id="rId15">
        <w:r w:rsidR="009649F8">
          <w:rPr>
            <w:sz w:val="16"/>
            <w:lang w:eastAsia="ja-JP"/>
          </w:rPr>
          <w:t>https://webstore.iea.org/technology-roadmap-low-carbon-transition-in-the-cement-industry</w:t>
        </w:r>
      </w:hyperlink>
    </w:p>
    <w:p w14:paraId="7F166A64" w14:textId="77777777" w:rsidR="005F38AA" w:rsidRDefault="005F38AA">
      <w:pPr>
        <w:pStyle w:val="a3"/>
        <w:spacing w:before="3"/>
        <w:rPr>
          <w:sz w:val="15"/>
          <w:lang w:eastAsia="ja-JP"/>
        </w:rPr>
      </w:pPr>
    </w:p>
    <w:p w14:paraId="7F166A65" w14:textId="77777777" w:rsidR="005F38AA" w:rsidRDefault="009649F8">
      <w:pPr>
        <w:pStyle w:val="a4"/>
        <w:numPr>
          <w:ilvl w:val="0"/>
          <w:numId w:val="65"/>
        </w:numPr>
        <w:tabs>
          <w:tab w:val="left" w:pos="413"/>
        </w:tabs>
        <w:ind w:left="412"/>
        <w:rPr>
          <w:sz w:val="16"/>
        </w:rPr>
      </w:pPr>
      <w:r>
        <w:rPr>
          <w:sz w:val="16"/>
          <w:lang w:eastAsia="ja-JP"/>
        </w:rPr>
        <w:lastRenderedPageBreak/>
        <w:t>施設の総生産量の加重平均値。</w:t>
      </w:r>
      <w:r>
        <w:rPr>
          <w:spacing w:val="-2"/>
          <w:sz w:val="16"/>
          <w:lang w:eastAsia="ja-JP"/>
        </w:rPr>
        <w:t xml:space="preserve"> 2014年の世界平均は0.65であった。 </w:t>
      </w:r>
      <w:r>
        <w:rPr>
          <w:spacing w:val="-2"/>
          <w:sz w:val="16"/>
        </w:rPr>
        <w:t>EU約0.75、予測</w:t>
      </w:r>
    </w:p>
    <w:p w14:paraId="7F166A66" w14:textId="77777777" w:rsidR="005F38AA" w:rsidRDefault="009649F8">
      <w:pPr>
        <w:spacing w:before="15"/>
        <w:ind w:left="100"/>
        <w:rPr>
          <w:sz w:val="16"/>
        </w:rPr>
      </w:pPr>
      <w:r>
        <w:rPr>
          <w:sz w:val="16"/>
        </w:rPr>
        <w:t>2030年の0.65</w:t>
      </w:r>
    </w:p>
    <w:p w14:paraId="7F166A67" w14:textId="77777777" w:rsidR="005F38AA" w:rsidRDefault="005F38AA">
      <w:pPr>
        <w:pStyle w:val="a3"/>
        <w:spacing w:before="1"/>
        <w:rPr>
          <w:sz w:val="15"/>
        </w:rPr>
      </w:pPr>
    </w:p>
    <w:p w14:paraId="7F166A68" w14:textId="77777777" w:rsidR="005F38AA" w:rsidRDefault="00AC57BC">
      <w:pPr>
        <w:pStyle w:val="a4"/>
        <w:numPr>
          <w:ilvl w:val="0"/>
          <w:numId w:val="65"/>
        </w:numPr>
        <w:tabs>
          <w:tab w:val="left" w:pos="413"/>
        </w:tabs>
        <w:spacing w:before="1"/>
        <w:ind w:left="412"/>
        <w:rPr>
          <w:sz w:val="16"/>
        </w:rPr>
      </w:pPr>
      <w:hyperlink r:id="rId16">
        <w:r w:rsidR="009649F8">
          <w:rPr>
            <w:sz w:val="16"/>
          </w:rPr>
          <w:t>https://webstore.iea.org/technology-roadmap-low-carbon-transition-in-the-cement-industry</w:t>
        </w:r>
      </w:hyperlink>
    </w:p>
    <w:p w14:paraId="7F166A69" w14:textId="77777777" w:rsidR="005F38AA" w:rsidRDefault="005F38AA">
      <w:pPr>
        <w:rPr>
          <w:sz w:val="16"/>
        </w:rPr>
        <w:sectPr w:rsidR="005F38AA">
          <w:pgSz w:w="12240" w:h="15840"/>
          <w:pgMar w:top="1380" w:right="1320" w:bottom="1640" w:left="1340" w:header="0" w:footer="1372" w:gutter="0"/>
          <w:cols w:space="720"/>
        </w:sectPr>
      </w:pPr>
    </w:p>
    <w:p w14:paraId="7F166A6A" w14:textId="2213F408" w:rsidR="005F38AA" w:rsidRDefault="00520D32">
      <w:pPr>
        <w:pStyle w:val="a3"/>
        <w:spacing w:before="69" w:line="276" w:lineRule="auto"/>
        <w:ind w:left="213" w:right="230"/>
        <w:jc w:val="both"/>
        <w:rPr>
          <w:lang w:eastAsia="ja-JP"/>
        </w:rPr>
      </w:pPr>
      <w:r>
        <w:rPr>
          <w:noProof/>
          <w:lang w:val="en-US" w:eastAsia="ja-JP"/>
        </w:rPr>
        <w:lastRenderedPageBreak/>
        <mc:AlternateContent>
          <mc:Choice Requires="wpg">
            <w:drawing>
              <wp:anchor distT="0" distB="0" distL="114300" distR="114300" simplePos="0" relativeHeight="251649024" behindDoc="1" locked="0" layoutInCell="1" allowOverlap="1" wp14:anchorId="7F166D97" wp14:editId="278B3243">
                <wp:simplePos x="0" y="0"/>
                <wp:positionH relativeFrom="page">
                  <wp:posOffset>914400</wp:posOffset>
                </wp:positionH>
                <wp:positionV relativeFrom="paragraph">
                  <wp:posOffset>38100</wp:posOffset>
                </wp:positionV>
                <wp:extent cx="5944870" cy="7263130"/>
                <wp:effectExtent l="9525" t="9525" r="8255"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263130"/>
                          <a:chOff x="1440" y="60"/>
                          <a:chExt cx="9362" cy="11438"/>
                        </a:xfrm>
                      </wpg:grpSpPr>
                      <wps:wsp>
                        <wps:cNvPr id="19" name="Line 24"/>
                        <wps:cNvCnPr>
                          <a:cxnSpLocks noChangeShapeType="1"/>
                        </wps:cNvCnPr>
                        <wps:spPr bwMode="auto">
                          <a:xfrm>
                            <a:off x="1450" y="65"/>
                            <a:ext cx="9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445" y="60"/>
                            <a:ext cx="0" cy="114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1440" y="114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1"/>
                        <wps:cNvCnPr>
                          <a:cxnSpLocks noChangeShapeType="1"/>
                        </wps:cNvCnPr>
                        <wps:spPr bwMode="auto">
                          <a:xfrm>
                            <a:off x="1450" y="11493"/>
                            <a:ext cx="9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797" y="60"/>
                            <a:ext cx="0" cy="114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9"/>
                        <wps:cNvSpPr>
                          <a:spLocks noChangeArrowheads="1"/>
                        </wps:cNvSpPr>
                        <wps:spPr bwMode="auto">
                          <a:xfrm>
                            <a:off x="10792" y="114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ECB41" id="Group 18" o:spid="_x0000_s1026" style="position:absolute;left:0;text-align:left;margin-left:1in;margin-top:3pt;width:468.1pt;height:571.9pt;z-index:-251667456;mso-position-horizontal-relative:page" coordorigin="1440,60" coordsize="9362,1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vNBAQAADcUAAAOAAAAZHJzL2Uyb0RvYy54bWzsWNtu4zYQfS+w/0DoXdHFlGwJURZZX4IC&#10;aRt0tx9AS9QFlUiVlCOnRf+9Q1KS7XQv2Wzrh4X9IJMacTScOXNmxOu3+6ZGj1TIirPE8q5cC1GW&#10;8qxiRWL99mFjLywkO8IyUnNGE+uJSuvtzZsfrvs2pj4veZ1RgUAJk3HfJlbZdW3sODItaUPkFW8p&#10;A2HORUM6mIrCyQTpQXtTO77rhk7PRdYKnlIp4e7KCK0brT/Padr9kueSdqhOLLCt01ehr1t1dW6u&#10;SVwI0pZVOphBXmFFQyoGL51UrUhH0E5U/1LVVKngkufdVcobh+d5lVK9B9iN5z7bzZ3gu1bvpYj7&#10;op3cBK595qdXq01/fnwQqMogdhApRhqIkX4tgjk4p2+LGJ65E+379kGYHcLwnqe/SxA7z+VqXpiH&#10;0bb/iWegj+w6rp2zz0WjVMC20V7H4GmKAd13KIWbQYTxYg6hSkE298OZNxuilJYQSrXOwxjkIA4n&#10;yXpYHc1C3yz1PDzTO3BIbN6rbR1sUxsDwMmDT+W3+fR9SVqqQyWVv0afRqNP7ytGkY+NS/UjS2b8&#10;me7Z4E/E+LIkrKBa2YenFnznqRVg+dESNZEQjC/618PB4KfA4Hz0cTTDg5e0AycPkbgVsrujvEFq&#10;kFg1WK0jRx7vZacsOTyiAsn4pqpruE/imqFeRSQK9QLJ6ypTQiWTotgua4EeicpC/dPbAsnxY4B2&#10;lmllJSXZehh3pKrNGF5eM6UP9gHmDCOTZn9FbrRerBfYxn64trG7Wtm3myW2w403D1az1XK58v5W&#10;pnk4Lqsso0xZN6a8h18W/oF8TLJOST+5wTnVrv0Fxo7/2mgdTBU/g8Etz54exBhkQOSZoOkDNEy6&#10;G2jOVEROcEbi/xOaODhJ4RGaQ+JD9vqn2XsA3gWbVx+l++8Im96IzV+hgAMj1sCd/hFAx1okTSGa&#10;iPNWCN4r8gA2P2FOs+ArmHOoMIDDhcahJh1doLwRol/gTgGmf447T6jvhQxp6O+Ibj5HiJ6P3Xd+&#10;ZG/CxdzGGxzY0dxd2K4XvYtCF0d4tTklRE0EphUDHnstIaoyEAV+8Ooy0FQdtIR11STWYqoVJP5U&#10;TZj4XJk/Mu34/2nGRYJDgYNYQvMKg5KLPy3UQyOYWPKPHRHUQvWPDHAUmXaj0xMczBVximPJ9lhC&#10;WAqqEquzkBkuO9Nt7lpRFSW8ydOOYfwWuqK80kVV4dLUAbBbTc5YBqAROC4DOmvOWAaGDgXyLNIV&#10;6JBnlybl0qT4s1N0aso9HzrdeTS/dCmXDvrjH3fwNTdQ56FL8aJzdimAT6Bv+BC+tCmHI6MX9saX&#10;NuU/alP0sQqcTumWazhJU8dfx3Pd1hzO+27+AQAA//8DAFBLAwQUAAYACAAAACEA1uiksOEAAAAL&#10;AQAADwAAAGRycy9kb3ducmV2LnhtbEyPQUvDQBCF74L/YRnBm92kxpLGbEop6qkItoL0ts1Ok9Ds&#10;bMhuk/TfOz3paebxhjffy1eTbcWAvW8cKYhnEQik0pmGKgXf+/enFIQPmoxuHaGCK3pYFfd3uc6M&#10;G+kLh12oBIeQz7SCOoQuk9KXNVrtZ65DYu/keqsDy76Sptcjh9tWzqNoIa1uiD/UusNNjeV5d7EK&#10;PkY9rp/jt2F7Pm2uh/3L5882RqUeH6b1K4iAU/g7hhs+o0PBTEd3IeNFyzpJuEtQsOBx86M0moM4&#10;8hYnyxRkkcv/HYpfAAAA//8DAFBLAQItABQABgAIAAAAIQC2gziS/gAAAOEBAAATAAAAAAAAAAAA&#10;AAAAAAAAAABbQ29udGVudF9UeXBlc10ueG1sUEsBAi0AFAAGAAgAAAAhADj9If/WAAAAlAEAAAsA&#10;AAAAAAAAAAAAAAAALwEAAF9yZWxzLy5yZWxzUEsBAi0AFAAGAAgAAAAhAHw2y80EBAAANxQAAA4A&#10;AAAAAAAAAAAAAAAALgIAAGRycy9lMm9Eb2MueG1sUEsBAi0AFAAGAAgAAAAhANbopLDhAAAACwEA&#10;AA8AAAAAAAAAAAAAAAAAXgYAAGRycy9kb3ducmV2LnhtbFBLBQYAAAAABAAEAPMAAABsBwAAAAA=&#10;">
                <v:line id="Line 24"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3" o:spid="_x0000_s1028" style="position:absolute;visibility:visible;mso-wrap-style:square" from="1445,60" to="1445,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22" o:spid="_x0000_s1029" style="position:absolute;left:1440;top:114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1" o:spid="_x0000_s1030" style="position:absolute;visibility:visible;mso-wrap-style:square" from="1450,11493" to="10792,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0" o:spid="_x0000_s1031" style="position:absolute;visibility:visible;mso-wrap-style:square" from="10797,60" to="10797,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19" o:spid="_x0000_s1032" style="position:absolute;left:10792;top:114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anchorx="page"/>
              </v:group>
            </w:pict>
          </mc:Fallback>
        </mc:AlternateContent>
      </w:r>
      <w:r w:rsidR="009649F8">
        <w:rPr>
          <w:lang w:eastAsia="ja-JP"/>
        </w:rPr>
        <w:t>セメント製造の世界平均電力需要は104 kWh/tセメントであり、セメント持続性イニシアティブ(CSI)により2012年から2014203年の間に報告された。 CSIのデータは、世界中の900以上の工場、すべての技術、クリンカ、セメントの種類を網羅している。 データのばらつきは有意であり、クラスで最も優れた10%は85 kWh/tセメント以下、90%パーセンタイルは129 kWh/tセメントであった。</w:t>
      </w:r>
    </w:p>
    <w:p w14:paraId="7F166A6B" w14:textId="77777777" w:rsidR="005F38AA" w:rsidRDefault="009649F8">
      <w:pPr>
        <w:pStyle w:val="a3"/>
        <w:spacing w:before="80" w:line="276" w:lineRule="auto"/>
        <w:ind w:left="213" w:right="231"/>
        <w:jc w:val="both"/>
        <w:rPr>
          <w:lang w:eastAsia="ja-JP"/>
        </w:rPr>
      </w:pPr>
      <w:r>
        <w:rPr>
          <w:lang w:eastAsia="ja-JP"/>
        </w:rPr>
        <w:t>セメント部門の脱炭素化がエネルギー部門の脱炭素化と並行して進行することを考慮すると、近い将来セメント製造に必要な電力(補助電力)は再生可能エネルギー源から供給されることが予想され、したがって、特定の電力消費の閾値は提案されていない。 上記の情報と情報源から、クラストップクラスの発電所では、85 KWh/tセメントの電力消費があると予想される。</w:t>
      </w:r>
    </w:p>
    <w:p w14:paraId="7F166A6C" w14:textId="77777777" w:rsidR="005F38AA" w:rsidRDefault="005F38AA">
      <w:pPr>
        <w:pStyle w:val="a3"/>
        <w:rPr>
          <w:sz w:val="22"/>
          <w:lang w:eastAsia="ja-JP"/>
        </w:rPr>
      </w:pPr>
    </w:p>
    <w:p w14:paraId="7F166A6D" w14:textId="77777777" w:rsidR="005F38AA" w:rsidRDefault="009649F8">
      <w:pPr>
        <w:pStyle w:val="a4"/>
        <w:numPr>
          <w:ilvl w:val="0"/>
          <w:numId w:val="61"/>
        </w:numPr>
        <w:tabs>
          <w:tab w:val="left" w:pos="934"/>
        </w:tabs>
        <w:spacing w:before="175" w:line="273" w:lineRule="auto"/>
        <w:ind w:right="231"/>
        <w:jc w:val="both"/>
        <w:rPr>
          <w:sz w:val="20"/>
          <w:lang w:eastAsia="ja-JP"/>
        </w:rPr>
      </w:pPr>
      <w:r>
        <w:rPr>
          <w:b/>
          <w:sz w:val="20"/>
          <w:lang w:eastAsia="ja-JP"/>
        </w:rPr>
        <w:t>エネルギー効率の改善:クリンカの熱エネルギー集約度とセメントの電気集約度は、既存の最新技術を新しいセメントプラントに導入し、既存の施設を改修して経済的に実行可能な場合にはエネルギー性能レベルを改善することにより低減できる。</w:t>
      </w:r>
    </w:p>
    <w:p w14:paraId="7F166A6E" w14:textId="77777777" w:rsidR="005F38AA" w:rsidRDefault="009649F8">
      <w:pPr>
        <w:pStyle w:val="a4"/>
        <w:numPr>
          <w:ilvl w:val="0"/>
          <w:numId w:val="61"/>
        </w:numPr>
        <w:tabs>
          <w:tab w:val="left" w:pos="934"/>
        </w:tabs>
        <w:spacing w:before="3" w:line="273" w:lineRule="auto"/>
        <w:ind w:right="229"/>
        <w:jc w:val="both"/>
        <w:rPr>
          <w:sz w:val="20"/>
          <w:lang w:eastAsia="ja-JP"/>
        </w:rPr>
      </w:pPr>
      <w:r>
        <w:rPr>
          <w:b/>
          <w:sz w:val="20"/>
          <w:lang w:eastAsia="ja-JP"/>
        </w:rPr>
        <w:t>代替燃料への転換:セメントキルンの燃料としてバイオマスと廃棄物を使用することにより、セメントクリンカの炭素集約度を大幅に低減できる。</w:t>
      </w:r>
      <w:r>
        <w:rPr>
          <w:sz w:val="20"/>
          <w:lang w:eastAsia="ja-JP"/>
        </w:rPr>
        <w:t xml:space="preserve"> クリンカー燃焼プロセスは、炭素集約型化石燃料の消費の一部を置き換える異なる種類の廃棄物を使用するための良好な条件を提供する。 さまざまな種類の廃棄物を燃料として利用することができるが、これらはセメントキルンの一次燃料に取って代わることができるので、一貫した廃棄物品質(例えば、適切な発熱量、金属、ハロゲンおよび灰分)が不可欠である。</w:t>
      </w:r>
    </w:p>
    <w:p w14:paraId="7F166A6F" w14:textId="77777777" w:rsidR="005F38AA" w:rsidRDefault="009649F8">
      <w:pPr>
        <w:pStyle w:val="a4"/>
        <w:numPr>
          <w:ilvl w:val="0"/>
          <w:numId w:val="61"/>
        </w:numPr>
        <w:tabs>
          <w:tab w:val="left" w:pos="934"/>
        </w:tabs>
        <w:spacing w:before="10" w:line="276" w:lineRule="auto"/>
        <w:ind w:right="230"/>
        <w:jc w:val="both"/>
        <w:rPr>
          <w:sz w:val="20"/>
          <w:lang w:eastAsia="ja-JP"/>
        </w:rPr>
      </w:pPr>
      <w:r>
        <w:rPr>
          <w:b/>
          <w:sz w:val="20"/>
          <w:lang w:eastAsia="ja-JP"/>
        </w:rPr>
        <w:t>クリンカー対セメント比の削減:混合材料の使用の増加と混合セメントの市場展開は、部門の炭素削減と低炭素経路との整合性のために非常に重要である。</w:t>
      </w:r>
      <w:r>
        <w:rPr>
          <w:sz w:val="20"/>
          <w:lang w:eastAsia="ja-JP"/>
        </w:rPr>
        <w:t xml:space="preserve"> これには、フライアッシュ、シリカフュームまたは高炉スラグのような鉱物添加物によるセメントクリンカの置換が必要である。 セメントに配合できるクリンカ代替物の量は、代替物の種類と製造されるセメントの種類に依存する。 ある種の鉱物添加物、例えば。 GBFSでは、70%を超える代替レベルが認められている。 最終用途における製品の信頼性と耐久性を確保しつつ、クリンカの非常に高い代替性(例えば&gt;60%)を有するブレンドセメントのより広範な使用を可能にするために、セメントと具体的基準、建築基準、公共調達規則の改訂が要求されるであろう。</w:t>
      </w:r>
    </w:p>
    <w:p w14:paraId="7F166A70" w14:textId="77777777" w:rsidR="005F38AA" w:rsidRDefault="009649F8">
      <w:pPr>
        <w:pStyle w:val="a4"/>
        <w:numPr>
          <w:ilvl w:val="0"/>
          <w:numId w:val="61"/>
        </w:numPr>
        <w:tabs>
          <w:tab w:val="left" w:pos="934"/>
        </w:tabs>
        <w:spacing w:line="276" w:lineRule="auto"/>
        <w:ind w:right="233"/>
        <w:jc w:val="both"/>
        <w:rPr>
          <w:sz w:val="20"/>
          <w:lang w:eastAsia="ja-JP"/>
        </w:rPr>
      </w:pPr>
      <w:r>
        <w:rPr>
          <w:b/>
          <w:sz w:val="20"/>
          <w:lang w:eastAsia="ja-JP"/>
        </w:rPr>
        <w:t>代替のクリンカーおよびバインダー:代替のクリンカー配合物(例えば、ベライト、CSA、BCSA、CACS、MOMS)および代替バインダー(例えば、アルカリ活性バインダー)は、ポルトランドセメントと比較して、原料または代替品の異なる混合物を使用することにより、CO2排出削減の潜在的機会を提供し得る。</w:t>
      </w:r>
      <w:r>
        <w:rPr>
          <w:sz w:val="20"/>
          <w:lang w:eastAsia="ja-JP"/>
        </w:rPr>
        <w:t xml:space="preserve"> それらの商業的利用可能性と適用可能性は大きく異なる。 代替クリンカおよびバインダの実証、試験および初期段階の研究を支援し、市場展開を容易にするための基準を開発するために、さらなる努力が必要である。</w:t>
      </w:r>
      <w:r>
        <w:rPr>
          <w:spacing w:val="-8"/>
          <w:sz w:val="20"/>
          <w:lang w:eastAsia="ja-JP"/>
        </w:rPr>
        <w:t xml:space="preserve"> トン・オブ・バインダーに基づくベンチマークの仕様は、EU持続可能な分類法の下での適格性のために、これらのタイプの新規代替バインダーへの投資を考慮することを可能にするであろう。</w:t>
      </w:r>
    </w:p>
    <w:p w14:paraId="7F166A71" w14:textId="2D47472B" w:rsidR="005F38AA" w:rsidRDefault="009649F8">
      <w:pPr>
        <w:pStyle w:val="a4"/>
        <w:numPr>
          <w:ilvl w:val="0"/>
          <w:numId w:val="61"/>
        </w:numPr>
        <w:tabs>
          <w:tab w:val="left" w:pos="934"/>
        </w:tabs>
        <w:spacing w:line="268" w:lineRule="auto"/>
        <w:ind w:right="235"/>
        <w:jc w:val="both"/>
        <w:rPr>
          <w:sz w:val="20"/>
        </w:rPr>
      </w:pPr>
      <w:r>
        <w:rPr>
          <w:b/>
          <w:sz w:val="20"/>
          <w:lang w:eastAsia="ja-JP"/>
        </w:rPr>
        <w:t>再生可能エネルギーの発電と利用:再生可能エネルギー源から供給される電力は、最終セメント製品の炭素集約度を低減するための手段として探求することができる。</w:t>
      </w:r>
      <w:r>
        <w:rPr>
          <w:spacing w:val="-9"/>
          <w:sz w:val="20"/>
          <w:lang w:eastAsia="ja-JP"/>
        </w:rPr>
        <w:t xml:space="preserve"> </w:t>
      </w:r>
      <w:r>
        <w:rPr>
          <w:spacing w:val="-9"/>
          <w:sz w:val="20"/>
        </w:rPr>
        <w:t>こ</w:t>
      </w:r>
      <w:r w:rsidR="00375B33">
        <w:rPr>
          <w:rFonts w:hint="eastAsia"/>
          <w:spacing w:val="-9"/>
          <w:sz w:val="20"/>
          <w:lang w:eastAsia="ja-JP"/>
        </w:rPr>
        <w:t>れにより</w:t>
      </w:r>
    </w:p>
    <w:p w14:paraId="7F166A72" w14:textId="77777777" w:rsidR="005F38AA" w:rsidRDefault="005F38AA">
      <w:pPr>
        <w:pStyle w:val="a3"/>
      </w:pPr>
    </w:p>
    <w:p w14:paraId="7F166A73" w14:textId="7C02CCC8" w:rsidR="005F38AA" w:rsidRDefault="00520D32">
      <w:pPr>
        <w:pStyle w:val="a3"/>
        <w:spacing w:before="8"/>
        <w:rPr>
          <w:sz w:val="11"/>
        </w:rPr>
      </w:pPr>
      <w:r>
        <w:rPr>
          <w:noProof/>
          <w:lang w:val="en-US" w:eastAsia="ja-JP"/>
        </w:rPr>
        <mc:AlternateContent>
          <mc:Choice Requires="wps">
            <w:drawing>
              <wp:anchor distT="0" distB="0" distL="0" distR="0" simplePos="0" relativeHeight="251654144" behindDoc="1" locked="0" layoutInCell="1" allowOverlap="1" wp14:anchorId="7F166D98" wp14:editId="5FC74DDC">
                <wp:simplePos x="0" y="0"/>
                <wp:positionH relativeFrom="page">
                  <wp:posOffset>914400</wp:posOffset>
                </wp:positionH>
                <wp:positionV relativeFrom="paragraph">
                  <wp:posOffset>113665</wp:posOffset>
                </wp:positionV>
                <wp:extent cx="1829435" cy="0"/>
                <wp:effectExtent l="9525" t="6985" r="8890" b="1206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5532" id="Line 17"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21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URbKE3vXEFhFRqa0N19KRezUbT7w4pXbVE7Xnk+HY2kJeFjORdStg4Azfs+i+aQQw5eB0b&#10;dWpsFyChBegU9Tjf9OAnjygcZrPJPH94xIgOvoQUQ6Kxzn/mukPBKLEE0hGYHDfOByKkGELCPUqv&#10;hZRRbqlQX+JpOn+KCU5LwYIzhDm731XSoiMJAxO/WBV47sOsPigWwVpO2OpqeyLkxYbLpQp4UArQ&#10;uVqXifgxT+er2WqWj/LJdDXK07oefVpX+Wi6zp4e64e6qursZ6CW5UUrGOMqsBumM8v/Tv3rO7nM&#10;1W0+b21I3qPHfgHZ4R9JRy2DfJdB2Gl23tpBYxjIGHx9PGHi7/dg3z/x5S8AAAD//wMAUEsDBBQA&#10;BgAIAAAAIQDrjqcv3QAAAAkBAAAPAAAAZHJzL2Rvd25yZXYueG1sTI9PT4QwEMXvJn6HZky8uYUF&#10;dUXKRjcxMfHk+udc6AjEdkpolwU/vWM86G3ezMub3yu3s7NiwjH0nhSkqwQEUuNNT62C15eHiw2I&#10;EDUZbT2hggUDbKvTk1IXxh/pGad9bAWHUCi0gi7GoZAyNB06HVZ+QOLbhx+djizHVppRHzncWblO&#10;kivpdE/8odMD7jpsPvcHpyCf5uXpa4f3Wf2YLpvL9i0L71ap87P57hZExDn+meEHn9GhYqbaH8gE&#10;YVnnOXeJPFzfgGBDnq1TEPXvQlal/N+g+gYAAP//AwBQSwECLQAUAAYACAAAACEAtoM4kv4AAADh&#10;AQAAEwAAAAAAAAAAAAAAAAAAAAAAW0NvbnRlbnRfVHlwZXNdLnhtbFBLAQItABQABgAIAAAAIQA4&#10;/SH/1gAAAJQBAAALAAAAAAAAAAAAAAAAAC8BAABfcmVscy8ucmVsc1BLAQItABQABgAIAAAAIQC+&#10;xsdwFAIAACoEAAAOAAAAAAAAAAAAAAAAAC4CAABkcnMvZTJvRG9jLnhtbFBLAQItABQABgAIAAAA&#10;IQDrjqcv3QAAAAkBAAAPAAAAAAAAAAAAAAAAAG4EAABkcnMvZG93bnJldi54bWxQSwUGAAAAAAQA&#10;BADzAAAAeAUAAAAA&#10;" strokeweight=".16936mm">
                <w10:wrap type="topAndBottom" anchorx="page"/>
              </v:line>
            </w:pict>
          </mc:Fallback>
        </mc:AlternateContent>
      </w:r>
    </w:p>
    <w:p w14:paraId="7F166A74" w14:textId="77777777" w:rsidR="005F38AA" w:rsidRDefault="005F38AA">
      <w:pPr>
        <w:pStyle w:val="a3"/>
        <w:spacing w:before="3"/>
        <w:rPr>
          <w:sz w:val="19"/>
        </w:rPr>
      </w:pPr>
    </w:p>
    <w:p w14:paraId="7F166A75" w14:textId="77777777" w:rsidR="005F38AA" w:rsidRDefault="009649F8">
      <w:pPr>
        <w:spacing w:before="82"/>
        <w:ind w:left="100"/>
        <w:rPr>
          <w:sz w:val="16"/>
        </w:rPr>
      </w:pPr>
      <w:r>
        <w:rPr>
          <w:rFonts w:ascii="Calibri Light"/>
          <w:position w:val="5"/>
          <w:sz w:val="12"/>
        </w:rPr>
        <w:t>203 https://docs.wbcsd.org/2017/06/CSI_ECRA_Technology_Papers_2017.pdf</w:t>
      </w:r>
      <w:hyperlink r:id="rId17"/>
    </w:p>
    <w:p w14:paraId="7F166A76" w14:textId="77777777" w:rsidR="005F38AA" w:rsidRDefault="005F38AA">
      <w:pPr>
        <w:rPr>
          <w:sz w:val="16"/>
        </w:rPr>
        <w:sectPr w:rsidR="005F38AA">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38"/>
        <w:gridCol w:w="7105"/>
      </w:tblGrid>
      <w:tr w:rsidR="005F38AA" w14:paraId="7F166A80" w14:textId="77777777">
        <w:trPr>
          <w:trHeight w:val="5335"/>
        </w:trPr>
        <w:tc>
          <w:tcPr>
            <w:tcW w:w="9351" w:type="dxa"/>
            <w:gridSpan w:val="3"/>
          </w:tcPr>
          <w:p w14:paraId="7F166A77" w14:textId="22820DEC" w:rsidR="005F38AA" w:rsidRDefault="009649F8">
            <w:pPr>
              <w:pStyle w:val="TableParagraph"/>
              <w:spacing w:before="0" w:line="276" w:lineRule="auto"/>
              <w:ind w:left="827" w:right="97"/>
              <w:jc w:val="both"/>
              <w:rPr>
                <w:sz w:val="20"/>
                <w:lang w:eastAsia="ja-JP"/>
              </w:rPr>
            </w:pPr>
            <w:r>
              <w:rPr>
                <w:sz w:val="20"/>
                <w:lang w:eastAsia="ja-JP"/>
              </w:rPr>
              <w:lastRenderedPageBreak/>
              <w:t>再生可能エネルギーをベースとした自家発電の実施、電力輸入が再生可能エネルギー源から確実に供給されるようにする電力購入契約、または柔軟な電力需要を可能にする需要サイドの対応戦略(例えば、一日を通して粉砕プラントを柔軟に運用する戦略)を含む様々な戦略によって達成される。 風力発電、太陽光発電、太陽熱発電、小水力発電など、セメントメーカーにはさまざまな再生可能エネルギーを利用できる。 これらの技術のセメントプラントへの展開は、地域の状況に大きく依存している。</w:t>
            </w:r>
          </w:p>
          <w:p w14:paraId="7F166A78" w14:textId="77777777" w:rsidR="005F38AA" w:rsidRDefault="009649F8">
            <w:pPr>
              <w:pStyle w:val="TableParagraph"/>
              <w:numPr>
                <w:ilvl w:val="0"/>
                <w:numId w:val="60"/>
              </w:numPr>
              <w:tabs>
                <w:tab w:val="left" w:pos="827"/>
                <w:tab w:val="left" w:pos="828"/>
              </w:tabs>
              <w:spacing w:before="2" w:line="268" w:lineRule="auto"/>
              <w:ind w:right="910"/>
              <w:rPr>
                <w:sz w:val="20"/>
                <w:lang w:eastAsia="ja-JP"/>
              </w:rPr>
            </w:pPr>
            <w:r>
              <w:rPr>
                <w:b/>
                <w:sz w:val="20"/>
                <w:lang w:eastAsia="ja-JP"/>
              </w:rPr>
              <w:t>輸送からの排出:輸送からの排出は、セメント製造の総排出量のわずかな割合にすぎないため、除外されている。</w:t>
            </w:r>
          </w:p>
          <w:p w14:paraId="7F166A79" w14:textId="77777777" w:rsidR="005F38AA" w:rsidRDefault="005F38AA">
            <w:pPr>
              <w:pStyle w:val="TableParagraph"/>
              <w:spacing w:before="0"/>
              <w:ind w:left="0"/>
              <w:rPr>
                <w:lang w:eastAsia="ja-JP"/>
              </w:rPr>
            </w:pPr>
          </w:p>
          <w:p w14:paraId="7F166A7A" w14:textId="77777777" w:rsidR="005F38AA" w:rsidRDefault="009649F8">
            <w:pPr>
              <w:pStyle w:val="TableParagraph"/>
              <w:spacing w:before="179"/>
              <w:rPr>
                <w:b/>
                <w:sz w:val="20"/>
                <w:lang w:eastAsia="ja-JP"/>
              </w:rPr>
            </w:pPr>
            <w:r>
              <w:rPr>
                <w:b/>
                <w:sz w:val="20"/>
                <w:lang w:eastAsia="ja-JP"/>
              </w:rPr>
              <w:t>追加情報:</w:t>
            </w:r>
          </w:p>
          <w:p w14:paraId="7F166A7B" w14:textId="77777777" w:rsidR="005F38AA" w:rsidRDefault="009649F8">
            <w:pPr>
              <w:pStyle w:val="TableParagraph"/>
              <w:spacing w:before="115"/>
              <w:rPr>
                <w:sz w:val="20"/>
                <w:lang w:eastAsia="ja-JP"/>
              </w:rPr>
            </w:pPr>
            <w:r>
              <w:rPr>
                <w:sz w:val="20"/>
                <w:lang w:eastAsia="ja-JP"/>
              </w:rPr>
              <w:t>欧州委員会、報告 欧州セメント・石灰部門の競争力、</w:t>
            </w:r>
          </w:p>
          <w:p w14:paraId="7F166A7C" w14:textId="77777777" w:rsidR="005F38AA" w:rsidRDefault="009649F8">
            <w:pPr>
              <w:pStyle w:val="TableParagraph"/>
              <w:spacing w:before="35"/>
              <w:rPr>
                <w:sz w:val="20"/>
                <w:lang w:eastAsia="ja-JP"/>
              </w:rPr>
            </w:pPr>
            <w:r>
              <w:rPr>
                <w:sz w:val="20"/>
                <w:lang w:eastAsia="ja-JP"/>
              </w:rPr>
              <w:t>2017年12月</w:t>
            </w:r>
          </w:p>
          <w:p w14:paraId="7F166A7D" w14:textId="77777777" w:rsidR="005F38AA" w:rsidRDefault="00AC57BC">
            <w:pPr>
              <w:pStyle w:val="TableParagraph"/>
              <w:spacing w:before="116"/>
              <w:rPr>
                <w:sz w:val="20"/>
                <w:lang w:eastAsia="ja-JP"/>
              </w:rPr>
            </w:pPr>
            <w:hyperlink r:id="rId18">
              <w:r w:rsidR="009649F8">
                <w:rPr>
                  <w:color w:val="00AFEF"/>
                  <w:sz w:val="20"/>
                  <w:u w:val="single" w:color="00AFEF"/>
                  <w:lang w:eastAsia="ja-JP"/>
                </w:rPr>
                <w:t>https://ec.europa.eu/growth/content/competitiveness-european-cement-and-lime-sectors_en</w:t>
              </w:r>
            </w:hyperlink>
          </w:p>
          <w:p w14:paraId="7F166A7E" w14:textId="77777777" w:rsidR="005F38AA" w:rsidRDefault="009649F8">
            <w:pPr>
              <w:pStyle w:val="TableParagraph"/>
              <w:spacing w:before="113" w:line="276" w:lineRule="auto"/>
              <w:ind w:right="8"/>
              <w:rPr>
                <w:sz w:val="20"/>
              </w:rPr>
            </w:pPr>
            <w:r>
              <w:rPr>
                <w:sz w:val="20"/>
                <w:lang w:eastAsia="ja-JP"/>
              </w:rPr>
              <w:t xml:space="preserve">2021年から2025年までの期間及び2026年から2030年までの期間のベンチマークを決定するための規定は、アートに含まれる。 </w:t>
            </w:r>
            <w:r>
              <w:rPr>
                <w:sz w:val="20"/>
              </w:rPr>
              <w:t>指令2003/87/ECの10a、2(a)及び2(c)。</w:t>
            </w:r>
          </w:p>
          <w:p w14:paraId="7F166A7F" w14:textId="77777777" w:rsidR="005F38AA" w:rsidRDefault="009649F8">
            <w:pPr>
              <w:pStyle w:val="TableParagraph"/>
              <w:spacing w:before="81" w:line="276" w:lineRule="auto"/>
              <w:rPr>
                <w:sz w:val="20"/>
              </w:rPr>
            </w:pPr>
            <w:r>
              <w:rPr>
                <w:color w:val="00AFEF"/>
                <w:w w:val="95"/>
                <w:sz w:val="20"/>
                <w:u w:val="single" w:color="00AFEF"/>
              </w:rPr>
              <w:t>https://eur-lex.europa.eu/legal-content/EN/TXT/PDF/?uri=CELEX:02003L0087- 20180408&amp;qid=1547917622180&amp;from=EN</w:t>
            </w:r>
          </w:p>
        </w:tc>
      </w:tr>
      <w:tr w:rsidR="005F38AA" w14:paraId="7F166A83" w14:textId="77777777">
        <w:trPr>
          <w:trHeight w:val="383"/>
        </w:trPr>
        <w:tc>
          <w:tcPr>
            <w:tcW w:w="108" w:type="dxa"/>
            <w:tcBorders>
              <w:right w:val="nil"/>
            </w:tcBorders>
            <w:shd w:val="clear" w:color="auto" w:fill="4471C4"/>
          </w:tcPr>
          <w:p w14:paraId="7F166A81" w14:textId="77777777" w:rsidR="005F38AA" w:rsidRDefault="005F38AA">
            <w:pPr>
              <w:pStyle w:val="TableParagraph"/>
              <w:spacing w:before="0"/>
              <w:ind w:left="0"/>
              <w:rPr>
                <w:rFonts w:ascii="Times New Roman"/>
                <w:sz w:val="18"/>
              </w:rPr>
            </w:pPr>
          </w:p>
        </w:tc>
        <w:tc>
          <w:tcPr>
            <w:tcW w:w="9243" w:type="dxa"/>
            <w:gridSpan w:val="2"/>
            <w:tcBorders>
              <w:left w:val="nil"/>
            </w:tcBorders>
            <w:shd w:val="clear" w:color="auto" w:fill="4471C4"/>
          </w:tcPr>
          <w:p w14:paraId="7F166A82" w14:textId="725CCD48" w:rsidR="005F38AA" w:rsidRDefault="009649F8" w:rsidP="00375B33">
            <w:pPr>
              <w:pStyle w:val="TableParagraph"/>
              <w:ind w:left="4"/>
              <w:rPr>
                <w:b/>
                <w:sz w:val="20"/>
                <w:lang w:eastAsia="ja-JP"/>
              </w:rPr>
            </w:pPr>
            <w:r>
              <w:rPr>
                <w:b/>
                <w:color w:val="FFFFFF"/>
                <w:sz w:val="20"/>
                <w:lang w:eastAsia="ja-JP"/>
              </w:rPr>
              <w:t>重大な有害性</w:t>
            </w:r>
          </w:p>
        </w:tc>
      </w:tr>
      <w:tr w:rsidR="005F38AA" w14:paraId="7F166A88" w14:textId="77777777">
        <w:trPr>
          <w:trHeight w:val="2356"/>
        </w:trPr>
        <w:tc>
          <w:tcPr>
            <w:tcW w:w="9351" w:type="dxa"/>
            <w:gridSpan w:val="3"/>
          </w:tcPr>
          <w:p w14:paraId="7F166A84" w14:textId="77777777" w:rsidR="005F38AA" w:rsidRDefault="009649F8">
            <w:pPr>
              <w:pStyle w:val="TableParagraph"/>
              <w:spacing w:line="276" w:lineRule="auto"/>
              <w:rPr>
                <w:sz w:val="20"/>
                <w:lang w:eastAsia="ja-JP"/>
              </w:rPr>
            </w:pPr>
            <w:r>
              <w:rPr>
                <w:sz w:val="20"/>
                <w:lang w:eastAsia="ja-JP"/>
              </w:rPr>
              <w:t>セメント製造による他の環境目的への重大な潜在的被害は、以下のものである。</w:t>
            </w:r>
          </w:p>
          <w:p w14:paraId="7F166A85" w14:textId="77777777" w:rsidR="005F38AA" w:rsidRDefault="009649F8">
            <w:pPr>
              <w:pStyle w:val="TableParagraph"/>
              <w:numPr>
                <w:ilvl w:val="0"/>
                <w:numId w:val="59"/>
              </w:numPr>
              <w:tabs>
                <w:tab w:val="left" w:pos="827"/>
                <w:tab w:val="left" w:pos="828"/>
              </w:tabs>
              <w:spacing w:before="81" w:line="268" w:lineRule="auto"/>
              <w:ind w:right="849"/>
              <w:rPr>
                <w:sz w:val="20"/>
                <w:lang w:eastAsia="ja-JP"/>
              </w:rPr>
            </w:pPr>
            <w:r>
              <w:rPr>
                <w:sz w:val="20"/>
                <w:lang w:eastAsia="ja-JP"/>
              </w:rPr>
              <w:t>セメントキルンにおける化石燃料の消費および焼成反応に伴う大気への排出の汚染;</w:t>
            </w:r>
          </w:p>
          <w:p w14:paraId="7F166A86" w14:textId="77777777" w:rsidR="005F38AA" w:rsidRDefault="009649F8">
            <w:pPr>
              <w:pStyle w:val="TableParagraph"/>
              <w:numPr>
                <w:ilvl w:val="0"/>
                <w:numId w:val="59"/>
              </w:numPr>
              <w:tabs>
                <w:tab w:val="left" w:pos="827"/>
                <w:tab w:val="left" w:pos="828"/>
              </w:tabs>
              <w:spacing w:before="11"/>
              <w:rPr>
                <w:sz w:val="20"/>
                <w:lang w:eastAsia="ja-JP"/>
              </w:rPr>
            </w:pPr>
            <w:r>
              <w:rPr>
                <w:sz w:val="20"/>
                <w:lang w:eastAsia="ja-JP"/>
              </w:rPr>
              <w:t>水ストレス地域に立地する生産施設の水使用量</w:t>
            </w:r>
          </w:p>
          <w:p w14:paraId="7F166A87" w14:textId="77777777" w:rsidR="005F38AA" w:rsidRDefault="009649F8">
            <w:pPr>
              <w:pStyle w:val="TableParagraph"/>
              <w:numPr>
                <w:ilvl w:val="0"/>
                <w:numId w:val="59"/>
              </w:numPr>
              <w:tabs>
                <w:tab w:val="left" w:pos="827"/>
                <w:tab w:val="left" w:pos="828"/>
              </w:tabs>
              <w:spacing w:before="31" w:line="273" w:lineRule="auto"/>
              <w:ind w:right="337"/>
              <w:rPr>
                <w:sz w:val="20"/>
                <w:lang w:eastAsia="ja-JP"/>
              </w:rPr>
            </w:pPr>
            <w:r>
              <w:rPr>
                <w:sz w:val="20"/>
                <w:lang w:eastAsia="ja-JP"/>
              </w:rPr>
              <w:t>セメント製造工程で燃料代替(「二次」燃料)として使用される(危険な)廃棄物の取扱いおよび貯蔵に関連する土壌および地下水汚染の可能性</w:t>
            </w:r>
          </w:p>
        </w:tc>
      </w:tr>
      <w:tr w:rsidR="005F38AA" w14:paraId="7F166A8B" w14:textId="77777777">
        <w:trPr>
          <w:trHeight w:val="383"/>
        </w:trPr>
        <w:tc>
          <w:tcPr>
            <w:tcW w:w="2246" w:type="dxa"/>
            <w:gridSpan w:val="2"/>
          </w:tcPr>
          <w:p w14:paraId="7F166A89" w14:textId="77777777" w:rsidR="005F38AA" w:rsidRDefault="009649F8">
            <w:pPr>
              <w:pStyle w:val="TableParagraph"/>
              <w:rPr>
                <w:sz w:val="20"/>
              </w:rPr>
            </w:pPr>
            <w:r>
              <w:rPr>
                <w:sz w:val="20"/>
              </w:rPr>
              <w:t>(2)適応</w:t>
            </w:r>
          </w:p>
        </w:tc>
        <w:tc>
          <w:tcPr>
            <w:tcW w:w="7105" w:type="dxa"/>
          </w:tcPr>
          <w:p w14:paraId="7F166A8A" w14:textId="77777777" w:rsidR="005F38AA" w:rsidRDefault="009649F8">
            <w:pPr>
              <w:pStyle w:val="TableParagraph"/>
              <w:ind w:left="105"/>
              <w:rPr>
                <w:sz w:val="20"/>
                <w:lang w:eastAsia="ja-JP"/>
              </w:rPr>
            </w:pPr>
            <w:r>
              <w:rPr>
                <w:sz w:val="20"/>
                <w:lang w:eastAsia="ja-JP"/>
              </w:rPr>
              <w:t>気候変動への適応に関するDNSHのスクリーニング基準を参照のこと。</w:t>
            </w:r>
          </w:p>
        </w:tc>
      </w:tr>
      <w:tr w:rsidR="005F38AA" w14:paraId="7F166A8F" w14:textId="77777777">
        <w:trPr>
          <w:trHeight w:val="1550"/>
        </w:trPr>
        <w:tc>
          <w:tcPr>
            <w:tcW w:w="2246" w:type="dxa"/>
            <w:gridSpan w:val="2"/>
          </w:tcPr>
          <w:p w14:paraId="7F166A8C" w14:textId="77777777" w:rsidR="005F38AA" w:rsidRDefault="009649F8">
            <w:pPr>
              <w:pStyle w:val="TableParagraph"/>
              <w:spacing w:before="42"/>
              <w:rPr>
                <w:sz w:val="20"/>
              </w:rPr>
            </w:pPr>
            <w:r>
              <w:rPr>
                <w:sz w:val="20"/>
              </w:rPr>
              <w:t>(3) 水</w:t>
            </w:r>
          </w:p>
        </w:tc>
        <w:tc>
          <w:tcPr>
            <w:tcW w:w="7105" w:type="dxa"/>
          </w:tcPr>
          <w:p w14:paraId="7F166A8D" w14:textId="77777777" w:rsidR="005F38AA" w:rsidRDefault="009649F8">
            <w:pPr>
              <w:pStyle w:val="TableParagraph"/>
              <w:numPr>
                <w:ilvl w:val="0"/>
                <w:numId w:val="58"/>
              </w:numPr>
              <w:tabs>
                <w:tab w:val="left" w:pos="466"/>
                <w:tab w:val="left" w:pos="467"/>
              </w:tabs>
              <w:spacing w:before="43" w:line="273" w:lineRule="auto"/>
              <w:ind w:right="14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A8E" w14:textId="77777777" w:rsidR="005F38AA" w:rsidRDefault="009649F8">
            <w:pPr>
              <w:pStyle w:val="TableParagraph"/>
              <w:numPr>
                <w:ilvl w:val="0"/>
                <w:numId w:val="58"/>
              </w:numPr>
              <w:tabs>
                <w:tab w:val="left" w:pos="466"/>
                <w:tab w:val="left" w:pos="467"/>
              </w:tabs>
              <w:spacing w:before="84"/>
              <w:rPr>
                <w:sz w:val="20"/>
                <w:lang w:eastAsia="ja-JP"/>
              </w:rPr>
            </w:pPr>
            <w:r>
              <w:rPr>
                <w:sz w:val="20"/>
                <w:lang w:eastAsia="ja-JP"/>
              </w:rPr>
              <w:t>EUでは、EU水関連法規の要件を満たす。</w:t>
            </w:r>
          </w:p>
        </w:tc>
      </w:tr>
      <w:tr w:rsidR="005F38AA" w14:paraId="7F166A94" w14:textId="77777777">
        <w:trPr>
          <w:trHeight w:val="2131"/>
        </w:trPr>
        <w:tc>
          <w:tcPr>
            <w:tcW w:w="2246" w:type="dxa"/>
            <w:gridSpan w:val="2"/>
          </w:tcPr>
          <w:p w14:paraId="7F166A90" w14:textId="6D3C25FC" w:rsidR="005F38AA" w:rsidRDefault="00375B33">
            <w:pPr>
              <w:pStyle w:val="TableParagraph"/>
              <w:spacing w:before="41"/>
              <w:rPr>
                <w:sz w:val="20"/>
                <w:lang w:eastAsia="ja-JP"/>
              </w:rPr>
            </w:pPr>
            <w:r>
              <w:rPr>
                <w:rFonts w:hint="eastAsia"/>
                <w:sz w:val="20"/>
                <w:lang w:eastAsia="ja-JP"/>
              </w:rPr>
              <w:t>(4) サーキュラーエコノミー</w:t>
            </w:r>
          </w:p>
        </w:tc>
        <w:tc>
          <w:tcPr>
            <w:tcW w:w="7105" w:type="dxa"/>
          </w:tcPr>
          <w:p w14:paraId="7F166A91" w14:textId="77777777" w:rsidR="005F38AA" w:rsidRDefault="009649F8">
            <w:pPr>
              <w:pStyle w:val="TableParagraph"/>
              <w:spacing w:before="41" w:line="276" w:lineRule="auto"/>
              <w:ind w:left="105" w:right="178"/>
              <w:rPr>
                <w:sz w:val="20"/>
                <w:lang w:eastAsia="ja-JP"/>
              </w:rPr>
            </w:pPr>
            <w:r>
              <w:rPr>
                <w:sz w:val="20"/>
                <w:lang w:eastAsia="ja-JP"/>
              </w:rPr>
              <w:t>セメント製造工場では、廃棄物由来のSRFなどの代替燃料や、再生コンクリート骨材(RCA)などの二次原料を受け入れています。</w:t>
            </w:r>
          </w:p>
          <w:p w14:paraId="7F166A92" w14:textId="77777777" w:rsidR="005F38AA" w:rsidRDefault="005F38AA">
            <w:pPr>
              <w:pStyle w:val="TableParagraph"/>
              <w:spacing w:before="0"/>
              <w:ind w:left="0"/>
              <w:rPr>
                <w:lang w:eastAsia="ja-JP"/>
              </w:rPr>
            </w:pPr>
          </w:p>
          <w:p w14:paraId="7F166A93" w14:textId="77777777" w:rsidR="005F38AA" w:rsidRDefault="009649F8">
            <w:pPr>
              <w:pStyle w:val="TableParagraph"/>
              <w:spacing w:before="170" w:line="276" w:lineRule="auto"/>
              <w:ind w:left="105"/>
              <w:rPr>
                <w:sz w:val="20"/>
                <w:lang w:eastAsia="ja-JP"/>
              </w:rPr>
            </w:pPr>
            <w:r>
              <w:rPr>
                <w:sz w:val="20"/>
                <w:lang w:eastAsia="ja-JP"/>
              </w:rPr>
              <w:t>有害廃棄物を代替燃料として使用しているセメント製造事業所については、EU基準(または非EU諸国で操業しているプラントと同等)を満たす廃棄物管理計画が存在し、実施されていることを確実にする。</w:t>
            </w:r>
          </w:p>
        </w:tc>
      </w:tr>
    </w:tbl>
    <w:p w14:paraId="7F166A95" w14:textId="77777777" w:rsidR="005F38AA" w:rsidRDefault="005F38AA">
      <w:pPr>
        <w:spacing w:line="276" w:lineRule="auto"/>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6"/>
        <w:gridCol w:w="7105"/>
      </w:tblGrid>
      <w:tr w:rsidR="005F38AA" w14:paraId="7F166A9B" w14:textId="77777777">
        <w:trPr>
          <w:trHeight w:val="3535"/>
        </w:trPr>
        <w:tc>
          <w:tcPr>
            <w:tcW w:w="2246" w:type="dxa"/>
          </w:tcPr>
          <w:p w14:paraId="7F166A96" w14:textId="77777777" w:rsidR="005F38AA" w:rsidRDefault="009649F8">
            <w:pPr>
              <w:pStyle w:val="TableParagraph"/>
              <w:rPr>
                <w:sz w:val="20"/>
              </w:rPr>
            </w:pPr>
            <w:r>
              <w:rPr>
                <w:sz w:val="20"/>
              </w:rPr>
              <w:lastRenderedPageBreak/>
              <w:t>(5)汚染</w:t>
            </w:r>
          </w:p>
        </w:tc>
        <w:tc>
          <w:tcPr>
            <w:tcW w:w="7105" w:type="dxa"/>
          </w:tcPr>
          <w:p w14:paraId="7F166A97" w14:textId="77777777" w:rsidR="005F38AA" w:rsidRDefault="009649F8">
            <w:pPr>
              <w:pStyle w:val="TableParagraph"/>
              <w:spacing w:line="276" w:lineRule="auto"/>
              <w:ind w:left="105" w:right="288"/>
              <w:rPr>
                <w:sz w:val="13"/>
                <w:lang w:eastAsia="ja-JP"/>
              </w:rPr>
            </w:pPr>
            <w:r>
              <w:rPr>
                <w:sz w:val="20"/>
                <w:lang w:eastAsia="ja-JP"/>
              </w:rPr>
              <w:t>大気および水への排出が、セメント、石灰および酸化マグネシウムの製造のためのBREFに設定されたBAT-AEL範囲内であることを確認する。</w:t>
            </w:r>
          </w:p>
          <w:p w14:paraId="7F166A98" w14:textId="77777777" w:rsidR="005F38AA" w:rsidRDefault="009649F8">
            <w:pPr>
              <w:pStyle w:val="TableParagraph"/>
              <w:spacing w:before="81" w:line="276" w:lineRule="auto"/>
              <w:ind w:left="105" w:right="178"/>
              <w:rPr>
                <w:sz w:val="20"/>
                <w:lang w:eastAsia="ja-JP"/>
              </w:rPr>
            </w:pPr>
            <w:r>
              <w:rPr>
                <w:sz w:val="20"/>
                <w:lang w:eastAsia="ja-JP"/>
              </w:rPr>
              <w:t>活動が地域の大気汚染レベルに大きく寄与し、大気質基準を超える場合は、厳しいレベルのBAT-AELが要求される。</w:t>
            </w:r>
          </w:p>
          <w:p w14:paraId="7F166A99" w14:textId="77777777" w:rsidR="005F38AA" w:rsidRDefault="009649F8">
            <w:pPr>
              <w:pStyle w:val="TableParagraph"/>
              <w:spacing w:before="78" w:line="276" w:lineRule="auto"/>
              <w:ind w:left="105" w:right="277"/>
              <w:rPr>
                <w:sz w:val="20"/>
                <w:lang w:eastAsia="ja-JP"/>
              </w:rPr>
            </w:pPr>
            <w:r>
              <w:rPr>
                <w:sz w:val="20"/>
                <w:lang w:eastAsia="ja-JP"/>
              </w:rPr>
              <w:t>認証された環境マネジメントシステム(ISO 14001、EMAS、または同等のもの)の実施を確実にする。</w:t>
            </w:r>
          </w:p>
          <w:p w14:paraId="7F166A9A" w14:textId="77777777" w:rsidR="005F38AA" w:rsidRDefault="009649F8">
            <w:pPr>
              <w:pStyle w:val="TableParagraph"/>
              <w:spacing w:before="81" w:line="276" w:lineRule="auto"/>
              <w:ind w:left="105" w:right="97"/>
              <w:jc w:val="both"/>
              <w:rPr>
                <w:sz w:val="20"/>
                <w:lang w:eastAsia="ja-JP"/>
              </w:rPr>
            </w:pPr>
            <w:r>
              <w:rPr>
                <w:sz w:val="20"/>
                <w:lang w:eastAsia="ja-JP"/>
              </w:rPr>
              <w:t>セメント製造のためのごみ固形燃料の排除。 廃棄物の同時焼却は、付随する排出物の汚染性から健康と環境に重大な影響を与え、セメント工場の排出上限は、専用の廃棄物焼却プラントと比較して高くなる。 さらに、適格な燃料源として廃棄物を促進することは、他の部門における廃棄物最小化の取り組みを損なう可能性がある。</w:t>
            </w:r>
          </w:p>
        </w:tc>
      </w:tr>
      <w:tr w:rsidR="005F38AA" w14:paraId="7F166AA2" w14:textId="77777777">
        <w:trPr>
          <w:trHeight w:val="8137"/>
        </w:trPr>
        <w:tc>
          <w:tcPr>
            <w:tcW w:w="2246" w:type="dxa"/>
          </w:tcPr>
          <w:p w14:paraId="7F166A9C" w14:textId="77777777" w:rsidR="005F38AA" w:rsidRDefault="009649F8">
            <w:pPr>
              <w:pStyle w:val="TableParagraph"/>
              <w:spacing w:before="41"/>
              <w:rPr>
                <w:sz w:val="20"/>
              </w:rPr>
            </w:pPr>
            <w:r>
              <w:rPr>
                <w:sz w:val="20"/>
              </w:rPr>
              <w:t>(6)生態系</w:t>
            </w:r>
          </w:p>
        </w:tc>
        <w:tc>
          <w:tcPr>
            <w:tcW w:w="7105" w:type="dxa"/>
          </w:tcPr>
          <w:p w14:paraId="7F166A9D" w14:textId="77777777" w:rsidR="005F38AA" w:rsidRDefault="009649F8">
            <w:pPr>
              <w:pStyle w:val="TableParagraph"/>
              <w:spacing w:before="41" w:line="276" w:lineRule="auto"/>
              <w:ind w:left="105" w:right="125"/>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でのサイト/事業の場合、より厳しい方—は、サイト/運営(輸送インフラ、運営、廃棄物処理施設などの付随サービスを含む)や、生物多様性/生態系を保護するために必要な緩和措置、特にユネスコ世界遺産および主要な生物多様性地域(KBA)が実施されています。</w:t>
            </w:r>
          </w:p>
          <w:p w14:paraId="7F166A9E" w14:textId="77777777" w:rsidR="005F38AA" w:rsidRDefault="005F38AA">
            <w:pPr>
              <w:pStyle w:val="TableParagraph"/>
              <w:spacing w:before="0"/>
              <w:ind w:left="0"/>
              <w:rPr>
                <w:lang w:eastAsia="ja-JP"/>
              </w:rPr>
            </w:pPr>
          </w:p>
          <w:p w14:paraId="7F166A9F" w14:textId="77777777" w:rsidR="005F38AA" w:rsidRDefault="009649F8">
            <w:pPr>
              <w:pStyle w:val="TableParagraph"/>
              <w:spacing w:before="169" w:line="276" w:lineRule="auto"/>
              <w:ind w:left="105" w:right="142"/>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AA0" w14:textId="77777777" w:rsidR="005F38AA" w:rsidRDefault="009649F8">
            <w:pPr>
              <w:pStyle w:val="TableParagraph"/>
              <w:numPr>
                <w:ilvl w:val="0"/>
                <w:numId w:val="57"/>
              </w:numPr>
              <w:tabs>
                <w:tab w:val="left" w:pos="1186"/>
                <w:tab w:val="left" w:pos="1187"/>
              </w:tabs>
              <w:spacing w:before="83" w:line="273" w:lineRule="auto"/>
              <w:ind w:right="141"/>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AA1" w14:textId="77777777" w:rsidR="005F38AA" w:rsidRDefault="009649F8">
            <w:pPr>
              <w:pStyle w:val="TableParagraph"/>
              <w:numPr>
                <w:ilvl w:val="0"/>
                <w:numId w:val="57"/>
              </w:numPr>
              <w:tabs>
                <w:tab w:val="left" w:pos="1186"/>
                <w:tab w:val="left" w:pos="1187"/>
              </w:tabs>
              <w:spacing w:before="84" w:line="276" w:lineRule="auto"/>
              <w:ind w:right="407"/>
              <w:rPr>
                <w:sz w:val="20"/>
                <w:lang w:eastAsia="ja-JP"/>
              </w:rPr>
            </w:pPr>
            <w:r>
              <w:rPr>
                <w:sz w:val="20"/>
                <w:lang w:eastAsia="ja-JP"/>
              </w:rPr>
              <w:t>生物種や生息地への影響を低減するために必要なすべての緩和措置が講じられており、また、強固で適切に設計され、長期的な生物多様性のモニタリングと評価プログラムが存在し、実施されている。</w:t>
            </w:r>
          </w:p>
        </w:tc>
      </w:tr>
    </w:tbl>
    <w:p w14:paraId="7F166AA3" w14:textId="77777777" w:rsidR="005F38AA" w:rsidRDefault="005F38AA">
      <w:pPr>
        <w:spacing w:line="276" w:lineRule="auto"/>
        <w:rPr>
          <w:sz w:val="20"/>
          <w:lang w:eastAsia="ja-JP"/>
        </w:rPr>
        <w:sectPr w:rsidR="005F38AA">
          <w:pgSz w:w="12240" w:h="15840"/>
          <w:pgMar w:top="1440" w:right="1320" w:bottom="1560" w:left="1340" w:header="0" w:footer="1372" w:gutter="0"/>
          <w:cols w:space="720"/>
        </w:sectPr>
      </w:pPr>
    </w:p>
    <w:p w14:paraId="7F166AA4" w14:textId="77777777" w:rsidR="005F38AA" w:rsidRDefault="009649F8">
      <w:pPr>
        <w:pStyle w:val="1"/>
        <w:numPr>
          <w:ilvl w:val="1"/>
          <w:numId w:val="75"/>
        </w:numPr>
        <w:tabs>
          <w:tab w:val="left" w:pos="820"/>
          <w:tab w:val="left" w:pos="821"/>
        </w:tabs>
      </w:pPr>
      <w:r>
        <w:rPr>
          <w:color w:val="006FC0"/>
        </w:rPr>
        <w:lastRenderedPageBreak/>
        <w:t>アルミニウムの製造</w:t>
      </w:r>
    </w:p>
    <w:p w14:paraId="7F166AA5" w14:textId="77777777" w:rsidR="005F38AA" w:rsidRDefault="005F38AA">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065"/>
      </w:tblGrid>
      <w:tr w:rsidR="005F38AA" w14:paraId="7F166AA7" w14:textId="77777777">
        <w:trPr>
          <w:trHeight w:val="383"/>
        </w:trPr>
        <w:tc>
          <w:tcPr>
            <w:tcW w:w="9352" w:type="dxa"/>
            <w:gridSpan w:val="2"/>
            <w:shd w:val="clear" w:color="auto" w:fill="4471C4"/>
          </w:tcPr>
          <w:p w14:paraId="7F166AA6" w14:textId="77777777" w:rsidR="005F38AA" w:rsidRDefault="009649F8">
            <w:pPr>
              <w:pStyle w:val="TableParagraph"/>
              <w:rPr>
                <w:b/>
                <w:sz w:val="20"/>
              </w:rPr>
            </w:pPr>
            <w:r>
              <w:rPr>
                <w:b/>
                <w:color w:val="FFFFFF"/>
                <w:sz w:val="20"/>
              </w:rPr>
              <w:t>セクター分類と活動</w:t>
            </w:r>
          </w:p>
        </w:tc>
      </w:tr>
      <w:tr w:rsidR="005F38AA" w14:paraId="7F166AAA" w14:textId="77777777">
        <w:trPr>
          <w:trHeight w:val="386"/>
        </w:trPr>
        <w:tc>
          <w:tcPr>
            <w:tcW w:w="2287" w:type="dxa"/>
          </w:tcPr>
          <w:p w14:paraId="7F166AA8" w14:textId="77777777" w:rsidR="005F38AA" w:rsidRDefault="009649F8">
            <w:pPr>
              <w:pStyle w:val="TableParagraph"/>
              <w:rPr>
                <w:sz w:val="20"/>
              </w:rPr>
            </w:pPr>
            <w:r>
              <w:rPr>
                <w:sz w:val="20"/>
              </w:rPr>
              <w:t>マクロセクター</w:t>
            </w:r>
          </w:p>
        </w:tc>
        <w:tc>
          <w:tcPr>
            <w:tcW w:w="7065" w:type="dxa"/>
          </w:tcPr>
          <w:p w14:paraId="7F166AA9" w14:textId="77777777" w:rsidR="005F38AA" w:rsidRDefault="009649F8">
            <w:pPr>
              <w:pStyle w:val="TableParagraph"/>
              <w:rPr>
                <w:sz w:val="20"/>
              </w:rPr>
            </w:pPr>
            <w:r>
              <w:rPr>
                <w:sz w:val="20"/>
              </w:rPr>
              <w:t>C-製造</w:t>
            </w:r>
          </w:p>
        </w:tc>
      </w:tr>
      <w:tr w:rsidR="005F38AA" w14:paraId="7F166AAD" w14:textId="77777777">
        <w:trPr>
          <w:trHeight w:val="383"/>
        </w:trPr>
        <w:tc>
          <w:tcPr>
            <w:tcW w:w="2287" w:type="dxa"/>
          </w:tcPr>
          <w:p w14:paraId="7F166AAB" w14:textId="77777777" w:rsidR="005F38AA" w:rsidRDefault="009649F8">
            <w:pPr>
              <w:pStyle w:val="TableParagraph"/>
              <w:rPr>
                <w:sz w:val="20"/>
              </w:rPr>
            </w:pPr>
            <w:r>
              <w:rPr>
                <w:sz w:val="20"/>
              </w:rPr>
              <w:t>NACEレベル</w:t>
            </w:r>
          </w:p>
        </w:tc>
        <w:tc>
          <w:tcPr>
            <w:tcW w:w="7065" w:type="dxa"/>
          </w:tcPr>
          <w:p w14:paraId="7F166AAC" w14:textId="77777777" w:rsidR="005F38AA" w:rsidRDefault="009649F8">
            <w:pPr>
              <w:pStyle w:val="TableParagraph"/>
              <w:rPr>
                <w:sz w:val="20"/>
              </w:rPr>
            </w:pPr>
            <w:r>
              <w:rPr>
                <w:w w:val="99"/>
                <w:sz w:val="20"/>
              </w:rPr>
              <w:t>4</w:t>
            </w:r>
          </w:p>
        </w:tc>
      </w:tr>
      <w:tr w:rsidR="005F38AA" w14:paraId="7F166AB0" w14:textId="77777777">
        <w:trPr>
          <w:trHeight w:val="383"/>
        </w:trPr>
        <w:tc>
          <w:tcPr>
            <w:tcW w:w="2287" w:type="dxa"/>
          </w:tcPr>
          <w:p w14:paraId="7F166AAE" w14:textId="77777777" w:rsidR="005F38AA" w:rsidRDefault="009649F8">
            <w:pPr>
              <w:pStyle w:val="TableParagraph"/>
              <w:rPr>
                <w:sz w:val="20"/>
              </w:rPr>
            </w:pPr>
            <w:r>
              <w:rPr>
                <w:sz w:val="20"/>
              </w:rPr>
              <w:t>コード</w:t>
            </w:r>
          </w:p>
        </w:tc>
        <w:tc>
          <w:tcPr>
            <w:tcW w:w="7065" w:type="dxa"/>
          </w:tcPr>
          <w:p w14:paraId="7F166AAF" w14:textId="77777777" w:rsidR="005F38AA" w:rsidRDefault="009649F8">
            <w:pPr>
              <w:pStyle w:val="TableParagraph"/>
              <w:rPr>
                <w:sz w:val="20"/>
              </w:rPr>
            </w:pPr>
            <w:r>
              <w:rPr>
                <w:sz w:val="20"/>
              </w:rPr>
              <w:t>C24.4.2</w:t>
            </w:r>
          </w:p>
        </w:tc>
      </w:tr>
      <w:tr w:rsidR="005F38AA" w14:paraId="7F166AB3" w14:textId="77777777">
        <w:trPr>
          <w:trHeight w:val="385"/>
        </w:trPr>
        <w:tc>
          <w:tcPr>
            <w:tcW w:w="2287" w:type="dxa"/>
          </w:tcPr>
          <w:p w14:paraId="7F166AB1" w14:textId="77777777" w:rsidR="005F38AA" w:rsidRDefault="009649F8">
            <w:pPr>
              <w:pStyle w:val="TableParagraph"/>
              <w:spacing w:before="42"/>
              <w:rPr>
                <w:sz w:val="20"/>
              </w:rPr>
            </w:pPr>
            <w:r>
              <w:rPr>
                <w:sz w:val="20"/>
              </w:rPr>
              <w:t>内容</w:t>
            </w:r>
          </w:p>
        </w:tc>
        <w:tc>
          <w:tcPr>
            <w:tcW w:w="7065" w:type="dxa"/>
          </w:tcPr>
          <w:p w14:paraId="7F166AB2" w14:textId="77777777" w:rsidR="005F38AA" w:rsidRDefault="009649F8">
            <w:pPr>
              <w:pStyle w:val="TableParagraph"/>
              <w:spacing w:before="42"/>
              <w:rPr>
                <w:sz w:val="20"/>
              </w:rPr>
            </w:pPr>
            <w:r>
              <w:rPr>
                <w:sz w:val="20"/>
              </w:rPr>
              <w:t>アルミニウムの製造</w:t>
            </w:r>
          </w:p>
        </w:tc>
      </w:tr>
      <w:tr w:rsidR="005F38AA" w14:paraId="7F166AB5" w14:textId="77777777">
        <w:trPr>
          <w:trHeight w:val="383"/>
        </w:trPr>
        <w:tc>
          <w:tcPr>
            <w:tcW w:w="9352" w:type="dxa"/>
            <w:gridSpan w:val="2"/>
            <w:shd w:val="clear" w:color="auto" w:fill="4471C4"/>
          </w:tcPr>
          <w:p w14:paraId="7F166AB4" w14:textId="77777777" w:rsidR="005F38AA" w:rsidRDefault="009649F8">
            <w:pPr>
              <w:pStyle w:val="TableParagraph"/>
              <w:rPr>
                <w:b/>
                <w:sz w:val="20"/>
              </w:rPr>
            </w:pPr>
            <w:r>
              <w:rPr>
                <w:b/>
                <w:color w:val="FFFFFF"/>
                <w:sz w:val="20"/>
              </w:rPr>
              <w:t>緩和基準</w:t>
            </w:r>
          </w:p>
        </w:tc>
      </w:tr>
      <w:tr w:rsidR="005F38AA" w14:paraId="7F166ABA" w14:textId="77777777">
        <w:trPr>
          <w:trHeight w:val="3189"/>
        </w:trPr>
        <w:tc>
          <w:tcPr>
            <w:tcW w:w="2287" w:type="dxa"/>
          </w:tcPr>
          <w:p w14:paraId="7F166AB6" w14:textId="77777777" w:rsidR="005F38AA" w:rsidRDefault="009649F8">
            <w:pPr>
              <w:pStyle w:val="TableParagraph"/>
              <w:rPr>
                <w:sz w:val="20"/>
              </w:rPr>
            </w:pPr>
            <w:r>
              <w:rPr>
                <w:sz w:val="20"/>
              </w:rPr>
              <w:t>原則</w:t>
            </w:r>
          </w:p>
        </w:tc>
        <w:tc>
          <w:tcPr>
            <w:tcW w:w="7065" w:type="dxa"/>
          </w:tcPr>
          <w:p w14:paraId="7F166AB7" w14:textId="77777777" w:rsidR="005F38AA" w:rsidRDefault="009649F8">
            <w:pPr>
              <w:pStyle w:val="TableParagraph"/>
              <w:spacing w:line="276" w:lineRule="auto"/>
              <w:ind w:right="101"/>
              <w:jc w:val="both"/>
              <w:rPr>
                <w:sz w:val="20"/>
                <w:lang w:eastAsia="ja-JP"/>
              </w:rPr>
            </w:pPr>
            <w:r>
              <w:rPr>
                <w:sz w:val="20"/>
                <w:lang w:eastAsia="ja-JP"/>
              </w:rPr>
              <w:t>アルミニウムの製造は、非常にエネルギー集約的なプロセスである。</w:t>
            </w:r>
            <w:r>
              <w:rPr>
                <w:spacing w:val="-16"/>
                <w:sz w:val="20"/>
                <w:lang w:eastAsia="ja-JP"/>
              </w:rPr>
              <w:t xml:space="preserve"> アルミニウムの生産に関連するCO2排出は、主にスコープ2の排出(すなわち、使用される電力の発電からの排出)である。</w:t>
            </w:r>
            <w:r>
              <w:rPr>
                <w:sz w:val="20"/>
                <w:lang w:eastAsia="ja-JP"/>
              </w:rPr>
              <w:t xml:space="preserve"> アルミニウム製造は、低炭素電力に依存し、直接排出量を削減する場合に適格である。</w:t>
            </w:r>
          </w:p>
          <w:p w14:paraId="7F166AB8" w14:textId="77777777" w:rsidR="005F38AA" w:rsidRDefault="009649F8">
            <w:pPr>
              <w:pStyle w:val="TableParagraph"/>
              <w:spacing w:before="80" w:line="276" w:lineRule="auto"/>
              <w:rPr>
                <w:sz w:val="20"/>
                <w:lang w:eastAsia="ja-JP"/>
              </w:rPr>
            </w:pPr>
            <w:r>
              <w:rPr>
                <w:sz w:val="20"/>
                <w:lang w:eastAsia="ja-JP"/>
              </w:rPr>
              <w:t>さらに、アルミニウムのリサイクルはすべて、一次生産よりも排出量が大幅に少ないため適格である。</w:t>
            </w:r>
          </w:p>
          <w:p w14:paraId="7F166AB9" w14:textId="77777777" w:rsidR="005F38AA" w:rsidRDefault="009649F8">
            <w:pPr>
              <w:pStyle w:val="TableParagraph"/>
              <w:spacing w:before="80" w:line="276" w:lineRule="auto"/>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5F38AA" w14:paraId="7F166AC4" w14:textId="77777777">
        <w:trPr>
          <w:trHeight w:val="4992"/>
        </w:trPr>
        <w:tc>
          <w:tcPr>
            <w:tcW w:w="2287" w:type="dxa"/>
          </w:tcPr>
          <w:p w14:paraId="7F166ABB" w14:textId="77777777" w:rsidR="005F38AA" w:rsidRDefault="009649F8">
            <w:pPr>
              <w:pStyle w:val="TableParagraph"/>
              <w:rPr>
                <w:sz w:val="20"/>
              </w:rPr>
            </w:pPr>
            <w:r>
              <w:rPr>
                <w:sz w:val="20"/>
              </w:rPr>
              <w:t>閾値</w:t>
            </w:r>
          </w:p>
        </w:tc>
        <w:tc>
          <w:tcPr>
            <w:tcW w:w="7065" w:type="dxa"/>
          </w:tcPr>
          <w:p w14:paraId="7F166ABC" w14:textId="77777777" w:rsidR="005F38AA" w:rsidRDefault="009649F8">
            <w:pPr>
              <w:pStyle w:val="TableParagraph"/>
              <w:spacing w:line="276" w:lineRule="auto"/>
              <w:rPr>
                <w:sz w:val="20"/>
                <w:lang w:eastAsia="ja-JP"/>
              </w:rPr>
            </w:pPr>
            <w:r>
              <w:rPr>
                <w:sz w:val="20"/>
                <w:lang w:eastAsia="ja-JP"/>
              </w:rPr>
              <w:t>基準1(下記参照)が基準2または3(下記参照)のいずれかと組み合わせて満たされている場合、一次アルミニウムの製造は適格である。</w:t>
            </w:r>
          </w:p>
          <w:p w14:paraId="7F166ABD" w14:textId="77777777" w:rsidR="005F38AA" w:rsidRDefault="009649F8">
            <w:pPr>
              <w:pStyle w:val="TableParagraph"/>
              <w:numPr>
                <w:ilvl w:val="0"/>
                <w:numId w:val="56"/>
              </w:numPr>
              <w:tabs>
                <w:tab w:val="left" w:pos="829"/>
              </w:tabs>
              <w:spacing w:before="81" w:line="276" w:lineRule="auto"/>
              <w:ind w:right="318"/>
              <w:rPr>
                <w:sz w:val="20"/>
                <w:lang w:eastAsia="ja-JP"/>
              </w:rPr>
            </w:pPr>
            <w:r>
              <w:rPr>
                <w:sz w:val="20"/>
                <w:lang w:eastAsia="ja-JP"/>
              </w:rPr>
              <w:t>基準1:一次アルミニウム生産の直接排出量は、関連するEU-ETSベンチマークの値以下である。</w:t>
            </w:r>
          </w:p>
          <w:p w14:paraId="7F166ABE" w14:textId="77777777" w:rsidR="005F38AA" w:rsidRDefault="009649F8">
            <w:pPr>
              <w:pStyle w:val="TableParagraph"/>
              <w:spacing w:before="78" w:line="278" w:lineRule="auto"/>
              <w:rPr>
                <w:sz w:val="20"/>
                <w:lang w:eastAsia="ja-JP"/>
              </w:rPr>
            </w:pPr>
            <w:r>
              <w:rPr>
                <w:sz w:val="20"/>
                <w:lang w:eastAsia="ja-JP"/>
              </w:rPr>
              <w:t>2020年2月現在、アルミニウム製造のEU-ETSベンチマーク値は1.514 tCO2e/tである。</w:t>
            </w:r>
          </w:p>
          <w:p w14:paraId="7F166ABF" w14:textId="77777777" w:rsidR="005F38AA" w:rsidRDefault="009649F8">
            <w:pPr>
              <w:pStyle w:val="TableParagraph"/>
              <w:spacing w:before="76" w:line="276" w:lineRule="auto"/>
              <w:ind w:right="183"/>
              <w:rPr>
                <w:sz w:val="20"/>
                <w:lang w:eastAsia="ja-JP"/>
              </w:rPr>
            </w:pPr>
            <w:r>
              <w:rPr>
                <w:sz w:val="20"/>
                <w:lang w:eastAsia="ja-JP"/>
              </w:rPr>
              <w:t>直接排出量は、EU-ETSベンチマークに使用された方法に従って算定する。</w:t>
            </w:r>
          </w:p>
          <w:p w14:paraId="7F166AC0" w14:textId="2270A293" w:rsidR="005F38AA" w:rsidRDefault="009649F8">
            <w:pPr>
              <w:pStyle w:val="TableParagraph"/>
              <w:numPr>
                <w:ilvl w:val="0"/>
                <w:numId w:val="56"/>
              </w:numPr>
              <w:tabs>
                <w:tab w:val="left" w:pos="829"/>
              </w:tabs>
              <w:spacing w:before="81"/>
              <w:rPr>
                <w:sz w:val="20"/>
                <w:lang w:eastAsia="ja-JP"/>
              </w:rPr>
            </w:pPr>
            <w:r>
              <w:rPr>
                <w:sz w:val="20"/>
                <w:lang w:eastAsia="ja-JP"/>
              </w:rPr>
              <w:t>判断の基準2:電気分解による消費電力が以下</w:t>
            </w:r>
            <w:r w:rsidR="00375B33">
              <w:rPr>
                <w:rFonts w:hint="eastAsia"/>
                <w:sz w:val="20"/>
                <w:lang w:eastAsia="ja-JP"/>
              </w:rPr>
              <w:t>の基準以下</w:t>
            </w:r>
            <w:r>
              <w:rPr>
                <w:sz w:val="20"/>
                <w:lang w:eastAsia="ja-JP"/>
              </w:rPr>
              <w:t>であること。</w:t>
            </w:r>
          </w:p>
          <w:p w14:paraId="7F166AC1" w14:textId="77777777" w:rsidR="005F38AA" w:rsidRDefault="009649F8">
            <w:pPr>
              <w:pStyle w:val="TableParagraph"/>
              <w:spacing w:before="113" w:line="278" w:lineRule="auto"/>
              <w:rPr>
                <w:sz w:val="10"/>
                <w:lang w:eastAsia="ja-JP"/>
              </w:rPr>
            </w:pPr>
            <w:r>
              <w:rPr>
                <w:b/>
                <w:sz w:val="20"/>
                <w:lang w:eastAsia="ja-JP"/>
              </w:rPr>
              <w:t>15.29 MWh/t(国際アルミニウム協会による欧州平均排出係数、2017年、年次改訂予定)204</w:t>
            </w:r>
          </w:p>
          <w:p w14:paraId="7F166AC2" w14:textId="4730C66A" w:rsidR="005F38AA" w:rsidRDefault="009649F8">
            <w:pPr>
              <w:pStyle w:val="TableParagraph"/>
              <w:spacing w:before="76" w:line="276" w:lineRule="auto"/>
              <w:ind w:left="828" w:hanging="360"/>
              <w:rPr>
                <w:sz w:val="20"/>
                <w:lang w:eastAsia="ja-JP"/>
              </w:rPr>
            </w:pPr>
            <w:r>
              <w:rPr>
                <w:sz w:val="20"/>
                <w:lang w:eastAsia="ja-JP"/>
              </w:rPr>
              <w:t>3. 基準3: 一次アルミニウム製造(電解)に使用する電気の平均炭素強度が以下</w:t>
            </w:r>
            <w:r w:rsidR="00E73B7E">
              <w:rPr>
                <w:rFonts w:hint="eastAsia"/>
                <w:sz w:val="20"/>
                <w:lang w:eastAsia="ja-JP"/>
              </w:rPr>
              <w:t>の基準以下</w:t>
            </w:r>
            <w:r>
              <w:rPr>
                <w:sz w:val="20"/>
                <w:lang w:eastAsia="ja-JP"/>
              </w:rPr>
              <w:t>であること。</w:t>
            </w:r>
          </w:p>
          <w:p w14:paraId="7F166AC3" w14:textId="77777777" w:rsidR="005F38AA" w:rsidRDefault="009649F8">
            <w:pPr>
              <w:pStyle w:val="TableParagraph"/>
              <w:spacing w:before="81" w:line="276" w:lineRule="auto"/>
              <w:rPr>
                <w:sz w:val="20"/>
              </w:rPr>
            </w:pPr>
            <w:r>
              <w:rPr>
                <w:b/>
                <w:sz w:val="20"/>
              </w:rPr>
              <w:t>100g CO2e/kWh(発電の分類閾値、定期的な更新を条件とする)。</w:t>
            </w:r>
          </w:p>
        </w:tc>
      </w:tr>
    </w:tbl>
    <w:p w14:paraId="7F166AC5" w14:textId="08A52F78" w:rsidR="005F38AA" w:rsidRDefault="00520D32">
      <w:pPr>
        <w:pStyle w:val="a3"/>
        <w:spacing w:before="11"/>
        <w:rPr>
          <w:b/>
          <w:sz w:val="29"/>
        </w:rPr>
      </w:pPr>
      <w:r>
        <w:rPr>
          <w:noProof/>
          <w:lang w:val="en-US" w:eastAsia="ja-JP"/>
        </w:rPr>
        <mc:AlternateContent>
          <mc:Choice Requires="wps">
            <w:drawing>
              <wp:anchor distT="0" distB="0" distL="0" distR="0" simplePos="0" relativeHeight="251655168" behindDoc="1" locked="0" layoutInCell="1" allowOverlap="1" wp14:anchorId="7F166D99" wp14:editId="5A945C48">
                <wp:simplePos x="0" y="0"/>
                <wp:positionH relativeFrom="page">
                  <wp:posOffset>914400</wp:posOffset>
                </wp:positionH>
                <wp:positionV relativeFrom="paragraph">
                  <wp:posOffset>247015</wp:posOffset>
                </wp:positionV>
                <wp:extent cx="1829435" cy="0"/>
                <wp:effectExtent l="9525" t="6985" r="8890" b="1206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C4D5" id="Line 16"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16.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K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IttCb3rgCQiq1taE6elKvZqPpd4eUrlqi9jxyfDsbyMtCRvIuJWycgRt2/RfNIIYcvI6N&#10;OjW2C5DQAnSKepxvevCTRxQOs9lknj88YkQHX0KKIdFY5z9z3aFglFgC6QhMjhvnAxFSDCHhHqXX&#10;Qsoot1SoL/E0nT/FBKelYMEZwpzd7ypp0ZGEgYlfrAo892FWHxSLYC0nbHW1PRHyYsPlUgU8KAXo&#10;XK3LRPyYp/PVbDXLR/lkuhrlaV2PPq2rfDRdZ0+P9UNdVXX2M1DL8qIVjHEV2A3TmeV/p/71nVzm&#10;6jaftzYk79Fjv4Ds8I+ko5ZBvssg7DQ7b+2gMQxkDL4+njDx93uw75/48hcAAAD//wMAUEsDBBQA&#10;BgAIAAAAIQCTxgif3QAAAAkBAAAPAAAAZHJzL2Rvd25yZXYueG1sTI9BT4NAEIXvJv6HzZh4swsF&#10;DUWWRpuYmHiyas8LOwKRnSXsloK/3jEe6vG9eXnzvWI7215MOPrOkYJ4FYFAqp3pqFHw/vZ0k4Hw&#10;QZPRvSNUsKCHbXl5UejcuBO94rQPjeAS8rlW0IYw5FL6ukWr/coNSHz7dKPVgeXYSDPqE5fbXq6j&#10;6E5a3RF/aPWAuxbrr/3RKkineXn53uFjUj3HS3bbfCT+0Ct1fTU/3IMIOIdzGH7xGR1KZqrckYwX&#10;Pes05S1BQZJtQHAgTdYxiOrPkGUh/y8ofwAAAP//AwBQSwECLQAUAAYACAAAACEAtoM4kv4AAADh&#10;AQAAEwAAAAAAAAAAAAAAAAAAAAAAW0NvbnRlbnRfVHlwZXNdLnhtbFBLAQItABQABgAIAAAAIQA4&#10;/SH/1gAAAJQBAAALAAAAAAAAAAAAAAAAAC8BAABfcmVscy8ucmVsc1BLAQItABQABgAIAAAAIQDV&#10;+YdKFAIAACoEAAAOAAAAAAAAAAAAAAAAAC4CAABkcnMvZTJvRG9jLnhtbFBLAQItABQABgAIAAAA&#10;IQCTxgif3QAAAAkBAAAPAAAAAAAAAAAAAAAAAG4EAABkcnMvZG93bnJldi54bWxQSwUGAAAAAAQA&#10;BADzAAAAeAUAAAAA&#10;" strokeweight=".16936mm">
                <w10:wrap type="topAndBottom" anchorx="page"/>
              </v:line>
            </w:pict>
          </mc:Fallback>
        </mc:AlternateContent>
      </w:r>
    </w:p>
    <w:p w14:paraId="7F166AC6" w14:textId="77777777" w:rsidR="005F38AA" w:rsidRDefault="005F38AA">
      <w:pPr>
        <w:pStyle w:val="a3"/>
        <w:spacing w:before="4"/>
        <w:rPr>
          <w:b/>
          <w:sz w:val="25"/>
        </w:rPr>
      </w:pPr>
    </w:p>
    <w:p w14:paraId="7F166AC7" w14:textId="77777777" w:rsidR="005F38AA" w:rsidRDefault="009649F8">
      <w:pPr>
        <w:ind w:left="100"/>
        <w:rPr>
          <w:sz w:val="16"/>
        </w:rPr>
      </w:pPr>
      <w:r>
        <w:rPr>
          <w:position w:val="6"/>
          <w:sz w:val="10"/>
        </w:rPr>
        <w:t>204http://www.world-aluminium.org/statistics/primary-aluminium-smelting-power-consumption/#データ</w:t>
      </w:r>
      <w:hyperlink r:id="rId19" w:anchor="data"/>
    </w:p>
    <w:p w14:paraId="7F166AC8" w14:textId="77777777" w:rsidR="005F38AA" w:rsidRDefault="005F38AA">
      <w:pPr>
        <w:rPr>
          <w:sz w:val="16"/>
        </w:rPr>
        <w:sectPr w:rsidR="005F38AA">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065"/>
      </w:tblGrid>
      <w:tr w:rsidR="005F38AA" w14:paraId="7F166ACB" w14:textId="77777777">
        <w:trPr>
          <w:trHeight w:val="887"/>
        </w:trPr>
        <w:tc>
          <w:tcPr>
            <w:tcW w:w="2287" w:type="dxa"/>
          </w:tcPr>
          <w:p w14:paraId="7F166AC9" w14:textId="77777777" w:rsidR="005F38AA" w:rsidRDefault="005F38AA">
            <w:pPr>
              <w:pStyle w:val="TableParagraph"/>
              <w:spacing w:before="0"/>
              <w:ind w:left="0"/>
              <w:rPr>
                <w:rFonts w:ascii="Times New Roman"/>
                <w:sz w:val="18"/>
              </w:rPr>
            </w:pPr>
          </w:p>
        </w:tc>
        <w:tc>
          <w:tcPr>
            <w:tcW w:w="7065" w:type="dxa"/>
          </w:tcPr>
          <w:p w14:paraId="7F166ACA" w14:textId="77777777" w:rsidR="005F38AA" w:rsidRDefault="009649F8">
            <w:pPr>
              <w:pStyle w:val="TableParagraph"/>
              <w:numPr>
                <w:ilvl w:val="0"/>
                <w:numId w:val="55"/>
              </w:numPr>
              <w:tabs>
                <w:tab w:val="left" w:pos="828"/>
                <w:tab w:val="left" w:pos="829"/>
              </w:tabs>
              <w:spacing w:before="0" w:line="273" w:lineRule="auto"/>
              <w:ind w:right="266"/>
              <w:rPr>
                <w:sz w:val="20"/>
                <w:lang w:eastAsia="ja-JP"/>
              </w:rPr>
            </w:pPr>
            <w:r>
              <w:rPr>
                <w:sz w:val="20"/>
                <w:lang w:eastAsia="ja-JP"/>
              </w:rPr>
              <w:t>二次アルミニウムの製造(すなわち、再生アルミニウムからのアルミニウムの製造)が適格である。 追加の緩和基準を満たす必要はない。</w:t>
            </w:r>
          </w:p>
        </w:tc>
      </w:tr>
      <w:tr w:rsidR="005F38AA" w14:paraId="7F166ACD" w14:textId="77777777">
        <w:trPr>
          <w:trHeight w:val="383"/>
        </w:trPr>
        <w:tc>
          <w:tcPr>
            <w:tcW w:w="9352" w:type="dxa"/>
            <w:gridSpan w:val="2"/>
            <w:shd w:val="clear" w:color="auto" w:fill="4471C4"/>
          </w:tcPr>
          <w:p w14:paraId="7F166ACC" w14:textId="77777777" w:rsidR="005F38AA" w:rsidRDefault="009649F8">
            <w:pPr>
              <w:pStyle w:val="TableParagraph"/>
              <w:rPr>
                <w:b/>
                <w:sz w:val="20"/>
              </w:rPr>
            </w:pPr>
            <w:r>
              <w:rPr>
                <w:b/>
                <w:color w:val="FFFFFF"/>
                <w:sz w:val="20"/>
              </w:rPr>
              <w:t>根拠</w:t>
            </w:r>
          </w:p>
        </w:tc>
      </w:tr>
      <w:tr w:rsidR="005F38AA" w14:paraId="7F166ADC" w14:textId="77777777">
        <w:trPr>
          <w:trHeight w:val="10261"/>
        </w:trPr>
        <w:tc>
          <w:tcPr>
            <w:tcW w:w="9352" w:type="dxa"/>
            <w:gridSpan w:val="2"/>
          </w:tcPr>
          <w:p w14:paraId="7F166ACE" w14:textId="77777777" w:rsidR="005F38AA" w:rsidRDefault="009649F8">
            <w:pPr>
              <w:pStyle w:val="TableParagraph"/>
              <w:numPr>
                <w:ilvl w:val="0"/>
                <w:numId w:val="54"/>
              </w:numPr>
              <w:tabs>
                <w:tab w:val="left" w:pos="827"/>
                <w:tab w:val="left" w:pos="828"/>
              </w:tabs>
              <w:spacing w:before="39"/>
              <w:rPr>
                <w:sz w:val="20"/>
                <w:lang w:eastAsia="ja-JP"/>
              </w:rPr>
            </w:pPr>
            <w:r>
              <w:rPr>
                <w:sz w:val="20"/>
                <w:lang w:eastAsia="ja-JP"/>
              </w:rPr>
              <w:t>アルミニウムの製造に関連する排出は、主に電気の使用に関連している。</w:t>
            </w:r>
          </w:p>
          <w:p w14:paraId="7F166ACF" w14:textId="77777777" w:rsidR="005F38AA" w:rsidRDefault="009649F8">
            <w:pPr>
              <w:pStyle w:val="TableParagraph"/>
              <w:numPr>
                <w:ilvl w:val="0"/>
                <w:numId w:val="54"/>
              </w:numPr>
              <w:tabs>
                <w:tab w:val="left" w:pos="828"/>
              </w:tabs>
              <w:spacing w:before="23" w:line="264" w:lineRule="auto"/>
              <w:ind w:right="107"/>
              <w:jc w:val="both"/>
              <w:rPr>
                <w:sz w:val="20"/>
                <w:lang w:eastAsia="ja-JP"/>
              </w:rPr>
            </w:pPr>
            <w:r>
              <w:rPr>
                <w:sz w:val="20"/>
                <w:lang w:eastAsia="ja-JP"/>
              </w:rPr>
              <w:t>電気代は、生産コストの50%以上を占める。 したがって、アルミニウム産業にはエネルギー効率の改善を目指す強いインセンティブがある。</w:t>
            </w:r>
          </w:p>
          <w:p w14:paraId="7F166AD0" w14:textId="77777777" w:rsidR="005F38AA" w:rsidRDefault="009649F8">
            <w:pPr>
              <w:pStyle w:val="TableParagraph"/>
              <w:numPr>
                <w:ilvl w:val="0"/>
                <w:numId w:val="54"/>
              </w:numPr>
              <w:tabs>
                <w:tab w:val="left" w:pos="828"/>
              </w:tabs>
              <w:spacing w:before="11" w:line="273" w:lineRule="auto"/>
              <w:ind w:right="96"/>
              <w:jc w:val="both"/>
              <w:rPr>
                <w:sz w:val="20"/>
                <w:lang w:eastAsia="ja-JP"/>
              </w:rPr>
            </w:pPr>
            <w:r>
              <w:rPr>
                <w:sz w:val="20"/>
                <w:lang w:eastAsia="ja-JP"/>
              </w:rPr>
              <w:t>気候変動緩和に大きく貢献するためのアルミニウム生産の重要な行動は、低炭素電力の利用割合を増加させることである。 短期的には、利用可能な低炭素電力が、地域によっては制限要因となる可能性があることが認識されている。 これは、中期的には、十分な低炭素電力が利用できるようになると変化するであろう。</w:t>
            </w:r>
          </w:p>
          <w:p w14:paraId="7F166AD1" w14:textId="77777777" w:rsidR="005F38AA" w:rsidRDefault="009649F8">
            <w:pPr>
              <w:pStyle w:val="TableParagraph"/>
              <w:numPr>
                <w:ilvl w:val="0"/>
                <w:numId w:val="54"/>
              </w:numPr>
              <w:tabs>
                <w:tab w:val="left" w:pos="828"/>
              </w:tabs>
              <w:spacing w:before="0" w:line="271" w:lineRule="auto"/>
              <w:ind w:right="102"/>
              <w:jc w:val="both"/>
              <w:rPr>
                <w:sz w:val="20"/>
                <w:lang w:eastAsia="ja-JP"/>
              </w:rPr>
            </w:pPr>
            <w:r>
              <w:rPr>
                <w:sz w:val="20"/>
                <w:lang w:eastAsia="ja-JP"/>
              </w:rPr>
              <w:t>気候変動緩和に大きく貢献するためのアルミニウム生産の第2の行動は、プロセスの直接排出量と、オンサイトエネルギー生産のための燃料使用による排出量を削減することである。</w:t>
            </w:r>
          </w:p>
          <w:p w14:paraId="7F166AD2" w14:textId="77777777" w:rsidR="005F38AA" w:rsidRDefault="009649F8">
            <w:pPr>
              <w:pStyle w:val="TableParagraph"/>
              <w:numPr>
                <w:ilvl w:val="0"/>
                <w:numId w:val="54"/>
              </w:numPr>
              <w:tabs>
                <w:tab w:val="left" w:pos="828"/>
              </w:tabs>
              <w:spacing w:before="0" w:line="273" w:lineRule="auto"/>
              <w:ind w:right="98"/>
              <w:jc w:val="both"/>
              <w:rPr>
                <w:sz w:val="20"/>
                <w:lang w:eastAsia="ja-JP"/>
              </w:rPr>
            </w:pPr>
            <w:r>
              <w:rPr>
                <w:sz w:val="20"/>
                <w:lang w:eastAsia="ja-JP"/>
              </w:rPr>
              <w:t>アルミニウム製造設備は、電力需要の積極的な管理によって電力系統の安定化に重要な役割を果たすことが認識されている。 これは、例えば、電力貯蔵施設の必要性を制限することによって、実質的な緩和寄与をもたらす可能性がある。 しかし、これらの影響を定量化するための利用可能な指標が不足していることを考えると、これらの便益は現段階では考慮されていない。</w:t>
            </w:r>
          </w:p>
          <w:p w14:paraId="7F166AD3" w14:textId="77777777" w:rsidR="005F38AA" w:rsidRDefault="009649F8">
            <w:pPr>
              <w:pStyle w:val="TableParagraph"/>
              <w:numPr>
                <w:ilvl w:val="0"/>
                <w:numId w:val="54"/>
              </w:numPr>
              <w:tabs>
                <w:tab w:val="left" w:pos="827"/>
                <w:tab w:val="left" w:pos="828"/>
              </w:tabs>
              <w:spacing w:before="0" w:line="273" w:lineRule="auto"/>
              <w:ind w:right="294"/>
              <w:rPr>
                <w:sz w:val="20"/>
                <w:lang w:eastAsia="ja-JP"/>
              </w:rPr>
            </w:pPr>
            <w:r>
              <w:rPr>
                <w:sz w:val="20"/>
                <w:lang w:eastAsia="ja-JP"/>
              </w:rPr>
              <w:t>アルミニウムは、低炭素経済において、特に軽量製品と電化(送電線を含む)を可能にする役割を果たすことが認識されている。 このような用途は、「他の低炭素技術の製造」活動の下で適格であるとみなすこともできる。ただし、当該活動の基準に従って実質的な排出削減を実証できることを条件とする。 さらに、鋼やプラスチックのような他の多くの建築材料と比較して、アルミニウム製造のための現在のプロセスは、低炭素電力の使用によって、脱炭酸が容易である。</w:t>
            </w:r>
          </w:p>
          <w:p w14:paraId="7F166AD4" w14:textId="77777777" w:rsidR="005F38AA" w:rsidRDefault="009649F8">
            <w:pPr>
              <w:pStyle w:val="TableParagraph"/>
              <w:numPr>
                <w:ilvl w:val="0"/>
                <w:numId w:val="54"/>
              </w:numPr>
              <w:tabs>
                <w:tab w:val="left" w:pos="828"/>
              </w:tabs>
              <w:spacing w:before="2" w:line="261" w:lineRule="auto"/>
              <w:ind w:right="109"/>
              <w:jc w:val="both"/>
              <w:rPr>
                <w:sz w:val="20"/>
                <w:lang w:eastAsia="ja-JP"/>
              </w:rPr>
            </w:pPr>
            <w:r>
              <w:rPr>
                <w:sz w:val="20"/>
                <w:lang w:eastAsia="ja-JP"/>
              </w:rPr>
              <w:t>アルミニウムのリサイクルはすべて、一次生産よりも排出量がはるかに少ないことから、気候変動緩和に大きく貢献すると考えられている。</w:t>
            </w:r>
          </w:p>
          <w:p w14:paraId="7F166AD5" w14:textId="77777777" w:rsidR="005F38AA" w:rsidRDefault="009649F8">
            <w:pPr>
              <w:pStyle w:val="TableParagraph"/>
              <w:spacing w:before="93"/>
              <w:rPr>
                <w:sz w:val="20"/>
              </w:rPr>
            </w:pPr>
            <w:r>
              <w:rPr>
                <w:sz w:val="20"/>
              </w:rPr>
              <w:t>対象となる排出量は、</w:t>
            </w:r>
          </w:p>
          <w:p w14:paraId="7F166AD6" w14:textId="77777777" w:rsidR="005F38AA" w:rsidRDefault="009649F8">
            <w:pPr>
              <w:pStyle w:val="TableParagraph"/>
              <w:numPr>
                <w:ilvl w:val="0"/>
                <w:numId w:val="54"/>
              </w:numPr>
              <w:tabs>
                <w:tab w:val="left" w:pos="828"/>
              </w:tabs>
              <w:spacing w:before="115" w:line="261" w:lineRule="auto"/>
              <w:ind w:right="104"/>
              <w:jc w:val="both"/>
              <w:rPr>
                <w:sz w:val="20"/>
                <w:lang w:eastAsia="ja-JP"/>
              </w:rPr>
            </w:pPr>
            <w:r>
              <w:rPr>
                <w:sz w:val="20"/>
                <w:lang w:eastAsia="ja-JP"/>
              </w:rPr>
              <w:t>スコープ1は、生産に関連するすべての直接排出(プロセスの直接排出およびオンサイトエネルギー生産のための燃料使用による排出)である。</w:t>
            </w:r>
          </w:p>
          <w:p w14:paraId="7F166AD7" w14:textId="77777777" w:rsidR="005F38AA" w:rsidRDefault="009649F8">
            <w:pPr>
              <w:pStyle w:val="TableParagraph"/>
              <w:numPr>
                <w:ilvl w:val="0"/>
                <w:numId w:val="54"/>
              </w:numPr>
              <w:tabs>
                <w:tab w:val="left" w:pos="828"/>
              </w:tabs>
              <w:spacing w:before="16" w:line="261" w:lineRule="auto"/>
              <w:ind w:right="110"/>
              <w:jc w:val="both"/>
              <w:rPr>
                <w:sz w:val="20"/>
                <w:lang w:eastAsia="ja-JP"/>
              </w:rPr>
            </w:pPr>
            <w:r>
              <w:rPr>
                <w:sz w:val="20"/>
                <w:lang w:eastAsia="ja-JP"/>
              </w:rPr>
              <w:t>スコープ2:電解プロセスの電力消費と、使用する電力の発電に伴う排出量。</w:t>
            </w:r>
          </w:p>
          <w:p w14:paraId="7F166AD8" w14:textId="77777777" w:rsidR="005F38AA" w:rsidRDefault="009649F8">
            <w:pPr>
              <w:pStyle w:val="TableParagraph"/>
              <w:spacing w:before="96"/>
              <w:rPr>
                <w:sz w:val="20"/>
              </w:rPr>
            </w:pPr>
            <w:r>
              <w:rPr>
                <w:sz w:val="20"/>
              </w:rPr>
              <w:t>情報源:</w:t>
            </w:r>
          </w:p>
          <w:p w14:paraId="7F166AD9" w14:textId="77777777" w:rsidR="005F38AA" w:rsidRDefault="009649F8">
            <w:pPr>
              <w:pStyle w:val="TableParagraph"/>
              <w:numPr>
                <w:ilvl w:val="0"/>
                <w:numId w:val="54"/>
              </w:numPr>
              <w:tabs>
                <w:tab w:val="left" w:pos="827"/>
                <w:tab w:val="left" w:pos="828"/>
              </w:tabs>
              <w:spacing w:before="112" w:line="264" w:lineRule="auto"/>
              <w:ind w:right="219"/>
              <w:rPr>
                <w:sz w:val="20"/>
              </w:rPr>
            </w:pPr>
            <w:r>
              <w:rPr>
                <w:sz w:val="20"/>
              </w:rPr>
              <w:t>ASI Performance Standard, version 2, 2017年12月、https://aluminium-stewardship.org/asi-規格/asi-performance</w:t>
            </w:r>
            <w:hyperlink r:id="rId20"/>
            <w:hyperlink r:id="rId21"/>
          </w:p>
          <w:p w14:paraId="7F166ADA" w14:textId="77777777" w:rsidR="005F38AA" w:rsidRDefault="009649F8">
            <w:pPr>
              <w:pStyle w:val="TableParagraph"/>
              <w:numPr>
                <w:ilvl w:val="0"/>
                <w:numId w:val="54"/>
              </w:numPr>
              <w:tabs>
                <w:tab w:val="left" w:pos="827"/>
                <w:tab w:val="left" w:pos="828"/>
              </w:tabs>
              <w:spacing w:before="12" w:line="261" w:lineRule="auto"/>
              <w:ind w:right="404"/>
              <w:rPr>
                <w:sz w:val="20"/>
                <w:lang w:eastAsia="ja-JP"/>
              </w:rPr>
            </w:pPr>
            <w:r>
              <w:rPr>
                <w:sz w:val="20"/>
                <w:lang w:eastAsia="ja-JP"/>
              </w:rPr>
              <w:t>ETSで排出枠の無償割当と定義されるCO2ベンチマーク:1.514排出枠/トンAl</w:t>
            </w:r>
          </w:p>
          <w:p w14:paraId="7F166ADB" w14:textId="77777777" w:rsidR="005F38AA" w:rsidRDefault="009649F8">
            <w:pPr>
              <w:pStyle w:val="TableParagraph"/>
              <w:numPr>
                <w:ilvl w:val="0"/>
                <w:numId w:val="54"/>
              </w:numPr>
              <w:tabs>
                <w:tab w:val="left" w:pos="828"/>
              </w:tabs>
              <w:spacing w:before="14" w:line="264" w:lineRule="auto"/>
              <w:ind w:right="188"/>
              <w:jc w:val="both"/>
              <w:rPr>
                <w:sz w:val="20"/>
                <w:lang w:eastAsia="ja-JP"/>
              </w:rPr>
            </w:pPr>
            <w:r>
              <w:rPr>
                <w:sz w:val="20"/>
                <w:lang w:eastAsia="ja-JP"/>
              </w:rPr>
              <w:t>国際アルミニウム協会:http://www.world-aluminium.org/statistics/primary-aluminium-精錬エネルギー原単位/</w:t>
            </w:r>
            <w:hyperlink r:id="rId22"/>
            <w:hyperlink r:id="rId23"/>
          </w:p>
        </w:tc>
      </w:tr>
      <w:tr w:rsidR="005F38AA" w14:paraId="7F166ADE" w14:textId="77777777">
        <w:trPr>
          <w:trHeight w:val="386"/>
        </w:trPr>
        <w:tc>
          <w:tcPr>
            <w:tcW w:w="9352" w:type="dxa"/>
            <w:gridSpan w:val="2"/>
            <w:shd w:val="clear" w:color="auto" w:fill="4471C4"/>
          </w:tcPr>
          <w:p w14:paraId="7F166ADD" w14:textId="378A24DD" w:rsidR="005F38AA" w:rsidRDefault="009649F8" w:rsidP="00E73B7E">
            <w:pPr>
              <w:pStyle w:val="TableParagraph"/>
              <w:rPr>
                <w:b/>
                <w:sz w:val="20"/>
                <w:lang w:eastAsia="ja-JP"/>
              </w:rPr>
            </w:pPr>
            <w:r>
              <w:rPr>
                <w:b/>
                <w:color w:val="FFFFFF"/>
                <w:sz w:val="20"/>
                <w:lang w:eastAsia="ja-JP"/>
              </w:rPr>
              <w:t>重大な有害性</w:t>
            </w:r>
          </w:p>
        </w:tc>
      </w:tr>
    </w:tbl>
    <w:p w14:paraId="7F166ADF" w14:textId="77777777" w:rsidR="005F38AA" w:rsidRDefault="005F38AA">
      <w:pPr>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065"/>
      </w:tblGrid>
      <w:tr w:rsidR="005F38AA" w14:paraId="7F166AE4" w14:textId="77777777">
        <w:trPr>
          <w:trHeight w:val="3943"/>
        </w:trPr>
        <w:tc>
          <w:tcPr>
            <w:tcW w:w="9352" w:type="dxa"/>
            <w:gridSpan w:val="2"/>
          </w:tcPr>
          <w:p w14:paraId="7F166AE0" w14:textId="77777777" w:rsidR="005F38AA" w:rsidRDefault="009649F8">
            <w:pPr>
              <w:pStyle w:val="TableParagraph"/>
              <w:spacing w:line="276" w:lineRule="auto"/>
              <w:ind w:right="944"/>
              <w:rPr>
                <w:sz w:val="20"/>
                <w:lang w:eastAsia="ja-JP"/>
              </w:rPr>
            </w:pPr>
            <w:r>
              <w:rPr>
                <w:sz w:val="20"/>
                <w:lang w:eastAsia="ja-JP"/>
              </w:rPr>
              <w:lastRenderedPageBreak/>
              <w:t>アルミニウムの製造による他の環境目的への重大な潜在的損害は、次のようなものである。</w:t>
            </w:r>
          </w:p>
          <w:p w14:paraId="7F166AE1" w14:textId="77777777" w:rsidR="005F38AA" w:rsidRDefault="009649F8">
            <w:pPr>
              <w:pStyle w:val="TableParagraph"/>
              <w:numPr>
                <w:ilvl w:val="0"/>
                <w:numId w:val="53"/>
              </w:numPr>
              <w:tabs>
                <w:tab w:val="left" w:pos="827"/>
                <w:tab w:val="left" w:pos="828"/>
              </w:tabs>
              <w:spacing w:before="82" w:line="273" w:lineRule="auto"/>
              <w:ind w:right="396"/>
              <w:rPr>
                <w:sz w:val="20"/>
                <w:lang w:eastAsia="ja-JP"/>
              </w:rPr>
            </w:pPr>
            <w:r>
              <w:rPr>
                <w:sz w:val="20"/>
                <w:lang w:eastAsia="ja-JP"/>
              </w:rPr>
              <w:t>重大な大気排出影響の可能性:パーフルオロカーボン、フッ化物ガス、多環式芳香族炭化水素(PAH)、および粒子状物質(未使用氷晶石など)。 フッ化水素は植物に対して毒性を示すことがある。</w:t>
            </w:r>
          </w:p>
          <w:p w14:paraId="7F166AE2" w14:textId="77777777" w:rsidR="005F38AA" w:rsidRDefault="009649F8">
            <w:pPr>
              <w:pStyle w:val="TableParagraph"/>
              <w:numPr>
                <w:ilvl w:val="0"/>
                <w:numId w:val="53"/>
              </w:numPr>
              <w:tabs>
                <w:tab w:val="left" w:pos="827"/>
                <w:tab w:val="left" w:pos="828"/>
              </w:tabs>
              <w:spacing w:before="3" w:line="273" w:lineRule="auto"/>
              <w:ind w:right="155"/>
              <w:rPr>
                <w:sz w:val="20"/>
                <w:lang w:eastAsia="ja-JP"/>
              </w:rPr>
            </w:pPr>
            <w:r>
              <w:rPr>
                <w:sz w:val="20"/>
                <w:lang w:eastAsia="ja-JP"/>
              </w:rPr>
              <w:t>使用済みのライニング(カソード)によって電解セル(使用済みポットライニング(SPL)として知られる)から発生する廃棄物の毒性、腐食性および反応性。 SPL物質からの溶存フッ化物およびシアン化物は、地下水汚染や地域の水路の汚染など、著しい環境影響を引き起こす可能性がある。</w:t>
            </w:r>
          </w:p>
          <w:p w14:paraId="7F166AE3" w14:textId="77777777" w:rsidR="005F38AA" w:rsidRDefault="009649F8">
            <w:pPr>
              <w:pStyle w:val="TableParagraph"/>
              <w:numPr>
                <w:ilvl w:val="0"/>
                <w:numId w:val="53"/>
              </w:numPr>
              <w:tabs>
                <w:tab w:val="left" w:pos="827"/>
                <w:tab w:val="left" w:pos="828"/>
              </w:tabs>
              <w:spacing w:before="4" w:line="273" w:lineRule="auto"/>
              <w:ind w:right="135"/>
              <w:rPr>
                <w:sz w:val="20"/>
                <w:lang w:eastAsia="ja-JP"/>
              </w:rPr>
            </w:pPr>
            <w:r>
              <w:rPr>
                <w:sz w:val="20"/>
                <w:lang w:eastAsia="ja-JP"/>
              </w:rPr>
              <w:t>アルミニウム製造プラントが、アルミニウムスクラップ(自社の製造工程から発生するスクラップを含む)を生産工程に組み込む能力(またはそれらを欠く);および、敷地の敷地面積と汚染物質の排出による生態系への影響の可能性。</w:t>
            </w:r>
          </w:p>
        </w:tc>
      </w:tr>
      <w:tr w:rsidR="005F38AA" w14:paraId="7F166AE7" w14:textId="77777777">
        <w:trPr>
          <w:trHeight w:val="383"/>
        </w:trPr>
        <w:tc>
          <w:tcPr>
            <w:tcW w:w="2287" w:type="dxa"/>
          </w:tcPr>
          <w:p w14:paraId="7F166AE5" w14:textId="77777777" w:rsidR="005F38AA" w:rsidRDefault="009649F8">
            <w:pPr>
              <w:pStyle w:val="TableParagraph"/>
              <w:rPr>
                <w:sz w:val="20"/>
              </w:rPr>
            </w:pPr>
            <w:r>
              <w:rPr>
                <w:sz w:val="20"/>
              </w:rPr>
              <w:t>(2)適応</w:t>
            </w:r>
          </w:p>
        </w:tc>
        <w:tc>
          <w:tcPr>
            <w:tcW w:w="7065" w:type="dxa"/>
          </w:tcPr>
          <w:p w14:paraId="7F166AE6" w14:textId="77777777" w:rsidR="005F38AA" w:rsidRDefault="009649F8">
            <w:pPr>
              <w:pStyle w:val="TableParagraph"/>
              <w:rPr>
                <w:sz w:val="20"/>
                <w:lang w:eastAsia="ja-JP"/>
              </w:rPr>
            </w:pPr>
            <w:r>
              <w:rPr>
                <w:sz w:val="20"/>
                <w:lang w:eastAsia="ja-JP"/>
              </w:rPr>
              <w:t>気候変動への適応に関するDNSHのスクリーニング基準を参照のこと。</w:t>
            </w:r>
          </w:p>
        </w:tc>
      </w:tr>
      <w:tr w:rsidR="005F38AA" w14:paraId="7F166AEB" w14:textId="77777777">
        <w:trPr>
          <w:trHeight w:val="1550"/>
        </w:trPr>
        <w:tc>
          <w:tcPr>
            <w:tcW w:w="2287" w:type="dxa"/>
          </w:tcPr>
          <w:p w14:paraId="7F166AE8" w14:textId="77777777" w:rsidR="005F38AA" w:rsidRDefault="009649F8">
            <w:pPr>
              <w:pStyle w:val="TableParagraph"/>
              <w:spacing w:before="42"/>
              <w:rPr>
                <w:sz w:val="20"/>
              </w:rPr>
            </w:pPr>
            <w:r>
              <w:rPr>
                <w:sz w:val="20"/>
              </w:rPr>
              <w:t>(3) 水</w:t>
            </w:r>
          </w:p>
        </w:tc>
        <w:tc>
          <w:tcPr>
            <w:tcW w:w="7065" w:type="dxa"/>
          </w:tcPr>
          <w:p w14:paraId="7F166AE9" w14:textId="77777777" w:rsidR="005F38AA" w:rsidRDefault="009649F8">
            <w:pPr>
              <w:pStyle w:val="TableParagraph"/>
              <w:numPr>
                <w:ilvl w:val="0"/>
                <w:numId w:val="52"/>
              </w:numPr>
              <w:tabs>
                <w:tab w:val="left" w:pos="468"/>
                <w:tab w:val="left" w:pos="469"/>
              </w:tabs>
              <w:spacing w:before="43" w:line="273" w:lineRule="auto"/>
              <w:ind w:right="118"/>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AEA" w14:textId="77777777" w:rsidR="005F38AA" w:rsidRDefault="009649F8">
            <w:pPr>
              <w:pStyle w:val="TableParagraph"/>
              <w:numPr>
                <w:ilvl w:val="0"/>
                <w:numId w:val="52"/>
              </w:numPr>
              <w:tabs>
                <w:tab w:val="left" w:pos="468"/>
                <w:tab w:val="left" w:pos="469"/>
              </w:tabs>
              <w:spacing w:before="84"/>
              <w:rPr>
                <w:sz w:val="20"/>
                <w:lang w:eastAsia="ja-JP"/>
              </w:rPr>
            </w:pPr>
            <w:r>
              <w:rPr>
                <w:sz w:val="20"/>
                <w:lang w:eastAsia="ja-JP"/>
              </w:rPr>
              <w:t>EUでは、EU水関連法規の要件を満たす。</w:t>
            </w:r>
          </w:p>
        </w:tc>
      </w:tr>
      <w:tr w:rsidR="005F38AA" w14:paraId="7F166AF0" w14:textId="77777777">
        <w:trPr>
          <w:trHeight w:val="2925"/>
        </w:trPr>
        <w:tc>
          <w:tcPr>
            <w:tcW w:w="2287" w:type="dxa"/>
          </w:tcPr>
          <w:p w14:paraId="7F166AEC" w14:textId="49B516EA" w:rsidR="005F38AA" w:rsidRDefault="00E73B7E">
            <w:pPr>
              <w:pStyle w:val="TableParagraph"/>
              <w:rPr>
                <w:sz w:val="20"/>
                <w:lang w:eastAsia="ja-JP"/>
              </w:rPr>
            </w:pPr>
            <w:r>
              <w:rPr>
                <w:rFonts w:hint="eastAsia"/>
                <w:sz w:val="20"/>
                <w:lang w:eastAsia="ja-JP"/>
              </w:rPr>
              <w:t>(4) サーキュラーエコノミー</w:t>
            </w:r>
          </w:p>
        </w:tc>
        <w:tc>
          <w:tcPr>
            <w:tcW w:w="7065" w:type="dxa"/>
          </w:tcPr>
          <w:p w14:paraId="7F166AED" w14:textId="77777777" w:rsidR="005F38AA" w:rsidRDefault="009649F8">
            <w:pPr>
              <w:pStyle w:val="TableParagraph"/>
              <w:spacing w:line="276" w:lineRule="auto"/>
              <w:rPr>
                <w:sz w:val="20"/>
                <w:lang w:eastAsia="ja-JP"/>
              </w:rPr>
            </w:pPr>
            <w:r>
              <w:rPr>
                <w:sz w:val="20"/>
                <w:lang w:eastAsia="ja-JP"/>
              </w:rPr>
              <w:t>非鉄金属工業のためのBREFに従って、廃棄物(有害廃棄物を含む)および材料の使用を最小限に抑え、管理するための措置が講じられている。</w:t>
            </w:r>
          </w:p>
          <w:p w14:paraId="7F166AEE" w14:textId="77777777" w:rsidR="005F38AA" w:rsidRDefault="005F38AA">
            <w:pPr>
              <w:pStyle w:val="TableParagraph"/>
              <w:spacing w:before="0"/>
              <w:ind w:left="0"/>
              <w:rPr>
                <w:lang w:eastAsia="ja-JP"/>
              </w:rPr>
            </w:pPr>
          </w:p>
          <w:p w14:paraId="7F166AEF" w14:textId="433CE6AD" w:rsidR="005F38AA" w:rsidRDefault="00E73B7E">
            <w:pPr>
              <w:pStyle w:val="TableParagraph"/>
              <w:spacing w:before="173" w:line="276" w:lineRule="auto"/>
              <w:ind w:right="183"/>
              <w:rPr>
                <w:sz w:val="20"/>
                <w:lang w:eastAsia="ja-JP"/>
              </w:rPr>
            </w:pPr>
            <w:r>
              <w:rPr>
                <w:rFonts w:hint="eastAsia"/>
                <w:sz w:val="20"/>
                <w:lang w:eastAsia="ja-JP"/>
              </w:rPr>
              <w:t>サーキュラーエコノミー</w:t>
            </w:r>
            <w:r w:rsidR="009649F8">
              <w:rPr>
                <w:sz w:val="20"/>
                <w:lang w:eastAsia="ja-JP"/>
              </w:rPr>
              <w:t>に対するリスクを回避するために、アルミニウム製造プラントはアルミニウムスクラップを処理できる必要がある。 不必要な資源・エネルギー消費を避けるために、アルミニウムスクラップの回収・分別活動は合金別に最適化されるべきである。 スクラップ合金を混合すると、再生材料の機能性が制限され、有価合金元素が失われる可能性がある。</w:t>
            </w:r>
          </w:p>
        </w:tc>
      </w:tr>
      <w:tr w:rsidR="005F38AA" w14:paraId="7F166AF4" w14:textId="77777777">
        <w:trPr>
          <w:trHeight w:val="2052"/>
        </w:trPr>
        <w:tc>
          <w:tcPr>
            <w:tcW w:w="2287" w:type="dxa"/>
          </w:tcPr>
          <w:p w14:paraId="7F166AF1" w14:textId="77777777" w:rsidR="005F38AA" w:rsidRDefault="009649F8">
            <w:pPr>
              <w:pStyle w:val="TableParagraph"/>
              <w:rPr>
                <w:sz w:val="20"/>
              </w:rPr>
            </w:pPr>
            <w:r>
              <w:rPr>
                <w:sz w:val="20"/>
              </w:rPr>
              <w:t>(5)汚染</w:t>
            </w:r>
          </w:p>
        </w:tc>
        <w:tc>
          <w:tcPr>
            <w:tcW w:w="7065" w:type="dxa"/>
          </w:tcPr>
          <w:p w14:paraId="7F166AF2" w14:textId="77777777" w:rsidR="005F38AA" w:rsidRDefault="009649F8">
            <w:pPr>
              <w:pStyle w:val="TableParagraph"/>
              <w:spacing w:line="276" w:lineRule="auto"/>
              <w:ind w:right="31"/>
              <w:rPr>
                <w:sz w:val="13"/>
                <w:lang w:eastAsia="ja-JP"/>
              </w:rPr>
            </w:pPr>
            <w:r>
              <w:rPr>
                <w:position w:val="1"/>
                <w:sz w:val="20"/>
                <w:lang w:eastAsia="ja-JP"/>
              </w:rPr>
              <w:t>大気への排出(二酸化硫黄-SO2、窒素酸化物-NOx、粒子状物質、全有機炭素(TOC)、ダイオキシン、水銀(Hg)、塩化水素(HCL)、フッ化水素(HF)、全フッ化物、および(PFCs)多フッ化炭化水素(PFCs)))は、非鉄金属工業のBREFで設定されたBAT-AEL範囲内である。</w:t>
            </w:r>
            <w:r>
              <w:rPr>
                <w:sz w:val="20"/>
                <w:lang w:eastAsia="ja-JP"/>
              </w:rPr>
              <w:t xml:space="preserve"> 205</w:t>
            </w:r>
          </w:p>
          <w:p w14:paraId="7F166AF3" w14:textId="77777777" w:rsidR="005F38AA" w:rsidRDefault="009649F8">
            <w:pPr>
              <w:pStyle w:val="TableParagraph"/>
              <w:spacing w:before="80" w:line="276" w:lineRule="auto"/>
              <w:rPr>
                <w:sz w:val="20"/>
                <w:lang w:eastAsia="ja-JP"/>
              </w:rPr>
            </w:pPr>
            <w:r>
              <w:rPr>
                <w:sz w:val="20"/>
                <w:lang w:eastAsia="ja-JP"/>
              </w:rPr>
              <w:t>活動が地域の大気汚染レベルに大きく寄与し、大気質基準を超える場合は、厳しいレベルのBAT-AELが要求される。</w:t>
            </w:r>
          </w:p>
        </w:tc>
      </w:tr>
    </w:tbl>
    <w:p w14:paraId="7F166AF5" w14:textId="77777777" w:rsidR="005F38AA" w:rsidRDefault="005F38AA">
      <w:pPr>
        <w:pStyle w:val="a3"/>
        <w:rPr>
          <w:lang w:eastAsia="ja-JP"/>
        </w:rPr>
      </w:pPr>
    </w:p>
    <w:p w14:paraId="7F166AF6" w14:textId="3AFF26A4" w:rsidR="005F38AA" w:rsidRDefault="00520D32">
      <w:pPr>
        <w:pStyle w:val="a3"/>
        <w:spacing w:before="10"/>
        <w:rPr>
          <w:sz w:val="27"/>
          <w:lang w:eastAsia="ja-JP"/>
        </w:rPr>
      </w:pPr>
      <w:r>
        <w:rPr>
          <w:noProof/>
          <w:lang w:val="en-US" w:eastAsia="ja-JP"/>
        </w:rPr>
        <mc:AlternateContent>
          <mc:Choice Requires="wps">
            <w:drawing>
              <wp:anchor distT="0" distB="0" distL="0" distR="0" simplePos="0" relativeHeight="251656192" behindDoc="1" locked="0" layoutInCell="1" allowOverlap="1" wp14:anchorId="7F166D9A" wp14:editId="68E52D13">
                <wp:simplePos x="0" y="0"/>
                <wp:positionH relativeFrom="page">
                  <wp:posOffset>914400</wp:posOffset>
                </wp:positionH>
                <wp:positionV relativeFrom="paragraph">
                  <wp:posOffset>231775</wp:posOffset>
                </wp:positionV>
                <wp:extent cx="1829435" cy="0"/>
                <wp:effectExtent l="9525" t="10795" r="8890" b="825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82BC" id="Line 15"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1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cE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URbKE3vXEFhFRqa0N19KRezUbT7w4pXbVE7Xnk+HY2kJeFjORdStg4Azfs+i+aQQw5eB0b&#10;dWpsFyChBegU9Tjf9OAnjygcZrPJPH8AXnTwJaQYEo11/jPXHQpGiSWQjsDkuHE+ECHFEBLuUXot&#10;pIxyS4X6Ek/T+VNMcFoKFpwhzNn9rpIWHUkYmPjFqsBzH2b1QbEI1nLCVlfbEyEvNlwuVcCDUoDO&#10;1bpMxI95Ol/NVrN8lE+mq1Ge1vXo07rKR9N19vRYP9RVVWc/A7UsL1rBGFeB3TCdWf536l/fyWWu&#10;bvN5a0PyHj32C8gO/0g6ahnkuwzCTrPz1g4aw0DG4OvjCRN/vwf7/okvfwEAAP//AwBQSwMEFAAG&#10;AAgAAAAhAJSnrUbdAAAACQEAAA8AAABkcnMvZG93bnJldi54bWxMj81OwzAQhO9IvIO1SNyokyat&#10;qhCngkpISJwoP2cnXpIIex3Fbprw9CziAMeZHc1+U+5nZ8WEY+g9KUhXCQikxpueWgWvLw83OxAh&#10;ajLaekIFCwbYV5cXpS6MP9MzTsfYCi6hUGgFXYxDIWVoOnQ6rPyAxLcPPzodWY6tNKM+c7mzcp0k&#10;W+l0T/yh0wMeOmw+jyenIJ/m5enrgPdZ/Zguu037loV3q9T11Xx3CyLiHP/C8IPP6FAxU+1PZIKw&#10;rPOct0QF2XYDggN5tk5B1L+GrEr5f0H1DQAA//8DAFBLAQItABQABgAIAAAAIQC2gziS/gAAAOEB&#10;AAATAAAAAAAAAAAAAAAAAAAAAABbQ29udGVudF9UeXBlc10ueG1sUEsBAi0AFAAGAAgAAAAhADj9&#10;If/WAAAAlAEAAAsAAAAAAAAAAAAAAAAALwEAAF9yZWxzLy5yZWxzUEsBAi0AFAAGAAgAAAAhAGi4&#10;RwQTAgAAKgQAAA4AAAAAAAAAAAAAAAAALgIAAGRycy9lMm9Eb2MueG1sUEsBAi0AFAAGAAgAAAAh&#10;AJSnrUbdAAAACQEAAA8AAAAAAAAAAAAAAAAAbQQAAGRycy9kb3ducmV2LnhtbFBLBQYAAAAABAAE&#10;APMAAAB3BQAAAAA=&#10;" strokeweight=".16936mm">
                <w10:wrap type="topAndBottom" anchorx="page"/>
              </v:line>
            </w:pict>
          </mc:Fallback>
        </mc:AlternateContent>
      </w:r>
    </w:p>
    <w:p w14:paraId="7F166AF7" w14:textId="77777777" w:rsidR="005F38AA" w:rsidRDefault="005F38AA">
      <w:pPr>
        <w:pStyle w:val="a3"/>
        <w:spacing w:before="4"/>
        <w:rPr>
          <w:sz w:val="17"/>
          <w:lang w:eastAsia="ja-JP"/>
        </w:rPr>
      </w:pPr>
    </w:p>
    <w:p w14:paraId="7F166AF8" w14:textId="77777777" w:rsidR="005F38AA" w:rsidRDefault="009649F8">
      <w:pPr>
        <w:spacing w:before="96"/>
        <w:ind w:left="100"/>
        <w:rPr>
          <w:sz w:val="16"/>
          <w:lang w:eastAsia="ja-JP"/>
        </w:rPr>
      </w:pPr>
      <w:r>
        <w:rPr>
          <w:sz w:val="16"/>
          <w:lang w:eastAsia="ja-JP"/>
        </w:rPr>
        <w:t>205 https://eur-lex.europa.eu/legal-content/EN/TXT/?uri=uriserv:OJ.L_.2016.174.01.0032.01.ENG</w:t>
      </w:r>
      <w:hyperlink r:id="rId24"/>
    </w:p>
    <w:p w14:paraId="7F166AF9" w14:textId="77777777" w:rsidR="005F38AA" w:rsidRDefault="005F38AA">
      <w:pPr>
        <w:rPr>
          <w:sz w:val="16"/>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065"/>
      </w:tblGrid>
      <w:tr w:rsidR="005F38AA" w14:paraId="7F166AFC" w14:textId="77777777">
        <w:trPr>
          <w:trHeight w:val="873"/>
        </w:trPr>
        <w:tc>
          <w:tcPr>
            <w:tcW w:w="2287" w:type="dxa"/>
          </w:tcPr>
          <w:p w14:paraId="7F166AFA" w14:textId="77777777" w:rsidR="005F38AA" w:rsidRDefault="005F38AA">
            <w:pPr>
              <w:pStyle w:val="TableParagraph"/>
              <w:spacing w:before="0"/>
              <w:ind w:left="0"/>
              <w:rPr>
                <w:rFonts w:ascii="Times New Roman"/>
                <w:sz w:val="18"/>
                <w:lang w:eastAsia="ja-JP"/>
              </w:rPr>
            </w:pPr>
          </w:p>
        </w:tc>
        <w:tc>
          <w:tcPr>
            <w:tcW w:w="7065" w:type="dxa"/>
          </w:tcPr>
          <w:p w14:paraId="7F166AFB" w14:textId="77777777" w:rsidR="005F38AA" w:rsidRDefault="009649F8">
            <w:pPr>
              <w:pStyle w:val="TableParagraph"/>
              <w:spacing w:before="0" w:line="276" w:lineRule="auto"/>
              <w:ind w:right="183"/>
              <w:rPr>
                <w:sz w:val="20"/>
                <w:lang w:eastAsia="ja-JP"/>
              </w:rPr>
            </w:pPr>
            <w:r>
              <w:rPr>
                <w:sz w:val="20"/>
                <w:lang w:eastAsia="ja-JP"/>
              </w:rPr>
              <w:t>最低限の要求事項は、承認された環境マネジメントシステム(ISO 14001、EMAS、または同等のもの)の実施と遵守である。</w:t>
            </w:r>
          </w:p>
        </w:tc>
      </w:tr>
      <w:tr w:rsidR="005F38AA" w14:paraId="7F166B04" w14:textId="77777777">
        <w:trPr>
          <w:trHeight w:val="8139"/>
        </w:trPr>
        <w:tc>
          <w:tcPr>
            <w:tcW w:w="2287" w:type="dxa"/>
          </w:tcPr>
          <w:p w14:paraId="7F166AFD" w14:textId="77777777" w:rsidR="005F38AA" w:rsidRDefault="009649F8">
            <w:pPr>
              <w:pStyle w:val="TableParagraph"/>
              <w:rPr>
                <w:sz w:val="20"/>
              </w:rPr>
            </w:pPr>
            <w:r>
              <w:rPr>
                <w:sz w:val="20"/>
              </w:rPr>
              <w:t>(6)生態系</w:t>
            </w:r>
          </w:p>
        </w:tc>
        <w:tc>
          <w:tcPr>
            <w:tcW w:w="7065" w:type="dxa"/>
          </w:tcPr>
          <w:p w14:paraId="7F166AFE" w14:textId="126A4242" w:rsidR="005F38AA" w:rsidRDefault="009649F8">
            <w:pPr>
              <w:pStyle w:val="TableParagraph"/>
              <w:spacing w:line="276" w:lineRule="auto"/>
              <w:ind w:right="172"/>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のサイト/事業の場合、より厳しい方—は、サイト/運営(輸送インフラ、運営、廃棄物処理施設などの付随サービスを含む)と、生物多様性/生態系を保護するために必要な緩和措置、特にUNESCOワードヘリテージ、主要な生物多様性地域(KBA)が実施されて</w:t>
            </w:r>
            <w:r w:rsidR="00E73B7E">
              <w:rPr>
                <w:rFonts w:hint="eastAsia"/>
                <w:sz w:val="20"/>
                <w:lang w:eastAsia="ja-JP"/>
              </w:rPr>
              <w:t>いること</w:t>
            </w:r>
            <w:r>
              <w:rPr>
                <w:sz w:val="20"/>
                <w:lang w:eastAsia="ja-JP"/>
              </w:rPr>
              <w:t>。</w:t>
            </w:r>
          </w:p>
          <w:p w14:paraId="7F166AFF" w14:textId="77777777" w:rsidR="005F38AA" w:rsidRDefault="005F38AA">
            <w:pPr>
              <w:pStyle w:val="TableParagraph"/>
              <w:spacing w:before="0"/>
              <w:ind w:left="0"/>
              <w:rPr>
                <w:lang w:eastAsia="ja-JP"/>
              </w:rPr>
            </w:pPr>
          </w:p>
          <w:p w14:paraId="7F166B00" w14:textId="77777777" w:rsidR="005F38AA" w:rsidRDefault="009649F8">
            <w:pPr>
              <w:pStyle w:val="TableParagraph"/>
              <w:spacing w:before="172" w:line="276" w:lineRule="auto"/>
              <w:ind w:right="246"/>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B01" w14:textId="77777777" w:rsidR="005F38AA" w:rsidRDefault="009649F8">
            <w:pPr>
              <w:pStyle w:val="TableParagraph"/>
              <w:numPr>
                <w:ilvl w:val="0"/>
                <w:numId w:val="51"/>
              </w:numPr>
              <w:tabs>
                <w:tab w:val="left" w:pos="828"/>
                <w:tab w:val="left" w:pos="829"/>
              </w:tabs>
              <w:spacing w:before="81" w:line="273" w:lineRule="auto"/>
              <w:ind w:right="202"/>
              <w:rPr>
                <w:sz w:val="20"/>
                <w:lang w:eastAsia="ja-JP"/>
              </w:rPr>
            </w:pPr>
            <w:r>
              <w:rPr>
                <w:sz w:val="20"/>
                <w:lang w:eastAsia="ja-JP"/>
              </w:rPr>
              <w:t>サイトレベルの生物多様性管理計画が存在し、IFCパフォーマンス基準6「生物多様性の保全と生きている天然資源の持続可能な管理」(2018年)に沿って実施されている。</w:t>
            </w:r>
          </w:p>
          <w:p w14:paraId="7F166B02" w14:textId="77777777" w:rsidR="005F38AA" w:rsidRDefault="009649F8">
            <w:pPr>
              <w:pStyle w:val="TableParagraph"/>
              <w:numPr>
                <w:ilvl w:val="0"/>
                <w:numId w:val="51"/>
              </w:numPr>
              <w:tabs>
                <w:tab w:val="left" w:pos="828"/>
                <w:tab w:val="left" w:pos="829"/>
              </w:tabs>
              <w:spacing w:before="7" w:line="268" w:lineRule="auto"/>
              <w:ind w:right="160"/>
              <w:rPr>
                <w:sz w:val="20"/>
                <w:lang w:eastAsia="ja-JP"/>
              </w:rPr>
            </w:pPr>
            <w:r>
              <w:rPr>
                <w:sz w:val="20"/>
                <w:lang w:eastAsia="ja-JP"/>
              </w:rPr>
              <w:t>種及び生息地への影響を低減するために必要なすべての緩和措置がとられていること。</w:t>
            </w:r>
          </w:p>
          <w:p w14:paraId="7F166B03" w14:textId="77777777" w:rsidR="005F38AA" w:rsidRDefault="009649F8">
            <w:pPr>
              <w:pStyle w:val="TableParagraph"/>
              <w:spacing w:before="89" w:line="276" w:lineRule="auto"/>
              <w:rPr>
                <w:sz w:val="20"/>
                <w:lang w:eastAsia="ja-JP"/>
              </w:rPr>
            </w:pPr>
            <w:r>
              <w:rPr>
                <w:sz w:val="20"/>
                <w:lang w:eastAsia="ja-JP"/>
              </w:rPr>
              <w:t>強固で、適切に設計され、長期的な生物多様性のモニタリングと評価プログラムが存在し、実施されている。</w:t>
            </w:r>
          </w:p>
        </w:tc>
      </w:tr>
    </w:tbl>
    <w:p w14:paraId="7F166B05" w14:textId="77777777" w:rsidR="005F38AA" w:rsidRDefault="005F38AA">
      <w:pPr>
        <w:spacing w:line="276" w:lineRule="auto"/>
        <w:rPr>
          <w:sz w:val="20"/>
          <w:lang w:eastAsia="ja-JP"/>
        </w:rPr>
        <w:sectPr w:rsidR="005F38AA">
          <w:pgSz w:w="12240" w:h="15840"/>
          <w:pgMar w:top="1440" w:right="1320" w:bottom="1560" w:left="1340" w:header="0" w:footer="1372" w:gutter="0"/>
          <w:cols w:space="720"/>
        </w:sectPr>
      </w:pPr>
    </w:p>
    <w:p w14:paraId="7F166B06" w14:textId="77777777" w:rsidR="005F38AA" w:rsidRDefault="009649F8">
      <w:pPr>
        <w:pStyle w:val="1"/>
        <w:numPr>
          <w:ilvl w:val="1"/>
          <w:numId w:val="75"/>
        </w:numPr>
        <w:tabs>
          <w:tab w:val="left" w:pos="820"/>
          <w:tab w:val="left" w:pos="821"/>
        </w:tabs>
      </w:pPr>
      <w:r>
        <w:rPr>
          <w:color w:val="006FC0"/>
        </w:rPr>
        <w:lastRenderedPageBreak/>
        <w:t>鉄鋼業</w:t>
      </w:r>
    </w:p>
    <w:p w14:paraId="7F166B07" w14:textId="77777777" w:rsidR="005F38AA" w:rsidRDefault="005F38AA">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7144"/>
      </w:tblGrid>
      <w:tr w:rsidR="005F38AA" w14:paraId="7F166B09" w14:textId="77777777">
        <w:trPr>
          <w:trHeight w:val="383"/>
        </w:trPr>
        <w:tc>
          <w:tcPr>
            <w:tcW w:w="9352" w:type="dxa"/>
            <w:gridSpan w:val="2"/>
            <w:shd w:val="clear" w:color="auto" w:fill="4471C4"/>
          </w:tcPr>
          <w:p w14:paraId="7F166B08" w14:textId="77777777" w:rsidR="005F38AA" w:rsidRDefault="009649F8">
            <w:pPr>
              <w:pStyle w:val="TableParagraph"/>
              <w:rPr>
                <w:b/>
                <w:sz w:val="20"/>
              </w:rPr>
            </w:pPr>
            <w:r>
              <w:rPr>
                <w:b/>
                <w:color w:val="FFFFFF"/>
                <w:sz w:val="20"/>
              </w:rPr>
              <w:t>セクター分類と活動</w:t>
            </w:r>
          </w:p>
        </w:tc>
      </w:tr>
      <w:tr w:rsidR="005F38AA" w14:paraId="7F166B0C" w14:textId="77777777">
        <w:trPr>
          <w:trHeight w:val="386"/>
        </w:trPr>
        <w:tc>
          <w:tcPr>
            <w:tcW w:w="2208" w:type="dxa"/>
          </w:tcPr>
          <w:p w14:paraId="7F166B0A" w14:textId="77777777" w:rsidR="005F38AA" w:rsidRDefault="009649F8">
            <w:pPr>
              <w:pStyle w:val="TableParagraph"/>
              <w:rPr>
                <w:sz w:val="20"/>
              </w:rPr>
            </w:pPr>
            <w:r>
              <w:rPr>
                <w:sz w:val="20"/>
              </w:rPr>
              <w:t>マクロセクター</w:t>
            </w:r>
          </w:p>
        </w:tc>
        <w:tc>
          <w:tcPr>
            <w:tcW w:w="7144" w:type="dxa"/>
          </w:tcPr>
          <w:p w14:paraId="7F166B0B" w14:textId="77777777" w:rsidR="005F38AA" w:rsidRDefault="009649F8">
            <w:pPr>
              <w:pStyle w:val="TableParagraph"/>
              <w:rPr>
                <w:sz w:val="20"/>
              </w:rPr>
            </w:pPr>
            <w:r>
              <w:rPr>
                <w:sz w:val="20"/>
              </w:rPr>
              <w:t>C-製造</w:t>
            </w:r>
          </w:p>
        </w:tc>
      </w:tr>
      <w:tr w:rsidR="005F38AA" w14:paraId="7F166B0F" w14:textId="77777777">
        <w:trPr>
          <w:trHeight w:val="383"/>
        </w:trPr>
        <w:tc>
          <w:tcPr>
            <w:tcW w:w="2208" w:type="dxa"/>
          </w:tcPr>
          <w:p w14:paraId="7F166B0D" w14:textId="77777777" w:rsidR="005F38AA" w:rsidRDefault="009649F8">
            <w:pPr>
              <w:pStyle w:val="TableParagraph"/>
              <w:rPr>
                <w:sz w:val="20"/>
              </w:rPr>
            </w:pPr>
            <w:r>
              <w:rPr>
                <w:sz w:val="20"/>
              </w:rPr>
              <w:t>NACEレベル</w:t>
            </w:r>
          </w:p>
        </w:tc>
        <w:tc>
          <w:tcPr>
            <w:tcW w:w="7144" w:type="dxa"/>
          </w:tcPr>
          <w:p w14:paraId="7F166B0E" w14:textId="77777777" w:rsidR="005F38AA" w:rsidRDefault="009649F8">
            <w:pPr>
              <w:pStyle w:val="TableParagraph"/>
              <w:rPr>
                <w:sz w:val="20"/>
              </w:rPr>
            </w:pPr>
            <w:r>
              <w:rPr>
                <w:sz w:val="20"/>
              </w:rPr>
              <w:t>3と4</w:t>
            </w:r>
          </w:p>
        </w:tc>
      </w:tr>
      <w:tr w:rsidR="005F38AA" w14:paraId="7F166B15" w14:textId="77777777">
        <w:trPr>
          <w:trHeight w:val="2028"/>
        </w:trPr>
        <w:tc>
          <w:tcPr>
            <w:tcW w:w="2208" w:type="dxa"/>
          </w:tcPr>
          <w:p w14:paraId="7F166B10" w14:textId="77777777" w:rsidR="005F38AA" w:rsidRDefault="009649F8">
            <w:pPr>
              <w:pStyle w:val="TableParagraph"/>
              <w:rPr>
                <w:sz w:val="20"/>
              </w:rPr>
            </w:pPr>
            <w:r>
              <w:rPr>
                <w:sz w:val="20"/>
              </w:rPr>
              <w:t>コード</w:t>
            </w:r>
          </w:p>
        </w:tc>
        <w:tc>
          <w:tcPr>
            <w:tcW w:w="7144" w:type="dxa"/>
          </w:tcPr>
          <w:p w14:paraId="7F166B11" w14:textId="77777777" w:rsidR="005F38AA" w:rsidRDefault="009649F8">
            <w:pPr>
              <w:pStyle w:val="TableParagraph"/>
              <w:rPr>
                <w:sz w:val="20"/>
              </w:rPr>
            </w:pPr>
            <w:r>
              <w:rPr>
                <w:sz w:val="20"/>
              </w:rPr>
              <w:t>C24.1 : 鉄鋼、合金鉄の製造</w:t>
            </w:r>
          </w:p>
          <w:p w14:paraId="7F166B12" w14:textId="77777777" w:rsidR="005F38AA" w:rsidRDefault="009649F8">
            <w:pPr>
              <w:pStyle w:val="TableParagraph"/>
              <w:spacing w:before="113" w:line="278" w:lineRule="auto"/>
              <w:ind w:right="247"/>
              <w:rPr>
                <w:sz w:val="20"/>
                <w:lang w:eastAsia="ja-JP"/>
              </w:rPr>
            </w:pPr>
            <w:r>
              <w:rPr>
                <w:sz w:val="20"/>
                <w:lang w:eastAsia="ja-JP"/>
              </w:rPr>
              <w:t>C24.2 鋼管、中空断面及び関連継手の製造</w:t>
            </w:r>
          </w:p>
          <w:p w14:paraId="7F166B13" w14:textId="77777777" w:rsidR="005F38AA" w:rsidRDefault="009649F8">
            <w:pPr>
              <w:pStyle w:val="TableParagraph"/>
              <w:spacing w:before="76" w:line="360" w:lineRule="auto"/>
              <w:ind w:right="654"/>
              <w:rPr>
                <w:sz w:val="20"/>
                <w:lang w:eastAsia="ja-JP"/>
              </w:rPr>
            </w:pPr>
            <w:r>
              <w:rPr>
                <w:sz w:val="20"/>
                <w:lang w:eastAsia="ja-JP"/>
              </w:rPr>
              <w:t>C24.3:C24.5.1鋼の第一次加工品の製造:鉄の鋳造</w:t>
            </w:r>
          </w:p>
          <w:p w14:paraId="7F166B14" w14:textId="77777777" w:rsidR="005F38AA" w:rsidRDefault="009649F8">
            <w:pPr>
              <w:pStyle w:val="TableParagraph"/>
              <w:spacing w:before="0" w:line="229" w:lineRule="exact"/>
              <w:rPr>
                <w:sz w:val="20"/>
              </w:rPr>
            </w:pPr>
            <w:r>
              <w:rPr>
                <w:sz w:val="20"/>
              </w:rPr>
              <w:t>C24.5.2 鋼鋳物</w:t>
            </w:r>
          </w:p>
        </w:tc>
      </w:tr>
      <w:tr w:rsidR="005F38AA" w14:paraId="7F166B18" w14:textId="77777777">
        <w:trPr>
          <w:trHeight w:val="383"/>
        </w:trPr>
        <w:tc>
          <w:tcPr>
            <w:tcW w:w="2208" w:type="dxa"/>
          </w:tcPr>
          <w:p w14:paraId="7F166B16" w14:textId="77777777" w:rsidR="005F38AA" w:rsidRDefault="009649F8">
            <w:pPr>
              <w:pStyle w:val="TableParagraph"/>
              <w:rPr>
                <w:sz w:val="20"/>
              </w:rPr>
            </w:pPr>
            <w:r>
              <w:rPr>
                <w:sz w:val="20"/>
              </w:rPr>
              <w:t>内容</w:t>
            </w:r>
          </w:p>
        </w:tc>
        <w:tc>
          <w:tcPr>
            <w:tcW w:w="7144" w:type="dxa"/>
          </w:tcPr>
          <w:p w14:paraId="7F166B17" w14:textId="77777777" w:rsidR="005F38AA" w:rsidRDefault="009649F8">
            <w:pPr>
              <w:pStyle w:val="TableParagraph"/>
              <w:rPr>
                <w:sz w:val="20"/>
              </w:rPr>
            </w:pPr>
            <w:r>
              <w:rPr>
                <w:sz w:val="20"/>
              </w:rPr>
              <w:t>鉄鋼業</w:t>
            </w:r>
          </w:p>
        </w:tc>
      </w:tr>
      <w:tr w:rsidR="005F38AA" w14:paraId="7F166B1A" w14:textId="77777777">
        <w:trPr>
          <w:trHeight w:val="383"/>
        </w:trPr>
        <w:tc>
          <w:tcPr>
            <w:tcW w:w="9352" w:type="dxa"/>
            <w:gridSpan w:val="2"/>
            <w:shd w:val="clear" w:color="auto" w:fill="4471C4"/>
          </w:tcPr>
          <w:p w14:paraId="7F166B19" w14:textId="77777777" w:rsidR="005F38AA" w:rsidRDefault="009649F8">
            <w:pPr>
              <w:pStyle w:val="TableParagraph"/>
              <w:rPr>
                <w:b/>
                <w:sz w:val="20"/>
              </w:rPr>
            </w:pPr>
            <w:r>
              <w:rPr>
                <w:b/>
                <w:color w:val="FFFFFF"/>
                <w:sz w:val="20"/>
              </w:rPr>
              <w:t>緩和基準</w:t>
            </w:r>
          </w:p>
        </w:tc>
      </w:tr>
      <w:tr w:rsidR="005F38AA" w14:paraId="7F166B1F" w14:textId="77777777">
        <w:trPr>
          <w:trHeight w:val="2925"/>
        </w:trPr>
        <w:tc>
          <w:tcPr>
            <w:tcW w:w="2208" w:type="dxa"/>
          </w:tcPr>
          <w:p w14:paraId="7F166B1B" w14:textId="77777777" w:rsidR="005F38AA" w:rsidRDefault="009649F8">
            <w:pPr>
              <w:pStyle w:val="TableParagraph"/>
              <w:spacing w:before="42"/>
              <w:rPr>
                <w:sz w:val="20"/>
              </w:rPr>
            </w:pPr>
            <w:r>
              <w:rPr>
                <w:sz w:val="20"/>
              </w:rPr>
              <w:t>原則</w:t>
            </w:r>
          </w:p>
        </w:tc>
        <w:tc>
          <w:tcPr>
            <w:tcW w:w="7144" w:type="dxa"/>
          </w:tcPr>
          <w:p w14:paraId="7F166B1C" w14:textId="77777777" w:rsidR="005F38AA" w:rsidRDefault="009649F8">
            <w:pPr>
              <w:pStyle w:val="TableParagraph"/>
              <w:spacing w:before="42" w:line="276" w:lineRule="auto"/>
              <w:ind w:right="304"/>
              <w:jc w:val="both"/>
              <w:rPr>
                <w:sz w:val="20"/>
                <w:lang w:eastAsia="ja-JP"/>
              </w:rPr>
            </w:pPr>
            <w:r>
              <w:rPr>
                <w:sz w:val="20"/>
                <w:lang w:eastAsia="ja-JP"/>
              </w:rPr>
              <w:t>最もパフォーマンスの良いプラントで達成されたパフォーマンスレベルの鉄鋼の製造は、気候変動緩和に大きく貢献すると考えられる。</w:t>
            </w:r>
          </w:p>
          <w:p w14:paraId="7F166B1D" w14:textId="77777777" w:rsidR="005F38AA" w:rsidRDefault="009649F8">
            <w:pPr>
              <w:pStyle w:val="TableParagraph"/>
              <w:spacing w:before="78" w:line="276" w:lineRule="auto"/>
              <w:ind w:right="247"/>
              <w:rPr>
                <w:sz w:val="20"/>
                <w:lang w:eastAsia="ja-JP"/>
              </w:rPr>
            </w:pPr>
            <w:r>
              <w:rPr>
                <w:sz w:val="20"/>
                <w:lang w:eastAsia="ja-JP"/>
              </w:rPr>
              <w:t>さらに、鉄鋼の二次生産(すなわちスクラップ鋼を使用する)は、一次鉄鋼生産よりも排出量が著しく少ないため適格であると考えられる。</w:t>
            </w:r>
          </w:p>
          <w:p w14:paraId="7F166B1E" w14:textId="77777777" w:rsidR="005F38AA" w:rsidRDefault="009649F8">
            <w:pPr>
              <w:pStyle w:val="TableParagraph"/>
              <w:spacing w:before="80" w:line="276" w:lineRule="auto"/>
              <w:ind w:right="247"/>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5F38AA" w14:paraId="7F166B2A" w14:textId="77777777">
        <w:trPr>
          <w:trHeight w:val="4545"/>
        </w:trPr>
        <w:tc>
          <w:tcPr>
            <w:tcW w:w="2208" w:type="dxa"/>
          </w:tcPr>
          <w:p w14:paraId="7F166B20" w14:textId="77777777" w:rsidR="005F38AA" w:rsidRDefault="009649F8">
            <w:pPr>
              <w:pStyle w:val="TableParagraph"/>
              <w:rPr>
                <w:sz w:val="20"/>
              </w:rPr>
            </w:pPr>
            <w:r>
              <w:rPr>
                <w:sz w:val="20"/>
              </w:rPr>
              <w:t>閾値</w:t>
            </w:r>
          </w:p>
        </w:tc>
        <w:tc>
          <w:tcPr>
            <w:tcW w:w="7144" w:type="dxa"/>
          </w:tcPr>
          <w:p w14:paraId="7F166B21" w14:textId="77777777" w:rsidR="005F38AA" w:rsidRDefault="009649F8">
            <w:pPr>
              <w:pStyle w:val="TableParagraph"/>
              <w:spacing w:line="276" w:lineRule="auto"/>
              <w:ind w:right="247"/>
              <w:rPr>
                <w:sz w:val="20"/>
                <w:lang w:eastAsia="ja-JP"/>
              </w:rPr>
            </w:pPr>
            <w:r>
              <w:rPr>
                <w:sz w:val="20"/>
                <w:lang w:eastAsia="ja-JP"/>
              </w:rPr>
              <w:t>鉄鋼の製造は、製造プロセスに関連するGHG排出量(EU-ETSベンチマークに使用される方法に従って計算される)が、関連するEU-ETSベンチマークの値よりも低い場合に適格となる。</w:t>
            </w:r>
          </w:p>
          <w:p w14:paraId="7F166B22" w14:textId="77777777" w:rsidR="005F38AA" w:rsidRDefault="009649F8">
            <w:pPr>
              <w:pStyle w:val="TableParagraph"/>
              <w:spacing w:before="80" w:line="276" w:lineRule="auto"/>
              <w:rPr>
                <w:sz w:val="20"/>
                <w:lang w:eastAsia="ja-JP"/>
              </w:rPr>
            </w:pPr>
            <w:r>
              <w:rPr>
                <w:sz w:val="20"/>
                <w:lang w:eastAsia="ja-JP"/>
              </w:rPr>
              <w:t>2020年2月現在、EU-ETSの鉄鋼製造のベンチマーク値は以下の通りである。</w:t>
            </w:r>
          </w:p>
          <w:p w14:paraId="7F166B23" w14:textId="77777777" w:rsidR="005F38AA" w:rsidRDefault="009649F8">
            <w:pPr>
              <w:pStyle w:val="TableParagraph"/>
              <w:numPr>
                <w:ilvl w:val="0"/>
                <w:numId w:val="50"/>
              </w:numPr>
              <w:tabs>
                <w:tab w:val="left" w:pos="828"/>
                <w:tab w:val="left" w:pos="829"/>
              </w:tabs>
              <w:spacing w:before="81"/>
              <w:rPr>
                <w:sz w:val="20"/>
              </w:rPr>
            </w:pPr>
            <w:r>
              <w:rPr>
                <w:sz w:val="20"/>
              </w:rPr>
              <w:t>熱金属=1.328 tCO2e/t製品</w:t>
            </w:r>
          </w:p>
          <w:p w14:paraId="7F166B24" w14:textId="77777777" w:rsidR="005F38AA" w:rsidRDefault="009649F8">
            <w:pPr>
              <w:pStyle w:val="TableParagraph"/>
              <w:numPr>
                <w:ilvl w:val="0"/>
                <w:numId w:val="50"/>
              </w:numPr>
              <w:tabs>
                <w:tab w:val="left" w:pos="828"/>
                <w:tab w:val="left" w:pos="829"/>
              </w:tabs>
              <w:spacing w:before="113"/>
              <w:rPr>
                <w:sz w:val="20"/>
              </w:rPr>
            </w:pPr>
            <w:r>
              <w:rPr>
                <w:sz w:val="20"/>
              </w:rPr>
              <w:t>焼結鉱=0.171 tCO2e/t積</w:t>
            </w:r>
          </w:p>
          <w:p w14:paraId="7F166B25" w14:textId="77777777" w:rsidR="005F38AA" w:rsidRDefault="009649F8">
            <w:pPr>
              <w:pStyle w:val="TableParagraph"/>
              <w:numPr>
                <w:ilvl w:val="0"/>
                <w:numId w:val="50"/>
              </w:numPr>
              <w:tabs>
                <w:tab w:val="left" w:pos="828"/>
                <w:tab w:val="left" w:pos="829"/>
              </w:tabs>
              <w:spacing w:before="112"/>
              <w:rPr>
                <w:sz w:val="20"/>
              </w:rPr>
            </w:pPr>
            <w:r>
              <w:rPr>
                <w:sz w:val="20"/>
              </w:rPr>
              <w:t>鋳鉄=0.325 tCO2e/t製品</w:t>
            </w:r>
          </w:p>
          <w:p w14:paraId="7F166B26" w14:textId="77777777" w:rsidR="005F38AA" w:rsidRDefault="009649F8">
            <w:pPr>
              <w:pStyle w:val="TableParagraph"/>
              <w:numPr>
                <w:ilvl w:val="0"/>
                <w:numId w:val="50"/>
              </w:numPr>
              <w:tabs>
                <w:tab w:val="left" w:pos="828"/>
                <w:tab w:val="left" w:pos="829"/>
              </w:tabs>
              <w:spacing w:before="114"/>
              <w:rPr>
                <w:sz w:val="20"/>
              </w:rPr>
            </w:pPr>
            <w:r>
              <w:rPr>
                <w:sz w:val="20"/>
              </w:rPr>
              <w:t>電気アーク炉(EAF)高合金鋼=0.352 tCO2e/t製品</w:t>
            </w:r>
          </w:p>
          <w:p w14:paraId="7F166B27" w14:textId="77777777" w:rsidR="005F38AA" w:rsidRDefault="009649F8">
            <w:pPr>
              <w:pStyle w:val="TableParagraph"/>
              <w:numPr>
                <w:ilvl w:val="0"/>
                <w:numId w:val="50"/>
              </w:numPr>
              <w:tabs>
                <w:tab w:val="left" w:pos="828"/>
                <w:tab w:val="left" w:pos="829"/>
              </w:tabs>
              <w:spacing w:before="114"/>
              <w:rPr>
                <w:sz w:val="20"/>
                <w:lang w:eastAsia="ja-JP"/>
              </w:rPr>
            </w:pPr>
            <w:r>
              <w:rPr>
                <w:sz w:val="20"/>
                <w:lang w:eastAsia="ja-JP"/>
              </w:rPr>
              <w:t>電気アーク炉(電気炉)炭素鋼=0.283 tCO2e/t製品</w:t>
            </w:r>
          </w:p>
          <w:p w14:paraId="7F166B28" w14:textId="77777777" w:rsidR="005F38AA" w:rsidRDefault="009649F8">
            <w:pPr>
              <w:pStyle w:val="TableParagraph"/>
              <w:numPr>
                <w:ilvl w:val="0"/>
                <w:numId w:val="50"/>
              </w:numPr>
              <w:tabs>
                <w:tab w:val="left" w:pos="828"/>
                <w:tab w:val="left" w:pos="829"/>
              </w:tabs>
              <w:spacing w:before="113"/>
              <w:rPr>
                <w:sz w:val="20"/>
                <w:lang w:eastAsia="ja-JP"/>
              </w:rPr>
            </w:pPr>
            <w:r>
              <w:rPr>
                <w:sz w:val="20"/>
                <w:lang w:eastAsia="ja-JP"/>
              </w:rPr>
              <w:t>コークス(亜炭コークスを除く)=0.286 tCO2e/t製品</w:t>
            </w:r>
          </w:p>
          <w:p w14:paraId="7F166B29" w14:textId="31E34AD3" w:rsidR="005F38AA" w:rsidRDefault="009649F8">
            <w:pPr>
              <w:pStyle w:val="TableParagraph"/>
              <w:spacing w:before="112" w:line="276" w:lineRule="auto"/>
              <w:rPr>
                <w:sz w:val="20"/>
                <w:lang w:eastAsia="ja-JP"/>
              </w:rPr>
            </w:pPr>
            <w:r>
              <w:rPr>
                <w:sz w:val="20"/>
                <w:lang w:eastAsia="ja-JP"/>
              </w:rPr>
              <w:t>すべてのグリーン</w:t>
            </w:r>
            <w:r w:rsidR="00E73B7E">
              <w:rPr>
                <w:rFonts w:hint="eastAsia"/>
                <w:sz w:val="20"/>
                <w:lang w:eastAsia="ja-JP"/>
              </w:rPr>
              <w:t>な</w:t>
            </w:r>
            <w:r>
              <w:rPr>
                <w:sz w:val="20"/>
                <w:lang w:eastAsia="ja-JP"/>
              </w:rPr>
              <w:t>新鉄鋼生産、または新鉄鋼生産と再生鉄鋼生産の組み合わせは、排出量が上記の基準値を下回った場合に適格となる。</w:t>
            </w:r>
          </w:p>
        </w:tc>
      </w:tr>
    </w:tbl>
    <w:p w14:paraId="7F166B2B" w14:textId="77777777" w:rsidR="005F38AA" w:rsidRDefault="005F38AA">
      <w:pPr>
        <w:spacing w:line="276" w:lineRule="auto"/>
        <w:rPr>
          <w:sz w:val="20"/>
          <w:lang w:eastAsia="ja-JP"/>
        </w:rPr>
        <w:sectPr w:rsidR="005F38AA">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7144"/>
      </w:tblGrid>
      <w:tr w:rsidR="005F38AA" w14:paraId="7F166B2E" w14:textId="77777777">
        <w:trPr>
          <w:trHeight w:val="873"/>
        </w:trPr>
        <w:tc>
          <w:tcPr>
            <w:tcW w:w="2208" w:type="dxa"/>
          </w:tcPr>
          <w:p w14:paraId="7F166B2C" w14:textId="77777777" w:rsidR="005F38AA" w:rsidRDefault="005F38AA">
            <w:pPr>
              <w:pStyle w:val="TableParagraph"/>
              <w:spacing w:before="0"/>
              <w:ind w:left="0"/>
              <w:rPr>
                <w:rFonts w:ascii="Times New Roman"/>
                <w:sz w:val="18"/>
                <w:lang w:eastAsia="ja-JP"/>
              </w:rPr>
            </w:pPr>
          </w:p>
        </w:tc>
        <w:tc>
          <w:tcPr>
            <w:tcW w:w="7144" w:type="dxa"/>
          </w:tcPr>
          <w:p w14:paraId="7F166B2D" w14:textId="77777777" w:rsidR="005F38AA" w:rsidRDefault="009649F8">
            <w:pPr>
              <w:pStyle w:val="TableParagraph"/>
              <w:spacing w:before="0" w:line="276" w:lineRule="auto"/>
              <w:ind w:right="98"/>
              <w:rPr>
                <w:sz w:val="20"/>
              </w:rPr>
            </w:pPr>
            <w:r>
              <w:rPr>
                <w:sz w:val="20"/>
                <w:lang w:eastAsia="ja-JP"/>
              </w:rPr>
              <w:t xml:space="preserve">さらに、最終製品中の鉄含有量の少なくとも90%がスクラップ鋼から調達されている電気炉におけるすべての鋼材生産が適格とみなされる。 </w:t>
            </w:r>
            <w:r>
              <w:rPr>
                <w:sz w:val="20"/>
              </w:rPr>
              <w:t>この場合、他の閾値は適用されない。</w:t>
            </w:r>
          </w:p>
        </w:tc>
      </w:tr>
      <w:tr w:rsidR="005F38AA" w14:paraId="7F166B30" w14:textId="77777777">
        <w:trPr>
          <w:trHeight w:val="383"/>
        </w:trPr>
        <w:tc>
          <w:tcPr>
            <w:tcW w:w="9352" w:type="dxa"/>
            <w:gridSpan w:val="2"/>
            <w:shd w:val="clear" w:color="auto" w:fill="4471C4"/>
          </w:tcPr>
          <w:p w14:paraId="7F166B2F" w14:textId="77777777" w:rsidR="005F38AA" w:rsidRDefault="009649F8">
            <w:pPr>
              <w:pStyle w:val="TableParagraph"/>
              <w:rPr>
                <w:b/>
                <w:sz w:val="20"/>
              </w:rPr>
            </w:pPr>
            <w:r>
              <w:rPr>
                <w:b/>
                <w:color w:val="FFFFFF"/>
                <w:sz w:val="20"/>
              </w:rPr>
              <w:t>根拠</w:t>
            </w:r>
          </w:p>
        </w:tc>
      </w:tr>
      <w:tr w:rsidR="005F38AA" w14:paraId="7F166B3B" w14:textId="77777777">
        <w:trPr>
          <w:trHeight w:val="7385"/>
        </w:trPr>
        <w:tc>
          <w:tcPr>
            <w:tcW w:w="9352" w:type="dxa"/>
            <w:gridSpan w:val="2"/>
          </w:tcPr>
          <w:p w14:paraId="7F166B31" w14:textId="77777777" w:rsidR="005F38AA" w:rsidRDefault="009649F8">
            <w:pPr>
              <w:pStyle w:val="TableParagraph"/>
              <w:spacing w:before="42" w:line="273" w:lineRule="auto"/>
              <w:ind w:right="599"/>
              <w:rPr>
                <w:sz w:val="20"/>
                <w:lang w:eastAsia="ja-JP"/>
              </w:rPr>
            </w:pPr>
            <w:r>
              <w:rPr>
                <w:sz w:val="20"/>
                <w:lang w:eastAsia="ja-JP"/>
              </w:rPr>
              <w:t>ETSベンチマークは、その信頼性と5年間の将来の更新計画のために選択された閾値である。 さらに、これらは現在利用可能な唯一の一貫したデータセットである。</w:t>
            </w:r>
          </w:p>
          <w:p w14:paraId="7F166B32" w14:textId="77777777" w:rsidR="005F38AA" w:rsidRDefault="009649F8">
            <w:pPr>
              <w:pStyle w:val="TableParagraph"/>
              <w:spacing w:before="83" w:line="276" w:lineRule="auto"/>
              <w:ind w:right="166"/>
              <w:rPr>
                <w:sz w:val="20"/>
                <w:lang w:eastAsia="ja-JP"/>
              </w:rPr>
            </w:pPr>
            <w:r>
              <w:rPr>
                <w:sz w:val="20"/>
                <w:lang w:eastAsia="ja-JP"/>
              </w:rPr>
              <w:t>標準EN 19694-2:2016で定義された''達成可能な参照性能''固有の排出量値は、通常の運転条件下で任意のオペレータにアクセス可能であると考えられ、従って、このような特定の排出量値は提案されたEU ETSベンチマークよりも厳密ではない。</w:t>
            </w:r>
          </w:p>
          <w:p w14:paraId="7F166B33" w14:textId="77777777" w:rsidR="005F38AA" w:rsidRDefault="009649F8">
            <w:pPr>
              <w:pStyle w:val="TableParagraph"/>
              <w:spacing w:before="1" w:line="276" w:lineRule="auto"/>
              <w:ind w:right="166"/>
              <w:rPr>
                <w:sz w:val="20"/>
                <w:lang w:eastAsia="ja-JP"/>
              </w:rPr>
            </w:pPr>
            <w:r>
              <w:rPr>
                <w:sz w:val="20"/>
                <w:lang w:eastAsia="ja-JP"/>
              </w:rPr>
              <w:t>したがって、EU ETSのベンチマークは、鉄鋼・製鉄産業が短期的な操業を目指すための野心的な基準となるものであるため、選択された。 しかし、EU ETSのベンチマークは生産の特定の段階に関するものであるため、TEGは、標準EN 19694-2:2016に設定された方法論を用いて、持続可能な金融プラットフォームが総合鉄鋼プラント全体の閾値を定義する可能性を分析することを推奨する。</w:t>
            </w:r>
          </w:p>
          <w:p w14:paraId="7F166B34" w14:textId="77777777" w:rsidR="005F38AA" w:rsidRDefault="009649F8">
            <w:pPr>
              <w:pStyle w:val="TableParagraph"/>
              <w:spacing w:before="80" w:line="276" w:lineRule="auto"/>
              <w:ind w:right="86"/>
              <w:rPr>
                <w:sz w:val="20"/>
              </w:rPr>
            </w:pPr>
            <w:r>
              <w:rPr>
                <w:sz w:val="20"/>
                <w:lang w:eastAsia="ja-JP"/>
              </w:rPr>
              <w:t>長期的には、製鋼・製鉄業界は、超低CO2排出を特徴とする画期的な技術の導入を目指すべきである。</w:t>
            </w:r>
            <w:r>
              <w:rPr>
                <w:position w:val="1"/>
                <w:sz w:val="20"/>
                <w:lang w:eastAsia="ja-JP"/>
              </w:rPr>
              <w:t xml:space="preserve"> これらの技術のいくつかは、すでにパイロットまたは工業規模で実証されている。</w:t>
            </w:r>
            <w:r>
              <w:rPr>
                <w:sz w:val="20"/>
                <w:lang w:eastAsia="ja-JP"/>
              </w:rPr>
              <w:t xml:space="preserve"> これらの技術が商業的に利用可能になれば、達成可能なより野心的な特定の排出量を反映するために、提案された閾値を改定する必要がある。 </w:t>
            </w:r>
            <w:r>
              <w:rPr>
                <w:sz w:val="20"/>
              </w:rPr>
              <w:t>これらの技術には、</w:t>
            </w:r>
          </w:p>
          <w:p w14:paraId="7F166B35" w14:textId="77777777" w:rsidR="005F38AA" w:rsidRDefault="009649F8">
            <w:pPr>
              <w:pStyle w:val="TableParagraph"/>
              <w:numPr>
                <w:ilvl w:val="0"/>
                <w:numId w:val="49"/>
              </w:numPr>
              <w:tabs>
                <w:tab w:val="left" w:pos="827"/>
                <w:tab w:val="left" w:pos="828"/>
              </w:tabs>
              <w:spacing w:before="80"/>
              <w:rPr>
                <w:sz w:val="20"/>
                <w:lang w:eastAsia="ja-JP"/>
              </w:rPr>
            </w:pPr>
            <w:r>
              <w:rPr>
                <w:sz w:val="20"/>
                <w:lang w:eastAsia="ja-JP"/>
              </w:rPr>
              <w:t>炭素回収・貯留による高炉炉頂ガスリサイクル</w:t>
            </w:r>
          </w:p>
          <w:p w14:paraId="7F166B36" w14:textId="77777777" w:rsidR="005F38AA" w:rsidRDefault="009649F8">
            <w:pPr>
              <w:pStyle w:val="TableParagraph"/>
              <w:numPr>
                <w:ilvl w:val="0"/>
                <w:numId w:val="49"/>
              </w:numPr>
              <w:tabs>
                <w:tab w:val="left" w:pos="827"/>
                <w:tab w:val="left" w:pos="828"/>
              </w:tabs>
              <w:spacing w:before="33"/>
              <w:rPr>
                <w:sz w:val="20"/>
              </w:rPr>
            </w:pPr>
            <w:r>
              <w:rPr>
                <w:sz w:val="20"/>
              </w:rPr>
              <w:t>直接溶融還元法</w:t>
            </w:r>
          </w:p>
          <w:p w14:paraId="7F166B37" w14:textId="77777777" w:rsidR="005F38AA" w:rsidRDefault="009649F8">
            <w:pPr>
              <w:pStyle w:val="TableParagraph"/>
              <w:numPr>
                <w:ilvl w:val="0"/>
                <w:numId w:val="49"/>
              </w:numPr>
              <w:tabs>
                <w:tab w:val="left" w:pos="827"/>
                <w:tab w:val="left" w:pos="828"/>
              </w:tabs>
              <w:spacing w:before="34"/>
              <w:rPr>
                <w:sz w:val="20"/>
                <w:lang w:eastAsia="ja-JP"/>
              </w:rPr>
            </w:pPr>
            <w:r>
              <w:rPr>
                <w:sz w:val="20"/>
                <w:lang w:eastAsia="ja-JP"/>
              </w:rPr>
              <w:t>電気炉製鋼と組み合わせたDRI製造用の天然ガスによる直接還元</w:t>
            </w:r>
          </w:p>
          <w:p w14:paraId="7F166B38" w14:textId="77777777" w:rsidR="005F38AA" w:rsidRDefault="009649F8">
            <w:pPr>
              <w:pStyle w:val="TableParagraph"/>
              <w:numPr>
                <w:ilvl w:val="0"/>
                <w:numId w:val="49"/>
              </w:numPr>
              <w:tabs>
                <w:tab w:val="left" w:pos="827"/>
                <w:tab w:val="left" w:pos="828"/>
              </w:tabs>
              <w:spacing w:before="33" w:line="271" w:lineRule="auto"/>
              <w:ind w:right="450"/>
              <w:rPr>
                <w:sz w:val="20"/>
                <w:lang w:eastAsia="ja-JP"/>
              </w:rPr>
            </w:pPr>
            <w:r>
              <w:rPr>
                <w:position w:val="1"/>
                <w:sz w:val="20"/>
                <w:lang w:eastAsia="ja-JP"/>
              </w:rPr>
              <w:t>水電解(再生可能エネルギー源の利用など)により生成されるH2を用いたシャフト炉での水素製鋼</w:t>
            </w:r>
          </w:p>
          <w:p w14:paraId="7F166B39" w14:textId="77777777" w:rsidR="005F38AA" w:rsidRDefault="009649F8">
            <w:pPr>
              <w:pStyle w:val="TableParagraph"/>
              <w:numPr>
                <w:ilvl w:val="0"/>
                <w:numId w:val="49"/>
              </w:numPr>
              <w:tabs>
                <w:tab w:val="left" w:pos="827"/>
                <w:tab w:val="left" w:pos="828"/>
              </w:tabs>
              <w:spacing w:before="6"/>
              <w:rPr>
                <w:sz w:val="20"/>
              </w:rPr>
            </w:pPr>
            <w:r>
              <w:rPr>
                <w:sz w:val="20"/>
              </w:rPr>
              <w:t>鉄鉱石の直接電解</w:t>
            </w:r>
          </w:p>
          <w:p w14:paraId="7F166B3A" w14:textId="117C956D" w:rsidR="005F38AA" w:rsidRDefault="009649F8">
            <w:pPr>
              <w:pStyle w:val="TableParagraph"/>
              <w:spacing w:before="112" w:line="276" w:lineRule="auto"/>
              <w:ind w:right="86"/>
              <w:rPr>
                <w:sz w:val="20"/>
                <w:lang w:eastAsia="ja-JP"/>
              </w:rPr>
            </w:pPr>
            <w:r>
              <w:rPr>
                <w:sz w:val="20"/>
                <w:lang w:eastAsia="ja-JP"/>
              </w:rPr>
              <w:t>この活動は、世界のGHG排出量に大きく貢献している鉄鋼製造業のグリーン化に重点を置いてい</w:t>
            </w:r>
            <w:r w:rsidR="00E73B7E">
              <w:rPr>
                <w:rFonts w:hint="eastAsia"/>
                <w:sz w:val="20"/>
                <w:lang w:eastAsia="ja-JP"/>
              </w:rPr>
              <w:t>る</w:t>
            </w:r>
            <w:r>
              <w:rPr>
                <w:sz w:val="20"/>
                <w:lang w:eastAsia="ja-JP"/>
              </w:rPr>
              <w:t>。 鉄鋼製品によるグリーン化の可能性は、「他の低炭素技術の製造」のような他の活動を通じて対処することができ、この活動のために与えられた基準に従って、製造者が全生涯にわたって全体的な環境上の利益を証明することができる。</w:t>
            </w:r>
          </w:p>
        </w:tc>
      </w:tr>
      <w:tr w:rsidR="005F38AA" w14:paraId="7F166B3D" w14:textId="77777777">
        <w:trPr>
          <w:trHeight w:val="386"/>
        </w:trPr>
        <w:tc>
          <w:tcPr>
            <w:tcW w:w="9352" w:type="dxa"/>
            <w:gridSpan w:val="2"/>
            <w:shd w:val="clear" w:color="auto" w:fill="4471C4"/>
          </w:tcPr>
          <w:p w14:paraId="7F166B3C" w14:textId="737D39F5" w:rsidR="005F38AA" w:rsidRDefault="009649F8" w:rsidP="00E73B7E">
            <w:pPr>
              <w:pStyle w:val="TableParagraph"/>
              <w:rPr>
                <w:b/>
                <w:sz w:val="20"/>
                <w:lang w:eastAsia="ja-JP"/>
              </w:rPr>
            </w:pPr>
            <w:r>
              <w:rPr>
                <w:b/>
                <w:color w:val="FFFFFF"/>
                <w:sz w:val="20"/>
                <w:lang w:eastAsia="ja-JP"/>
              </w:rPr>
              <w:t>重大な有害性</w:t>
            </w:r>
          </w:p>
        </w:tc>
      </w:tr>
      <w:tr w:rsidR="005F38AA" w14:paraId="7F166B44" w14:textId="77777777">
        <w:trPr>
          <w:trHeight w:val="3441"/>
        </w:trPr>
        <w:tc>
          <w:tcPr>
            <w:tcW w:w="9352" w:type="dxa"/>
            <w:gridSpan w:val="2"/>
          </w:tcPr>
          <w:p w14:paraId="7F166B3E" w14:textId="77777777" w:rsidR="005F38AA" w:rsidRDefault="009649F8">
            <w:pPr>
              <w:pStyle w:val="TableParagraph"/>
              <w:spacing w:line="276" w:lineRule="auto"/>
              <w:rPr>
                <w:sz w:val="20"/>
                <w:lang w:eastAsia="ja-JP"/>
              </w:rPr>
            </w:pPr>
            <w:r>
              <w:rPr>
                <w:sz w:val="20"/>
                <w:lang w:eastAsia="ja-JP"/>
              </w:rPr>
              <w:t>鉄鋼生産による他の環境目標に対する重大な潜在的損害は、次のものに関連している。</w:t>
            </w:r>
          </w:p>
          <w:p w14:paraId="7F166B3F" w14:textId="77777777" w:rsidR="005F38AA" w:rsidRDefault="009649F8">
            <w:pPr>
              <w:pStyle w:val="TableParagraph"/>
              <w:numPr>
                <w:ilvl w:val="0"/>
                <w:numId w:val="48"/>
              </w:numPr>
              <w:tabs>
                <w:tab w:val="left" w:pos="828"/>
              </w:tabs>
              <w:spacing w:before="79" w:line="273" w:lineRule="auto"/>
              <w:ind w:right="698"/>
              <w:jc w:val="both"/>
              <w:rPr>
                <w:sz w:val="20"/>
                <w:lang w:eastAsia="ja-JP"/>
              </w:rPr>
            </w:pPr>
            <w:r>
              <w:rPr>
                <w:sz w:val="20"/>
                <w:lang w:eastAsia="ja-JP"/>
              </w:rPr>
              <w:t>コークス製造および製錬作業からの大気への排出、特に粒子状物質(粉塵)、窒素酸化物、二酸化硫黄、一酸化炭素、塩化物、フッ化物、揮発性有機化合物、多環式芳香族炭化水素(PAH)、ポリ塩化ジベンゾ-ダイオキシン/フラン、および重金属</w:t>
            </w:r>
          </w:p>
          <w:p w14:paraId="7F166B40" w14:textId="77777777" w:rsidR="005F38AA" w:rsidRDefault="009649F8">
            <w:pPr>
              <w:pStyle w:val="TableParagraph"/>
              <w:numPr>
                <w:ilvl w:val="0"/>
                <w:numId w:val="48"/>
              </w:numPr>
              <w:tabs>
                <w:tab w:val="left" w:pos="827"/>
                <w:tab w:val="left" w:pos="828"/>
              </w:tabs>
              <w:spacing w:before="8"/>
              <w:rPr>
                <w:sz w:val="20"/>
                <w:lang w:eastAsia="ja-JP"/>
              </w:rPr>
            </w:pPr>
            <w:r>
              <w:rPr>
                <w:sz w:val="20"/>
                <w:lang w:eastAsia="ja-JP"/>
              </w:rPr>
              <w:t>炭化水素及び懸濁物質の水への排出</w:t>
            </w:r>
          </w:p>
          <w:p w14:paraId="7F166B41" w14:textId="77777777" w:rsidR="005F38AA" w:rsidRDefault="009649F8">
            <w:pPr>
              <w:pStyle w:val="TableParagraph"/>
              <w:numPr>
                <w:ilvl w:val="0"/>
                <w:numId w:val="48"/>
              </w:numPr>
              <w:tabs>
                <w:tab w:val="left" w:pos="827"/>
                <w:tab w:val="left" w:pos="828"/>
              </w:tabs>
              <w:spacing w:before="31"/>
              <w:rPr>
                <w:sz w:val="20"/>
                <w:lang w:eastAsia="ja-JP"/>
              </w:rPr>
            </w:pPr>
            <w:r>
              <w:rPr>
                <w:sz w:val="20"/>
                <w:lang w:eastAsia="ja-JP"/>
              </w:rPr>
              <w:t>水ストレス地域における焼入および冷却作業のための水使用量</w:t>
            </w:r>
          </w:p>
          <w:p w14:paraId="7F166B42" w14:textId="77777777" w:rsidR="005F38AA" w:rsidRDefault="009649F8">
            <w:pPr>
              <w:pStyle w:val="TableParagraph"/>
              <w:numPr>
                <w:ilvl w:val="0"/>
                <w:numId w:val="48"/>
              </w:numPr>
              <w:tabs>
                <w:tab w:val="left" w:pos="827"/>
                <w:tab w:val="left" w:pos="828"/>
              </w:tabs>
              <w:spacing w:before="33" w:line="273" w:lineRule="auto"/>
              <w:ind w:right="294"/>
              <w:rPr>
                <w:sz w:val="20"/>
                <w:lang w:eastAsia="ja-JP"/>
              </w:rPr>
            </w:pPr>
            <w:r>
              <w:rPr>
                <w:sz w:val="20"/>
                <w:lang w:eastAsia="ja-JP"/>
              </w:rPr>
              <w:t>汚染物質の排出(適切に緩和されていない場合)および操業とそれに付随する活動の大きな土地収容面積に起因して、地域の生態系および生物多様性に影響を与える可能性;</w:t>
            </w:r>
          </w:p>
          <w:p w14:paraId="7F166B43" w14:textId="77777777" w:rsidR="005F38AA" w:rsidRDefault="009649F8">
            <w:pPr>
              <w:pStyle w:val="TableParagraph"/>
              <w:numPr>
                <w:ilvl w:val="0"/>
                <w:numId w:val="48"/>
              </w:numPr>
              <w:tabs>
                <w:tab w:val="left" w:pos="827"/>
                <w:tab w:val="left" w:pos="828"/>
              </w:tabs>
              <w:spacing w:before="3"/>
              <w:rPr>
                <w:sz w:val="20"/>
                <w:lang w:eastAsia="ja-JP"/>
              </w:rPr>
            </w:pPr>
            <w:r>
              <w:rPr>
                <w:sz w:val="20"/>
                <w:lang w:eastAsia="ja-JP"/>
              </w:rPr>
              <w:t>タールおよびベンゾールを含む、コークス製造および精錬作業からの廃棄物および副産物。</w:t>
            </w:r>
          </w:p>
        </w:tc>
      </w:tr>
    </w:tbl>
    <w:p w14:paraId="7F166B45" w14:textId="77777777" w:rsidR="005F38AA" w:rsidRDefault="005F38AA">
      <w:pPr>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7144"/>
      </w:tblGrid>
      <w:tr w:rsidR="005F38AA" w14:paraId="7F166B48" w14:textId="77777777">
        <w:trPr>
          <w:trHeight w:val="383"/>
        </w:trPr>
        <w:tc>
          <w:tcPr>
            <w:tcW w:w="2208" w:type="dxa"/>
          </w:tcPr>
          <w:p w14:paraId="7F166B46" w14:textId="77777777" w:rsidR="005F38AA" w:rsidRDefault="009649F8">
            <w:pPr>
              <w:pStyle w:val="TableParagraph"/>
              <w:rPr>
                <w:sz w:val="20"/>
              </w:rPr>
            </w:pPr>
            <w:r>
              <w:rPr>
                <w:sz w:val="20"/>
              </w:rPr>
              <w:lastRenderedPageBreak/>
              <w:t>(2)適応</w:t>
            </w:r>
          </w:p>
        </w:tc>
        <w:tc>
          <w:tcPr>
            <w:tcW w:w="7144" w:type="dxa"/>
          </w:tcPr>
          <w:p w14:paraId="7F166B47" w14:textId="77777777" w:rsidR="005F38AA" w:rsidRDefault="009649F8">
            <w:pPr>
              <w:pStyle w:val="TableParagraph"/>
              <w:rPr>
                <w:sz w:val="20"/>
                <w:lang w:eastAsia="ja-JP"/>
              </w:rPr>
            </w:pPr>
            <w:r>
              <w:rPr>
                <w:sz w:val="20"/>
                <w:lang w:eastAsia="ja-JP"/>
              </w:rPr>
              <w:t>気候変動への適応に関するDNSHのスクリーニング基準を参照のこと。</w:t>
            </w:r>
          </w:p>
        </w:tc>
      </w:tr>
      <w:tr w:rsidR="005F38AA" w14:paraId="7F166B4C" w14:textId="77777777">
        <w:trPr>
          <w:trHeight w:val="1549"/>
        </w:trPr>
        <w:tc>
          <w:tcPr>
            <w:tcW w:w="2208" w:type="dxa"/>
          </w:tcPr>
          <w:p w14:paraId="7F166B49" w14:textId="77777777" w:rsidR="005F38AA" w:rsidRDefault="009649F8">
            <w:pPr>
              <w:pStyle w:val="TableParagraph"/>
              <w:spacing w:before="42"/>
              <w:rPr>
                <w:sz w:val="20"/>
              </w:rPr>
            </w:pPr>
            <w:r>
              <w:rPr>
                <w:sz w:val="20"/>
              </w:rPr>
              <w:t>(3) 水</w:t>
            </w:r>
          </w:p>
        </w:tc>
        <w:tc>
          <w:tcPr>
            <w:tcW w:w="7144" w:type="dxa"/>
          </w:tcPr>
          <w:p w14:paraId="7F166B4A" w14:textId="77777777" w:rsidR="005F38AA" w:rsidRDefault="009649F8">
            <w:pPr>
              <w:pStyle w:val="TableParagraph"/>
              <w:numPr>
                <w:ilvl w:val="0"/>
                <w:numId w:val="47"/>
              </w:numPr>
              <w:tabs>
                <w:tab w:val="left" w:pos="468"/>
                <w:tab w:val="left" w:pos="469"/>
              </w:tabs>
              <w:spacing w:before="43" w:line="273" w:lineRule="auto"/>
              <w:ind w:right="178"/>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B4B" w14:textId="77777777" w:rsidR="005F38AA" w:rsidRDefault="009649F8">
            <w:pPr>
              <w:pStyle w:val="TableParagraph"/>
              <w:numPr>
                <w:ilvl w:val="0"/>
                <w:numId w:val="47"/>
              </w:numPr>
              <w:tabs>
                <w:tab w:val="left" w:pos="468"/>
                <w:tab w:val="left" w:pos="469"/>
              </w:tabs>
              <w:spacing w:before="84"/>
              <w:rPr>
                <w:sz w:val="20"/>
                <w:lang w:eastAsia="ja-JP"/>
              </w:rPr>
            </w:pPr>
            <w:r>
              <w:rPr>
                <w:sz w:val="20"/>
                <w:lang w:eastAsia="ja-JP"/>
              </w:rPr>
              <w:t>EUでは、EU水関連法規の要件を満たす。</w:t>
            </w:r>
          </w:p>
        </w:tc>
      </w:tr>
      <w:tr w:rsidR="005F38AA" w14:paraId="7F166B4F" w14:textId="77777777">
        <w:trPr>
          <w:trHeight w:val="650"/>
        </w:trPr>
        <w:tc>
          <w:tcPr>
            <w:tcW w:w="2208" w:type="dxa"/>
          </w:tcPr>
          <w:p w14:paraId="7F166B4D" w14:textId="26255129" w:rsidR="005F38AA" w:rsidRDefault="00E73B7E">
            <w:pPr>
              <w:pStyle w:val="TableParagraph"/>
              <w:rPr>
                <w:sz w:val="20"/>
                <w:lang w:eastAsia="ja-JP"/>
              </w:rPr>
            </w:pPr>
            <w:r>
              <w:rPr>
                <w:rFonts w:hint="eastAsia"/>
                <w:sz w:val="20"/>
                <w:lang w:eastAsia="ja-JP"/>
              </w:rPr>
              <w:t>(4) サーキュラーエコノミー</w:t>
            </w:r>
          </w:p>
        </w:tc>
        <w:tc>
          <w:tcPr>
            <w:tcW w:w="7144" w:type="dxa"/>
          </w:tcPr>
          <w:p w14:paraId="7F166B4E" w14:textId="77777777" w:rsidR="005F38AA" w:rsidRDefault="009649F8">
            <w:pPr>
              <w:pStyle w:val="TableParagraph"/>
              <w:spacing w:line="276" w:lineRule="auto"/>
              <w:ind w:right="247"/>
              <w:rPr>
                <w:sz w:val="20"/>
                <w:lang w:eastAsia="ja-JP"/>
              </w:rPr>
            </w:pPr>
            <w:r>
              <w:rPr>
                <w:sz w:val="20"/>
                <w:lang w:eastAsia="ja-JP"/>
              </w:rPr>
              <w:t>鉄鋼生産のためのBREFに従い、廃棄物及び材料の使用を最小限に抑え、管理するための適切な措置が講じられている。</w:t>
            </w:r>
          </w:p>
        </w:tc>
      </w:tr>
      <w:tr w:rsidR="005F38AA" w14:paraId="7F166B53" w14:textId="77777777">
        <w:trPr>
          <w:trHeight w:val="2316"/>
        </w:trPr>
        <w:tc>
          <w:tcPr>
            <w:tcW w:w="2208" w:type="dxa"/>
          </w:tcPr>
          <w:p w14:paraId="7F166B50" w14:textId="77777777" w:rsidR="005F38AA" w:rsidRDefault="009649F8">
            <w:pPr>
              <w:pStyle w:val="TableParagraph"/>
              <w:rPr>
                <w:sz w:val="20"/>
              </w:rPr>
            </w:pPr>
            <w:r>
              <w:rPr>
                <w:sz w:val="20"/>
              </w:rPr>
              <w:t>(5)汚染</w:t>
            </w:r>
          </w:p>
        </w:tc>
        <w:tc>
          <w:tcPr>
            <w:tcW w:w="7144" w:type="dxa"/>
          </w:tcPr>
          <w:p w14:paraId="7F166B51" w14:textId="77777777" w:rsidR="005F38AA" w:rsidRDefault="009649F8">
            <w:pPr>
              <w:pStyle w:val="TableParagraph"/>
              <w:spacing w:line="276" w:lineRule="auto"/>
              <w:ind w:right="136"/>
              <w:rPr>
                <w:sz w:val="20"/>
                <w:lang w:eastAsia="ja-JP"/>
              </w:rPr>
            </w:pPr>
            <w:r>
              <w:rPr>
                <w:sz w:val="20"/>
                <w:lang w:eastAsia="ja-JP"/>
              </w:rPr>
              <w:t>水と空気への排出が、鉄鋼生産のためのBREFで設定されたBAT-AEL範囲内にあることを確認する(例えば、pH、総懸濁固体(TSS)、化学的酸素要求量(COD)、クロム(総)および重金属、二酸化硫黄-SO2、窒素酸化物-NOx、粒子状物質、ポリ塩化ジベンゾ-ダイオキシン/フラン、水銀(Hg)、塩化水素(HCL)およびフッ化水素(HF))。</w:t>
            </w:r>
          </w:p>
          <w:p w14:paraId="7F166B52" w14:textId="77777777" w:rsidR="005F38AA" w:rsidRDefault="009649F8">
            <w:pPr>
              <w:pStyle w:val="TableParagraph"/>
              <w:spacing w:before="79" w:line="276" w:lineRule="auto"/>
              <w:rPr>
                <w:sz w:val="20"/>
                <w:lang w:eastAsia="ja-JP"/>
              </w:rPr>
            </w:pPr>
            <w:r>
              <w:rPr>
                <w:sz w:val="20"/>
                <w:lang w:eastAsia="ja-JP"/>
              </w:rPr>
              <w:t>活動が地域の大気汚染レベルに大きく寄与し、大気質基準を超える場合は、厳しいレベルのBAT-AELが要求される。</w:t>
            </w:r>
          </w:p>
        </w:tc>
      </w:tr>
      <w:tr w:rsidR="005F38AA" w14:paraId="7F166B5B" w14:textId="77777777">
        <w:trPr>
          <w:trHeight w:val="7447"/>
        </w:trPr>
        <w:tc>
          <w:tcPr>
            <w:tcW w:w="2208" w:type="dxa"/>
          </w:tcPr>
          <w:p w14:paraId="7F166B54" w14:textId="77777777" w:rsidR="005F38AA" w:rsidRDefault="009649F8">
            <w:pPr>
              <w:pStyle w:val="TableParagraph"/>
              <w:rPr>
                <w:sz w:val="20"/>
              </w:rPr>
            </w:pPr>
            <w:r>
              <w:rPr>
                <w:sz w:val="20"/>
              </w:rPr>
              <w:t>(6)生態系</w:t>
            </w:r>
          </w:p>
        </w:tc>
        <w:tc>
          <w:tcPr>
            <w:tcW w:w="7144" w:type="dxa"/>
          </w:tcPr>
          <w:p w14:paraId="7F166B55" w14:textId="77777777" w:rsidR="005F38AA" w:rsidRDefault="009649F8">
            <w:pPr>
              <w:pStyle w:val="TableParagraph"/>
              <w:spacing w:line="276" w:lineRule="auto"/>
              <w:ind w:right="136"/>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のサイト/事業の場合、サイト/事業(運輸インフラ、運営、廃棄物処理施設などの付随サービスを含む)と、生物多様性/生態系を保護するために必要な緩和措置、特にユネスコ世界遺産および主要生物多様性地域(KBA)のいずれか厳しい方が実施されている。</w:t>
            </w:r>
          </w:p>
          <w:p w14:paraId="7F166B56" w14:textId="77777777" w:rsidR="005F38AA" w:rsidRDefault="005F38AA">
            <w:pPr>
              <w:pStyle w:val="TableParagraph"/>
              <w:spacing w:before="0"/>
              <w:ind w:left="0"/>
              <w:rPr>
                <w:b/>
                <w:lang w:eastAsia="ja-JP"/>
              </w:rPr>
            </w:pPr>
          </w:p>
          <w:p w14:paraId="7F166B57" w14:textId="77777777" w:rsidR="005F38AA" w:rsidRDefault="009649F8">
            <w:pPr>
              <w:pStyle w:val="TableParagraph"/>
              <w:spacing w:before="172" w:line="276" w:lineRule="auto"/>
              <w:ind w:right="98"/>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B58" w14:textId="77777777" w:rsidR="005F38AA" w:rsidRDefault="009649F8">
            <w:pPr>
              <w:pStyle w:val="TableParagraph"/>
              <w:numPr>
                <w:ilvl w:val="0"/>
                <w:numId w:val="46"/>
              </w:numPr>
              <w:tabs>
                <w:tab w:val="left" w:pos="828"/>
                <w:tab w:val="left" w:pos="829"/>
              </w:tabs>
              <w:spacing w:before="81" w:line="273" w:lineRule="auto"/>
              <w:ind w:right="286"/>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B59" w14:textId="6FC83718" w:rsidR="005F38AA" w:rsidRDefault="00E73B7E">
            <w:pPr>
              <w:pStyle w:val="TableParagraph"/>
              <w:numPr>
                <w:ilvl w:val="0"/>
                <w:numId w:val="46"/>
              </w:numPr>
              <w:tabs>
                <w:tab w:val="left" w:pos="828"/>
                <w:tab w:val="left" w:pos="829"/>
              </w:tabs>
              <w:spacing w:before="4"/>
              <w:rPr>
                <w:sz w:val="20"/>
                <w:lang w:eastAsia="ja-JP"/>
              </w:rPr>
            </w:pPr>
            <w:r>
              <w:rPr>
                <w:rFonts w:hint="eastAsia"/>
                <w:sz w:val="20"/>
                <w:lang w:eastAsia="ja-JP"/>
              </w:rPr>
              <w:t>種や生息地への</w:t>
            </w:r>
            <w:r w:rsidR="009649F8">
              <w:rPr>
                <w:sz w:val="20"/>
                <w:lang w:eastAsia="ja-JP"/>
              </w:rPr>
              <w:t>影響を低減するために必要なすべての緩和措置が講じられている</w:t>
            </w:r>
          </w:p>
          <w:p w14:paraId="7F166B5A" w14:textId="00A74DC4" w:rsidR="005F38AA" w:rsidRDefault="005F38AA">
            <w:pPr>
              <w:pStyle w:val="TableParagraph"/>
              <w:spacing w:before="33"/>
              <w:ind w:left="828"/>
              <w:rPr>
                <w:sz w:val="20"/>
                <w:lang w:eastAsia="ja-JP"/>
              </w:rPr>
            </w:pPr>
          </w:p>
        </w:tc>
      </w:tr>
    </w:tbl>
    <w:p w14:paraId="7F166B5C" w14:textId="77777777" w:rsidR="005F38AA" w:rsidRDefault="005F38AA">
      <w:pPr>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7144"/>
      </w:tblGrid>
      <w:tr w:rsidR="005F38AA" w14:paraId="7F166B5F" w14:textId="77777777">
        <w:trPr>
          <w:trHeight w:val="623"/>
        </w:trPr>
        <w:tc>
          <w:tcPr>
            <w:tcW w:w="2208" w:type="dxa"/>
          </w:tcPr>
          <w:p w14:paraId="7F166B5D" w14:textId="77777777" w:rsidR="005F38AA" w:rsidRDefault="005F38AA">
            <w:pPr>
              <w:pStyle w:val="TableParagraph"/>
              <w:spacing w:before="0"/>
              <w:ind w:left="0"/>
              <w:rPr>
                <w:rFonts w:ascii="Times New Roman"/>
                <w:sz w:val="18"/>
                <w:lang w:eastAsia="ja-JP"/>
              </w:rPr>
            </w:pPr>
          </w:p>
        </w:tc>
        <w:tc>
          <w:tcPr>
            <w:tcW w:w="7144" w:type="dxa"/>
          </w:tcPr>
          <w:p w14:paraId="7F166B5E" w14:textId="77777777" w:rsidR="005F38AA" w:rsidRDefault="009649F8">
            <w:pPr>
              <w:pStyle w:val="TableParagraph"/>
              <w:numPr>
                <w:ilvl w:val="0"/>
                <w:numId w:val="45"/>
              </w:numPr>
              <w:tabs>
                <w:tab w:val="left" w:pos="828"/>
                <w:tab w:val="left" w:pos="829"/>
              </w:tabs>
              <w:spacing w:before="0" w:line="271" w:lineRule="auto"/>
              <w:ind w:right="114"/>
              <w:rPr>
                <w:sz w:val="20"/>
                <w:lang w:eastAsia="ja-JP"/>
              </w:rPr>
            </w:pPr>
            <w:r>
              <w:rPr>
                <w:sz w:val="20"/>
                <w:lang w:eastAsia="ja-JP"/>
              </w:rPr>
              <w:t>強固で、適切に設計され、長期的な生物多様性のモニタリングと評価プログラムが存在し、実施されている。</w:t>
            </w:r>
          </w:p>
        </w:tc>
      </w:tr>
    </w:tbl>
    <w:p w14:paraId="7F166B60" w14:textId="77777777" w:rsidR="005F38AA" w:rsidRDefault="005F38AA">
      <w:pPr>
        <w:spacing w:line="271" w:lineRule="auto"/>
        <w:rPr>
          <w:sz w:val="20"/>
          <w:lang w:eastAsia="ja-JP"/>
        </w:rPr>
        <w:sectPr w:rsidR="005F38AA">
          <w:pgSz w:w="12240" w:h="15840"/>
          <w:pgMar w:top="1440" w:right="1320" w:bottom="1560" w:left="1340" w:header="0" w:footer="1372" w:gutter="0"/>
          <w:cols w:space="720"/>
        </w:sectPr>
      </w:pPr>
    </w:p>
    <w:p w14:paraId="7F166B61" w14:textId="77777777" w:rsidR="005F38AA" w:rsidRDefault="009649F8">
      <w:pPr>
        <w:pStyle w:val="a4"/>
        <w:numPr>
          <w:ilvl w:val="1"/>
          <w:numId w:val="75"/>
        </w:numPr>
        <w:tabs>
          <w:tab w:val="left" w:pos="820"/>
          <w:tab w:val="left" w:pos="821"/>
        </w:tabs>
        <w:spacing w:before="80"/>
        <w:rPr>
          <w:b/>
          <w:sz w:val="24"/>
        </w:rPr>
      </w:pPr>
      <w:r>
        <w:rPr>
          <w:b/>
          <w:color w:val="006FC0"/>
          <w:sz w:val="24"/>
        </w:rPr>
        <w:lastRenderedPageBreak/>
        <w:t>水素の製造</w:t>
      </w:r>
    </w:p>
    <w:p w14:paraId="7F166B62" w14:textId="77777777" w:rsidR="005F38AA" w:rsidRDefault="005F38AA">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7144"/>
      </w:tblGrid>
      <w:tr w:rsidR="005F38AA" w14:paraId="7F166B64" w14:textId="77777777">
        <w:trPr>
          <w:trHeight w:val="383"/>
        </w:trPr>
        <w:tc>
          <w:tcPr>
            <w:tcW w:w="9352" w:type="dxa"/>
            <w:gridSpan w:val="2"/>
            <w:shd w:val="clear" w:color="auto" w:fill="4471C4"/>
          </w:tcPr>
          <w:p w14:paraId="7F166B63" w14:textId="77777777" w:rsidR="005F38AA" w:rsidRDefault="009649F8">
            <w:pPr>
              <w:pStyle w:val="TableParagraph"/>
              <w:rPr>
                <w:b/>
                <w:sz w:val="20"/>
              </w:rPr>
            </w:pPr>
            <w:r>
              <w:rPr>
                <w:b/>
                <w:color w:val="FFFFFF"/>
                <w:sz w:val="20"/>
              </w:rPr>
              <w:t>セクター分類と活動</w:t>
            </w:r>
          </w:p>
        </w:tc>
      </w:tr>
      <w:tr w:rsidR="005F38AA" w14:paraId="7F166B67" w14:textId="77777777">
        <w:trPr>
          <w:trHeight w:val="386"/>
        </w:trPr>
        <w:tc>
          <w:tcPr>
            <w:tcW w:w="2208" w:type="dxa"/>
          </w:tcPr>
          <w:p w14:paraId="7F166B65" w14:textId="77777777" w:rsidR="005F38AA" w:rsidRDefault="009649F8">
            <w:pPr>
              <w:pStyle w:val="TableParagraph"/>
              <w:rPr>
                <w:sz w:val="20"/>
              </w:rPr>
            </w:pPr>
            <w:r>
              <w:rPr>
                <w:sz w:val="20"/>
              </w:rPr>
              <w:t>マクロセクター</w:t>
            </w:r>
          </w:p>
        </w:tc>
        <w:tc>
          <w:tcPr>
            <w:tcW w:w="7144" w:type="dxa"/>
          </w:tcPr>
          <w:p w14:paraId="7F166B66" w14:textId="77777777" w:rsidR="005F38AA" w:rsidRDefault="009649F8">
            <w:pPr>
              <w:pStyle w:val="TableParagraph"/>
              <w:rPr>
                <w:sz w:val="20"/>
              </w:rPr>
            </w:pPr>
            <w:r>
              <w:rPr>
                <w:sz w:val="20"/>
              </w:rPr>
              <w:t>C-製造</w:t>
            </w:r>
          </w:p>
        </w:tc>
      </w:tr>
      <w:tr w:rsidR="005F38AA" w14:paraId="7F166B6A" w14:textId="77777777">
        <w:trPr>
          <w:trHeight w:val="383"/>
        </w:trPr>
        <w:tc>
          <w:tcPr>
            <w:tcW w:w="2208" w:type="dxa"/>
          </w:tcPr>
          <w:p w14:paraId="7F166B68" w14:textId="77777777" w:rsidR="005F38AA" w:rsidRDefault="009649F8">
            <w:pPr>
              <w:pStyle w:val="TableParagraph"/>
              <w:rPr>
                <w:sz w:val="20"/>
              </w:rPr>
            </w:pPr>
            <w:r>
              <w:rPr>
                <w:sz w:val="20"/>
              </w:rPr>
              <w:t>NACEレベル</w:t>
            </w:r>
          </w:p>
        </w:tc>
        <w:tc>
          <w:tcPr>
            <w:tcW w:w="7144" w:type="dxa"/>
          </w:tcPr>
          <w:p w14:paraId="7F166B69" w14:textId="77777777" w:rsidR="005F38AA" w:rsidRDefault="009649F8">
            <w:pPr>
              <w:pStyle w:val="TableParagraph"/>
              <w:rPr>
                <w:sz w:val="20"/>
              </w:rPr>
            </w:pPr>
            <w:r>
              <w:rPr>
                <w:w w:val="99"/>
                <w:sz w:val="20"/>
              </w:rPr>
              <w:t>4</w:t>
            </w:r>
          </w:p>
        </w:tc>
      </w:tr>
      <w:tr w:rsidR="005F38AA" w14:paraId="7F166B6D" w14:textId="77777777">
        <w:trPr>
          <w:trHeight w:val="383"/>
        </w:trPr>
        <w:tc>
          <w:tcPr>
            <w:tcW w:w="2208" w:type="dxa"/>
          </w:tcPr>
          <w:p w14:paraId="7F166B6B" w14:textId="77777777" w:rsidR="005F38AA" w:rsidRDefault="009649F8">
            <w:pPr>
              <w:pStyle w:val="TableParagraph"/>
              <w:rPr>
                <w:sz w:val="20"/>
              </w:rPr>
            </w:pPr>
            <w:r>
              <w:rPr>
                <w:sz w:val="20"/>
              </w:rPr>
              <w:t>コード</w:t>
            </w:r>
          </w:p>
        </w:tc>
        <w:tc>
          <w:tcPr>
            <w:tcW w:w="7144" w:type="dxa"/>
          </w:tcPr>
          <w:p w14:paraId="7F166B6C" w14:textId="77777777" w:rsidR="005F38AA" w:rsidRDefault="009649F8">
            <w:pPr>
              <w:pStyle w:val="TableParagraph"/>
              <w:rPr>
                <w:sz w:val="20"/>
              </w:rPr>
            </w:pPr>
            <w:r>
              <w:rPr>
                <w:sz w:val="20"/>
              </w:rPr>
              <w:t>C20.1.1</w:t>
            </w:r>
          </w:p>
        </w:tc>
      </w:tr>
      <w:tr w:rsidR="005F38AA" w14:paraId="7F166B70" w14:textId="77777777">
        <w:trPr>
          <w:trHeight w:val="385"/>
        </w:trPr>
        <w:tc>
          <w:tcPr>
            <w:tcW w:w="2208" w:type="dxa"/>
          </w:tcPr>
          <w:p w14:paraId="7F166B6E" w14:textId="77777777" w:rsidR="005F38AA" w:rsidRDefault="009649F8">
            <w:pPr>
              <w:pStyle w:val="TableParagraph"/>
              <w:spacing w:before="42"/>
              <w:rPr>
                <w:sz w:val="20"/>
              </w:rPr>
            </w:pPr>
            <w:r>
              <w:rPr>
                <w:sz w:val="20"/>
              </w:rPr>
              <w:t>内容</w:t>
            </w:r>
          </w:p>
        </w:tc>
        <w:tc>
          <w:tcPr>
            <w:tcW w:w="7144" w:type="dxa"/>
          </w:tcPr>
          <w:p w14:paraId="7F166B6F" w14:textId="77777777" w:rsidR="005F38AA" w:rsidRDefault="009649F8">
            <w:pPr>
              <w:pStyle w:val="TableParagraph"/>
              <w:spacing w:before="42"/>
              <w:rPr>
                <w:sz w:val="20"/>
              </w:rPr>
            </w:pPr>
            <w:r>
              <w:rPr>
                <w:sz w:val="20"/>
              </w:rPr>
              <w:t>水素製造(CPA: 20.11.11.50)</w:t>
            </w:r>
          </w:p>
        </w:tc>
      </w:tr>
      <w:tr w:rsidR="005F38AA" w14:paraId="7F166B72" w14:textId="77777777">
        <w:trPr>
          <w:trHeight w:val="383"/>
        </w:trPr>
        <w:tc>
          <w:tcPr>
            <w:tcW w:w="9352" w:type="dxa"/>
            <w:gridSpan w:val="2"/>
            <w:shd w:val="clear" w:color="auto" w:fill="4471C4"/>
          </w:tcPr>
          <w:p w14:paraId="7F166B71" w14:textId="77777777" w:rsidR="005F38AA" w:rsidRDefault="009649F8">
            <w:pPr>
              <w:pStyle w:val="TableParagraph"/>
              <w:rPr>
                <w:b/>
                <w:sz w:val="20"/>
              </w:rPr>
            </w:pPr>
            <w:r>
              <w:rPr>
                <w:b/>
                <w:color w:val="FFFFFF"/>
                <w:sz w:val="20"/>
              </w:rPr>
              <w:t>緩和基準</w:t>
            </w:r>
          </w:p>
        </w:tc>
      </w:tr>
      <w:tr w:rsidR="005F38AA" w14:paraId="7F166B77" w14:textId="77777777">
        <w:trPr>
          <w:trHeight w:val="2661"/>
        </w:trPr>
        <w:tc>
          <w:tcPr>
            <w:tcW w:w="2208" w:type="dxa"/>
          </w:tcPr>
          <w:p w14:paraId="7F166B73" w14:textId="77777777" w:rsidR="005F38AA" w:rsidRDefault="009649F8">
            <w:pPr>
              <w:pStyle w:val="TableParagraph"/>
              <w:rPr>
                <w:sz w:val="20"/>
              </w:rPr>
            </w:pPr>
            <w:r>
              <w:rPr>
                <w:sz w:val="20"/>
              </w:rPr>
              <w:t>原則</w:t>
            </w:r>
          </w:p>
        </w:tc>
        <w:tc>
          <w:tcPr>
            <w:tcW w:w="7144" w:type="dxa"/>
          </w:tcPr>
          <w:p w14:paraId="7F166B74" w14:textId="77777777" w:rsidR="005F38AA" w:rsidRDefault="009649F8">
            <w:pPr>
              <w:pStyle w:val="TableParagraph"/>
              <w:spacing w:line="276" w:lineRule="auto"/>
              <w:rPr>
                <w:sz w:val="20"/>
                <w:lang w:eastAsia="ja-JP"/>
              </w:rPr>
            </w:pPr>
            <w:r>
              <w:rPr>
                <w:sz w:val="20"/>
                <w:lang w:eastAsia="ja-JP"/>
              </w:rPr>
              <w:t>水素の製造は、化学工業における炭素集約度の高い活動であり、製造活動自体からの排出を削減することは、緩和目標に積極的に寄与する可能性がある。</w:t>
            </w:r>
          </w:p>
          <w:p w14:paraId="7F166B75" w14:textId="77777777" w:rsidR="005F38AA" w:rsidRDefault="009649F8">
            <w:pPr>
              <w:pStyle w:val="TableParagraph"/>
              <w:spacing w:before="81" w:line="276" w:lineRule="auto"/>
              <w:ind w:right="247"/>
              <w:rPr>
                <w:sz w:val="20"/>
                <w:lang w:eastAsia="ja-JP"/>
              </w:rPr>
            </w:pPr>
            <w:r>
              <w:rPr>
                <w:sz w:val="20"/>
                <w:lang w:eastAsia="ja-JP"/>
              </w:rPr>
              <w:t>クロール・アルカリ製造の工程で生成された水素は不適格である。</w:t>
            </w:r>
          </w:p>
          <w:p w14:paraId="7F166B76" w14:textId="77777777" w:rsidR="005F38AA" w:rsidRDefault="009649F8">
            <w:pPr>
              <w:pStyle w:val="TableParagraph"/>
              <w:spacing w:before="80" w:line="276" w:lineRule="auto"/>
              <w:ind w:right="247"/>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5F38AA" w14:paraId="7F166B7D" w14:textId="77777777">
        <w:trPr>
          <w:trHeight w:val="2515"/>
        </w:trPr>
        <w:tc>
          <w:tcPr>
            <w:tcW w:w="2208" w:type="dxa"/>
          </w:tcPr>
          <w:p w14:paraId="7F166B78" w14:textId="77777777" w:rsidR="005F38AA" w:rsidRDefault="009649F8">
            <w:pPr>
              <w:pStyle w:val="TableParagraph"/>
              <w:rPr>
                <w:sz w:val="20"/>
              </w:rPr>
            </w:pPr>
            <w:r>
              <w:rPr>
                <w:sz w:val="20"/>
              </w:rPr>
              <w:t>閾値</w:t>
            </w:r>
          </w:p>
        </w:tc>
        <w:tc>
          <w:tcPr>
            <w:tcW w:w="7144" w:type="dxa"/>
          </w:tcPr>
          <w:p w14:paraId="7F166B79" w14:textId="77777777" w:rsidR="005F38AA" w:rsidRDefault="009649F8">
            <w:pPr>
              <w:pStyle w:val="TableParagraph"/>
              <w:rPr>
                <w:sz w:val="20"/>
                <w:lang w:eastAsia="ja-JP"/>
              </w:rPr>
            </w:pPr>
            <w:r>
              <w:rPr>
                <w:sz w:val="20"/>
                <w:lang w:eastAsia="ja-JP"/>
              </w:rPr>
              <w:t>以下の閾値を満たす必要がある。</w:t>
            </w:r>
          </w:p>
          <w:p w14:paraId="7F166B7A" w14:textId="77777777" w:rsidR="005F38AA" w:rsidRDefault="009649F8">
            <w:pPr>
              <w:pStyle w:val="TableParagraph"/>
              <w:numPr>
                <w:ilvl w:val="0"/>
                <w:numId w:val="43"/>
              </w:numPr>
              <w:tabs>
                <w:tab w:val="left" w:pos="828"/>
                <w:tab w:val="left" w:pos="829"/>
              </w:tabs>
              <w:spacing w:before="114" w:line="271" w:lineRule="auto"/>
              <w:ind w:right="351"/>
              <w:rPr>
                <w:sz w:val="20"/>
                <w:lang w:eastAsia="ja-JP"/>
              </w:rPr>
            </w:pPr>
            <w:r>
              <w:rPr>
                <w:sz w:val="20"/>
                <w:lang w:eastAsia="ja-JP"/>
              </w:rPr>
              <w:t>水素製造による直接CO2排出量:5.8 tCO2e/t水素は分類学におけるエネルギー閾値と整合している。</w:t>
            </w:r>
          </w:p>
          <w:p w14:paraId="7F166B7B" w14:textId="77777777" w:rsidR="005F38AA" w:rsidRDefault="009649F8">
            <w:pPr>
              <w:pStyle w:val="TableParagraph"/>
              <w:numPr>
                <w:ilvl w:val="0"/>
                <w:numId w:val="43"/>
              </w:numPr>
              <w:tabs>
                <w:tab w:val="left" w:pos="828"/>
                <w:tab w:val="left" w:pos="829"/>
              </w:tabs>
              <w:spacing w:before="85" w:line="271" w:lineRule="auto"/>
              <w:ind w:right="507"/>
              <w:rPr>
                <w:sz w:val="10"/>
                <w:lang w:eastAsia="ja-JP"/>
              </w:rPr>
            </w:pPr>
            <w:r>
              <w:rPr>
                <w:sz w:val="20"/>
                <w:lang w:eastAsia="ja-JP"/>
              </w:rPr>
              <w:t>電気分解により生成される水素の電気利用は、58 MWh/t水素207以下である。</w:t>
            </w:r>
          </w:p>
          <w:p w14:paraId="7F166B7C" w14:textId="77777777" w:rsidR="005F38AA" w:rsidRDefault="009649F8">
            <w:pPr>
              <w:pStyle w:val="TableParagraph"/>
              <w:numPr>
                <w:ilvl w:val="0"/>
                <w:numId w:val="43"/>
              </w:numPr>
              <w:tabs>
                <w:tab w:val="left" w:pos="828"/>
                <w:tab w:val="left" w:pos="829"/>
              </w:tabs>
              <w:spacing w:before="88" w:line="273" w:lineRule="auto"/>
              <w:ind w:right="324"/>
              <w:rPr>
                <w:sz w:val="20"/>
                <w:lang w:eastAsia="ja-JP"/>
              </w:rPr>
            </w:pPr>
            <w:r>
              <w:rPr>
                <w:sz w:val="20"/>
                <w:lang w:eastAsia="ja-JP"/>
              </w:rPr>
              <w:t>水素製造に使用される発電電力の平均炭素強度は、100 gCO2e/kWh以下(定期的な更新を条件とした発電の分類基準値)である。</w:t>
            </w:r>
          </w:p>
        </w:tc>
      </w:tr>
      <w:tr w:rsidR="005F38AA" w14:paraId="7F166B7F" w14:textId="77777777">
        <w:trPr>
          <w:trHeight w:val="386"/>
        </w:trPr>
        <w:tc>
          <w:tcPr>
            <w:tcW w:w="9352" w:type="dxa"/>
            <w:gridSpan w:val="2"/>
            <w:shd w:val="clear" w:color="auto" w:fill="4471C4"/>
          </w:tcPr>
          <w:p w14:paraId="7F166B7E" w14:textId="77777777" w:rsidR="005F38AA" w:rsidRDefault="009649F8">
            <w:pPr>
              <w:pStyle w:val="TableParagraph"/>
              <w:rPr>
                <w:b/>
                <w:sz w:val="20"/>
              </w:rPr>
            </w:pPr>
            <w:r>
              <w:rPr>
                <w:b/>
                <w:color w:val="FFFFFF"/>
                <w:sz w:val="20"/>
              </w:rPr>
              <w:t>根拠</w:t>
            </w:r>
          </w:p>
        </w:tc>
      </w:tr>
      <w:tr w:rsidR="005F38AA" w14:paraId="7F166B81" w14:textId="77777777">
        <w:trPr>
          <w:trHeight w:val="1178"/>
        </w:trPr>
        <w:tc>
          <w:tcPr>
            <w:tcW w:w="9352" w:type="dxa"/>
            <w:gridSpan w:val="2"/>
          </w:tcPr>
          <w:p w14:paraId="7F166B80" w14:textId="77777777" w:rsidR="005F38AA" w:rsidRDefault="009649F8">
            <w:pPr>
              <w:pStyle w:val="TableParagraph"/>
              <w:spacing w:line="276" w:lineRule="auto"/>
              <w:ind w:right="97"/>
              <w:jc w:val="both"/>
              <w:rPr>
                <w:sz w:val="20"/>
                <w:lang w:eastAsia="ja-JP"/>
              </w:rPr>
            </w:pPr>
            <w:r>
              <w:rPr>
                <w:sz w:val="20"/>
                <w:lang w:eastAsia="ja-JP"/>
              </w:rPr>
              <w:t>現在、工業的に製造された水素の96%近くは、化石燃料を用いた水蒸気改質によって製造されており、その内訳は、天然ガスが48%、液化炭化水素が30%、石炭が18%である。 蒸気改質は成熟したプロセスであり、CO2排出量が多く、EUの長期的な温室効果ガス排出削減戦略とは相容れない。</w:t>
            </w:r>
          </w:p>
        </w:tc>
      </w:tr>
    </w:tbl>
    <w:p w14:paraId="7F166B82" w14:textId="77777777" w:rsidR="005F38AA" w:rsidRDefault="005F38AA">
      <w:pPr>
        <w:pStyle w:val="a3"/>
        <w:rPr>
          <w:b/>
          <w:lang w:eastAsia="ja-JP"/>
        </w:rPr>
      </w:pPr>
    </w:p>
    <w:p w14:paraId="7F166B83" w14:textId="464A76A4" w:rsidR="005F38AA" w:rsidRDefault="00520D32">
      <w:pPr>
        <w:pStyle w:val="a3"/>
        <w:spacing w:before="8"/>
        <w:rPr>
          <w:b/>
          <w:sz w:val="18"/>
          <w:lang w:eastAsia="ja-JP"/>
        </w:rPr>
      </w:pPr>
      <w:r>
        <w:rPr>
          <w:noProof/>
          <w:lang w:val="en-US" w:eastAsia="ja-JP"/>
        </w:rPr>
        <mc:AlternateContent>
          <mc:Choice Requires="wps">
            <w:drawing>
              <wp:anchor distT="0" distB="0" distL="0" distR="0" simplePos="0" relativeHeight="251657216" behindDoc="1" locked="0" layoutInCell="1" allowOverlap="1" wp14:anchorId="7F166D9B" wp14:editId="3EBF2710">
                <wp:simplePos x="0" y="0"/>
                <wp:positionH relativeFrom="page">
                  <wp:posOffset>914400</wp:posOffset>
                </wp:positionH>
                <wp:positionV relativeFrom="paragraph">
                  <wp:posOffset>165100</wp:posOffset>
                </wp:positionV>
                <wp:extent cx="1829435" cy="0"/>
                <wp:effectExtent l="9525" t="6350" r="8890" b="1270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435D" id="Line 14"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21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s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EW+hNb1wBIZXa2lAdPalns9H0p0NKVy1Rex45vpwN5GUhI3mVEjbOwA27/qtmEEMOXsdG&#10;nRrbBUhoATpFPc43PfjJIwqH2Wwyzx8eMaKDLyHFkGis81+47lAwSiyBdAQmx43zgQgphpBwj9Jr&#10;IWWUWyrUl3iazqcxwWkpWHCGMGf3u0padCRhYOIXqwLPfZjVB8UiWMsJW11tT4S82HC5VAEPSgE6&#10;V+syEb/m6Xw1W83yUT6ZrkZ5Wtejz+sqH03X2afH+qGuqjr7HahledEKxrgK7IbpzPK3qX99J5e5&#10;us3nrQ3Ja/TYLyA7/CPpqGWQ7zIIO83OWztoDAMZg6+PJ0z8/R7s+ye+/AMAAP//AwBQSwMEFAAG&#10;AAgAAAAhAER9hjzfAAAACQEAAA8AAABkcnMvZG93bnJldi54bWxMj0FLw0AQhe+C/2EZwZvdNIaa&#10;ptkUURR6kGJbPG+zYxKTnQ3ZbZP+e0c86Gl4M48338vXk+3EGQffOFIwn0UgkEpnGqoUHPYvdykI&#10;HzQZ3TlCBRf0sC6ur3KdGTfSO553oRIcQj7TCuoQ+kxKX9ZotZ+5Holvn26wOrAcKmkGPXK47WQc&#10;RQtpdUP8odY9PtVYtruTVfCWyme3bT/Ky9e4f03TTbt82ByUur2ZHlcgAk7hzww/+IwOBTMd3YmM&#10;Fx3rJOEuQUG84MmG5D6egzj+LmSRy/8Nim8AAAD//wMAUEsBAi0AFAAGAAgAAAAhALaDOJL+AAAA&#10;4QEAABMAAAAAAAAAAAAAAAAAAAAAAFtDb250ZW50X1R5cGVzXS54bWxQSwECLQAUAAYACAAAACEA&#10;OP0h/9YAAACUAQAACwAAAAAAAAAAAAAAAAAvAQAAX3JlbHMvLnJlbHNQSwECLQAUAAYACAAAACEA&#10;Vv3nbBMCAAAqBAAADgAAAAAAAAAAAAAAAAAuAgAAZHJzL2Uyb0RvYy54bWxQSwECLQAUAAYACAAA&#10;ACEARH2GPN8AAAAJAQAADwAAAAAAAAAAAAAAAABtBAAAZHJzL2Rvd25yZXYueG1sUEsFBgAAAAAE&#10;AAQA8wAAAHkFAAAAAA==&#10;" strokeweight=".48pt">
                <w10:wrap type="topAndBottom" anchorx="page"/>
              </v:line>
            </w:pict>
          </mc:Fallback>
        </mc:AlternateContent>
      </w:r>
    </w:p>
    <w:p w14:paraId="7F166B84" w14:textId="77777777" w:rsidR="005F38AA" w:rsidRDefault="005F38AA">
      <w:pPr>
        <w:pStyle w:val="a3"/>
        <w:spacing w:before="6"/>
        <w:rPr>
          <w:b/>
          <w:sz w:val="25"/>
          <w:lang w:eastAsia="ja-JP"/>
        </w:rPr>
      </w:pPr>
    </w:p>
    <w:p w14:paraId="7F166B85" w14:textId="2D5F10B3" w:rsidR="005F38AA" w:rsidRDefault="009649F8">
      <w:pPr>
        <w:pStyle w:val="a4"/>
        <w:numPr>
          <w:ilvl w:val="0"/>
          <w:numId w:val="44"/>
        </w:numPr>
        <w:tabs>
          <w:tab w:val="left" w:pos="413"/>
        </w:tabs>
        <w:spacing w:line="259" w:lineRule="auto"/>
        <w:ind w:right="122" w:firstLine="0"/>
        <w:rPr>
          <w:sz w:val="16"/>
          <w:lang w:eastAsia="ja-JP"/>
        </w:rPr>
      </w:pPr>
      <w:r>
        <w:rPr>
          <w:sz w:val="16"/>
          <w:lang w:eastAsia="ja-JP"/>
        </w:rPr>
        <w:t>エネルギー効率とJRC排出量、化学・石油化学産業の展望シナリオ、JRC(2017)、p.12</w:t>
      </w:r>
      <w:hyperlink r:id="rId25">
        <w:r>
          <w:rPr>
            <w:sz w:val="16"/>
            <w:lang w:eastAsia="ja-JP"/>
          </w:rPr>
          <w:t xml:space="preserve"> http://publications.jrc.ec.europa.eu/repository/bitstream/JRC105767/kj-na-28471-enn.pdf. 化学部門からの排出量の約9%を占める。</w:t>
        </w:r>
      </w:hyperlink>
      <w:r>
        <w:rPr>
          <w:sz w:val="16"/>
          <w:lang w:eastAsia="ja-JP"/>
        </w:rPr>
        <w:t xml:space="preserve"> なお、メタノール、合成ガスの製造に伴う排出量は9%に含ま</w:t>
      </w:r>
      <w:r w:rsidR="00E73B7E">
        <w:rPr>
          <w:rFonts w:hint="eastAsia"/>
          <w:sz w:val="16"/>
          <w:lang w:eastAsia="ja-JP"/>
        </w:rPr>
        <w:t>れる</w:t>
      </w:r>
      <w:r>
        <w:rPr>
          <w:sz w:val="16"/>
          <w:lang w:eastAsia="ja-JP"/>
        </w:rPr>
        <w:t>。</w:t>
      </w:r>
    </w:p>
    <w:p w14:paraId="7F166B86" w14:textId="77777777" w:rsidR="005F38AA" w:rsidRDefault="009649F8">
      <w:pPr>
        <w:pStyle w:val="a4"/>
        <w:numPr>
          <w:ilvl w:val="0"/>
          <w:numId w:val="44"/>
        </w:numPr>
        <w:tabs>
          <w:tab w:val="left" w:pos="413"/>
        </w:tabs>
        <w:spacing w:before="161" w:line="259" w:lineRule="auto"/>
        <w:ind w:right="134" w:firstLine="0"/>
        <w:rPr>
          <w:sz w:val="16"/>
          <w:lang w:eastAsia="ja-JP"/>
        </w:rPr>
      </w:pPr>
      <w:r>
        <w:rPr>
          <w:sz w:val="16"/>
          <w:lang w:eastAsia="ja-JP"/>
        </w:rPr>
        <w:t>DECHEMAが発行しCEFIC https://dechema.de/dechema_media/Downloads/Positionspapiere/Technology_study_Low_carbon_energy_and_feedstock_for_the_ European_chemical_industry-p-20002750.pdfが委託した52pagの報告書</w:t>
      </w:r>
      <w:hyperlink r:id="rId26"/>
      <w:hyperlink r:id="rId27"/>
    </w:p>
    <w:p w14:paraId="7F166B87" w14:textId="77777777" w:rsidR="005F38AA" w:rsidRDefault="005F38AA">
      <w:pPr>
        <w:spacing w:line="259" w:lineRule="auto"/>
        <w:rPr>
          <w:sz w:val="16"/>
          <w:lang w:eastAsia="ja-JP"/>
        </w:rPr>
        <w:sectPr w:rsidR="005F38AA">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00"/>
        <w:gridCol w:w="7144"/>
      </w:tblGrid>
      <w:tr w:rsidR="005F38AA" w14:paraId="7F166B8B" w14:textId="77777777">
        <w:trPr>
          <w:trHeight w:val="3148"/>
        </w:trPr>
        <w:tc>
          <w:tcPr>
            <w:tcW w:w="9352" w:type="dxa"/>
            <w:gridSpan w:val="3"/>
          </w:tcPr>
          <w:p w14:paraId="7F166B88" w14:textId="77777777" w:rsidR="005F38AA" w:rsidRDefault="009649F8">
            <w:pPr>
              <w:pStyle w:val="TableParagraph"/>
              <w:spacing w:before="0" w:line="276" w:lineRule="auto"/>
              <w:rPr>
                <w:sz w:val="20"/>
                <w:lang w:eastAsia="ja-JP"/>
              </w:rPr>
            </w:pPr>
            <w:r>
              <w:rPr>
                <w:sz w:val="20"/>
                <w:lang w:eastAsia="ja-JP"/>
              </w:rPr>
              <w:lastRenderedPageBreak/>
              <w:t>低炭素生産プロセスを推進することにより、水素製造からの排出を最小限に抑えることは、緩和目標に積極的に貢献することができる。</w:t>
            </w:r>
          </w:p>
          <w:p w14:paraId="7F166B89" w14:textId="77777777" w:rsidR="005F38AA" w:rsidRDefault="009649F8">
            <w:pPr>
              <w:pStyle w:val="TableParagraph"/>
              <w:spacing w:before="80" w:line="276" w:lineRule="auto"/>
              <w:rPr>
                <w:sz w:val="10"/>
                <w:lang w:eastAsia="ja-JP"/>
              </w:rPr>
            </w:pPr>
            <w:r>
              <w:rPr>
                <w:sz w:val="20"/>
                <w:lang w:eastAsia="ja-JP"/>
              </w:rPr>
              <w:t>選択された指標は、(1)生産量あたりのGHG排出量、および消費電力の観点からの排出係数、(2)電力消費のエネルギー効率の閾値である。 この閾値は、直接排出量と間接排出量の両方をカバーし、最も効果的な緩和技術がインセンティブを与えられていることを保証する一方で、直接排出量を削減するが間接排出量が極めて高い製造プロセスを促進する一貫性のないインセンティブを回避する208。</w:t>
            </w:r>
          </w:p>
          <w:p w14:paraId="7F166B8A" w14:textId="77777777" w:rsidR="005F38AA" w:rsidRDefault="009649F8">
            <w:pPr>
              <w:pStyle w:val="TableParagraph"/>
              <w:spacing w:before="79" w:line="276" w:lineRule="auto"/>
              <w:ind w:right="166"/>
              <w:rPr>
                <w:sz w:val="20"/>
                <w:lang w:eastAsia="ja-JP"/>
              </w:rPr>
            </w:pPr>
            <w:r>
              <w:rPr>
                <w:sz w:val="20"/>
                <w:lang w:eastAsia="ja-JP"/>
              </w:rPr>
              <w:t>この閾値は、発電活動で定義された低炭素エネルギーによる電解の性能を反映しており、CCSでも達成可能である。 提案された閾値は、グリーン水素209を証明するための現在のベストマーケット・プラクティスにも一致している。</w:t>
            </w:r>
          </w:p>
        </w:tc>
      </w:tr>
      <w:tr w:rsidR="005F38AA" w14:paraId="7F166B8E" w14:textId="77777777">
        <w:trPr>
          <w:trHeight w:val="386"/>
        </w:trPr>
        <w:tc>
          <w:tcPr>
            <w:tcW w:w="108" w:type="dxa"/>
            <w:tcBorders>
              <w:right w:val="nil"/>
            </w:tcBorders>
            <w:shd w:val="clear" w:color="auto" w:fill="4471C4"/>
          </w:tcPr>
          <w:p w14:paraId="7F166B8C" w14:textId="77777777" w:rsidR="005F38AA" w:rsidRDefault="005F38AA">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7F166B8D" w14:textId="33107B38" w:rsidR="005F38AA" w:rsidRDefault="009649F8" w:rsidP="00E73B7E">
            <w:pPr>
              <w:pStyle w:val="TableParagraph"/>
              <w:spacing w:before="42"/>
              <w:ind w:left="4"/>
              <w:rPr>
                <w:b/>
                <w:sz w:val="20"/>
                <w:lang w:eastAsia="ja-JP"/>
              </w:rPr>
            </w:pPr>
            <w:r>
              <w:rPr>
                <w:b/>
                <w:color w:val="FFFFFF"/>
                <w:sz w:val="20"/>
                <w:lang w:eastAsia="ja-JP"/>
              </w:rPr>
              <w:t>重大な有害性</w:t>
            </w:r>
          </w:p>
        </w:tc>
      </w:tr>
      <w:tr w:rsidR="005F38AA" w14:paraId="7F166B93" w14:textId="77777777">
        <w:trPr>
          <w:trHeight w:val="2884"/>
        </w:trPr>
        <w:tc>
          <w:tcPr>
            <w:tcW w:w="9352" w:type="dxa"/>
            <w:gridSpan w:val="3"/>
          </w:tcPr>
          <w:p w14:paraId="7F166B8F" w14:textId="77777777" w:rsidR="005F38AA" w:rsidRDefault="009649F8">
            <w:pPr>
              <w:pStyle w:val="TableParagraph"/>
              <w:spacing w:before="41" w:line="276" w:lineRule="auto"/>
              <w:ind w:right="166"/>
              <w:rPr>
                <w:sz w:val="20"/>
                <w:lang w:eastAsia="ja-JP"/>
              </w:rPr>
            </w:pPr>
            <w:r>
              <w:rPr>
                <w:sz w:val="20"/>
                <w:lang w:eastAsia="ja-JP"/>
              </w:rPr>
              <w:t>水素の製造による他の環境目的への重大な潜在的損害は、実用的には、炭化水素精製活動によってより一般的に生じる重大な損害の可能性と不可分であり、以下に関連する。</w:t>
            </w:r>
          </w:p>
          <w:p w14:paraId="7F166B90" w14:textId="77777777" w:rsidR="005F38AA" w:rsidRDefault="009649F8">
            <w:pPr>
              <w:pStyle w:val="TableParagraph"/>
              <w:numPr>
                <w:ilvl w:val="0"/>
                <w:numId w:val="42"/>
              </w:numPr>
              <w:tabs>
                <w:tab w:val="left" w:pos="827"/>
                <w:tab w:val="left" w:pos="828"/>
              </w:tabs>
              <w:spacing w:before="78" w:line="271" w:lineRule="auto"/>
              <w:ind w:right="740"/>
              <w:rPr>
                <w:sz w:val="20"/>
                <w:lang w:eastAsia="ja-JP"/>
              </w:rPr>
            </w:pPr>
            <w:r>
              <w:rPr>
                <w:sz w:val="20"/>
                <w:lang w:eastAsia="ja-JP"/>
              </w:rPr>
              <w:t>大気への汚染物質の排出(電気分解による水素生成の場合、発電に伴う間接的な環境影響)</w:t>
            </w:r>
          </w:p>
          <w:p w14:paraId="7F166B91" w14:textId="77777777" w:rsidR="005F38AA" w:rsidRDefault="009649F8">
            <w:pPr>
              <w:pStyle w:val="TableParagraph"/>
              <w:numPr>
                <w:ilvl w:val="0"/>
                <w:numId w:val="42"/>
              </w:numPr>
              <w:tabs>
                <w:tab w:val="left" w:pos="827"/>
                <w:tab w:val="left" w:pos="828"/>
              </w:tabs>
              <w:spacing w:before="6" w:line="271" w:lineRule="auto"/>
              <w:ind w:right="162"/>
              <w:rPr>
                <w:sz w:val="20"/>
                <w:lang w:eastAsia="ja-JP"/>
              </w:rPr>
            </w:pPr>
            <w:r>
              <w:rPr>
                <w:sz w:val="20"/>
                <w:lang w:eastAsia="ja-JP"/>
              </w:rPr>
              <w:t>冷却に使用される水は、局所的な資源の枯渇をもたらし、局所的な水資源不足に依存する可能性がある。</w:t>
            </w:r>
          </w:p>
          <w:p w14:paraId="7F166B92" w14:textId="77777777" w:rsidR="005F38AA" w:rsidRDefault="009649F8">
            <w:pPr>
              <w:pStyle w:val="TableParagraph"/>
              <w:numPr>
                <w:ilvl w:val="0"/>
                <w:numId w:val="42"/>
              </w:numPr>
              <w:tabs>
                <w:tab w:val="left" w:pos="827"/>
                <w:tab w:val="left" w:pos="828"/>
              </w:tabs>
              <w:spacing w:before="8" w:line="273" w:lineRule="auto"/>
              <w:ind w:right="588"/>
              <w:rPr>
                <w:sz w:val="20"/>
                <w:lang w:eastAsia="ja-JP"/>
              </w:rPr>
            </w:pPr>
            <w:r>
              <w:rPr>
                <w:sz w:val="20"/>
                <w:lang w:eastAsia="ja-JP"/>
              </w:rPr>
              <w:t>廃棄物の発生(例えば、炭化水素処理によって生成される水素の精製に使用される様々な物理的及び化学的処理プロセスの使用済触媒及び副産物)。</w:t>
            </w:r>
          </w:p>
        </w:tc>
      </w:tr>
      <w:tr w:rsidR="005F38AA" w14:paraId="7F166B96" w14:textId="77777777">
        <w:trPr>
          <w:trHeight w:val="383"/>
        </w:trPr>
        <w:tc>
          <w:tcPr>
            <w:tcW w:w="2208" w:type="dxa"/>
            <w:gridSpan w:val="2"/>
          </w:tcPr>
          <w:p w14:paraId="7F166B94" w14:textId="77777777" w:rsidR="005F38AA" w:rsidRDefault="009649F8">
            <w:pPr>
              <w:pStyle w:val="TableParagraph"/>
              <w:rPr>
                <w:sz w:val="20"/>
              </w:rPr>
            </w:pPr>
            <w:r>
              <w:rPr>
                <w:sz w:val="20"/>
              </w:rPr>
              <w:t>(2)適応</w:t>
            </w:r>
          </w:p>
        </w:tc>
        <w:tc>
          <w:tcPr>
            <w:tcW w:w="7144" w:type="dxa"/>
          </w:tcPr>
          <w:p w14:paraId="7F166B95" w14:textId="77777777" w:rsidR="005F38AA" w:rsidRDefault="009649F8">
            <w:pPr>
              <w:pStyle w:val="TableParagraph"/>
              <w:rPr>
                <w:sz w:val="20"/>
                <w:lang w:eastAsia="ja-JP"/>
              </w:rPr>
            </w:pPr>
            <w:r>
              <w:rPr>
                <w:sz w:val="20"/>
                <w:lang w:eastAsia="ja-JP"/>
              </w:rPr>
              <w:t>気候変動への適応に関するDNSHのスクリーニング基準を参照のこと。</w:t>
            </w:r>
          </w:p>
        </w:tc>
      </w:tr>
      <w:tr w:rsidR="005F38AA" w14:paraId="7F166B9A" w14:textId="77777777">
        <w:trPr>
          <w:trHeight w:val="1550"/>
        </w:trPr>
        <w:tc>
          <w:tcPr>
            <w:tcW w:w="2208" w:type="dxa"/>
            <w:gridSpan w:val="2"/>
          </w:tcPr>
          <w:p w14:paraId="7F166B97" w14:textId="77777777" w:rsidR="005F38AA" w:rsidRDefault="009649F8">
            <w:pPr>
              <w:pStyle w:val="TableParagraph"/>
              <w:spacing w:before="43"/>
              <w:rPr>
                <w:sz w:val="20"/>
              </w:rPr>
            </w:pPr>
            <w:r>
              <w:rPr>
                <w:sz w:val="20"/>
              </w:rPr>
              <w:t>(3) 水</w:t>
            </w:r>
          </w:p>
        </w:tc>
        <w:tc>
          <w:tcPr>
            <w:tcW w:w="7144" w:type="dxa"/>
          </w:tcPr>
          <w:p w14:paraId="7F166B98" w14:textId="77777777" w:rsidR="005F38AA" w:rsidRDefault="009649F8">
            <w:pPr>
              <w:pStyle w:val="TableParagraph"/>
              <w:numPr>
                <w:ilvl w:val="0"/>
                <w:numId w:val="41"/>
              </w:numPr>
              <w:tabs>
                <w:tab w:val="left" w:pos="468"/>
                <w:tab w:val="left" w:pos="469"/>
              </w:tabs>
              <w:spacing w:before="44" w:line="273" w:lineRule="auto"/>
              <w:ind w:right="178"/>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B99" w14:textId="77777777" w:rsidR="005F38AA" w:rsidRDefault="009649F8">
            <w:pPr>
              <w:pStyle w:val="TableParagraph"/>
              <w:numPr>
                <w:ilvl w:val="0"/>
                <w:numId w:val="41"/>
              </w:numPr>
              <w:tabs>
                <w:tab w:val="left" w:pos="468"/>
                <w:tab w:val="left" w:pos="469"/>
              </w:tabs>
              <w:spacing w:before="83"/>
              <w:rPr>
                <w:sz w:val="20"/>
                <w:lang w:eastAsia="ja-JP"/>
              </w:rPr>
            </w:pPr>
            <w:r>
              <w:rPr>
                <w:sz w:val="20"/>
                <w:lang w:eastAsia="ja-JP"/>
              </w:rPr>
              <w:t>EUでは、EU水関連法規の要件を満たす。</w:t>
            </w:r>
          </w:p>
        </w:tc>
      </w:tr>
      <w:tr w:rsidR="005F38AA" w14:paraId="7F166B9D" w14:textId="77777777">
        <w:trPr>
          <w:trHeight w:val="1177"/>
        </w:trPr>
        <w:tc>
          <w:tcPr>
            <w:tcW w:w="2208" w:type="dxa"/>
            <w:gridSpan w:val="2"/>
          </w:tcPr>
          <w:p w14:paraId="7F166B9B" w14:textId="77777777" w:rsidR="005F38AA" w:rsidRDefault="009649F8">
            <w:pPr>
              <w:pStyle w:val="TableParagraph"/>
              <w:rPr>
                <w:sz w:val="20"/>
              </w:rPr>
            </w:pPr>
            <w:r>
              <w:rPr>
                <w:sz w:val="20"/>
              </w:rPr>
              <w:t>四循環経済</w:t>
            </w:r>
          </w:p>
        </w:tc>
        <w:tc>
          <w:tcPr>
            <w:tcW w:w="7144" w:type="dxa"/>
          </w:tcPr>
          <w:p w14:paraId="7F166B9C" w14:textId="77777777" w:rsidR="005F38AA" w:rsidRDefault="009649F8">
            <w:pPr>
              <w:pStyle w:val="TableParagraph"/>
              <w:spacing w:line="276" w:lineRule="auto"/>
              <w:ind w:right="65"/>
              <w:rPr>
                <w:sz w:val="20"/>
                <w:lang w:eastAsia="ja-JP"/>
              </w:rPr>
            </w:pPr>
            <w:r>
              <w:rPr>
                <w:sz w:val="20"/>
                <w:lang w:eastAsia="ja-JP"/>
              </w:rPr>
              <w:t>石油・ガス精製設備の文脈で水素の製造が行われる場合には、鉱油・ガス精製のためのBREFのBATの結論に従い、廃棄物および材料の使用を最小限に抑え、管理するための適切な措置が講じられていることを確実にする。</w:t>
            </w:r>
          </w:p>
        </w:tc>
      </w:tr>
    </w:tbl>
    <w:p w14:paraId="7F166B9E" w14:textId="77777777" w:rsidR="005F38AA" w:rsidRDefault="005F38AA">
      <w:pPr>
        <w:pStyle w:val="a3"/>
        <w:rPr>
          <w:lang w:eastAsia="ja-JP"/>
        </w:rPr>
      </w:pPr>
    </w:p>
    <w:p w14:paraId="7F166B9F" w14:textId="77777777" w:rsidR="005F38AA" w:rsidRDefault="005F38AA">
      <w:pPr>
        <w:pStyle w:val="a3"/>
        <w:rPr>
          <w:lang w:eastAsia="ja-JP"/>
        </w:rPr>
      </w:pPr>
    </w:p>
    <w:p w14:paraId="7F166BA0" w14:textId="402E9302" w:rsidR="005F38AA" w:rsidRDefault="00520D32">
      <w:pPr>
        <w:pStyle w:val="a3"/>
        <w:spacing w:before="1"/>
        <w:rPr>
          <w:sz w:val="17"/>
          <w:lang w:eastAsia="ja-JP"/>
        </w:rPr>
      </w:pPr>
      <w:r>
        <w:rPr>
          <w:noProof/>
          <w:lang w:val="en-US" w:eastAsia="ja-JP"/>
        </w:rPr>
        <mc:AlternateContent>
          <mc:Choice Requires="wps">
            <w:drawing>
              <wp:anchor distT="0" distB="0" distL="0" distR="0" simplePos="0" relativeHeight="251658240" behindDoc="1" locked="0" layoutInCell="1" allowOverlap="1" wp14:anchorId="7F166D9C" wp14:editId="7601DAAA">
                <wp:simplePos x="0" y="0"/>
                <wp:positionH relativeFrom="page">
                  <wp:posOffset>914400</wp:posOffset>
                </wp:positionH>
                <wp:positionV relativeFrom="paragraph">
                  <wp:posOffset>153035</wp:posOffset>
                </wp:positionV>
                <wp:extent cx="1829435" cy="0"/>
                <wp:effectExtent l="9525" t="5080" r="8890" b="1397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46FD" id="Line 13"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05pt" to="216.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fL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JhNp8s8ukTRnTwJaQYEo11/hPXHQpGiSWQjsDktHU+ECHFEBLuUXoj&#10;pIxyS4X6Es/SxSwmOC0FC84Q5uxhX0mLTiQMTPxiVeB5DLP6qFgEazlh65vtiZBXGy6XKuBBKUDn&#10;Zl0n4sciXazn63k+yiez9ShP63r0cVPlo9km+/BUT+uqqrOfgVqWF61gjKvAbpjOLP879W/v5DpX&#10;9/m8tyF5ix77BWSHfyQdtQzyXQdhr9llZweNYSBj8O3xhIl/3IP9+MRXvwAAAP//AwBQSwMEFAAG&#10;AAgAAAAhAHp3S27eAAAACQEAAA8AAABkcnMvZG93bnJldi54bWxMj0FPwzAMhe9I+w+RJ3Fj6UoF&#10;pTSdJhBIOyDENnHOGtN2bZyqydbu32PEAW5+9tPz9/LVZDtxxsE3jhQsFxEIpNKZhioF+93LTQrC&#10;B01Gd45QwQU9rIrZVa4z40b6wPM2VIJDyGdaQR1Cn0npyxqt9gvXI/Htyw1WB5ZDJc2gRw63nYyj&#10;6E5a3RB/qHWPTzWW7fZkFbyl8tm9t5/l5TjuXtN00z7cb/ZKXc+n9SOIgFP4M8MPPqNDwUwHdyLj&#10;Rcc6SbhLUBAnSxBsSG5jHg6/C1nk8n+D4hsAAP//AwBQSwECLQAUAAYACAAAACEAtoM4kv4AAADh&#10;AQAAEwAAAAAAAAAAAAAAAAAAAAAAW0NvbnRlbnRfVHlwZXNdLnhtbFBLAQItABQABgAIAAAAIQA4&#10;/SH/1gAAAJQBAAALAAAAAAAAAAAAAAAAAC8BAABfcmVscy8ucmVsc1BLAQItABQABgAIAAAAIQBH&#10;QSfLEwIAACoEAAAOAAAAAAAAAAAAAAAAAC4CAABkcnMvZTJvRG9jLnhtbFBLAQItABQABgAIAAAA&#10;IQB6d0tu3gAAAAkBAAAPAAAAAAAAAAAAAAAAAG0EAABkcnMvZG93bnJldi54bWxQSwUGAAAAAAQA&#10;BADzAAAAeAUAAAAA&#10;" strokeweight=".48pt">
                <w10:wrap type="topAndBottom" anchorx="page"/>
              </v:line>
            </w:pict>
          </mc:Fallback>
        </mc:AlternateContent>
      </w:r>
    </w:p>
    <w:p w14:paraId="7F166BA1" w14:textId="77777777" w:rsidR="005F38AA" w:rsidRDefault="005F38AA">
      <w:pPr>
        <w:pStyle w:val="a3"/>
        <w:spacing w:before="4"/>
        <w:rPr>
          <w:sz w:val="17"/>
          <w:lang w:eastAsia="ja-JP"/>
        </w:rPr>
      </w:pPr>
    </w:p>
    <w:p w14:paraId="7F166BA2" w14:textId="77777777" w:rsidR="005F38AA" w:rsidRDefault="009649F8">
      <w:pPr>
        <w:pStyle w:val="a4"/>
        <w:numPr>
          <w:ilvl w:val="0"/>
          <w:numId w:val="44"/>
        </w:numPr>
        <w:tabs>
          <w:tab w:val="left" w:pos="413"/>
        </w:tabs>
        <w:spacing w:before="96" w:line="256" w:lineRule="auto"/>
        <w:ind w:right="348" w:firstLine="0"/>
        <w:rPr>
          <w:sz w:val="16"/>
          <w:lang w:eastAsia="ja-JP"/>
        </w:rPr>
      </w:pPr>
      <w:r>
        <w:rPr>
          <w:sz w:val="16"/>
          <w:lang w:eastAsia="ja-JP"/>
        </w:rPr>
        <w:t>低炭素電力を用いた水素トラフ電解の製造は、脱炭素化された将来の望ましいプロセスである。 P.64https://ec.europa.eu/clima/sites/clima/files/docs/pages/com_2018_733_analysis_in_support_en_0.pdf参照</w:t>
      </w:r>
      <w:hyperlink r:id="rId28"/>
    </w:p>
    <w:p w14:paraId="7F166BA3" w14:textId="77777777" w:rsidR="005F38AA" w:rsidRDefault="005F38AA">
      <w:pPr>
        <w:pStyle w:val="a3"/>
        <w:spacing w:before="2"/>
        <w:rPr>
          <w:sz w:val="14"/>
          <w:lang w:eastAsia="ja-JP"/>
        </w:rPr>
      </w:pPr>
    </w:p>
    <w:p w14:paraId="7F166BA4" w14:textId="77777777" w:rsidR="005F38AA" w:rsidRDefault="009649F8">
      <w:pPr>
        <w:spacing w:line="465" w:lineRule="auto"/>
        <w:ind w:left="100" w:right="1776"/>
        <w:rPr>
          <w:sz w:val="16"/>
          <w:lang w:eastAsia="ja-JP"/>
        </w:rPr>
      </w:pPr>
      <w:r>
        <w:rPr>
          <w:sz w:val="16"/>
          <w:lang w:eastAsia="ja-JP"/>
        </w:rPr>
        <w:t>p.22、http://www.energy-transitions.org/sites/default/files/ETC_MissionPossible_FullReport.pdfp.73、http://publications.jrc.ec.europa.eu/repository/bitstream/JRC105767/kj-na-28471-enn.pdfも参照</w:t>
      </w:r>
      <w:hyperlink r:id="rId29"/>
      <w:hyperlink r:id="rId30"/>
    </w:p>
    <w:p w14:paraId="7F166BA5" w14:textId="77777777" w:rsidR="005F38AA" w:rsidRDefault="009649F8">
      <w:pPr>
        <w:spacing w:before="4" w:line="465" w:lineRule="auto"/>
        <w:ind w:left="100" w:right="1570"/>
        <w:rPr>
          <w:sz w:val="16"/>
        </w:rPr>
      </w:pPr>
      <w:r>
        <w:rPr>
          <w:sz w:val="16"/>
        </w:rPr>
        <w:t>P.354 https://ec.europa.eu/clima/sites/clima/files/docs/pages/com_2018_733_analysis_in_support_en_0.pdf 209 EU CertifHy Project: https://www.certifhy.euを参照</w:t>
      </w:r>
      <w:hyperlink r:id="rId31"/>
      <w:hyperlink r:id="rId32"/>
    </w:p>
    <w:p w14:paraId="7F166BA6" w14:textId="77777777" w:rsidR="005F38AA" w:rsidRDefault="005F38AA">
      <w:pPr>
        <w:spacing w:line="465" w:lineRule="auto"/>
        <w:rPr>
          <w:sz w:val="16"/>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7144"/>
      </w:tblGrid>
      <w:tr w:rsidR="005F38AA" w14:paraId="7F166BAA" w14:textId="77777777">
        <w:trPr>
          <w:trHeight w:val="1257"/>
        </w:trPr>
        <w:tc>
          <w:tcPr>
            <w:tcW w:w="2208" w:type="dxa"/>
          </w:tcPr>
          <w:p w14:paraId="7F166BA7" w14:textId="77777777" w:rsidR="005F38AA" w:rsidRDefault="009649F8">
            <w:pPr>
              <w:pStyle w:val="TableParagraph"/>
              <w:rPr>
                <w:sz w:val="20"/>
              </w:rPr>
            </w:pPr>
            <w:r>
              <w:rPr>
                <w:sz w:val="20"/>
              </w:rPr>
              <w:lastRenderedPageBreak/>
              <w:t>(5)汚染</w:t>
            </w:r>
          </w:p>
        </w:tc>
        <w:tc>
          <w:tcPr>
            <w:tcW w:w="7144" w:type="dxa"/>
          </w:tcPr>
          <w:p w14:paraId="7F166BA8" w14:textId="77777777" w:rsidR="005F38AA" w:rsidRDefault="009649F8">
            <w:pPr>
              <w:pStyle w:val="TableParagraph"/>
              <w:spacing w:line="276" w:lineRule="auto"/>
              <w:rPr>
                <w:sz w:val="20"/>
                <w:lang w:eastAsia="ja-JP"/>
              </w:rPr>
            </w:pPr>
            <w:r>
              <w:rPr>
                <w:sz w:val="20"/>
                <w:lang w:eastAsia="ja-JP"/>
              </w:rPr>
              <w:t>活動が大気質基準を超えて局地的な大気汚染レベルに実質的に寄与する場合は、厳しいレベルのBAT-AELが要求される。</w:t>
            </w:r>
          </w:p>
          <w:p w14:paraId="7F166BA9" w14:textId="77777777" w:rsidR="005F38AA" w:rsidRDefault="009649F8">
            <w:pPr>
              <w:pStyle w:val="TableParagraph"/>
              <w:spacing w:before="81" w:line="276" w:lineRule="auto"/>
              <w:rPr>
                <w:sz w:val="20"/>
                <w:lang w:eastAsia="ja-JP"/>
              </w:rPr>
            </w:pPr>
            <w:r>
              <w:rPr>
                <w:sz w:val="20"/>
                <w:lang w:eastAsia="ja-JP"/>
              </w:rPr>
              <w:t>最低限の要求事項は、承認された環境マネジメントシステム(ISO 14001、EMAS、または同等のもの)の実施と遵守である。</w:t>
            </w:r>
          </w:p>
        </w:tc>
      </w:tr>
      <w:tr w:rsidR="005F38AA" w14:paraId="7F166BB1" w14:textId="77777777">
        <w:trPr>
          <w:trHeight w:val="7728"/>
        </w:trPr>
        <w:tc>
          <w:tcPr>
            <w:tcW w:w="2208" w:type="dxa"/>
          </w:tcPr>
          <w:p w14:paraId="7F166BAB" w14:textId="77777777" w:rsidR="005F38AA" w:rsidRDefault="009649F8">
            <w:pPr>
              <w:pStyle w:val="TableParagraph"/>
              <w:rPr>
                <w:sz w:val="20"/>
              </w:rPr>
            </w:pPr>
            <w:r>
              <w:rPr>
                <w:sz w:val="20"/>
              </w:rPr>
              <w:t>(6)生態系</w:t>
            </w:r>
          </w:p>
        </w:tc>
        <w:tc>
          <w:tcPr>
            <w:tcW w:w="7144" w:type="dxa"/>
          </w:tcPr>
          <w:p w14:paraId="7F166BAC" w14:textId="77777777" w:rsidR="005F38AA" w:rsidRDefault="009649F8">
            <w:pPr>
              <w:pStyle w:val="TableParagraph"/>
              <w:spacing w:line="276" w:lineRule="auto"/>
              <w:ind w:right="141"/>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のサイト/事業の場合、サイト/事業(運輸インフラ、運営、廃棄物処理施設などの付随サービスを含む)と、生物多様性/生態系を保護するために必要な緩和措置、特にユネスコ世界遺産および主要生物多様性地域(KBA)のいずれか厳しい方が実施されている。</w:t>
            </w:r>
          </w:p>
          <w:p w14:paraId="7F166BAD" w14:textId="77777777" w:rsidR="005F38AA" w:rsidRDefault="009649F8">
            <w:pPr>
              <w:pStyle w:val="TableParagraph"/>
              <w:spacing w:before="82" w:line="276" w:lineRule="auto"/>
              <w:ind w:right="101"/>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BAE" w14:textId="77777777" w:rsidR="005F38AA" w:rsidRDefault="009649F8">
            <w:pPr>
              <w:pStyle w:val="TableParagraph"/>
              <w:numPr>
                <w:ilvl w:val="0"/>
                <w:numId w:val="40"/>
              </w:numPr>
              <w:tabs>
                <w:tab w:val="left" w:pos="828"/>
                <w:tab w:val="left" w:pos="829"/>
              </w:tabs>
              <w:spacing w:before="81" w:line="273" w:lineRule="auto"/>
              <w:ind w:right="286"/>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BAF" w14:textId="77777777" w:rsidR="005F38AA" w:rsidRDefault="009649F8">
            <w:pPr>
              <w:pStyle w:val="TableParagraph"/>
              <w:numPr>
                <w:ilvl w:val="0"/>
                <w:numId w:val="40"/>
              </w:numPr>
              <w:tabs>
                <w:tab w:val="left" w:pos="828"/>
                <w:tab w:val="left" w:pos="829"/>
              </w:tabs>
              <w:spacing w:before="4" w:line="271" w:lineRule="auto"/>
              <w:ind w:right="237"/>
              <w:rPr>
                <w:sz w:val="20"/>
                <w:lang w:eastAsia="ja-JP"/>
              </w:rPr>
            </w:pPr>
            <w:r>
              <w:rPr>
                <w:sz w:val="20"/>
                <w:lang w:eastAsia="ja-JP"/>
              </w:rPr>
              <w:t>種及び生息地への影響を低減するために必要なすべての緩和措置がとられていること。</w:t>
            </w:r>
          </w:p>
          <w:p w14:paraId="7F166BB0" w14:textId="77777777" w:rsidR="005F38AA" w:rsidRDefault="009649F8">
            <w:pPr>
              <w:pStyle w:val="TableParagraph"/>
              <w:numPr>
                <w:ilvl w:val="0"/>
                <w:numId w:val="40"/>
              </w:numPr>
              <w:tabs>
                <w:tab w:val="left" w:pos="828"/>
                <w:tab w:val="left" w:pos="829"/>
              </w:tabs>
              <w:spacing w:before="6" w:line="271" w:lineRule="auto"/>
              <w:ind w:right="115"/>
              <w:rPr>
                <w:sz w:val="20"/>
                <w:lang w:eastAsia="ja-JP"/>
              </w:rPr>
            </w:pPr>
            <w:r>
              <w:rPr>
                <w:sz w:val="20"/>
                <w:lang w:eastAsia="ja-JP"/>
              </w:rPr>
              <w:t>強固で、適切に設計され、長期的な生物多様性のモニタリングと評価プログラムが存在し、実施されている。</w:t>
            </w:r>
          </w:p>
        </w:tc>
      </w:tr>
    </w:tbl>
    <w:p w14:paraId="7F166BB2" w14:textId="77777777" w:rsidR="005F38AA" w:rsidRDefault="005F38AA">
      <w:pPr>
        <w:spacing w:line="271" w:lineRule="auto"/>
        <w:rPr>
          <w:sz w:val="20"/>
          <w:lang w:eastAsia="ja-JP"/>
        </w:rPr>
        <w:sectPr w:rsidR="005F38AA">
          <w:pgSz w:w="12240" w:h="15840"/>
          <w:pgMar w:top="1440" w:right="1320" w:bottom="1560" w:left="1340" w:header="0" w:footer="1372" w:gutter="0"/>
          <w:cols w:space="720"/>
        </w:sectPr>
      </w:pPr>
    </w:p>
    <w:p w14:paraId="7F166BB3" w14:textId="77777777" w:rsidR="005F38AA" w:rsidRDefault="009649F8">
      <w:pPr>
        <w:pStyle w:val="1"/>
        <w:numPr>
          <w:ilvl w:val="1"/>
          <w:numId w:val="75"/>
        </w:numPr>
        <w:tabs>
          <w:tab w:val="left" w:pos="820"/>
          <w:tab w:val="left" w:pos="821"/>
        </w:tabs>
        <w:rPr>
          <w:lang w:eastAsia="ja-JP"/>
        </w:rPr>
      </w:pPr>
      <w:r>
        <w:rPr>
          <w:color w:val="006FC0"/>
          <w:lang w:eastAsia="ja-JP"/>
        </w:rPr>
        <w:lastRenderedPageBreak/>
        <w:t>その他の無機基礎化学品の製造</w:t>
      </w:r>
    </w:p>
    <w:p w14:paraId="7F166BB4" w14:textId="77777777" w:rsidR="005F38AA" w:rsidRDefault="005F38AA">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7317"/>
      </w:tblGrid>
      <w:tr w:rsidR="005F38AA" w14:paraId="7F166BB6" w14:textId="77777777">
        <w:trPr>
          <w:trHeight w:val="383"/>
        </w:trPr>
        <w:tc>
          <w:tcPr>
            <w:tcW w:w="9352" w:type="dxa"/>
            <w:gridSpan w:val="2"/>
            <w:shd w:val="clear" w:color="auto" w:fill="4471C4"/>
          </w:tcPr>
          <w:p w14:paraId="7F166BB5" w14:textId="77777777" w:rsidR="005F38AA" w:rsidRDefault="009649F8">
            <w:pPr>
              <w:pStyle w:val="TableParagraph"/>
              <w:rPr>
                <w:b/>
                <w:sz w:val="20"/>
              </w:rPr>
            </w:pPr>
            <w:r>
              <w:rPr>
                <w:b/>
                <w:color w:val="FFFFFF"/>
                <w:sz w:val="20"/>
              </w:rPr>
              <w:t>セクター分類と活動</w:t>
            </w:r>
          </w:p>
        </w:tc>
      </w:tr>
      <w:tr w:rsidR="005F38AA" w14:paraId="7F166BB9" w14:textId="77777777">
        <w:trPr>
          <w:trHeight w:val="386"/>
        </w:trPr>
        <w:tc>
          <w:tcPr>
            <w:tcW w:w="2035" w:type="dxa"/>
          </w:tcPr>
          <w:p w14:paraId="7F166BB7" w14:textId="77777777" w:rsidR="005F38AA" w:rsidRDefault="009649F8">
            <w:pPr>
              <w:pStyle w:val="TableParagraph"/>
              <w:rPr>
                <w:sz w:val="20"/>
              </w:rPr>
            </w:pPr>
            <w:r>
              <w:rPr>
                <w:sz w:val="20"/>
              </w:rPr>
              <w:t>マクロセクター</w:t>
            </w:r>
          </w:p>
        </w:tc>
        <w:tc>
          <w:tcPr>
            <w:tcW w:w="7317" w:type="dxa"/>
          </w:tcPr>
          <w:p w14:paraId="7F166BB8" w14:textId="77777777" w:rsidR="005F38AA" w:rsidRDefault="009649F8">
            <w:pPr>
              <w:pStyle w:val="TableParagraph"/>
              <w:rPr>
                <w:sz w:val="20"/>
              </w:rPr>
            </w:pPr>
            <w:r>
              <w:rPr>
                <w:sz w:val="20"/>
              </w:rPr>
              <w:t>C-製造</w:t>
            </w:r>
          </w:p>
        </w:tc>
      </w:tr>
      <w:tr w:rsidR="005F38AA" w14:paraId="7F166BBC" w14:textId="77777777">
        <w:trPr>
          <w:trHeight w:val="383"/>
        </w:trPr>
        <w:tc>
          <w:tcPr>
            <w:tcW w:w="2035" w:type="dxa"/>
          </w:tcPr>
          <w:p w14:paraId="7F166BBA" w14:textId="77777777" w:rsidR="005F38AA" w:rsidRDefault="009649F8">
            <w:pPr>
              <w:pStyle w:val="TableParagraph"/>
              <w:rPr>
                <w:sz w:val="20"/>
              </w:rPr>
            </w:pPr>
            <w:r>
              <w:rPr>
                <w:sz w:val="20"/>
              </w:rPr>
              <w:t>NACEレベル</w:t>
            </w:r>
          </w:p>
        </w:tc>
        <w:tc>
          <w:tcPr>
            <w:tcW w:w="7317" w:type="dxa"/>
          </w:tcPr>
          <w:p w14:paraId="7F166BBB" w14:textId="77777777" w:rsidR="005F38AA" w:rsidRDefault="009649F8">
            <w:pPr>
              <w:pStyle w:val="TableParagraph"/>
              <w:rPr>
                <w:sz w:val="20"/>
              </w:rPr>
            </w:pPr>
            <w:r>
              <w:rPr>
                <w:w w:val="99"/>
                <w:sz w:val="20"/>
              </w:rPr>
              <w:t>4</w:t>
            </w:r>
          </w:p>
        </w:tc>
      </w:tr>
      <w:tr w:rsidR="005F38AA" w14:paraId="7F166BBF" w14:textId="77777777">
        <w:trPr>
          <w:trHeight w:val="383"/>
        </w:trPr>
        <w:tc>
          <w:tcPr>
            <w:tcW w:w="2035" w:type="dxa"/>
          </w:tcPr>
          <w:p w14:paraId="7F166BBD" w14:textId="77777777" w:rsidR="005F38AA" w:rsidRDefault="009649F8">
            <w:pPr>
              <w:pStyle w:val="TableParagraph"/>
              <w:rPr>
                <w:sz w:val="20"/>
              </w:rPr>
            </w:pPr>
            <w:r>
              <w:rPr>
                <w:sz w:val="20"/>
              </w:rPr>
              <w:t>コード</w:t>
            </w:r>
          </w:p>
        </w:tc>
        <w:tc>
          <w:tcPr>
            <w:tcW w:w="7317" w:type="dxa"/>
          </w:tcPr>
          <w:p w14:paraId="7F166BBE" w14:textId="77777777" w:rsidR="005F38AA" w:rsidRDefault="009649F8">
            <w:pPr>
              <w:pStyle w:val="TableParagraph"/>
              <w:rPr>
                <w:sz w:val="20"/>
              </w:rPr>
            </w:pPr>
            <w:r>
              <w:rPr>
                <w:sz w:val="20"/>
              </w:rPr>
              <w:t>C20.1.3</w:t>
            </w:r>
          </w:p>
        </w:tc>
      </w:tr>
      <w:tr w:rsidR="005F38AA" w14:paraId="7F166BC7" w14:textId="77777777">
        <w:trPr>
          <w:trHeight w:val="2294"/>
        </w:trPr>
        <w:tc>
          <w:tcPr>
            <w:tcW w:w="2035" w:type="dxa"/>
          </w:tcPr>
          <w:p w14:paraId="7F166BC0" w14:textId="77777777" w:rsidR="005F38AA" w:rsidRDefault="009649F8">
            <w:pPr>
              <w:pStyle w:val="TableParagraph"/>
              <w:spacing w:before="42"/>
              <w:rPr>
                <w:sz w:val="20"/>
              </w:rPr>
            </w:pPr>
            <w:r>
              <w:rPr>
                <w:sz w:val="20"/>
              </w:rPr>
              <w:t>内容</w:t>
            </w:r>
          </w:p>
        </w:tc>
        <w:tc>
          <w:tcPr>
            <w:tcW w:w="7317" w:type="dxa"/>
          </w:tcPr>
          <w:p w14:paraId="7F166BC1" w14:textId="77777777" w:rsidR="005F38AA" w:rsidRDefault="009649F8">
            <w:pPr>
              <w:pStyle w:val="TableParagraph"/>
              <w:numPr>
                <w:ilvl w:val="0"/>
                <w:numId w:val="38"/>
              </w:numPr>
              <w:tabs>
                <w:tab w:val="left" w:pos="828"/>
                <w:tab w:val="left" w:pos="829"/>
              </w:tabs>
              <w:spacing w:before="43"/>
              <w:ind w:firstLine="305"/>
              <w:rPr>
                <w:sz w:val="20"/>
                <w:lang w:eastAsia="ja-JP"/>
              </w:rPr>
            </w:pPr>
            <w:r>
              <w:rPr>
                <w:sz w:val="20"/>
                <w:lang w:eastAsia="ja-JP"/>
              </w:rPr>
              <w:t>カーボンブラックの製造</w:t>
            </w:r>
          </w:p>
          <w:p w14:paraId="7F166BC2" w14:textId="77777777" w:rsidR="005F38AA" w:rsidRDefault="009649F8">
            <w:pPr>
              <w:pStyle w:val="TableParagraph"/>
              <w:numPr>
                <w:ilvl w:val="0"/>
                <w:numId w:val="38"/>
              </w:numPr>
              <w:tabs>
                <w:tab w:val="left" w:pos="828"/>
                <w:tab w:val="left" w:pos="829"/>
              </w:tabs>
              <w:spacing w:before="31"/>
              <w:ind w:firstLine="305"/>
              <w:rPr>
                <w:sz w:val="20"/>
                <w:lang w:eastAsia="ja-JP"/>
              </w:rPr>
            </w:pPr>
            <w:r>
              <w:rPr>
                <w:sz w:val="20"/>
                <w:lang w:eastAsia="ja-JP"/>
              </w:rPr>
              <w:t>炭酸二ナトリウム(ソーダ灰)の製造</w:t>
            </w:r>
          </w:p>
          <w:p w14:paraId="7F166BC3" w14:textId="77777777" w:rsidR="005F38AA" w:rsidRDefault="009649F8">
            <w:pPr>
              <w:pStyle w:val="TableParagraph"/>
              <w:numPr>
                <w:ilvl w:val="0"/>
                <w:numId w:val="38"/>
              </w:numPr>
              <w:tabs>
                <w:tab w:val="left" w:pos="828"/>
                <w:tab w:val="left" w:pos="829"/>
              </w:tabs>
              <w:spacing w:before="34" w:line="350" w:lineRule="auto"/>
              <w:ind w:right="4389" w:firstLine="305"/>
              <w:rPr>
                <w:sz w:val="20"/>
                <w:lang w:eastAsia="ja-JP"/>
              </w:rPr>
            </w:pPr>
            <w:r>
              <w:rPr>
                <w:sz w:val="20"/>
                <w:lang w:eastAsia="ja-JP"/>
              </w:rPr>
              <w:t>塩素CPAコードの製造:</w:t>
            </w:r>
          </w:p>
          <w:p w14:paraId="7F166BC4" w14:textId="77777777" w:rsidR="005F38AA" w:rsidRDefault="009649F8">
            <w:pPr>
              <w:pStyle w:val="TableParagraph"/>
              <w:numPr>
                <w:ilvl w:val="0"/>
                <w:numId w:val="38"/>
              </w:numPr>
              <w:tabs>
                <w:tab w:val="left" w:pos="828"/>
                <w:tab w:val="left" w:pos="829"/>
              </w:tabs>
              <w:spacing w:before="9"/>
              <w:ind w:left="828"/>
              <w:rPr>
                <w:sz w:val="20"/>
              </w:rPr>
            </w:pPr>
            <w:r>
              <w:rPr>
                <w:sz w:val="20"/>
              </w:rPr>
              <w:t>カーボンブラック: 20.13.21.30</w:t>
            </w:r>
          </w:p>
          <w:p w14:paraId="7F166BC5" w14:textId="77777777" w:rsidR="005F38AA" w:rsidRDefault="009649F8">
            <w:pPr>
              <w:pStyle w:val="TableParagraph"/>
              <w:numPr>
                <w:ilvl w:val="0"/>
                <w:numId w:val="38"/>
              </w:numPr>
              <w:tabs>
                <w:tab w:val="left" w:pos="828"/>
                <w:tab w:val="left" w:pos="829"/>
              </w:tabs>
              <w:spacing w:before="32"/>
              <w:ind w:left="828"/>
              <w:rPr>
                <w:sz w:val="20"/>
                <w:lang w:eastAsia="ja-JP"/>
              </w:rPr>
            </w:pPr>
            <w:r>
              <w:rPr>
                <w:sz w:val="20"/>
                <w:lang w:eastAsia="ja-JP"/>
              </w:rPr>
              <w:t>炭酸二ナトリウム(ソーダ灰):20.13.43.10</w:t>
            </w:r>
          </w:p>
          <w:p w14:paraId="7F166BC6" w14:textId="77777777" w:rsidR="005F38AA" w:rsidRDefault="009649F8">
            <w:pPr>
              <w:pStyle w:val="TableParagraph"/>
              <w:numPr>
                <w:ilvl w:val="0"/>
                <w:numId w:val="38"/>
              </w:numPr>
              <w:tabs>
                <w:tab w:val="left" w:pos="828"/>
                <w:tab w:val="left" w:pos="829"/>
              </w:tabs>
              <w:spacing w:before="112"/>
              <w:ind w:left="828"/>
              <w:rPr>
                <w:sz w:val="20"/>
              </w:rPr>
            </w:pPr>
            <w:r>
              <w:rPr>
                <w:sz w:val="20"/>
              </w:rPr>
              <w:t>塩素: 20.13.21.11</w:t>
            </w:r>
          </w:p>
        </w:tc>
      </w:tr>
      <w:tr w:rsidR="005F38AA" w14:paraId="7F166BC9" w14:textId="77777777">
        <w:trPr>
          <w:trHeight w:val="383"/>
        </w:trPr>
        <w:tc>
          <w:tcPr>
            <w:tcW w:w="9352" w:type="dxa"/>
            <w:gridSpan w:val="2"/>
            <w:shd w:val="clear" w:color="auto" w:fill="4471C4"/>
          </w:tcPr>
          <w:p w14:paraId="7F166BC8" w14:textId="77777777" w:rsidR="005F38AA" w:rsidRDefault="009649F8">
            <w:pPr>
              <w:pStyle w:val="TableParagraph"/>
              <w:rPr>
                <w:b/>
                <w:sz w:val="20"/>
              </w:rPr>
            </w:pPr>
            <w:r>
              <w:rPr>
                <w:b/>
                <w:color w:val="FFFFFF"/>
                <w:sz w:val="20"/>
              </w:rPr>
              <w:t>緩和基準</w:t>
            </w:r>
          </w:p>
        </w:tc>
      </w:tr>
      <w:tr w:rsidR="005F38AA" w14:paraId="7F166BCD" w14:textId="77777777">
        <w:trPr>
          <w:trHeight w:val="2661"/>
        </w:trPr>
        <w:tc>
          <w:tcPr>
            <w:tcW w:w="2035" w:type="dxa"/>
          </w:tcPr>
          <w:p w14:paraId="7F166BCA" w14:textId="77777777" w:rsidR="005F38AA" w:rsidRDefault="009649F8">
            <w:pPr>
              <w:pStyle w:val="TableParagraph"/>
              <w:rPr>
                <w:sz w:val="20"/>
              </w:rPr>
            </w:pPr>
            <w:r>
              <w:rPr>
                <w:sz w:val="20"/>
              </w:rPr>
              <w:t>原則</w:t>
            </w:r>
          </w:p>
        </w:tc>
        <w:tc>
          <w:tcPr>
            <w:tcW w:w="7317" w:type="dxa"/>
          </w:tcPr>
          <w:p w14:paraId="7F166BCB" w14:textId="77777777" w:rsidR="005F38AA" w:rsidRDefault="009649F8">
            <w:pPr>
              <w:pStyle w:val="TableParagraph"/>
              <w:spacing w:line="276" w:lineRule="auto"/>
              <w:rPr>
                <w:sz w:val="20"/>
                <w:lang w:eastAsia="ja-JP"/>
              </w:rPr>
            </w:pPr>
            <w:r>
              <w:rPr>
                <w:sz w:val="20"/>
                <w:lang w:eastAsia="ja-JP"/>
              </w:rPr>
              <w:t>塩素製造におけるカーボンブラック、ソーダ灰の製造からの排出削減、エネルギー効率の向上、低炭素電気への切替などは、気候変動の緩和目標に積極的に寄与する可能性がある。</w:t>
            </w:r>
          </w:p>
          <w:p w14:paraId="7F166BCC" w14:textId="77777777" w:rsidR="005F38AA" w:rsidRDefault="009649F8">
            <w:pPr>
              <w:pStyle w:val="TableParagraph"/>
              <w:spacing w:before="80" w:line="276" w:lineRule="auto"/>
              <w:ind w:right="152"/>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5F38AA" w14:paraId="7F166BD5" w14:textId="77777777">
        <w:trPr>
          <w:trHeight w:val="3389"/>
        </w:trPr>
        <w:tc>
          <w:tcPr>
            <w:tcW w:w="2035" w:type="dxa"/>
          </w:tcPr>
          <w:p w14:paraId="7F166BCE" w14:textId="77777777" w:rsidR="005F38AA" w:rsidRDefault="009649F8">
            <w:pPr>
              <w:pStyle w:val="TableParagraph"/>
              <w:rPr>
                <w:sz w:val="20"/>
              </w:rPr>
            </w:pPr>
            <w:r>
              <w:rPr>
                <w:sz w:val="20"/>
              </w:rPr>
              <w:t>閾値</w:t>
            </w:r>
          </w:p>
        </w:tc>
        <w:tc>
          <w:tcPr>
            <w:tcW w:w="7317" w:type="dxa"/>
          </w:tcPr>
          <w:p w14:paraId="7F166BCF" w14:textId="77777777" w:rsidR="005F38AA" w:rsidRDefault="009649F8">
            <w:pPr>
              <w:pStyle w:val="TableParagraph"/>
              <w:spacing w:line="276" w:lineRule="auto"/>
              <w:ind w:right="178"/>
              <w:rPr>
                <w:sz w:val="20"/>
                <w:lang w:eastAsia="ja-JP"/>
              </w:rPr>
            </w:pPr>
            <w:r>
              <w:rPr>
                <w:sz w:val="20"/>
                <w:u w:val="single"/>
                <w:lang w:eastAsia="ja-JP"/>
              </w:rPr>
              <w:t>カーボンブラックおよびソーダ灰の製造は、製造プロセスに関連するGHG排出量(EU-ETSベンチマークに使用される方法に従って計算される)が、関連するEU-ETSベンチマークの値よりも低い場合に適格となる。</w:t>
            </w:r>
          </w:p>
          <w:p w14:paraId="7F166BD0" w14:textId="77777777" w:rsidR="005F38AA" w:rsidRDefault="009649F8">
            <w:pPr>
              <w:pStyle w:val="TableParagraph"/>
              <w:spacing w:before="80"/>
              <w:rPr>
                <w:sz w:val="20"/>
                <w:lang w:eastAsia="ja-JP"/>
              </w:rPr>
            </w:pPr>
            <w:r>
              <w:rPr>
                <w:sz w:val="20"/>
                <w:lang w:eastAsia="ja-JP"/>
              </w:rPr>
              <w:t>2020年2月現在、EU-ETSのベンチマーク値は次のとおりである。</w:t>
            </w:r>
          </w:p>
          <w:p w14:paraId="7F166BD1" w14:textId="77777777" w:rsidR="005F38AA" w:rsidRDefault="009649F8">
            <w:pPr>
              <w:pStyle w:val="TableParagraph"/>
              <w:numPr>
                <w:ilvl w:val="0"/>
                <w:numId w:val="37"/>
              </w:numPr>
              <w:tabs>
                <w:tab w:val="left" w:pos="828"/>
                <w:tab w:val="left" w:pos="829"/>
              </w:tabs>
              <w:spacing w:before="114"/>
              <w:rPr>
                <w:sz w:val="20"/>
                <w:lang w:eastAsia="ja-JP"/>
              </w:rPr>
            </w:pPr>
            <w:r>
              <w:rPr>
                <w:sz w:val="20"/>
                <w:lang w:eastAsia="ja-JP"/>
              </w:rPr>
              <w:t>カーボンブラックの場合:1.954 tCO2e/t</w:t>
            </w:r>
          </w:p>
          <w:p w14:paraId="7F166BD2" w14:textId="77777777" w:rsidR="005F38AA" w:rsidRDefault="009649F8">
            <w:pPr>
              <w:pStyle w:val="TableParagraph"/>
              <w:numPr>
                <w:ilvl w:val="0"/>
                <w:numId w:val="37"/>
              </w:numPr>
              <w:tabs>
                <w:tab w:val="left" w:pos="828"/>
                <w:tab w:val="left" w:pos="829"/>
              </w:tabs>
              <w:spacing w:before="33"/>
              <w:rPr>
                <w:sz w:val="20"/>
              </w:rPr>
            </w:pPr>
            <w:r>
              <w:rPr>
                <w:sz w:val="20"/>
              </w:rPr>
              <w:t>ソーダ灰:0.843 tCO2e/t</w:t>
            </w:r>
          </w:p>
          <w:p w14:paraId="7F166BD3" w14:textId="77777777" w:rsidR="005F38AA" w:rsidRDefault="009649F8">
            <w:pPr>
              <w:pStyle w:val="TableParagraph"/>
              <w:spacing w:before="112"/>
              <w:rPr>
                <w:sz w:val="20"/>
                <w:lang w:eastAsia="ja-JP"/>
              </w:rPr>
            </w:pPr>
            <w:r>
              <w:rPr>
                <w:sz w:val="20"/>
                <w:u w:val="single"/>
                <w:lang w:eastAsia="ja-JP"/>
              </w:rPr>
              <w:t>次の2つの閾値を満たす場合は、塩素の製造が適格である。</w:t>
            </w:r>
          </w:p>
          <w:p w14:paraId="7F166BD4" w14:textId="77777777" w:rsidR="005F38AA" w:rsidRDefault="009649F8">
            <w:pPr>
              <w:pStyle w:val="TableParagraph"/>
              <w:numPr>
                <w:ilvl w:val="0"/>
                <w:numId w:val="37"/>
              </w:numPr>
              <w:tabs>
                <w:tab w:val="left" w:pos="828"/>
                <w:tab w:val="left" w:pos="829"/>
              </w:tabs>
              <w:spacing w:before="116" w:line="273" w:lineRule="auto"/>
              <w:ind w:right="168"/>
              <w:rPr>
                <w:sz w:val="10"/>
                <w:lang w:eastAsia="ja-JP"/>
              </w:rPr>
            </w:pPr>
            <w:r>
              <w:rPr>
                <w:sz w:val="20"/>
                <w:lang w:eastAsia="ja-JP"/>
              </w:rPr>
              <w:t>塩素製造のための電力使用量が2.45 MWh/t塩素(電気分解と塩素処理の両方を含む、定期的な更新の対象となる閾値)211以下である。</w:t>
            </w:r>
          </w:p>
        </w:tc>
      </w:tr>
    </w:tbl>
    <w:p w14:paraId="7F166BD6" w14:textId="6EEE295C" w:rsidR="005F38AA" w:rsidRDefault="00520D32">
      <w:pPr>
        <w:pStyle w:val="a3"/>
        <w:spacing w:before="2"/>
        <w:rPr>
          <w:b/>
          <w:sz w:val="26"/>
          <w:lang w:eastAsia="ja-JP"/>
        </w:rPr>
      </w:pPr>
      <w:r>
        <w:rPr>
          <w:noProof/>
          <w:lang w:val="en-US" w:eastAsia="ja-JP"/>
        </w:rPr>
        <mc:AlternateContent>
          <mc:Choice Requires="wps">
            <w:drawing>
              <wp:anchor distT="0" distB="0" distL="0" distR="0" simplePos="0" relativeHeight="251659264" behindDoc="1" locked="0" layoutInCell="1" allowOverlap="1" wp14:anchorId="7F166D9D" wp14:editId="1D9B6E96">
                <wp:simplePos x="0" y="0"/>
                <wp:positionH relativeFrom="page">
                  <wp:posOffset>914400</wp:posOffset>
                </wp:positionH>
                <wp:positionV relativeFrom="paragraph">
                  <wp:posOffset>219710</wp:posOffset>
                </wp:positionV>
                <wp:extent cx="1829435" cy="0"/>
                <wp:effectExtent l="9525" t="10160" r="8890" b="889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6D7E" id="Line 12"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pt" to="216.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ej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IIttCb3rgCQiq1taE6elKvZqPpd4eUrlqi9jxyfDsbyMtCRvIuJWycgRt2/RfNIIYcvI6N&#10;OjW2C5DQAnSKepxvevCTRxQOs9lknj88YkQHX0KKIdFY5z9z3aFglFgC6QhMjhvnAxFSDCHhHqXX&#10;Qsoot1SoL/E0nT/FBKelYMEZwpzd7ypp0ZGEgYlfrAo892FWHxSLYC0nbHW1PRHyYsPlUgU8KAXo&#10;XK3LRPyYp/PVbDXLR/lkuhrlaV2PPq2rfDRdZ0+P9UNdVXX2M1DL8qIVjHEV2A3TmeV/p/71nVzm&#10;6jaftzYk79Fjv4Ds8I+ko5ZBvssg7DQ7b+2gMQxkDL4+njDx93uw75/48hcAAAD//wMAUEsDBBQA&#10;BgAIAAAAIQAwBESR3QAAAAkBAAAPAAAAZHJzL2Rvd25yZXYueG1sTI/BTsMwEETvSPyDtUjcqJPG&#10;VFWIU0ElJCROtMDZiZckIl5HsZsmfD2LOMBxZkezb4rd7Hox4Rg6TxrSVQICqfa2o0bD6/HxZgsi&#10;REPW9J5Qw4IBduXlRWFy68/0gtMhNoJLKORGQxvjkEsZ6hadCSs/IPHtw4/ORJZjI+1ozlzuerlO&#10;ko10piP+0JoB9y3Wn4eT06CmeXn+2uNDVj2ly/a2ecvCe6/19dV8fwci4hz/wvCDz+hQMlPlT2SD&#10;6FkrxVuihkxtQHBAZesURPVryLKQ/xeU3wAAAP//AwBQSwECLQAUAAYACAAAACEAtoM4kv4AAADh&#10;AQAAEwAAAAAAAAAAAAAAAAAAAAAAW0NvbnRlbnRfVHlwZXNdLnhtbFBLAQItABQABgAIAAAAIQA4&#10;/SH/1gAAAJQBAAALAAAAAAAAAAAAAAAAAC8BAABfcmVscy8ucmVsc1BLAQItABQABgAIAAAAIQB5&#10;BIejFAIAACoEAAAOAAAAAAAAAAAAAAAAAC4CAABkcnMvZTJvRG9jLnhtbFBLAQItABQABgAIAAAA&#10;IQAwBESR3QAAAAkBAAAPAAAAAAAAAAAAAAAAAG4EAABkcnMvZG93bnJldi54bWxQSwUGAAAAAAQA&#10;BADzAAAAeAUAAAAA&#10;" strokeweight=".16936mm">
                <w10:wrap type="topAndBottom" anchorx="page"/>
              </v:line>
            </w:pict>
          </mc:Fallback>
        </mc:AlternateContent>
      </w:r>
    </w:p>
    <w:p w14:paraId="7F166BD7" w14:textId="77777777" w:rsidR="005F38AA" w:rsidRDefault="005F38AA">
      <w:pPr>
        <w:pStyle w:val="a3"/>
        <w:spacing w:before="8"/>
        <w:rPr>
          <w:b/>
          <w:sz w:val="25"/>
          <w:lang w:eastAsia="ja-JP"/>
        </w:rPr>
      </w:pPr>
    </w:p>
    <w:p w14:paraId="7F166BD8" w14:textId="77777777" w:rsidR="005F38AA" w:rsidRDefault="009649F8">
      <w:pPr>
        <w:pStyle w:val="a4"/>
        <w:numPr>
          <w:ilvl w:val="0"/>
          <w:numId w:val="39"/>
        </w:numPr>
        <w:tabs>
          <w:tab w:val="left" w:pos="413"/>
        </w:tabs>
        <w:spacing w:line="259" w:lineRule="auto"/>
        <w:ind w:right="135" w:firstLine="0"/>
        <w:rPr>
          <w:sz w:val="16"/>
        </w:rPr>
      </w:pPr>
      <w:r>
        <w:rPr>
          <w:sz w:val="16"/>
        </w:rPr>
        <w:t>P.40 https://dechema.de/dechema_media/Downloads/Positionspapiere/Technology_study_Low_carbon_energy_and_feedstock_for_the_ European_chemical_industry-p-20002750.pdf参照</w:t>
      </w:r>
      <w:hyperlink r:id="rId33"/>
      <w:hyperlink r:id="rId34"/>
    </w:p>
    <w:p w14:paraId="7F166BD9" w14:textId="77777777" w:rsidR="005F38AA" w:rsidRDefault="009649F8">
      <w:pPr>
        <w:pStyle w:val="a4"/>
        <w:numPr>
          <w:ilvl w:val="0"/>
          <w:numId w:val="39"/>
        </w:numPr>
        <w:tabs>
          <w:tab w:val="left" w:pos="413"/>
        </w:tabs>
        <w:spacing w:before="160"/>
        <w:ind w:left="412"/>
        <w:rPr>
          <w:sz w:val="16"/>
        </w:rPr>
      </w:pPr>
      <w:r>
        <w:rPr>
          <w:sz w:val="16"/>
        </w:rPr>
        <w:t>https://www.eurochlor.org/wp-content/uploads/2019/04/12-electrolysis_production_costs.pdf</w:t>
      </w:r>
      <w:hyperlink r:id="rId35"/>
    </w:p>
    <w:p w14:paraId="7F166BDA" w14:textId="77777777" w:rsidR="005F38AA" w:rsidRDefault="005F38AA">
      <w:pPr>
        <w:rPr>
          <w:sz w:val="16"/>
        </w:rPr>
        <w:sectPr w:rsidR="005F38AA">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927"/>
        <w:gridCol w:w="7317"/>
      </w:tblGrid>
      <w:tr w:rsidR="005F38AA" w14:paraId="7F166BDD" w14:textId="77777777">
        <w:trPr>
          <w:trHeight w:val="887"/>
        </w:trPr>
        <w:tc>
          <w:tcPr>
            <w:tcW w:w="2035" w:type="dxa"/>
            <w:gridSpan w:val="2"/>
          </w:tcPr>
          <w:p w14:paraId="7F166BDB" w14:textId="77777777" w:rsidR="005F38AA" w:rsidRDefault="005F38AA">
            <w:pPr>
              <w:pStyle w:val="TableParagraph"/>
              <w:spacing w:before="0"/>
              <w:ind w:left="0"/>
              <w:rPr>
                <w:rFonts w:ascii="Times New Roman"/>
                <w:sz w:val="18"/>
              </w:rPr>
            </w:pPr>
          </w:p>
        </w:tc>
        <w:tc>
          <w:tcPr>
            <w:tcW w:w="7317" w:type="dxa"/>
          </w:tcPr>
          <w:p w14:paraId="7F166BDC" w14:textId="77777777" w:rsidR="005F38AA" w:rsidRDefault="009649F8">
            <w:pPr>
              <w:pStyle w:val="TableParagraph"/>
              <w:numPr>
                <w:ilvl w:val="0"/>
                <w:numId w:val="36"/>
              </w:numPr>
              <w:tabs>
                <w:tab w:val="left" w:pos="828"/>
                <w:tab w:val="left" w:pos="829"/>
              </w:tabs>
              <w:spacing w:before="0" w:line="273" w:lineRule="auto"/>
              <w:ind w:right="226"/>
              <w:rPr>
                <w:sz w:val="20"/>
                <w:lang w:eastAsia="ja-JP"/>
              </w:rPr>
            </w:pPr>
            <w:r>
              <w:rPr>
                <w:sz w:val="20"/>
                <w:lang w:eastAsia="ja-JP"/>
              </w:rPr>
              <w:t>塩素製造に使用される電力の平均炭素強度は、100 gCO2e/kWh以下である(定期的に更新されることを条件に、発電の分類閾値)。</w:t>
            </w:r>
          </w:p>
        </w:tc>
      </w:tr>
      <w:tr w:rsidR="005F38AA" w14:paraId="7F166BE0" w14:textId="77777777">
        <w:trPr>
          <w:trHeight w:val="383"/>
        </w:trPr>
        <w:tc>
          <w:tcPr>
            <w:tcW w:w="108" w:type="dxa"/>
            <w:tcBorders>
              <w:right w:val="nil"/>
            </w:tcBorders>
            <w:shd w:val="clear" w:color="auto" w:fill="4471C4"/>
          </w:tcPr>
          <w:p w14:paraId="7F166BDE" w14:textId="77777777" w:rsidR="005F38AA" w:rsidRDefault="005F38AA">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7F166BDF" w14:textId="77777777" w:rsidR="005F38AA" w:rsidRDefault="009649F8">
            <w:pPr>
              <w:pStyle w:val="TableParagraph"/>
              <w:ind w:left="4"/>
              <w:rPr>
                <w:b/>
                <w:sz w:val="20"/>
              </w:rPr>
            </w:pPr>
            <w:r>
              <w:rPr>
                <w:b/>
                <w:color w:val="FFFFFF"/>
                <w:sz w:val="20"/>
              </w:rPr>
              <w:t>根拠</w:t>
            </w:r>
          </w:p>
        </w:tc>
      </w:tr>
      <w:tr w:rsidR="005F38AA" w14:paraId="7F166BEE" w14:textId="77777777">
        <w:trPr>
          <w:trHeight w:val="8722"/>
        </w:trPr>
        <w:tc>
          <w:tcPr>
            <w:tcW w:w="9352" w:type="dxa"/>
            <w:gridSpan w:val="3"/>
          </w:tcPr>
          <w:p w14:paraId="7F166BE1" w14:textId="77777777" w:rsidR="005F38AA" w:rsidRDefault="009649F8">
            <w:pPr>
              <w:pStyle w:val="TableParagraph"/>
              <w:spacing w:line="276" w:lineRule="auto"/>
              <w:ind w:right="97"/>
              <w:jc w:val="both"/>
              <w:rPr>
                <w:sz w:val="10"/>
                <w:lang w:eastAsia="ja-JP"/>
              </w:rPr>
            </w:pPr>
            <w:r>
              <w:rPr>
                <w:sz w:val="20"/>
                <w:lang w:eastAsia="ja-JP"/>
              </w:rPr>
              <w:t>カーボンブラックの製造工程は化学部門の温室効果ガス排出量の約3.4%を占め、ソーダ灰の製造工程は排出量の1.5%を占めています。</w:t>
            </w:r>
          </w:p>
          <w:p w14:paraId="7F166BE2" w14:textId="77777777" w:rsidR="005F38AA" w:rsidRDefault="009649F8">
            <w:pPr>
              <w:pStyle w:val="TableParagraph"/>
              <w:spacing w:before="81" w:line="276" w:lineRule="auto"/>
              <w:ind w:right="98"/>
              <w:jc w:val="both"/>
              <w:rPr>
                <w:sz w:val="10"/>
                <w:lang w:eastAsia="ja-JP"/>
              </w:rPr>
            </w:pPr>
            <w:r>
              <w:rPr>
                <w:sz w:val="20"/>
                <w:lang w:eastAsia="ja-JP"/>
              </w:rPr>
              <w:t>塩素の製造工程は極めてエネルギー集約的であり、欧州の化学・石油化学工業の総電力消費量の17%を占めるクロール・アルカリ工程である213。</w:t>
            </w:r>
          </w:p>
          <w:p w14:paraId="7F166BE3" w14:textId="77777777" w:rsidR="005F38AA" w:rsidRDefault="009649F8">
            <w:pPr>
              <w:pStyle w:val="TableParagraph"/>
              <w:spacing w:before="80" w:line="276" w:lineRule="auto"/>
              <w:ind w:right="107"/>
              <w:jc w:val="both"/>
              <w:rPr>
                <w:sz w:val="20"/>
                <w:lang w:eastAsia="ja-JP"/>
              </w:rPr>
            </w:pPr>
            <w:r>
              <w:rPr>
                <w:sz w:val="20"/>
                <w:lang w:eastAsia="ja-JP"/>
              </w:rPr>
              <w:t>カーボンブラックおよびソーダ灰の製造排出量を削減し、塩素の製造におけるエネルギー効率を改善することは、緩和目標に積極的に貢献することができる。 さらに、複層ガラスに使用されるソーダ灰は、建物の効率向上を高めることができることが認識されている。</w:t>
            </w:r>
          </w:p>
          <w:p w14:paraId="7F166BE4" w14:textId="77777777" w:rsidR="005F38AA" w:rsidRDefault="009649F8">
            <w:pPr>
              <w:pStyle w:val="TableParagraph"/>
              <w:spacing w:before="80" w:line="276" w:lineRule="auto"/>
              <w:ind w:right="166"/>
              <w:rPr>
                <w:sz w:val="20"/>
                <w:lang w:eastAsia="ja-JP"/>
              </w:rPr>
            </w:pPr>
            <w:r>
              <w:rPr>
                <w:sz w:val="20"/>
                <w:lang w:eastAsia="ja-JP"/>
              </w:rPr>
              <w:t>絶対性能アプローチは、緩和目標に実質的に貢献することができるように活動が遵守すべきカーボンブラックおよびソーダ灰の製造プロセスの最大許容炭素強度を特定するために提案されている。</w:t>
            </w:r>
          </w:p>
          <w:p w14:paraId="7F166BE5" w14:textId="77777777" w:rsidR="005F38AA" w:rsidRDefault="009649F8">
            <w:pPr>
              <w:pStyle w:val="TableParagraph"/>
              <w:spacing w:before="78" w:line="276" w:lineRule="auto"/>
              <w:ind w:right="102"/>
              <w:jc w:val="both"/>
              <w:rPr>
                <w:sz w:val="20"/>
                <w:lang w:eastAsia="ja-JP"/>
              </w:rPr>
            </w:pPr>
            <w:r>
              <w:rPr>
                <w:sz w:val="20"/>
                <w:u w:val="single"/>
                <w:lang w:eastAsia="ja-JP"/>
              </w:rPr>
              <w:t>電気分解プロセスを燃料とするプロセスである塩素の製造のために、絶対性能アプローチを提案し、エネルギー強度閾値を同定した。</w:t>
            </w:r>
            <w:r>
              <w:rPr>
                <w:spacing w:val="-6"/>
                <w:sz w:val="20"/>
                <w:lang w:eastAsia="ja-JP"/>
              </w:rPr>
              <w:t xml:space="preserve"> エネルギー効率の閾値を満たすことに加えて、プロセスは低炭素電力に基づくものとする。</w:t>
            </w:r>
          </w:p>
          <w:p w14:paraId="7F166BE6" w14:textId="77777777" w:rsidR="005F38AA" w:rsidRDefault="009649F8">
            <w:pPr>
              <w:pStyle w:val="TableParagraph"/>
              <w:spacing w:before="82" w:line="276" w:lineRule="auto"/>
              <w:ind w:right="101"/>
              <w:jc w:val="both"/>
              <w:rPr>
                <w:sz w:val="20"/>
                <w:lang w:eastAsia="ja-JP"/>
              </w:rPr>
            </w:pPr>
            <w:r>
              <w:rPr>
                <w:sz w:val="20"/>
                <w:lang w:eastAsia="ja-JP"/>
              </w:rPr>
              <w:t>ETS製品のベンチマークはカーボンブラックおよびソーダ灰の製造の閾値として選択されている。 これらは、あるセクターで最も効率的な10%の設備の平均的な性能を反映している。</w:t>
            </w:r>
          </w:p>
          <w:p w14:paraId="7F166BE7" w14:textId="77777777" w:rsidR="005F38AA" w:rsidRDefault="009649F8">
            <w:pPr>
              <w:pStyle w:val="TableParagraph"/>
              <w:spacing w:before="79"/>
              <w:rPr>
                <w:sz w:val="20"/>
              </w:rPr>
            </w:pPr>
            <w:r>
              <w:rPr>
                <w:sz w:val="20"/>
              </w:rPr>
              <w:t>対象排出量</w:t>
            </w:r>
          </w:p>
          <w:p w14:paraId="7F166BE8" w14:textId="77777777" w:rsidR="005F38AA" w:rsidRDefault="009649F8">
            <w:pPr>
              <w:pStyle w:val="TableParagraph"/>
              <w:numPr>
                <w:ilvl w:val="0"/>
                <w:numId w:val="35"/>
              </w:numPr>
              <w:tabs>
                <w:tab w:val="left" w:pos="827"/>
                <w:tab w:val="left" w:pos="828"/>
              </w:tabs>
              <w:spacing w:before="35" w:line="271" w:lineRule="auto"/>
              <w:ind w:right="107"/>
              <w:rPr>
                <w:sz w:val="20"/>
                <w:lang w:eastAsia="ja-JP"/>
              </w:rPr>
            </w:pPr>
            <w:r>
              <w:rPr>
                <w:sz w:val="20"/>
                <w:lang w:eastAsia="ja-JP"/>
              </w:rPr>
              <w:t>スコープ1:生産に関連するすべての直接排出(プロセスからの直接排出およびエネルギー生産のための燃料使用による排出)。</w:t>
            </w:r>
          </w:p>
          <w:p w14:paraId="7F166BE9" w14:textId="77777777" w:rsidR="005F38AA" w:rsidRDefault="009649F8">
            <w:pPr>
              <w:pStyle w:val="TableParagraph"/>
              <w:numPr>
                <w:ilvl w:val="0"/>
                <w:numId w:val="35"/>
              </w:numPr>
              <w:tabs>
                <w:tab w:val="left" w:pos="827"/>
                <w:tab w:val="left" w:pos="828"/>
              </w:tabs>
              <w:spacing w:before="8"/>
              <w:rPr>
                <w:sz w:val="20"/>
              </w:rPr>
            </w:pPr>
            <w:r>
              <w:rPr>
                <w:sz w:val="20"/>
              </w:rPr>
              <w:t>電気について</w:t>
            </w:r>
          </w:p>
          <w:p w14:paraId="7F166BEA" w14:textId="77777777" w:rsidR="005F38AA" w:rsidRDefault="009649F8">
            <w:pPr>
              <w:pStyle w:val="TableParagraph"/>
              <w:spacing w:before="30" w:line="276" w:lineRule="auto"/>
              <w:ind w:left="827" w:right="106"/>
              <w:jc w:val="both"/>
              <w:rPr>
                <w:sz w:val="10"/>
                <w:lang w:eastAsia="ja-JP"/>
              </w:rPr>
            </w:pPr>
            <w:r>
              <w:rPr>
                <w:sz w:val="20"/>
                <w:lang w:eastAsia="ja-JP"/>
              </w:rPr>
              <w:t>ETSベンチマークを算出する方法論によれば、電気からの排出は、直接排出量と電気からの間接排出量が一定のレベルに互換性がある場合に考慮される(カーボンブラックの場合のように、ソーダ灰の場合はそうではない)。</w:t>
            </w:r>
          </w:p>
          <w:p w14:paraId="7F166BEB" w14:textId="77777777" w:rsidR="005F38AA" w:rsidRDefault="009649F8">
            <w:pPr>
              <w:pStyle w:val="TableParagraph"/>
              <w:spacing w:before="1" w:line="276" w:lineRule="auto"/>
              <w:ind w:right="98"/>
              <w:jc w:val="both"/>
              <w:rPr>
                <w:sz w:val="20"/>
                <w:lang w:eastAsia="ja-JP"/>
              </w:rPr>
            </w:pPr>
            <w:r>
              <w:rPr>
                <w:sz w:val="20"/>
                <w:lang w:eastAsia="ja-JP"/>
              </w:rPr>
              <w:t>塩素については、塩素の製造に使用される主なエネルギー源が電気であり、プロセスのエネルギー効率を向上させ、低炭素の電気源を利用することにより、気候変動緩和目標に大きく寄与することができることから、効率的な電力消費レベルに相当する値を閾値とした。</w:t>
            </w:r>
          </w:p>
          <w:p w14:paraId="7F166BEC" w14:textId="77777777" w:rsidR="005F38AA" w:rsidRDefault="00AC57BC">
            <w:pPr>
              <w:pStyle w:val="TableParagraph"/>
              <w:spacing w:before="80"/>
              <w:jc w:val="both"/>
              <w:rPr>
                <w:sz w:val="20"/>
                <w:lang w:eastAsia="ja-JP"/>
              </w:rPr>
            </w:pPr>
            <w:hyperlink r:id="rId36">
              <w:r w:rsidR="009649F8">
                <w:rPr>
                  <w:color w:val="00AFEF"/>
                  <w:sz w:val="20"/>
                  <w:u w:val="single" w:color="00AFEF"/>
                  <w:lang w:eastAsia="ja-JP"/>
                </w:rPr>
                <w:t>https://eur-lex.europa.eu/LexUriServ/LexUriServ.do?uri=OJ:C:2012:387:0005:0013:EN:PDF</w:t>
              </w:r>
            </w:hyperlink>
          </w:p>
          <w:p w14:paraId="7F166BED" w14:textId="77777777" w:rsidR="005F38AA" w:rsidRDefault="00AC57BC">
            <w:pPr>
              <w:pStyle w:val="TableParagraph"/>
              <w:spacing w:before="115"/>
              <w:jc w:val="both"/>
              <w:rPr>
                <w:sz w:val="20"/>
                <w:lang w:eastAsia="ja-JP"/>
              </w:rPr>
            </w:pPr>
            <w:hyperlink r:id="rId37">
              <w:r w:rsidR="009649F8">
                <w:rPr>
                  <w:color w:val="00AFEF"/>
                  <w:sz w:val="20"/>
                  <w:u w:val="single" w:color="00AFEF"/>
                  <w:lang w:eastAsia="ja-JP"/>
                </w:rPr>
                <w:t>https://epub.wupperinst.org/frontdoor/deliver/index/docId/6478/file/6478_Lechtenboehmer.pdf</w:t>
              </w:r>
            </w:hyperlink>
          </w:p>
        </w:tc>
      </w:tr>
    </w:tbl>
    <w:p w14:paraId="7F166BEF" w14:textId="515AC332" w:rsidR="005F38AA" w:rsidRDefault="00520D32">
      <w:pPr>
        <w:pStyle w:val="a3"/>
        <w:spacing w:before="10"/>
        <w:rPr>
          <w:sz w:val="27"/>
          <w:lang w:eastAsia="ja-JP"/>
        </w:rPr>
      </w:pPr>
      <w:r>
        <w:rPr>
          <w:noProof/>
          <w:lang w:val="en-US" w:eastAsia="ja-JP"/>
        </w:rPr>
        <mc:AlternateContent>
          <mc:Choice Requires="wps">
            <w:drawing>
              <wp:anchor distT="0" distB="0" distL="0" distR="0" simplePos="0" relativeHeight="251660288" behindDoc="1" locked="0" layoutInCell="1" allowOverlap="1" wp14:anchorId="7F166D9E" wp14:editId="19F7C55A">
                <wp:simplePos x="0" y="0"/>
                <wp:positionH relativeFrom="page">
                  <wp:posOffset>914400</wp:posOffset>
                </wp:positionH>
                <wp:positionV relativeFrom="paragraph">
                  <wp:posOffset>231775</wp:posOffset>
                </wp:positionV>
                <wp:extent cx="1829435" cy="0"/>
                <wp:effectExtent l="9525" t="10795" r="8890" b="825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786F" id="Line 11"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1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ft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zLMFKk&#10;A482QnEES6hNb1wBkEptbciOntSr2Wj61SGlq5aoPY8a384G4mJEchcSFs7ADbv+k2aAIQevY6FO&#10;je0CJZQAnaIf58EPfvKIwmY2m8zzh0eM6O0sIcUt0FjnP3LdoTApsQTRkZgcN86DdIDeIOEepddC&#10;ymi3VKgv8TSdP8UAp6Vg4TDAnN3vKmnRkYSGiV+oA5Ddwaw+KBbJWk7Y6jr3RMjLHPBSBT5IBeRc&#10;Z5eO+DZP56vZapaP8sl0NcrTuh59WFf5aLrOnh7rh7qq6ux7kJblRSsY4yqou3Vnlv+d+9d3cumr&#10;oT+HMiT37DFFEHv7R9HRy2DfpRF2mp23NlQj2AoNGcHXxxM6/td1RP184ssfAAAA//8DAFBLAwQU&#10;AAYACAAAACEAlKetRt0AAAAJAQAADwAAAGRycy9kb3ducmV2LnhtbEyPzU7DMBCE70i8g7VI3KiT&#10;Jq2qEKeCSkhInCg/Zydekgh7HcVumvD0LOIAx5kdzX5T7mdnxYRj6D0pSFcJCKTGm55aBa8vDzc7&#10;ECFqMtp6QgULBthXlxelLow/0zNOx9gKLqFQaAVdjEMhZWg6dDqs/IDEtw8/Oh1Zjq00oz5zubNy&#10;nSRb6XRP/KHTAx46bD6PJ6cgn+bl6euA91n9mC67TfuWhXer1PXVfHcLIuIc/8Lwg8/oUDFT7U9k&#10;grCs85y3RAXZdgOCA3m2TkHUv4asSvl/QfUNAAD//wMAUEsBAi0AFAAGAAgAAAAhALaDOJL+AAAA&#10;4QEAABMAAAAAAAAAAAAAAAAAAAAAAFtDb250ZW50X1R5cGVzXS54bWxQSwECLQAUAAYACAAAACEA&#10;OP0h/9YAAACUAQAACwAAAAAAAAAAAAAAAAAvAQAAX3JlbHMvLnJlbHNQSwECLQAUAAYACAAAACEA&#10;xEVH7RUCAAAqBAAADgAAAAAAAAAAAAAAAAAuAgAAZHJzL2Uyb0RvYy54bWxQSwECLQAUAAYACAAA&#10;ACEAlKetRt0AAAAJAQAADwAAAAAAAAAAAAAAAABvBAAAZHJzL2Rvd25yZXYueG1sUEsFBgAAAAAE&#10;AAQA8wAAAHkFAAAAAA==&#10;" strokeweight=".16936mm">
                <w10:wrap type="topAndBottom" anchorx="page"/>
              </v:line>
            </w:pict>
          </mc:Fallback>
        </mc:AlternateContent>
      </w:r>
    </w:p>
    <w:p w14:paraId="7F166BF0" w14:textId="77777777" w:rsidR="005F38AA" w:rsidRDefault="005F38AA">
      <w:pPr>
        <w:pStyle w:val="a3"/>
        <w:spacing w:before="4"/>
        <w:rPr>
          <w:sz w:val="17"/>
          <w:lang w:eastAsia="ja-JP"/>
        </w:rPr>
      </w:pPr>
    </w:p>
    <w:p w14:paraId="7F166BF1" w14:textId="77777777" w:rsidR="005F38AA" w:rsidRDefault="009649F8">
      <w:pPr>
        <w:pStyle w:val="a4"/>
        <w:numPr>
          <w:ilvl w:val="0"/>
          <w:numId w:val="39"/>
        </w:numPr>
        <w:tabs>
          <w:tab w:val="left" w:pos="413"/>
        </w:tabs>
        <w:spacing w:before="96"/>
        <w:ind w:left="412"/>
        <w:rPr>
          <w:sz w:val="16"/>
        </w:rPr>
      </w:pPr>
      <w:r>
        <w:rPr>
          <w:sz w:val="16"/>
        </w:rPr>
        <w:t>Page 14 http://publications.jrc.ec.europa.eu/repository/bitstream/JRC105767/kj-na-28471-enn.pdf</w:t>
      </w:r>
      <w:hyperlink r:id="rId38"/>
    </w:p>
    <w:p w14:paraId="7F166BF2" w14:textId="77777777" w:rsidR="005F38AA" w:rsidRDefault="005F38AA">
      <w:pPr>
        <w:pStyle w:val="a3"/>
        <w:spacing w:before="3"/>
        <w:rPr>
          <w:sz w:val="15"/>
        </w:rPr>
      </w:pPr>
    </w:p>
    <w:p w14:paraId="7F166BF3" w14:textId="77777777" w:rsidR="005F38AA" w:rsidRDefault="009649F8">
      <w:pPr>
        <w:pStyle w:val="a4"/>
        <w:numPr>
          <w:ilvl w:val="0"/>
          <w:numId w:val="39"/>
        </w:numPr>
        <w:tabs>
          <w:tab w:val="left" w:pos="413"/>
        </w:tabs>
        <w:spacing w:before="1"/>
        <w:ind w:left="412"/>
        <w:rPr>
          <w:sz w:val="16"/>
        </w:rPr>
      </w:pPr>
      <w:r>
        <w:rPr>
          <w:sz w:val="16"/>
        </w:rPr>
        <w:t>page 11 http://eippcb.jrc.ec.europa.eu/reference/BREF/CAK_BREF_102014.pdf</w:t>
      </w:r>
      <w:hyperlink r:id="rId39"/>
    </w:p>
    <w:p w14:paraId="7F166BF4" w14:textId="77777777" w:rsidR="005F38AA" w:rsidRDefault="005F38AA">
      <w:pPr>
        <w:pStyle w:val="a3"/>
        <w:spacing w:before="1"/>
        <w:rPr>
          <w:sz w:val="15"/>
        </w:rPr>
      </w:pPr>
    </w:p>
    <w:p w14:paraId="7F166BF5" w14:textId="77777777" w:rsidR="005F38AA" w:rsidRDefault="00AC57BC">
      <w:pPr>
        <w:pStyle w:val="a4"/>
        <w:numPr>
          <w:ilvl w:val="0"/>
          <w:numId w:val="39"/>
        </w:numPr>
        <w:tabs>
          <w:tab w:val="left" w:pos="413"/>
        </w:tabs>
        <w:spacing w:line="465" w:lineRule="auto"/>
        <w:ind w:right="2318" w:firstLine="0"/>
        <w:rPr>
          <w:sz w:val="16"/>
        </w:rPr>
      </w:pPr>
      <w:hyperlink r:id="rId40">
        <w:r w:rsidR="009649F8">
          <w:rPr>
            <w:sz w:val="16"/>
          </w:rPr>
          <w:t>https://eur-lex.europa.eu/legal-content/EN/TXT/PDF/?uri=CELEX:32011D0278&amp;from=EN https://ec.europa.eu/clima/sites/clima/files/ets/allowances/docs/gd9_sector_specific_guidance_en.pdf</w:t>
        </w:r>
      </w:hyperlink>
      <w:hyperlink r:id="rId41"/>
    </w:p>
    <w:p w14:paraId="7F166BF6" w14:textId="77777777" w:rsidR="005F38AA" w:rsidRDefault="005F38AA">
      <w:pPr>
        <w:spacing w:line="465" w:lineRule="auto"/>
        <w:rPr>
          <w:sz w:val="16"/>
        </w:rPr>
        <w:sectPr w:rsidR="005F38AA">
          <w:pgSz w:w="12240" w:h="15840"/>
          <w:pgMar w:top="1440" w:right="1320" w:bottom="1640" w:left="1340" w:header="0" w:footer="1372" w:gutter="0"/>
          <w:cols w:space="720"/>
        </w:sectPr>
      </w:pPr>
    </w:p>
    <w:p w14:paraId="7F166BF7" w14:textId="65319B64" w:rsidR="005F38AA" w:rsidRDefault="00520D32">
      <w:pPr>
        <w:pStyle w:val="a3"/>
        <w:ind w:left="100"/>
      </w:pPr>
      <w:r>
        <w:rPr>
          <w:noProof/>
          <w:lang w:val="en-US" w:eastAsia="ja-JP"/>
        </w:rPr>
        <w:lastRenderedPageBreak/>
        <mc:AlternateContent>
          <mc:Choice Requires="wps">
            <w:drawing>
              <wp:inline distT="0" distB="0" distL="0" distR="0" wp14:anchorId="7F166DA1" wp14:editId="58703F1A">
                <wp:extent cx="5938520" cy="1781810"/>
                <wp:effectExtent l="9525" t="9525" r="5080" b="889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7818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66DAD" w14:textId="77777777" w:rsidR="009A6BB8" w:rsidRDefault="009A6BB8">
                            <w:pPr>
                              <w:pStyle w:val="a3"/>
                              <w:spacing w:before="41"/>
                              <w:ind w:left="103"/>
                            </w:pPr>
                            <w:r>
                              <w:rPr>
                                <w:lang w:eastAsia="ja-JP"/>
                              </w:rPr>
                              <w:t xml:space="preserve">CEPSのデスク研究で報告されたEUの平均データ。 </w:t>
                            </w:r>
                            <w:r>
                              <w:t>(CEPS, Ares(2014) 174266-27/01/2014)</w:t>
                            </w:r>
                          </w:p>
                          <w:p w14:paraId="7F166DAE" w14:textId="77777777" w:rsidR="009A6BB8" w:rsidRDefault="009A6BB8">
                            <w:pPr>
                              <w:pStyle w:val="a3"/>
                              <w:spacing w:before="9"/>
                              <w:rPr>
                                <w:sz w:val="23"/>
                              </w:rPr>
                            </w:pPr>
                          </w:p>
                          <w:p w14:paraId="7F166DAF" w14:textId="77777777" w:rsidR="009A6BB8" w:rsidRDefault="009A6BB8">
                            <w:pPr>
                              <w:ind w:left="103"/>
                              <w:rPr>
                                <w:b/>
                                <w:sz w:val="20"/>
                              </w:rPr>
                            </w:pPr>
                            <w:r>
                              <w:rPr>
                                <w:b/>
                                <w:sz w:val="20"/>
                              </w:rPr>
                              <w:t>BREF:</w:t>
                            </w:r>
                          </w:p>
                          <w:p w14:paraId="7F166DB0" w14:textId="77777777" w:rsidR="009A6BB8" w:rsidRDefault="00AC57BC">
                            <w:pPr>
                              <w:pStyle w:val="a3"/>
                              <w:spacing w:before="116" w:line="357" w:lineRule="auto"/>
                              <w:ind w:left="103"/>
                            </w:pPr>
                            <w:hyperlink r:id="rId42">
                              <w:r w:rsidR="009A6BB8">
                                <w:rPr>
                                  <w:color w:val="00AFEF"/>
                                  <w:u w:val="single" w:color="00AFEF"/>
                                </w:rPr>
                                <w:t>http://eippcb.jrc.ec.europa.eu/reference/BREF/lvic-s_bref_0907.pdf http://eippcb.jrc.ec.europa.eu/reference/BREF/CAK_BREF_102014.pdf</w:t>
                              </w:r>
                            </w:hyperlink>
                            <w:hyperlink r:id="rId43"/>
                          </w:p>
                          <w:p w14:paraId="7F166DB1" w14:textId="77777777" w:rsidR="009A6BB8" w:rsidRDefault="009A6BB8">
                            <w:pPr>
                              <w:pStyle w:val="a3"/>
                              <w:spacing w:before="3" w:line="276" w:lineRule="auto"/>
                              <w:ind w:left="103" w:right="14"/>
                            </w:pPr>
                            <w:r>
                              <w:rPr>
                                <w:lang w:eastAsia="ja-JP"/>
                              </w:rPr>
                              <w:t xml:space="preserve">2021年から2025年までの期間及び2026年から2030年までの期間のベンチマークを決定するための規定は、アートに含まれる。 </w:t>
                            </w:r>
                            <w:r>
                              <w:t>指令2003/87/ECの10a、2(a)及び2(c)。</w:t>
                            </w:r>
                          </w:p>
                          <w:p w14:paraId="7F166DB2" w14:textId="77777777" w:rsidR="009A6BB8" w:rsidRDefault="00AC57BC">
                            <w:pPr>
                              <w:pStyle w:val="a3"/>
                              <w:spacing w:before="78" w:line="278" w:lineRule="auto"/>
                              <w:ind w:left="103"/>
                            </w:pPr>
                            <w:hyperlink r:id="rId44">
                              <w:r w:rsidR="009A6BB8">
                                <w:rPr>
                                  <w:color w:val="00AFEF"/>
                                  <w:w w:val="95"/>
                                  <w:u w:val="single" w:color="00AFEF"/>
                                </w:rPr>
                                <w:t>https://eur-lex.europa.eu/legal-content/EN/TXT/PDF/?uri=CELEX:02003L0087- 20180408&amp;qid=1547917622180&amp;from=EN</w:t>
                              </w:r>
                            </w:hyperlink>
                            <w:hyperlink r:id="rId45"/>
                          </w:p>
                        </w:txbxContent>
                      </wps:txbx>
                      <wps:bodyPr rot="0" vert="horz" wrap="square" lIns="0" tIns="0" rIns="0" bIns="0" anchor="t" anchorCtr="0" upright="1">
                        <a:noAutofit/>
                      </wps:bodyPr>
                    </wps:wsp>
                  </a:graphicData>
                </a:graphic>
              </wp:inline>
            </w:drawing>
          </mc:Choice>
          <mc:Fallback>
            <w:pict>
              <v:shapetype w14:anchorId="7F166DA1" id="_x0000_t202" coordsize="21600,21600" o:spt="202" path="m,l,21600r21600,l21600,xe">
                <v:stroke joinstyle="miter"/>
                <v:path gradientshapeok="t" o:connecttype="rect"/>
              </v:shapetype>
              <v:shape id="Text Box 37" o:spid="_x0000_s1026" type="#_x0000_t202" style="width:467.6pt;height:1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7GegIAAAIFAAAOAAAAZHJzL2Uyb0RvYy54bWysVG1v2yAQ/j5p/wHxPbWdpqlj1am6OJkm&#10;dS9Sux9AAMdoGBiQ2N20/74Dx2m6fpmm+YN9huO55+6e4+a2byU6cOuEViXOLlKMuKKaCbUr8dfH&#10;zSTHyHmiGJFa8RI/cYdvl2/f3HSm4FPdaMm4RQCiXNGZEjfemyJJHG14S9yFNlzBZq1tSzz82l3C&#10;LOkAvZXJNE3nSactM1ZT7hysVsMmXkb8uubUf65rxz2SJQZuPr5tfG/DO1nekGJniWkEPdIg/8Ci&#10;JUJB0BNURTxBeyteQbWCWu107S+obhNd14LymANkk6V/ZPPQEMNjLlAcZ05lcv8Pln46fLFIMOgd&#10;lEeRFnr0yHuP3ukeXV6H+nTGFeD2YMDR97AOvjFXZ+41/eaQ0quGqB2/s1Z3DScM+GXhZHJ2dMBx&#10;AWTbfdQM4pC91xGor20bigflQIAORJ5OvQlcKCxeLS7zqylsUdjLrvMsB8IhBinG48Y6/57rFgWj&#10;xBaaH+HJ4d75wXV0CdGU3ggpYZ0UUqGuxPN0MR8S01KwsBn2nN1tV9KiAwkSis8xrjt3a4UHIUvR&#10;ljg/OZEilGOtWIziiZCDDaSlCuCQHXA7WoNgfi7SxTpf57PJbDpfT2ZpVU3uNqvZZL7Jrq+qy2q1&#10;qrJfgWc2KxrBGFeB6ijebPZ34jiO0SC7k3xfpPQi8018XmeevKQRGwJZjd+YXdRBaP0gAt9veyhI&#10;EMdWsydQhNXDYMJFAkaj7Q+MOhjKErvve2I5RvKDAlWFCR4NOxrb0SCKwtESe4wGc+WHSd8bK3YN&#10;IA+6VfoOlFeLqIlnFke9wqBF8sdLIUzy+X/0er66lr8BAAD//wMAUEsDBBQABgAIAAAAIQD6qjxC&#10;2wAAAAUBAAAPAAAAZHJzL2Rvd25yZXYueG1sTI/BTsMwEETvSPyDtUjcqENQqhDiVAi1Fw5IafsB&#10;23hJAvE6it0m/D0LF7isNJrRzNtys7hBXWgKvWcD96sEFHHjbc+tgeNhd5eDChHZ4uCZDHxRgE11&#10;fVViYf3MNV32sVVSwqFAA12MY6F1aDpyGFZ+JBbv3U8Oo8ip1XbCWcrdoNMkWWuHPctChyO9dNR8&#10;7s/OANUfvfe7fK7H2B5fwzbLtm+ZMbc3y/MTqEhL/AvDD76gQyVMJ39mG9RgQB6Jv1e8x4csBXUy&#10;kObJGnRV6v/01TcAAAD//wMAUEsBAi0AFAAGAAgAAAAhALaDOJL+AAAA4QEAABMAAAAAAAAAAAAA&#10;AAAAAAAAAFtDb250ZW50X1R5cGVzXS54bWxQSwECLQAUAAYACAAAACEAOP0h/9YAAACUAQAACwAA&#10;AAAAAAAAAAAAAAAvAQAAX3JlbHMvLnJlbHNQSwECLQAUAAYACAAAACEAimduxnoCAAACBQAADgAA&#10;AAAAAAAAAAAAAAAuAgAAZHJzL2Uyb0RvYy54bWxQSwECLQAUAAYACAAAACEA+qo8QtsAAAAFAQAA&#10;DwAAAAAAAAAAAAAAAADUBAAAZHJzL2Rvd25yZXYueG1sUEsFBgAAAAAEAAQA8wAAANwFAAAAAA==&#10;" filled="f" strokeweight=".48pt">
                <v:textbox inset="0,0,0,0">
                  <w:txbxContent>
                    <w:p w14:paraId="7F166DAD" w14:textId="77777777" w:rsidR="009A6BB8" w:rsidRDefault="009A6BB8">
                      <w:pPr>
                        <w:pStyle w:val="a3"/>
                        <w:spacing w:before="41"/>
                        <w:ind w:left="103"/>
                      </w:pPr>
                      <w:r>
                        <w:rPr>
                          <w:lang w:eastAsia="ja-JP"/>
                        </w:rPr>
                        <w:t xml:space="preserve">CEPSのデスク研究で報告されたEUの平均データ。 </w:t>
                      </w:r>
                      <w:r>
                        <w:t>(CEPS, Ares(2014) 174266-27/01/2014)</w:t>
                      </w:r>
                    </w:p>
                    <w:p w14:paraId="7F166DAE" w14:textId="77777777" w:rsidR="009A6BB8" w:rsidRDefault="009A6BB8">
                      <w:pPr>
                        <w:pStyle w:val="a3"/>
                        <w:spacing w:before="9"/>
                        <w:rPr>
                          <w:sz w:val="23"/>
                        </w:rPr>
                      </w:pPr>
                    </w:p>
                    <w:p w14:paraId="7F166DAF" w14:textId="77777777" w:rsidR="009A6BB8" w:rsidRDefault="009A6BB8">
                      <w:pPr>
                        <w:ind w:left="103"/>
                        <w:rPr>
                          <w:b/>
                          <w:sz w:val="20"/>
                        </w:rPr>
                      </w:pPr>
                      <w:r>
                        <w:rPr>
                          <w:b/>
                          <w:sz w:val="20"/>
                        </w:rPr>
                        <w:t>BREF:</w:t>
                      </w:r>
                    </w:p>
                    <w:p w14:paraId="7F166DB0" w14:textId="77777777" w:rsidR="009A6BB8" w:rsidRDefault="009A6BB8">
                      <w:pPr>
                        <w:pStyle w:val="a3"/>
                        <w:spacing w:before="116" w:line="357" w:lineRule="auto"/>
                        <w:ind w:left="103"/>
                      </w:pPr>
                      <w:hyperlink r:id="rId46">
                        <w:r>
                          <w:rPr>
                            <w:color w:val="00AFEF"/>
                            <w:u w:val="single" w:color="00AFEF"/>
                          </w:rPr>
                          <w:t>http://eippcb.jrc.ec.europa.eu/reference/BREF/lvic-s_bref_0907.pdf http://eippcb.jrc.ec.europa.eu/reference/BREF/CAK_BREF_102014.pdf</w:t>
                        </w:r>
                      </w:hyperlink>
                      <w:hyperlink r:id="rId47"/>
                    </w:p>
                    <w:p w14:paraId="7F166DB1" w14:textId="77777777" w:rsidR="009A6BB8" w:rsidRDefault="009A6BB8">
                      <w:pPr>
                        <w:pStyle w:val="a3"/>
                        <w:spacing w:before="3" w:line="276" w:lineRule="auto"/>
                        <w:ind w:left="103" w:right="14"/>
                      </w:pPr>
                      <w:r>
                        <w:rPr>
                          <w:lang w:eastAsia="ja-JP"/>
                        </w:rPr>
                        <w:t xml:space="preserve">2021年から2025年までの期間及び2026年から2030年までの期間のベンチマークを決定するための規定は、アートに含まれる。 </w:t>
                      </w:r>
                      <w:r>
                        <w:t>指令2003/87/ECの10a、2(a)及び2(c)。</w:t>
                      </w:r>
                    </w:p>
                    <w:p w14:paraId="7F166DB2" w14:textId="77777777" w:rsidR="009A6BB8" w:rsidRDefault="009A6BB8">
                      <w:pPr>
                        <w:pStyle w:val="a3"/>
                        <w:spacing w:before="78" w:line="278" w:lineRule="auto"/>
                        <w:ind w:left="103"/>
                      </w:pPr>
                      <w:hyperlink r:id="rId48">
                        <w:r>
                          <w:rPr>
                            <w:color w:val="00AFEF"/>
                            <w:w w:val="95"/>
                            <w:u w:val="single" w:color="00AFEF"/>
                          </w:rPr>
                          <w:t>https://eur-lex.europa.eu/legal-content/EN/TXT/PDF/?uri=CELEX:02003L0087- 20180408&amp;qid=1547917622180&amp;from=EN</w:t>
                        </w:r>
                      </w:hyperlink>
                      <w:hyperlink r:id="rId49"/>
                    </w:p>
                  </w:txbxContent>
                </v:textbox>
                <w10:wrap anchorx="page" anchory="page"/>
                <w10:anchorlock/>
              </v:shape>
            </w:pict>
          </mc:Fallback>
        </mc:AlternateContent>
      </w:r>
    </w:p>
    <w:p w14:paraId="7F166BF8" w14:textId="77777777" w:rsidR="005F38AA" w:rsidRDefault="005F38AA">
      <w:pPr>
        <w:pStyle w:val="a3"/>
        <w:spacing w:before="8"/>
        <w:rPr>
          <w:sz w:val="22"/>
        </w:rPr>
      </w:pPr>
    </w:p>
    <w:p w14:paraId="7F166BF9" w14:textId="77777777" w:rsidR="005F38AA" w:rsidRDefault="009649F8">
      <w:pPr>
        <w:pStyle w:val="a3"/>
        <w:spacing w:before="93"/>
        <w:ind w:left="100"/>
        <w:rPr>
          <w:lang w:eastAsia="ja-JP"/>
        </w:rPr>
      </w:pPr>
      <w:r>
        <w:rPr>
          <w:lang w:eastAsia="ja-JP"/>
        </w:rPr>
        <w:t>DNSHの評価は3つの化学物質に分けられる。</w:t>
      </w:r>
    </w:p>
    <w:p w14:paraId="7F166BFA" w14:textId="77777777" w:rsidR="005F38AA" w:rsidRDefault="009649F8">
      <w:pPr>
        <w:pStyle w:val="a4"/>
        <w:numPr>
          <w:ilvl w:val="1"/>
          <w:numId w:val="39"/>
        </w:numPr>
        <w:tabs>
          <w:tab w:val="left" w:pos="820"/>
          <w:tab w:val="left" w:pos="821"/>
        </w:tabs>
        <w:spacing w:before="117"/>
        <w:rPr>
          <w:sz w:val="20"/>
          <w:lang w:eastAsia="ja-JP"/>
        </w:rPr>
      </w:pPr>
      <w:r>
        <w:rPr>
          <w:sz w:val="20"/>
          <w:lang w:eastAsia="ja-JP"/>
        </w:rPr>
        <w:t>カーボンブラックの製造</w:t>
      </w:r>
    </w:p>
    <w:p w14:paraId="7F166BFB" w14:textId="77777777" w:rsidR="005F38AA" w:rsidRDefault="009649F8">
      <w:pPr>
        <w:pStyle w:val="a4"/>
        <w:numPr>
          <w:ilvl w:val="1"/>
          <w:numId w:val="39"/>
        </w:numPr>
        <w:tabs>
          <w:tab w:val="left" w:pos="820"/>
          <w:tab w:val="left" w:pos="821"/>
        </w:tabs>
        <w:spacing w:before="33"/>
        <w:rPr>
          <w:sz w:val="20"/>
          <w:lang w:eastAsia="ja-JP"/>
        </w:rPr>
      </w:pPr>
      <w:r>
        <w:rPr>
          <w:sz w:val="20"/>
          <w:lang w:eastAsia="ja-JP"/>
        </w:rPr>
        <w:t>炭酸二ナトリウム(ソーダ灰)の製造</w:t>
      </w:r>
    </w:p>
    <w:p w14:paraId="7F166BFC" w14:textId="77777777" w:rsidR="005F38AA" w:rsidRDefault="009649F8">
      <w:pPr>
        <w:pStyle w:val="a4"/>
        <w:numPr>
          <w:ilvl w:val="1"/>
          <w:numId w:val="39"/>
        </w:numPr>
        <w:tabs>
          <w:tab w:val="left" w:pos="820"/>
          <w:tab w:val="left" w:pos="821"/>
        </w:tabs>
        <w:spacing w:before="33"/>
        <w:rPr>
          <w:sz w:val="20"/>
        </w:rPr>
      </w:pPr>
      <w:r>
        <w:rPr>
          <w:sz w:val="20"/>
        </w:rPr>
        <w:t>塩素の製造</w:t>
      </w:r>
    </w:p>
    <w:p w14:paraId="7F166BFD" w14:textId="77777777" w:rsidR="005F38AA" w:rsidRDefault="005F38AA">
      <w:pPr>
        <w:pStyle w:val="a3"/>
      </w:pPr>
    </w:p>
    <w:p w14:paraId="7F166BFE" w14:textId="77777777" w:rsidR="005F38AA" w:rsidRDefault="005F38AA">
      <w:pPr>
        <w:pStyle w:val="a3"/>
        <w:spacing w:before="8"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798"/>
        <w:gridCol w:w="7447"/>
      </w:tblGrid>
      <w:tr w:rsidR="005F38AA" w14:paraId="7F166C01" w14:textId="77777777">
        <w:trPr>
          <w:trHeight w:val="383"/>
        </w:trPr>
        <w:tc>
          <w:tcPr>
            <w:tcW w:w="108" w:type="dxa"/>
            <w:tcBorders>
              <w:right w:val="nil"/>
            </w:tcBorders>
            <w:shd w:val="clear" w:color="auto" w:fill="4471C4"/>
          </w:tcPr>
          <w:p w14:paraId="7F166BFF" w14:textId="77777777" w:rsidR="005F38AA" w:rsidRDefault="005F38AA">
            <w:pPr>
              <w:pStyle w:val="TableParagraph"/>
              <w:spacing w:before="0"/>
              <w:ind w:left="0"/>
              <w:rPr>
                <w:rFonts w:ascii="Times New Roman"/>
                <w:sz w:val="18"/>
              </w:rPr>
            </w:pPr>
          </w:p>
        </w:tc>
        <w:tc>
          <w:tcPr>
            <w:tcW w:w="9245" w:type="dxa"/>
            <w:gridSpan w:val="2"/>
            <w:tcBorders>
              <w:left w:val="nil"/>
            </w:tcBorders>
            <w:shd w:val="clear" w:color="auto" w:fill="4471C4"/>
          </w:tcPr>
          <w:p w14:paraId="7F166C00" w14:textId="21449FBC" w:rsidR="005F38AA" w:rsidRDefault="009649F8" w:rsidP="006F08B1">
            <w:pPr>
              <w:pStyle w:val="TableParagraph"/>
              <w:ind w:left="4"/>
              <w:rPr>
                <w:b/>
                <w:sz w:val="20"/>
                <w:lang w:eastAsia="ja-JP"/>
              </w:rPr>
            </w:pPr>
            <w:r>
              <w:rPr>
                <w:b/>
                <w:color w:val="FFFFFF"/>
                <w:sz w:val="20"/>
                <w:lang w:eastAsia="ja-JP"/>
              </w:rPr>
              <w:t>重大な有害性</w:t>
            </w:r>
          </w:p>
        </w:tc>
      </w:tr>
      <w:tr w:rsidR="005F38AA" w14:paraId="7F166C07" w14:textId="77777777">
        <w:trPr>
          <w:trHeight w:val="2027"/>
        </w:trPr>
        <w:tc>
          <w:tcPr>
            <w:tcW w:w="9353" w:type="dxa"/>
            <w:gridSpan w:val="3"/>
          </w:tcPr>
          <w:p w14:paraId="7F166C02" w14:textId="77777777" w:rsidR="005F38AA" w:rsidRDefault="009649F8">
            <w:pPr>
              <w:pStyle w:val="TableParagraph"/>
              <w:rPr>
                <w:sz w:val="20"/>
                <w:lang w:eastAsia="ja-JP"/>
              </w:rPr>
            </w:pPr>
            <w:r>
              <w:rPr>
                <w:sz w:val="20"/>
                <w:u w:val="single"/>
                <w:lang w:eastAsia="ja-JP"/>
              </w:rPr>
              <w:t>カーボンブラックの製造</w:t>
            </w:r>
          </w:p>
          <w:p w14:paraId="7F166C03" w14:textId="77777777" w:rsidR="005F38AA" w:rsidRDefault="009649F8">
            <w:pPr>
              <w:pStyle w:val="TableParagraph"/>
              <w:spacing w:before="116" w:line="276" w:lineRule="auto"/>
              <w:rPr>
                <w:sz w:val="20"/>
                <w:lang w:eastAsia="ja-JP"/>
              </w:rPr>
            </w:pPr>
            <w:r>
              <w:rPr>
                <w:sz w:val="20"/>
                <w:lang w:eastAsia="ja-JP"/>
              </w:rPr>
              <w:t>カーボンブラックの製造による他の環境目的に対する主な潜在的著しい害は、次のものである。</w:t>
            </w:r>
          </w:p>
          <w:p w14:paraId="7F166C04" w14:textId="77777777" w:rsidR="005F38AA" w:rsidRDefault="009649F8">
            <w:pPr>
              <w:pStyle w:val="TableParagraph"/>
              <w:numPr>
                <w:ilvl w:val="0"/>
                <w:numId w:val="34"/>
              </w:numPr>
              <w:tabs>
                <w:tab w:val="left" w:pos="827"/>
                <w:tab w:val="left" w:pos="828"/>
              </w:tabs>
              <w:spacing w:before="78"/>
              <w:rPr>
                <w:sz w:val="20"/>
                <w:lang w:eastAsia="ja-JP"/>
              </w:rPr>
            </w:pPr>
            <w:r>
              <w:rPr>
                <w:sz w:val="20"/>
                <w:lang w:eastAsia="ja-JP"/>
              </w:rPr>
              <w:t>大気、特に揮発性有機化合物(VOC)や粉塵への汚染物質の排出</w:t>
            </w:r>
          </w:p>
          <w:p w14:paraId="7F166C05" w14:textId="77777777" w:rsidR="005F38AA" w:rsidRDefault="009649F8">
            <w:pPr>
              <w:pStyle w:val="TableParagraph"/>
              <w:numPr>
                <w:ilvl w:val="0"/>
                <w:numId w:val="34"/>
              </w:numPr>
              <w:tabs>
                <w:tab w:val="left" w:pos="827"/>
                <w:tab w:val="left" w:pos="828"/>
              </w:tabs>
              <w:spacing w:before="115"/>
              <w:rPr>
                <w:sz w:val="20"/>
                <w:lang w:eastAsia="ja-JP"/>
              </w:rPr>
            </w:pPr>
            <w:r>
              <w:rPr>
                <w:sz w:val="20"/>
                <w:lang w:eastAsia="ja-JP"/>
              </w:rPr>
              <w:t>冷却のための水ストレス地域における水の使用</w:t>
            </w:r>
          </w:p>
          <w:p w14:paraId="7F166C06" w14:textId="77777777" w:rsidR="005F38AA" w:rsidRDefault="009649F8">
            <w:pPr>
              <w:pStyle w:val="TableParagraph"/>
              <w:numPr>
                <w:ilvl w:val="0"/>
                <w:numId w:val="34"/>
              </w:numPr>
              <w:tabs>
                <w:tab w:val="left" w:pos="827"/>
                <w:tab w:val="left" w:pos="828"/>
              </w:tabs>
              <w:spacing w:before="114"/>
              <w:rPr>
                <w:sz w:val="20"/>
              </w:rPr>
            </w:pPr>
            <w:r>
              <w:rPr>
                <w:sz w:val="20"/>
              </w:rPr>
              <w:t>廃棄物の発生</w:t>
            </w:r>
          </w:p>
        </w:tc>
      </w:tr>
      <w:tr w:rsidR="005F38AA" w14:paraId="7F166C0A" w14:textId="77777777">
        <w:trPr>
          <w:trHeight w:val="398"/>
        </w:trPr>
        <w:tc>
          <w:tcPr>
            <w:tcW w:w="1906" w:type="dxa"/>
            <w:gridSpan w:val="2"/>
          </w:tcPr>
          <w:p w14:paraId="7F166C08" w14:textId="77777777" w:rsidR="005F38AA" w:rsidRDefault="009649F8">
            <w:pPr>
              <w:pStyle w:val="TableParagraph"/>
              <w:rPr>
                <w:sz w:val="20"/>
              </w:rPr>
            </w:pPr>
            <w:r>
              <w:rPr>
                <w:sz w:val="20"/>
              </w:rPr>
              <w:t>(2)適応</w:t>
            </w:r>
          </w:p>
        </w:tc>
        <w:tc>
          <w:tcPr>
            <w:tcW w:w="7447" w:type="dxa"/>
          </w:tcPr>
          <w:p w14:paraId="7F166C09" w14:textId="77777777" w:rsidR="005F38AA" w:rsidRDefault="009649F8">
            <w:pPr>
              <w:pStyle w:val="TableParagraph"/>
              <w:numPr>
                <w:ilvl w:val="0"/>
                <w:numId w:val="33"/>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5F38AA" w14:paraId="7F166C0E" w14:textId="77777777">
        <w:trPr>
          <w:trHeight w:val="1550"/>
        </w:trPr>
        <w:tc>
          <w:tcPr>
            <w:tcW w:w="1906" w:type="dxa"/>
            <w:gridSpan w:val="2"/>
          </w:tcPr>
          <w:p w14:paraId="7F166C0B" w14:textId="77777777" w:rsidR="005F38AA" w:rsidRDefault="009649F8">
            <w:pPr>
              <w:pStyle w:val="TableParagraph"/>
              <w:rPr>
                <w:sz w:val="20"/>
              </w:rPr>
            </w:pPr>
            <w:r>
              <w:rPr>
                <w:sz w:val="20"/>
              </w:rPr>
              <w:t>(3) 水</w:t>
            </w:r>
          </w:p>
        </w:tc>
        <w:tc>
          <w:tcPr>
            <w:tcW w:w="7447" w:type="dxa"/>
          </w:tcPr>
          <w:p w14:paraId="7F166C0C" w14:textId="77777777" w:rsidR="005F38AA" w:rsidRDefault="009649F8">
            <w:pPr>
              <w:pStyle w:val="TableParagraph"/>
              <w:numPr>
                <w:ilvl w:val="0"/>
                <w:numId w:val="32"/>
              </w:numPr>
              <w:tabs>
                <w:tab w:val="left" w:pos="467"/>
                <w:tab w:val="left" w:pos="468"/>
              </w:tabs>
              <w:spacing w:before="41" w:line="273" w:lineRule="auto"/>
              <w:ind w:right="26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C0D" w14:textId="77777777" w:rsidR="005F38AA" w:rsidRDefault="009649F8">
            <w:pPr>
              <w:pStyle w:val="TableParagraph"/>
              <w:numPr>
                <w:ilvl w:val="0"/>
                <w:numId w:val="32"/>
              </w:numPr>
              <w:tabs>
                <w:tab w:val="left" w:pos="467"/>
                <w:tab w:val="left" w:pos="468"/>
              </w:tabs>
              <w:spacing w:before="86"/>
              <w:rPr>
                <w:sz w:val="20"/>
                <w:lang w:eastAsia="ja-JP"/>
              </w:rPr>
            </w:pPr>
            <w:r>
              <w:rPr>
                <w:sz w:val="20"/>
                <w:lang w:eastAsia="ja-JP"/>
              </w:rPr>
              <w:t>EUでは、EU水関連法規の要件を満たす。</w:t>
            </w:r>
          </w:p>
        </w:tc>
      </w:tr>
      <w:tr w:rsidR="005F38AA" w14:paraId="7F166C11" w14:textId="77777777">
        <w:trPr>
          <w:trHeight w:val="911"/>
        </w:trPr>
        <w:tc>
          <w:tcPr>
            <w:tcW w:w="1906" w:type="dxa"/>
            <w:gridSpan w:val="2"/>
          </w:tcPr>
          <w:p w14:paraId="7F166C0F" w14:textId="60B0B5B1" w:rsidR="005F38AA" w:rsidRDefault="006F08B1">
            <w:pPr>
              <w:pStyle w:val="TableParagraph"/>
              <w:spacing w:line="276" w:lineRule="auto"/>
              <w:ind w:right="780"/>
              <w:rPr>
                <w:sz w:val="20"/>
                <w:lang w:eastAsia="ja-JP"/>
              </w:rPr>
            </w:pPr>
            <w:r>
              <w:rPr>
                <w:rFonts w:hint="eastAsia"/>
                <w:sz w:val="20"/>
                <w:lang w:eastAsia="ja-JP"/>
              </w:rPr>
              <w:t>(4) サーキュラーエコノミー</w:t>
            </w:r>
          </w:p>
        </w:tc>
        <w:tc>
          <w:tcPr>
            <w:tcW w:w="7447" w:type="dxa"/>
          </w:tcPr>
          <w:p w14:paraId="7F166C10" w14:textId="77777777" w:rsidR="005F38AA" w:rsidRDefault="009649F8">
            <w:pPr>
              <w:pStyle w:val="TableParagraph"/>
              <w:spacing w:line="276" w:lineRule="auto"/>
              <w:ind w:right="129"/>
              <w:rPr>
                <w:sz w:val="20"/>
                <w:lang w:eastAsia="ja-JP"/>
              </w:rPr>
            </w:pPr>
            <w:r>
              <w:rPr>
                <w:sz w:val="20"/>
                <w:lang w:eastAsia="ja-JP"/>
              </w:rPr>
              <w:t>廃棄物および副産物、特に有害な製造廃棄物は、廃棄物処理BREFおよびBREF LVIC- S(大量無機化学物質-固体およびその他の産業)に定められた要件に従って管理されている。</w:t>
            </w:r>
          </w:p>
        </w:tc>
      </w:tr>
      <w:tr w:rsidR="005F38AA" w14:paraId="7F166C15" w14:textId="77777777">
        <w:trPr>
          <w:trHeight w:val="1260"/>
        </w:trPr>
        <w:tc>
          <w:tcPr>
            <w:tcW w:w="1906" w:type="dxa"/>
            <w:gridSpan w:val="2"/>
          </w:tcPr>
          <w:p w14:paraId="7F166C12" w14:textId="77777777" w:rsidR="005F38AA" w:rsidRDefault="009649F8">
            <w:pPr>
              <w:pStyle w:val="TableParagraph"/>
              <w:spacing w:before="43"/>
              <w:rPr>
                <w:sz w:val="20"/>
              </w:rPr>
            </w:pPr>
            <w:r>
              <w:rPr>
                <w:sz w:val="20"/>
              </w:rPr>
              <w:t>(5)汚染</w:t>
            </w:r>
          </w:p>
        </w:tc>
        <w:tc>
          <w:tcPr>
            <w:tcW w:w="7447" w:type="dxa"/>
          </w:tcPr>
          <w:p w14:paraId="7F166C13" w14:textId="77777777" w:rsidR="005F38AA" w:rsidRDefault="009649F8">
            <w:pPr>
              <w:pStyle w:val="TableParagraph"/>
              <w:spacing w:before="43" w:line="276" w:lineRule="auto"/>
              <w:ind w:right="486"/>
              <w:rPr>
                <w:sz w:val="20"/>
                <w:lang w:eastAsia="ja-JP"/>
              </w:rPr>
            </w:pPr>
            <w:r>
              <w:rPr>
                <w:sz w:val="20"/>
                <w:lang w:eastAsia="ja-JP"/>
              </w:rPr>
              <w:t>大気への汚染物質の排出量が、BREF LVIC- S(大量の無機化学物質-固体およびその他の産業)で設定されたBAT-AELの範囲内であることを確認する。</w:t>
            </w:r>
          </w:p>
          <w:p w14:paraId="7F166C14" w14:textId="77777777" w:rsidR="005F38AA" w:rsidRDefault="009649F8">
            <w:pPr>
              <w:pStyle w:val="TableParagraph"/>
              <w:spacing w:before="78" w:line="276" w:lineRule="auto"/>
              <w:ind w:right="486"/>
              <w:rPr>
                <w:sz w:val="20"/>
                <w:lang w:eastAsia="ja-JP"/>
              </w:rPr>
            </w:pPr>
            <w:r>
              <w:rPr>
                <w:sz w:val="20"/>
                <w:lang w:eastAsia="ja-JP"/>
              </w:rPr>
              <w:t>活動が地域の大気汚染レベルに大きく寄与し、大気質基準を超える場合は、厳しいレベルのBAT-AELが要求される。</w:t>
            </w:r>
          </w:p>
        </w:tc>
      </w:tr>
      <w:tr w:rsidR="005F38AA" w14:paraId="7F166C18" w14:textId="77777777">
        <w:trPr>
          <w:trHeight w:val="1098"/>
        </w:trPr>
        <w:tc>
          <w:tcPr>
            <w:tcW w:w="1906" w:type="dxa"/>
            <w:gridSpan w:val="2"/>
          </w:tcPr>
          <w:p w14:paraId="7F166C16" w14:textId="77777777" w:rsidR="005F38AA" w:rsidRDefault="009649F8">
            <w:pPr>
              <w:pStyle w:val="TableParagraph"/>
              <w:rPr>
                <w:sz w:val="20"/>
              </w:rPr>
            </w:pPr>
            <w:r>
              <w:rPr>
                <w:sz w:val="20"/>
              </w:rPr>
              <w:t>(6)生態系</w:t>
            </w:r>
          </w:p>
        </w:tc>
        <w:tc>
          <w:tcPr>
            <w:tcW w:w="7447" w:type="dxa"/>
          </w:tcPr>
          <w:p w14:paraId="7F166C17" w14:textId="3CDDF9C4" w:rsidR="005F38AA" w:rsidRDefault="009649F8" w:rsidP="006F08B1">
            <w:pPr>
              <w:pStyle w:val="TableParagraph"/>
              <w:spacing w:before="10" w:line="260" w:lineRule="atLeast"/>
              <w:ind w:right="129"/>
              <w:rPr>
                <w:sz w:val="20"/>
                <w:lang w:eastAsia="ja-JP"/>
              </w:rPr>
            </w:pPr>
            <w:r>
              <w:rPr>
                <w:sz w:val="20"/>
                <w:lang w:eastAsia="ja-JP"/>
              </w:rPr>
              <w:t xml:space="preserve">EU環境影響評価指令(2014/52/EU)および戦略的環境評価指令(2001/42/EC)(または他の同等の国内規定または国際基準(例えば)に従って、環境影響評価(EIA)が完了していることを確実にする。 </w:t>
            </w:r>
          </w:p>
        </w:tc>
      </w:tr>
    </w:tbl>
    <w:p w14:paraId="7F166C19" w14:textId="77777777" w:rsidR="005F38AA" w:rsidRDefault="005F38AA">
      <w:pPr>
        <w:spacing w:line="260" w:lineRule="atLeast"/>
        <w:rPr>
          <w:sz w:val="20"/>
          <w:lang w:eastAsia="ja-JP"/>
        </w:rPr>
        <w:sectPr w:rsidR="005F38AA">
          <w:pgSz w:w="12240" w:h="15840"/>
          <w:pgMar w:top="1440" w:right="1320" w:bottom="1640" w:left="1340" w:header="0" w:footer="1372" w:gutter="0"/>
          <w:cols w:space="720"/>
        </w:sectPr>
      </w:pPr>
    </w:p>
    <w:p w14:paraId="7F166C1A" w14:textId="00231AA1" w:rsidR="005F38AA" w:rsidRDefault="00520D32">
      <w:pPr>
        <w:pStyle w:val="a3"/>
        <w:ind w:left="2005"/>
      </w:pPr>
      <w:r>
        <w:rPr>
          <w:noProof/>
          <w:lang w:val="en-US" w:eastAsia="ja-JP"/>
        </w:rPr>
        <w:lastRenderedPageBreak/>
        <mc:AlternateContent>
          <mc:Choice Requires="wps">
            <w:drawing>
              <wp:anchor distT="0" distB="0" distL="114300" distR="114300" simplePos="0" relativeHeight="251646976" behindDoc="0" locked="0" layoutInCell="1" allowOverlap="1" wp14:anchorId="7F166DA2" wp14:editId="47ED92BC">
                <wp:simplePos x="0" y="0"/>
                <wp:positionH relativeFrom="page">
                  <wp:posOffset>917575</wp:posOffset>
                </wp:positionH>
                <wp:positionV relativeFrom="page">
                  <wp:posOffset>914400</wp:posOffset>
                </wp:positionV>
                <wp:extent cx="0" cy="1071880"/>
                <wp:effectExtent l="12700" t="9525" r="635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5B99"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euEgIAACgEAAAOAAAAZHJzL2Uyb0RvYy54bWysU8GO2jAQvVfqP1i+QxKash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XiOkSId&#10;SLQRiqN56ExvXAEBldraUBs9qWez0fSnQ0pXLVF7Hhm+nA2kZSEjeZUSNs4A/q7/phnEkIPXsU2n&#10;xnYBEhqATlGN800NfvKIDocUTrP0IZvNolIJKa6Jxjr/lesOBaPEEjhHYHLcOB+IkOIaEu5Rei2k&#10;jGJLhfoST9P5NCY4LQULzhDm7H5XSYuOJIxL/GJV4LkPs/qgWARrOWGri+2JkIMNl0sV8KAUoHOx&#10;hnn4NU/nq9lqlo/yyXQ1ytO6Hn1ZV/lous4ePtef6qqqs9+BWpYXrWCMq8DuOptZ/n/aX17JMFW3&#10;6by1IXmNHvsFZK//SDpqGeQbBmGn2XlrrxrDOMbgy9MJ836/B/v+gS//AAAA//8DAFBLAwQUAAYA&#10;CAAAACEA/Y14f94AAAALAQAADwAAAGRycy9kb3ducmV2LnhtbEyPQU/DMAyF70j8h8hI3Fi6MSCU&#10;phMCgbTDhNgmzllj2tLGqZps7f493i5w87Ofnr+XLUbXigP2ofakYTpJQCAV3tZUathu3m4UiBAN&#10;WdN6Qg1HDLDILy8yk1o/0Cce1rEUHEIhNRqqGLtUylBU6EyY+A6Jb9++dyay7EtpezNwuGvlLEnu&#10;pTM18YfKdPhSYdGs907DSslX/9F8FcefYfOu1LJ5fFhutb6+Gp+fQEQc458ZTviMDjkz7fyebBAt&#10;6/n8jq3ngUudHOfNTsPtdKZA5pn83yH/BQAA//8DAFBLAQItABQABgAIAAAAIQC2gziS/gAAAOEB&#10;AAATAAAAAAAAAAAAAAAAAAAAAABbQ29udGVudF9UeXBlc10ueG1sUEsBAi0AFAAGAAgAAAAhADj9&#10;If/WAAAAlAEAAAsAAAAAAAAAAAAAAAAALwEAAF9yZWxzLy5yZWxzUEsBAi0AFAAGAAgAAAAhAGi6&#10;N64SAgAAKAQAAA4AAAAAAAAAAAAAAAAALgIAAGRycy9lMm9Eb2MueG1sUEsBAi0AFAAGAAgAAAAh&#10;AP2NeH/eAAAACwEAAA8AAAAAAAAAAAAAAAAAbAQAAGRycy9kb3ducmV2LnhtbFBLBQYAAAAABAAE&#10;APMAAAB3BQAAAAA=&#10;" strokeweight=".48pt">
                <w10:wrap anchorx="page" anchory="page"/>
              </v:line>
            </w:pict>
          </mc:Fallback>
        </mc:AlternateContent>
      </w:r>
      <w:r>
        <w:rPr>
          <w:noProof/>
          <w:lang w:val="en-US" w:eastAsia="ja-JP"/>
        </w:rPr>
        <mc:AlternateContent>
          <mc:Choice Requires="wps">
            <w:drawing>
              <wp:inline distT="0" distB="0" distL="0" distR="0" wp14:anchorId="7F166DA4" wp14:editId="71D8D97D">
                <wp:extent cx="4728845" cy="1065530"/>
                <wp:effectExtent l="9525" t="9525" r="5080" b="10795"/>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1065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66DB3" w14:textId="1BFD4A5D" w:rsidR="009A6BB8" w:rsidRDefault="009A6BB8">
                            <w:pPr>
                              <w:pStyle w:val="a3"/>
                              <w:spacing w:line="276" w:lineRule="auto"/>
                              <w:ind w:left="103" w:right="199"/>
                              <w:rPr>
                                <w:lang w:eastAsia="ja-JP"/>
                              </w:rPr>
                            </w:pPr>
                            <w:r>
                              <w:rPr>
                                <w:rFonts w:hint="eastAsia"/>
                                <w:lang w:eastAsia="ja-JP"/>
                              </w:rPr>
                              <w:t>IFC</w:t>
                            </w:r>
                            <w:r>
                              <w:rPr>
                                <w:lang w:eastAsia="ja-JP"/>
                              </w:rPr>
                              <w:t>パフォーマンス基準1:環境・社会的リスクの評価と管理-EU以外の国のサイト/事業の場合、サイト/事業(輸送インフラ、運営、廃棄物処理施設などの付随サービスを含む)および生物多様性/生態系を保護するために必要な緩和措置、特にユネスコ世界遺産地区および主要生物多様性地域(KBA)のいずれか厳しい方が実施されている。</w:t>
                            </w:r>
                          </w:p>
                        </w:txbxContent>
                      </wps:txbx>
                      <wps:bodyPr rot="0" vert="horz" wrap="square" lIns="0" tIns="0" rIns="0" bIns="0" anchor="t" anchorCtr="0" upright="1">
                        <a:noAutofit/>
                      </wps:bodyPr>
                    </wps:wsp>
                  </a:graphicData>
                </a:graphic>
              </wp:inline>
            </w:drawing>
          </mc:Choice>
          <mc:Fallback>
            <w:pict>
              <v:shape w14:anchorId="7F166DA4" id="Text Box 36" o:spid="_x0000_s1027" type="#_x0000_t202" style="width:372.35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G4fQIAAAgFAAAOAAAAZHJzL2Uyb0RvYy54bWysVF1vmzAUfZ+0/2D5PQUSQlMUUnUhmSZ1&#10;H1K7H+AYE6wZ27OdQDftv+/ahDRdX6ZpPMAFXx+fc++5LG/7VqAjM5YrWeDkKsaISaoqLvcF/vq4&#10;nSwwso7IigglWYGfmMW3q7dvlp3O2VQ1SlTMIACRNu90gRvndB5FljasJfZKaSZhsVamJQ5ezT6q&#10;DOkAvRXRNI6zqFOm0kZRZi18LYdFvAr4dc2o+1zXljkkCgzcXLibcN/5e7RaknxviG44PdEg/8Ci&#10;JVzCoWeokjiCDoa/gmo5Ncqq2l1R1UaqrjllQQOoSeI/1Dw0RLOgBYpj9blM9v/B0k/HLwbxqsDQ&#10;KElaaNEj6x16p3o0y3x5Om1zyHrQkOd6+A5tDlKtvlf0m0VSrRsi9+zOGNU1jFRAL/E7o4utA471&#10;ILvuo6rgHHJwKgD1tWl97aAaCNChTU/n1nguFD6m19PFIp1jRGEtibP5fBaaF5F83K6Nde+ZapEP&#10;Cmyg9wGeHO+t83RIPqb406TaciFC/4VEXYGz+CYbhCnBK7/o06zZ79bCoCPxDgpX0AYrl2ktd+Bj&#10;wVso5DmJ5L4cG1mFUxzhYoiBiZAeHNQBt1M0+OXnTXyzWWwW6SSdZptJGpfl5G67TifZNrmel7Ny&#10;vS6TX55nkuYNryomPdXRu0n6d944TdHgurN7X0h6oXwbrtfKo5c0QpVB1fgM6oIPfOsHE7h+1wfH&#10;BZN4j+xU9QTGMGoYT/idQNAo8wOjDkazwPb7gRiGkfggwVx+jsfAjMFuDIiksLXADqMhXLth3g/a&#10;8H0DyIN9pboDA9Y8WOOZxcm2MG5Bw+nX4Of58j1kPf/AVr8BAAD//wMAUEsDBBQABgAIAAAAIQAU&#10;9ppd2gAAAAUBAAAPAAAAZHJzL2Rvd25yZXYueG1sTI/BTsMwEETvSPyDtUjcqANqmijEqRBqLxyQ&#10;UvoBbrwkgXg3it0m/D0LF7iMtJrRzNtyu/hBXXAKPZOB+1UCCqlh11Nr4Pi2v8tBhWjJ2YEJDXxh&#10;gG11fVXawvFMNV4OsVVSQqGwBroYx0Lr0HTobVjxiCTeO0/eRjmnVrvJzlLuB/2QJBvtbU+y0NkR&#10;nztsPg9nbwDrj555n8/1GNvjS9il6e41Neb2Znl6BBVxiX9h+MEXdKiE6cRnckENBuSR+KviZet1&#10;BuokoU2Wg65K/Z+++gYAAP//AwBQSwECLQAUAAYACAAAACEAtoM4kv4AAADhAQAAEwAAAAAAAAAA&#10;AAAAAAAAAAAAW0NvbnRlbnRfVHlwZXNdLnhtbFBLAQItABQABgAIAAAAIQA4/SH/1gAAAJQBAAAL&#10;AAAAAAAAAAAAAAAAAC8BAABfcmVscy8ucmVsc1BLAQItABQABgAIAAAAIQAEy7G4fQIAAAgFAAAO&#10;AAAAAAAAAAAAAAAAAC4CAABkcnMvZTJvRG9jLnhtbFBLAQItABQABgAIAAAAIQAU9ppd2gAAAAUB&#10;AAAPAAAAAAAAAAAAAAAAANcEAABkcnMvZG93bnJldi54bWxQSwUGAAAAAAQABADzAAAA3gUAAAAA&#10;" filled="f" strokeweight=".48pt">
                <v:textbox inset="0,0,0,0">
                  <w:txbxContent>
                    <w:p w14:paraId="7F166DB3" w14:textId="1BFD4A5D" w:rsidR="009A6BB8" w:rsidRDefault="009A6BB8">
                      <w:pPr>
                        <w:pStyle w:val="a3"/>
                        <w:spacing w:line="276" w:lineRule="auto"/>
                        <w:ind w:left="103" w:right="199"/>
                        <w:rPr>
                          <w:lang w:eastAsia="ja-JP"/>
                        </w:rPr>
                      </w:pPr>
                      <w:r>
                        <w:rPr>
                          <w:rFonts w:hint="eastAsia"/>
                          <w:lang w:eastAsia="ja-JP"/>
                        </w:rPr>
                        <w:t>IFC</w:t>
                      </w:r>
                      <w:r>
                        <w:rPr>
                          <w:lang w:eastAsia="ja-JP"/>
                        </w:rPr>
                        <w:t>パフォーマンス基準1:環境・社会的リスクの評価と管理-EU以外の国のサイト/事業の場合、サイト/事業(輸送インフラ、運営、廃棄物処理施設などの付随サービスを含む)および生物多様性/生態系を保護するために必要な緩和措置、特にユネスコ世界遺産地区および主要生物多様性地域(KBA)のいずれか厳しい方が実施されている。</w:t>
                      </w:r>
                    </w:p>
                  </w:txbxContent>
                </v:textbox>
                <w10:wrap anchorx="page" anchory="page"/>
                <w10:anchorlock/>
              </v:shape>
            </w:pict>
          </mc:Fallback>
        </mc:AlternateContent>
      </w:r>
    </w:p>
    <w:p w14:paraId="7F166C1B" w14:textId="77777777" w:rsidR="005F38AA" w:rsidRDefault="005F38AA">
      <w:pPr>
        <w:pStyle w:val="a3"/>
      </w:pPr>
    </w:p>
    <w:p w14:paraId="7F166C1C" w14:textId="77777777" w:rsidR="005F38AA" w:rsidRDefault="005F38AA">
      <w:pPr>
        <w:pStyle w:val="a3"/>
        <w:spacing w:before="6"/>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36"/>
        <w:gridCol w:w="7408"/>
      </w:tblGrid>
      <w:tr w:rsidR="005F38AA" w14:paraId="7F166C1F" w14:textId="77777777">
        <w:trPr>
          <w:trHeight w:val="383"/>
        </w:trPr>
        <w:tc>
          <w:tcPr>
            <w:tcW w:w="108" w:type="dxa"/>
            <w:tcBorders>
              <w:right w:val="nil"/>
            </w:tcBorders>
            <w:shd w:val="clear" w:color="auto" w:fill="4471C4"/>
          </w:tcPr>
          <w:p w14:paraId="7F166C1D" w14:textId="77777777" w:rsidR="005F38AA" w:rsidRDefault="005F38AA">
            <w:pPr>
              <w:pStyle w:val="TableParagraph"/>
              <w:spacing w:before="0"/>
              <w:ind w:left="0"/>
              <w:rPr>
                <w:rFonts w:ascii="Times New Roman"/>
                <w:sz w:val="18"/>
              </w:rPr>
            </w:pPr>
          </w:p>
        </w:tc>
        <w:tc>
          <w:tcPr>
            <w:tcW w:w="9244" w:type="dxa"/>
            <w:gridSpan w:val="2"/>
            <w:tcBorders>
              <w:left w:val="nil"/>
            </w:tcBorders>
            <w:shd w:val="clear" w:color="auto" w:fill="4471C4"/>
          </w:tcPr>
          <w:p w14:paraId="7F166C1E" w14:textId="2AC3A4C1" w:rsidR="005F38AA" w:rsidRDefault="009649F8" w:rsidP="006F08B1">
            <w:pPr>
              <w:pStyle w:val="TableParagraph"/>
              <w:ind w:left="4"/>
              <w:rPr>
                <w:b/>
                <w:sz w:val="20"/>
                <w:lang w:eastAsia="ja-JP"/>
              </w:rPr>
            </w:pPr>
            <w:r>
              <w:rPr>
                <w:b/>
                <w:color w:val="FFFFFF"/>
                <w:sz w:val="20"/>
                <w:lang w:eastAsia="ja-JP"/>
              </w:rPr>
              <w:t>重大な有害性</w:t>
            </w:r>
          </w:p>
        </w:tc>
      </w:tr>
      <w:tr w:rsidR="005F38AA" w14:paraId="7F166C26" w14:textId="77777777">
        <w:trPr>
          <w:trHeight w:val="3509"/>
        </w:trPr>
        <w:tc>
          <w:tcPr>
            <w:tcW w:w="9352" w:type="dxa"/>
            <w:gridSpan w:val="3"/>
          </w:tcPr>
          <w:p w14:paraId="7F166C20" w14:textId="77777777" w:rsidR="005F38AA" w:rsidRDefault="009649F8">
            <w:pPr>
              <w:pStyle w:val="TableParagraph"/>
              <w:spacing w:before="42"/>
              <w:rPr>
                <w:sz w:val="20"/>
                <w:lang w:eastAsia="ja-JP"/>
              </w:rPr>
            </w:pPr>
            <w:r>
              <w:rPr>
                <w:sz w:val="20"/>
                <w:u w:val="single"/>
                <w:lang w:eastAsia="ja-JP"/>
              </w:rPr>
              <w:t>炭酸二ナトリウム(ソーダ灰)の製造</w:t>
            </w:r>
          </w:p>
          <w:p w14:paraId="7F166C21" w14:textId="77777777" w:rsidR="005F38AA" w:rsidRDefault="009649F8">
            <w:pPr>
              <w:pStyle w:val="TableParagraph"/>
              <w:spacing w:before="114" w:line="276" w:lineRule="auto"/>
              <w:ind w:right="410"/>
              <w:rPr>
                <w:sz w:val="20"/>
                <w:lang w:eastAsia="ja-JP"/>
              </w:rPr>
            </w:pPr>
            <w:r>
              <w:rPr>
                <w:sz w:val="20"/>
                <w:lang w:eastAsia="ja-JP"/>
              </w:rPr>
              <w:t>ソーダ灰の製造による他の環境目的への重大な潜在的損害は、次のようなものである。</w:t>
            </w:r>
          </w:p>
          <w:p w14:paraId="7F166C22" w14:textId="77777777" w:rsidR="005F38AA" w:rsidRDefault="009649F8">
            <w:pPr>
              <w:pStyle w:val="TableParagraph"/>
              <w:numPr>
                <w:ilvl w:val="0"/>
                <w:numId w:val="31"/>
              </w:numPr>
              <w:tabs>
                <w:tab w:val="left" w:pos="827"/>
                <w:tab w:val="left" w:pos="828"/>
              </w:tabs>
              <w:spacing w:before="82" w:line="268" w:lineRule="auto"/>
              <w:ind w:right="126"/>
              <w:rPr>
                <w:sz w:val="20"/>
                <w:lang w:eastAsia="ja-JP"/>
              </w:rPr>
            </w:pPr>
            <w:r>
              <w:rPr>
                <w:sz w:val="20"/>
                <w:lang w:eastAsia="ja-JP"/>
              </w:rPr>
              <w:t>地下水や地表水、土壌を汚染する可能性のある製品や廃棄物による工程廃水(例えば、水溶液中の塩化カルシウム)の発生。</w:t>
            </w:r>
          </w:p>
          <w:p w14:paraId="7F166C23" w14:textId="77777777" w:rsidR="005F38AA" w:rsidRDefault="009649F8">
            <w:pPr>
              <w:pStyle w:val="TableParagraph"/>
              <w:numPr>
                <w:ilvl w:val="0"/>
                <w:numId w:val="31"/>
              </w:numPr>
              <w:tabs>
                <w:tab w:val="left" w:pos="827"/>
                <w:tab w:val="left" w:pos="828"/>
              </w:tabs>
              <w:spacing w:before="10"/>
              <w:rPr>
                <w:sz w:val="20"/>
              </w:rPr>
            </w:pPr>
            <w:r>
              <w:rPr>
                <w:sz w:val="20"/>
              </w:rPr>
              <w:t>大気汚染物質の排出</w:t>
            </w:r>
          </w:p>
          <w:p w14:paraId="7F166C24" w14:textId="77777777" w:rsidR="005F38AA" w:rsidRDefault="009649F8">
            <w:pPr>
              <w:pStyle w:val="TableParagraph"/>
              <w:numPr>
                <w:ilvl w:val="0"/>
                <w:numId w:val="31"/>
              </w:numPr>
              <w:tabs>
                <w:tab w:val="left" w:pos="827"/>
                <w:tab w:val="left" w:pos="828"/>
              </w:tabs>
              <w:spacing w:before="31"/>
              <w:rPr>
                <w:sz w:val="20"/>
                <w:lang w:eastAsia="ja-JP"/>
              </w:rPr>
            </w:pPr>
            <w:r>
              <w:rPr>
                <w:sz w:val="20"/>
                <w:lang w:eastAsia="ja-JP"/>
              </w:rPr>
              <w:t>希少水域における冷却用水の使用</w:t>
            </w:r>
          </w:p>
          <w:p w14:paraId="7F166C25" w14:textId="77777777" w:rsidR="005F38AA" w:rsidRDefault="009649F8">
            <w:pPr>
              <w:pStyle w:val="TableParagraph"/>
              <w:numPr>
                <w:ilvl w:val="0"/>
                <w:numId w:val="31"/>
              </w:numPr>
              <w:tabs>
                <w:tab w:val="left" w:pos="827"/>
                <w:tab w:val="left" w:pos="828"/>
              </w:tabs>
              <w:spacing w:before="33" w:line="276" w:lineRule="auto"/>
              <w:ind w:right="144"/>
              <w:rPr>
                <w:sz w:val="20"/>
                <w:lang w:eastAsia="ja-JP"/>
              </w:rPr>
            </w:pPr>
            <w:r>
              <w:rPr>
                <w:sz w:val="20"/>
                <w:lang w:eastAsia="ja-JP"/>
              </w:rPr>
              <w:t>廃棄物や副産物(主に炭酸カルシウム、石膏、塩化ナトリウム、塩化カルシウム)の処分による生態系や生物多様性への影響。ただし、「廃棄物床」をつくる原材料(石灰石など)の供給源によっては、水銀、カドミウム、ヒ素、亜鉛などの微量の有害物質が存在する可能性がある。</w:t>
            </w:r>
          </w:p>
        </w:tc>
      </w:tr>
      <w:tr w:rsidR="005F38AA" w14:paraId="7F166C29" w14:textId="77777777">
        <w:trPr>
          <w:trHeight w:val="397"/>
        </w:trPr>
        <w:tc>
          <w:tcPr>
            <w:tcW w:w="1944" w:type="dxa"/>
            <w:gridSpan w:val="2"/>
          </w:tcPr>
          <w:p w14:paraId="7F166C27" w14:textId="77777777" w:rsidR="005F38AA" w:rsidRDefault="009649F8">
            <w:pPr>
              <w:pStyle w:val="TableParagraph"/>
              <w:rPr>
                <w:sz w:val="20"/>
              </w:rPr>
            </w:pPr>
            <w:r>
              <w:rPr>
                <w:sz w:val="20"/>
              </w:rPr>
              <w:t>(2)適応</w:t>
            </w:r>
          </w:p>
        </w:tc>
        <w:tc>
          <w:tcPr>
            <w:tcW w:w="7408" w:type="dxa"/>
          </w:tcPr>
          <w:p w14:paraId="7F166C28" w14:textId="77777777" w:rsidR="005F38AA" w:rsidRDefault="009649F8">
            <w:pPr>
              <w:pStyle w:val="TableParagraph"/>
              <w:numPr>
                <w:ilvl w:val="0"/>
                <w:numId w:val="30"/>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5F38AA" w14:paraId="7F166C2D" w14:textId="77777777">
        <w:trPr>
          <w:trHeight w:val="1550"/>
        </w:trPr>
        <w:tc>
          <w:tcPr>
            <w:tcW w:w="1944" w:type="dxa"/>
            <w:gridSpan w:val="2"/>
          </w:tcPr>
          <w:p w14:paraId="7F166C2A" w14:textId="77777777" w:rsidR="005F38AA" w:rsidRDefault="009649F8">
            <w:pPr>
              <w:pStyle w:val="TableParagraph"/>
              <w:rPr>
                <w:sz w:val="20"/>
              </w:rPr>
            </w:pPr>
            <w:r>
              <w:rPr>
                <w:sz w:val="20"/>
              </w:rPr>
              <w:t>(3) 水</w:t>
            </w:r>
          </w:p>
        </w:tc>
        <w:tc>
          <w:tcPr>
            <w:tcW w:w="7408" w:type="dxa"/>
          </w:tcPr>
          <w:p w14:paraId="7F166C2B" w14:textId="77777777" w:rsidR="005F38AA" w:rsidRDefault="009649F8">
            <w:pPr>
              <w:pStyle w:val="TableParagraph"/>
              <w:numPr>
                <w:ilvl w:val="0"/>
                <w:numId w:val="29"/>
              </w:numPr>
              <w:tabs>
                <w:tab w:val="left" w:pos="467"/>
                <w:tab w:val="left" w:pos="468"/>
              </w:tabs>
              <w:spacing w:before="41" w:line="273" w:lineRule="auto"/>
              <w:ind w:right="23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C2C" w14:textId="77777777" w:rsidR="005F38AA" w:rsidRDefault="009649F8">
            <w:pPr>
              <w:pStyle w:val="TableParagraph"/>
              <w:numPr>
                <w:ilvl w:val="0"/>
                <w:numId w:val="29"/>
              </w:numPr>
              <w:tabs>
                <w:tab w:val="left" w:pos="467"/>
                <w:tab w:val="left" w:pos="468"/>
              </w:tabs>
              <w:spacing w:before="86"/>
              <w:rPr>
                <w:sz w:val="20"/>
                <w:lang w:eastAsia="ja-JP"/>
              </w:rPr>
            </w:pPr>
            <w:r>
              <w:rPr>
                <w:sz w:val="20"/>
                <w:lang w:eastAsia="ja-JP"/>
              </w:rPr>
              <w:t>EUでは、EU水関連法規の要件を満たす。</w:t>
            </w:r>
          </w:p>
        </w:tc>
      </w:tr>
      <w:tr w:rsidR="005F38AA" w14:paraId="7F166C30" w14:textId="77777777">
        <w:trPr>
          <w:trHeight w:val="1602"/>
        </w:trPr>
        <w:tc>
          <w:tcPr>
            <w:tcW w:w="1944" w:type="dxa"/>
            <w:gridSpan w:val="2"/>
          </w:tcPr>
          <w:p w14:paraId="7F166C2E" w14:textId="77777777" w:rsidR="005F38AA" w:rsidRDefault="009649F8">
            <w:pPr>
              <w:pStyle w:val="TableParagraph"/>
              <w:spacing w:line="276" w:lineRule="auto"/>
              <w:ind w:right="818"/>
              <w:rPr>
                <w:sz w:val="20"/>
              </w:rPr>
            </w:pPr>
            <w:r>
              <w:rPr>
                <w:sz w:val="20"/>
              </w:rPr>
              <w:t>四循環経済</w:t>
            </w:r>
          </w:p>
        </w:tc>
        <w:tc>
          <w:tcPr>
            <w:tcW w:w="7408" w:type="dxa"/>
          </w:tcPr>
          <w:p w14:paraId="7F166C2F" w14:textId="77777777" w:rsidR="005F38AA" w:rsidRDefault="009649F8">
            <w:pPr>
              <w:pStyle w:val="TableParagraph"/>
              <w:spacing w:line="276" w:lineRule="auto"/>
              <w:ind w:right="178"/>
              <w:rPr>
                <w:sz w:val="20"/>
                <w:lang w:eastAsia="ja-JP"/>
              </w:rPr>
            </w:pPr>
            <w:r>
              <w:rPr>
                <w:sz w:val="20"/>
                <w:lang w:eastAsia="ja-JP"/>
              </w:rPr>
              <w:t>廃棄物および副産物、特に有害廃棄物は、廃棄物処理のためのBREFおよびBREF LVIC- S(大量無機化学物質-固体およびその他の産業)に定められた要件に従って管理されている。</w:t>
            </w:r>
          </w:p>
        </w:tc>
      </w:tr>
      <w:tr w:rsidR="005F38AA" w14:paraId="7F166C34" w14:textId="77777777">
        <w:trPr>
          <w:trHeight w:val="1257"/>
        </w:trPr>
        <w:tc>
          <w:tcPr>
            <w:tcW w:w="1944" w:type="dxa"/>
            <w:gridSpan w:val="2"/>
          </w:tcPr>
          <w:p w14:paraId="7F166C31" w14:textId="77777777" w:rsidR="005F38AA" w:rsidRDefault="009649F8">
            <w:pPr>
              <w:pStyle w:val="TableParagraph"/>
              <w:rPr>
                <w:sz w:val="20"/>
              </w:rPr>
            </w:pPr>
            <w:r>
              <w:rPr>
                <w:sz w:val="20"/>
              </w:rPr>
              <w:t>(5)汚染</w:t>
            </w:r>
          </w:p>
        </w:tc>
        <w:tc>
          <w:tcPr>
            <w:tcW w:w="7408" w:type="dxa"/>
          </w:tcPr>
          <w:p w14:paraId="7F166C32" w14:textId="77777777" w:rsidR="005F38AA" w:rsidRDefault="009649F8">
            <w:pPr>
              <w:pStyle w:val="TableParagraph"/>
              <w:spacing w:line="276" w:lineRule="auto"/>
              <w:ind w:right="90"/>
              <w:rPr>
                <w:sz w:val="20"/>
                <w:lang w:eastAsia="ja-JP"/>
              </w:rPr>
            </w:pPr>
            <w:r>
              <w:rPr>
                <w:sz w:val="20"/>
                <w:lang w:eastAsia="ja-JP"/>
              </w:rPr>
              <w:t>大気および水への汚染物質の排出量が、BREF LVIC- S(大量無機化学物質-固体およびその他の産業)で設定されたBAT-AELの範囲内であることを確認する。</w:t>
            </w:r>
          </w:p>
          <w:p w14:paraId="7F166C33" w14:textId="77777777" w:rsidR="005F38AA" w:rsidRDefault="009649F8">
            <w:pPr>
              <w:pStyle w:val="TableParagraph"/>
              <w:spacing w:before="79" w:line="276" w:lineRule="auto"/>
              <w:ind w:right="1035"/>
              <w:rPr>
                <w:sz w:val="20"/>
                <w:lang w:eastAsia="ja-JP"/>
              </w:rPr>
            </w:pPr>
            <w:r>
              <w:rPr>
                <w:sz w:val="20"/>
                <w:lang w:eastAsia="ja-JP"/>
              </w:rPr>
              <w:t>BAT-AELの最も厳しいレベルは、活動が大気質基準を上回る地域の大気汚染レベルに実質的に寄与する場合に必要とされる。</w:t>
            </w:r>
          </w:p>
        </w:tc>
      </w:tr>
      <w:tr w:rsidR="005F38AA" w14:paraId="7F166C38" w14:textId="77777777">
        <w:trPr>
          <w:trHeight w:val="1626"/>
        </w:trPr>
        <w:tc>
          <w:tcPr>
            <w:tcW w:w="1944" w:type="dxa"/>
            <w:gridSpan w:val="2"/>
          </w:tcPr>
          <w:p w14:paraId="7F166C35" w14:textId="77777777" w:rsidR="005F38AA" w:rsidRDefault="009649F8">
            <w:pPr>
              <w:pStyle w:val="TableParagraph"/>
              <w:rPr>
                <w:sz w:val="20"/>
              </w:rPr>
            </w:pPr>
            <w:r>
              <w:rPr>
                <w:sz w:val="20"/>
              </w:rPr>
              <w:t>(6)生態系</w:t>
            </w:r>
          </w:p>
        </w:tc>
        <w:tc>
          <w:tcPr>
            <w:tcW w:w="7408" w:type="dxa"/>
          </w:tcPr>
          <w:p w14:paraId="7F166C36" w14:textId="77777777" w:rsidR="005F38AA" w:rsidRDefault="009649F8">
            <w:pPr>
              <w:pStyle w:val="TableParagraph"/>
              <w:spacing w:line="276" w:lineRule="auto"/>
              <w:ind w:right="156"/>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IFCパフォーマンス基準1:環境・社会的リスクの評価と管理</w:t>
            </w:r>
          </w:p>
          <w:p w14:paraId="7F166C37" w14:textId="77777777" w:rsidR="005F38AA" w:rsidRDefault="009649F8">
            <w:pPr>
              <w:pStyle w:val="TableParagraph"/>
              <w:spacing w:before="0"/>
              <w:rPr>
                <w:sz w:val="20"/>
                <w:lang w:eastAsia="ja-JP"/>
              </w:rPr>
            </w:pPr>
            <w:r>
              <w:rPr>
                <w:sz w:val="20"/>
                <w:lang w:eastAsia="ja-JP"/>
              </w:rPr>
              <w:t>EU非加盟国の事業所・事業所の場合、いずれか厳しい方</w:t>
            </w:r>
          </w:p>
        </w:tc>
      </w:tr>
    </w:tbl>
    <w:p w14:paraId="7F166C39" w14:textId="77777777" w:rsidR="005F38AA" w:rsidRDefault="005F38AA">
      <w:pPr>
        <w:rPr>
          <w:sz w:val="20"/>
          <w:lang w:eastAsia="ja-JP"/>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7408"/>
      </w:tblGrid>
      <w:tr w:rsidR="005F38AA" w14:paraId="7F166C41" w14:textId="77777777">
        <w:trPr>
          <w:trHeight w:val="5916"/>
        </w:trPr>
        <w:tc>
          <w:tcPr>
            <w:tcW w:w="1944" w:type="dxa"/>
          </w:tcPr>
          <w:p w14:paraId="7F166C3A" w14:textId="77777777" w:rsidR="005F38AA" w:rsidRDefault="005F38AA">
            <w:pPr>
              <w:pStyle w:val="TableParagraph"/>
              <w:spacing w:before="0"/>
              <w:ind w:left="0"/>
              <w:rPr>
                <w:rFonts w:ascii="Times New Roman"/>
                <w:sz w:val="18"/>
                <w:lang w:eastAsia="ja-JP"/>
              </w:rPr>
            </w:pPr>
          </w:p>
        </w:tc>
        <w:tc>
          <w:tcPr>
            <w:tcW w:w="7408" w:type="dxa"/>
          </w:tcPr>
          <w:p w14:paraId="7F166C3B" w14:textId="77777777" w:rsidR="005F38AA" w:rsidRDefault="009649F8">
            <w:pPr>
              <w:pStyle w:val="TableParagraph"/>
              <w:spacing w:before="0" w:line="276" w:lineRule="auto"/>
              <w:ind w:right="178"/>
              <w:rPr>
                <w:sz w:val="20"/>
                <w:lang w:eastAsia="ja-JP"/>
              </w:rPr>
            </w:pPr>
            <w:r>
              <w:rPr>
                <w:sz w:val="20"/>
                <w:lang w:eastAsia="ja-JP"/>
              </w:rPr>
              <w:t>サイト/運営(運輸インフラおよび運営、廃棄物処理施設などの補助的サービスを含む)および生物多様性/生態系を保護するために必要な緩和措置、特にユネスコ世界遺産および主要生物多様性地域(KBA)が実施されている。</w:t>
            </w:r>
          </w:p>
          <w:p w14:paraId="7F166C3C" w14:textId="77777777" w:rsidR="005F38AA" w:rsidRDefault="005F38AA">
            <w:pPr>
              <w:pStyle w:val="TableParagraph"/>
              <w:spacing w:before="0"/>
              <w:ind w:left="0"/>
              <w:rPr>
                <w:lang w:eastAsia="ja-JP"/>
              </w:rPr>
            </w:pPr>
          </w:p>
          <w:p w14:paraId="7F166C3D" w14:textId="77777777" w:rsidR="005F38AA" w:rsidRDefault="009649F8">
            <w:pPr>
              <w:pStyle w:val="TableParagraph"/>
              <w:spacing w:before="172" w:line="276" w:lineRule="auto"/>
              <w:ind w:right="90"/>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C3E" w14:textId="77777777" w:rsidR="005F38AA" w:rsidRDefault="009649F8">
            <w:pPr>
              <w:pStyle w:val="TableParagraph"/>
              <w:numPr>
                <w:ilvl w:val="0"/>
                <w:numId w:val="28"/>
              </w:numPr>
              <w:tabs>
                <w:tab w:val="left" w:pos="828"/>
                <w:tab w:val="left" w:pos="829"/>
              </w:tabs>
              <w:spacing w:before="81" w:line="273" w:lineRule="auto"/>
              <w:ind w:right="109"/>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C3F" w14:textId="77777777" w:rsidR="005F38AA" w:rsidRDefault="009649F8">
            <w:pPr>
              <w:pStyle w:val="TableParagraph"/>
              <w:numPr>
                <w:ilvl w:val="0"/>
                <w:numId w:val="28"/>
              </w:numPr>
              <w:tabs>
                <w:tab w:val="left" w:pos="828"/>
                <w:tab w:val="left" w:pos="829"/>
              </w:tabs>
              <w:spacing w:before="3" w:line="271" w:lineRule="auto"/>
              <w:ind w:right="226"/>
              <w:rPr>
                <w:sz w:val="20"/>
                <w:lang w:eastAsia="ja-JP"/>
              </w:rPr>
            </w:pPr>
            <w:r>
              <w:rPr>
                <w:sz w:val="20"/>
                <w:lang w:eastAsia="ja-JP"/>
              </w:rPr>
              <w:t>種及び生息地への影響を低減するために必要なすべての緩和措置がとられていること。</w:t>
            </w:r>
          </w:p>
          <w:p w14:paraId="7F166C40" w14:textId="77777777" w:rsidR="005F38AA" w:rsidRDefault="009649F8">
            <w:pPr>
              <w:pStyle w:val="TableParagraph"/>
              <w:numPr>
                <w:ilvl w:val="0"/>
                <w:numId w:val="28"/>
              </w:numPr>
              <w:tabs>
                <w:tab w:val="left" w:pos="828"/>
                <w:tab w:val="left" w:pos="829"/>
              </w:tabs>
              <w:spacing w:before="5" w:line="271" w:lineRule="auto"/>
              <w:ind w:right="379"/>
              <w:rPr>
                <w:sz w:val="20"/>
                <w:lang w:eastAsia="ja-JP"/>
              </w:rPr>
            </w:pPr>
            <w:r>
              <w:rPr>
                <w:sz w:val="20"/>
                <w:lang w:eastAsia="ja-JP"/>
              </w:rPr>
              <w:t>強固で、適切に設計され、長期的な生物多様性のモニタリングと評価プログラムが存在し、実施されている。</w:t>
            </w:r>
          </w:p>
        </w:tc>
      </w:tr>
    </w:tbl>
    <w:p w14:paraId="7F166C42" w14:textId="77777777" w:rsidR="005F38AA" w:rsidRDefault="005F38AA">
      <w:pPr>
        <w:pStyle w:val="a3"/>
        <w:rPr>
          <w:lang w:eastAsia="ja-JP"/>
        </w:rPr>
      </w:pPr>
    </w:p>
    <w:p w14:paraId="7F166C43" w14:textId="77777777" w:rsidR="005F38AA" w:rsidRDefault="005F38AA">
      <w:pPr>
        <w:pStyle w:val="a3"/>
        <w:spacing w:before="4"/>
        <w:rPr>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55"/>
        <w:gridCol w:w="7389"/>
      </w:tblGrid>
      <w:tr w:rsidR="005F38AA" w14:paraId="7F166C46" w14:textId="77777777">
        <w:trPr>
          <w:trHeight w:val="383"/>
        </w:trPr>
        <w:tc>
          <w:tcPr>
            <w:tcW w:w="108" w:type="dxa"/>
            <w:tcBorders>
              <w:right w:val="nil"/>
            </w:tcBorders>
            <w:shd w:val="clear" w:color="auto" w:fill="4471C4"/>
          </w:tcPr>
          <w:p w14:paraId="7F166C44" w14:textId="77777777" w:rsidR="005F38AA" w:rsidRDefault="005F38AA">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7F166C45" w14:textId="2E943DB5" w:rsidR="005F38AA" w:rsidRDefault="009649F8" w:rsidP="006F08B1">
            <w:pPr>
              <w:pStyle w:val="TableParagraph"/>
              <w:ind w:left="4"/>
              <w:rPr>
                <w:b/>
                <w:sz w:val="20"/>
                <w:lang w:eastAsia="ja-JP"/>
              </w:rPr>
            </w:pPr>
            <w:r>
              <w:rPr>
                <w:b/>
                <w:color w:val="FFFFFF"/>
                <w:sz w:val="20"/>
                <w:lang w:eastAsia="ja-JP"/>
              </w:rPr>
              <w:t>重大な有害性</w:t>
            </w:r>
          </w:p>
        </w:tc>
      </w:tr>
      <w:tr w:rsidR="005F38AA" w14:paraId="7F166C4E" w14:textId="77777777">
        <w:trPr>
          <w:trHeight w:val="3100"/>
        </w:trPr>
        <w:tc>
          <w:tcPr>
            <w:tcW w:w="9352" w:type="dxa"/>
            <w:gridSpan w:val="3"/>
          </w:tcPr>
          <w:p w14:paraId="7F166C47" w14:textId="77777777" w:rsidR="005F38AA" w:rsidRDefault="009649F8">
            <w:pPr>
              <w:pStyle w:val="TableParagraph"/>
              <w:rPr>
                <w:sz w:val="20"/>
                <w:lang w:eastAsia="ja-JP"/>
              </w:rPr>
            </w:pPr>
            <w:r>
              <w:rPr>
                <w:sz w:val="20"/>
                <w:u w:val="single"/>
                <w:lang w:eastAsia="ja-JP"/>
              </w:rPr>
              <w:t>塩素の製造</w:t>
            </w:r>
          </w:p>
          <w:p w14:paraId="7F166C48" w14:textId="77777777" w:rsidR="005F38AA" w:rsidRDefault="009649F8">
            <w:pPr>
              <w:pStyle w:val="TableParagraph"/>
              <w:spacing w:before="116" w:line="276" w:lineRule="auto"/>
              <w:ind w:right="166"/>
              <w:rPr>
                <w:sz w:val="20"/>
                <w:lang w:eastAsia="ja-JP"/>
              </w:rPr>
            </w:pPr>
            <w:r>
              <w:rPr>
                <w:sz w:val="20"/>
                <w:lang w:eastAsia="ja-JP"/>
              </w:rPr>
              <w:t>塩素の製造による他の環境目的に対する重大な潜在的損害は、次のようなものである。</w:t>
            </w:r>
          </w:p>
          <w:p w14:paraId="7F166C49" w14:textId="77777777" w:rsidR="005F38AA" w:rsidRDefault="009649F8">
            <w:pPr>
              <w:pStyle w:val="TableParagraph"/>
              <w:numPr>
                <w:ilvl w:val="0"/>
                <w:numId w:val="27"/>
              </w:numPr>
              <w:tabs>
                <w:tab w:val="left" w:pos="827"/>
                <w:tab w:val="left" w:pos="828"/>
              </w:tabs>
              <w:spacing w:before="79"/>
              <w:rPr>
                <w:sz w:val="20"/>
                <w:lang w:eastAsia="ja-JP"/>
              </w:rPr>
            </w:pPr>
            <w:r>
              <w:rPr>
                <w:sz w:val="20"/>
                <w:lang w:eastAsia="ja-JP"/>
              </w:rPr>
              <w:t>大気(塩素など)への汚染物質の排出</w:t>
            </w:r>
          </w:p>
          <w:p w14:paraId="7F166C4A" w14:textId="77777777" w:rsidR="005F38AA" w:rsidRDefault="009649F8">
            <w:pPr>
              <w:pStyle w:val="TableParagraph"/>
              <w:numPr>
                <w:ilvl w:val="0"/>
                <w:numId w:val="27"/>
              </w:numPr>
              <w:tabs>
                <w:tab w:val="left" w:pos="827"/>
                <w:tab w:val="left" w:pos="828"/>
              </w:tabs>
              <w:spacing w:before="33"/>
              <w:rPr>
                <w:sz w:val="20"/>
                <w:lang w:eastAsia="ja-JP"/>
              </w:rPr>
            </w:pPr>
            <w:r>
              <w:rPr>
                <w:sz w:val="20"/>
                <w:lang w:eastAsia="ja-JP"/>
              </w:rPr>
              <w:t>酸化剤(塩素など)を含む工程排水</w:t>
            </w:r>
          </w:p>
          <w:p w14:paraId="7F166C4B" w14:textId="77777777" w:rsidR="005F38AA" w:rsidRDefault="009649F8">
            <w:pPr>
              <w:pStyle w:val="TableParagraph"/>
              <w:numPr>
                <w:ilvl w:val="0"/>
                <w:numId w:val="27"/>
              </w:numPr>
              <w:tabs>
                <w:tab w:val="left" w:pos="827"/>
                <w:tab w:val="left" w:pos="828"/>
              </w:tabs>
              <w:spacing w:before="34"/>
              <w:rPr>
                <w:sz w:val="20"/>
                <w:lang w:eastAsia="ja-JP"/>
              </w:rPr>
            </w:pPr>
            <w:r>
              <w:rPr>
                <w:sz w:val="20"/>
                <w:lang w:eastAsia="ja-JP"/>
              </w:rPr>
              <w:t>水ストレス地域における水の使用</w:t>
            </w:r>
          </w:p>
          <w:p w14:paraId="7F166C4C" w14:textId="77777777" w:rsidR="005F38AA" w:rsidRDefault="009649F8">
            <w:pPr>
              <w:pStyle w:val="TableParagraph"/>
              <w:numPr>
                <w:ilvl w:val="0"/>
                <w:numId w:val="27"/>
              </w:numPr>
              <w:tabs>
                <w:tab w:val="left" w:pos="827"/>
                <w:tab w:val="left" w:pos="828"/>
              </w:tabs>
              <w:spacing w:before="33"/>
              <w:rPr>
                <w:sz w:val="20"/>
              </w:rPr>
            </w:pPr>
            <w:r>
              <w:rPr>
                <w:sz w:val="20"/>
              </w:rPr>
              <w:t>廃棄物の発生</w:t>
            </w:r>
          </w:p>
          <w:p w14:paraId="7F166C4D" w14:textId="77777777" w:rsidR="005F38AA" w:rsidRDefault="009649F8">
            <w:pPr>
              <w:pStyle w:val="TableParagraph"/>
              <w:spacing w:before="202" w:line="260" w:lineRule="atLeast"/>
              <w:ind w:right="410"/>
              <w:rPr>
                <w:sz w:val="20"/>
                <w:lang w:eastAsia="ja-JP"/>
              </w:rPr>
            </w:pPr>
            <w:r>
              <w:rPr>
                <w:sz w:val="20"/>
                <w:lang w:eastAsia="ja-JP"/>
              </w:rPr>
              <w:t>塩素の本質的な有害性のために、塩素が溶液の一部と考えられ、汚染(毒性のない環境)をゼロにするために、さらに評価することが推奨される。したがって、DNSHの影響のために、塩素を分類学から除外すべきではない。</w:t>
            </w:r>
          </w:p>
        </w:tc>
      </w:tr>
      <w:tr w:rsidR="005F38AA" w14:paraId="7F166C51" w14:textId="77777777">
        <w:trPr>
          <w:trHeight w:val="398"/>
        </w:trPr>
        <w:tc>
          <w:tcPr>
            <w:tcW w:w="1963" w:type="dxa"/>
            <w:gridSpan w:val="2"/>
          </w:tcPr>
          <w:p w14:paraId="7F166C4F" w14:textId="77777777" w:rsidR="005F38AA" w:rsidRDefault="009649F8">
            <w:pPr>
              <w:pStyle w:val="TableParagraph"/>
              <w:rPr>
                <w:sz w:val="20"/>
              </w:rPr>
            </w:pPr>
            <w:r>
              <w:rPr>
                <w:sz w:val="20"/>
              </w:rPr>
              <w:t>(2)適応</w:t>
            </w:r>
          </w:p>
        </w:tc>
        <w:tc>
          <w:tcPr>
            <w:tcW w:w="7389" w:type="dxa"/>
          </w:tcPr>
          <w:p w14:paraId="7F166C50" w14:textId="77777777" w:rsidR="005F38AA" w:rsidRDefault="009649F8">
            <w:pPr>
              <w:pStyle w:val="TableParagraph"/>
              <w:numPr>
                <w:ilvl w:val="0"/>
                <w:numId w:val="26"/>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5F38AA" w14:paraId="7F166C55" w14:textId="77777777">
        <w:trPr>
          <w:trHeight w:val="1548"/>
        </w:trPr>
        <w:tc>
          <w:tcPr>
            <w:tcW w:w="1963" w:type="dxa"/>
            <w:gridSpan w:val="2"/>
          </w:tcPr>
          <w:p w14:paraId="7F166C52" w14:textId="77777777" w:rsidR="005F38AA" w:rsidRDefault="009649F8">
            <w:pPr>
              <w:pStyle w:val="TableParagraph"/>
              <w:spacing w:before="41"/>
              <w:rPr>
                <w:sz w:val="20"/>
              </w:rPr>
            </w:pPr>
            <w:r>
              <w:rPr>
                <w:sz w:val="20"/>
              </w:rPr>
              <w:t>(3) 水</w:t>
            </w:r>
          </w:p>
        </w:tc>
        <w:tc>
          <w:tcPr>
            <w:tcW w:w="7389" w:type="dxa"/>
          </w:tcPr>
          <w:p w14:paraId="7F166C53" w14:textId="77777777" w:rsidR="005F38AA" w:rsidRDefault="009649F8">
            <w:pPr>
              <w:pStyle w:val="TableParagraph"/>
              <w:numPr>
                <w:ilvl w:val="0"/>
                <w:numId w:val="25"/>
              </w:numPr>
              <w:tabs>
                <w:tab w:val="left" w:pos="467"/>
                <w:tab w:val="left" w:pos="468"/>
              </w:tabs>
              <w:spacing w:before="41" w:line="273" w:lineRule="auto"/>
              <w:ind w:right="211"/>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C54" w14:textId="77777777" w:rsidR="005F38AA" w:rsidRDefault="009649F8">
            <w:pPr>
              <w:pStyle w:val="TableParagraph"/>
              <w:numPr>
                <w:ilvl w:val="0"/>
                <w:numId w:val="25"/>
              </w:numPr>
              <w:tabs>
                <w:tab w:val="left" w:pos="467"/>
                <w:tab w:val="left" w:pos="468"/>
              </w:tabs>
              <w:spacing w:before="84"/>
              <w:rPr>
                <w:sz w:val="20"/>
                <w:lang w:eastAsia="ja-JP"/>
              </w:rPr>
            </w:pPr>
            <w:r>
              <w:rPr>
                <w:sz w:val="20"/>
                <w:lang w:eastAsia="ja-JP"/>
              </w:rPr>
              <w:t>EUでは、EU水関連法規の要件を満たす。</w:t>
            </w:r>
          </w:p>
        </w:tc>
      </w:tr>
    </w:tbl>
    <w:p w14:paraId="7F166C56" w14:textId="77777777" w:rsidR="005F38AA" w:rsidRDefault="005F38AA">
      <w:pPr>
        <w:rPr>
          <w:sz w:val="20"/>
          <w:lang w:eastAsia="ja-JP"/>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7389"/>
      </w:tblGrid>
      <w:tr w:rsidR="005F38AA" w14:paraId="7F166C59" w14:textId="77777777">
        <w:trPr>
          <w:trHeight w:val="914"/>
        </w:trPr>
        <w:tc>
          <w:tcPr>
            <w:tcW w:w="1963" w:type="dxa"/>
          </w:tcPr>
          <w:p w14:paraId="7F166C57" w14:textId="08100812" w:rsidR="005F38AA" w:rsidRDefault="006F08B1">
            <w:pPr>
              <w:pStyle w:val="TableParagraph"/>
              <w:spacing w:line="276" w:lineRule="auto"/>
              <w:ind w:right="837"/>
              <w:rPr>
                <w:sz w:val="20"/>
                <w:lang w:eastAsia="ja-JP"/>
              </w:rPr>
            </w:pPr>
            <w:r>
              <w:rPr>
                <w:rFonts w:hint="eastAsia"/>
                <w:sz w:val="20"/>
                <w:lang w:eastAsia="ja-JP"/>
              </w:rPr>
              <w:lastRenderedPageBreak/>
              <w:t>(4) サーキュラーエコノミー</w:t>
            </w:r>
          </w:p>
        </w:tc>
        <w:tc>
          <w:tcPr>
            <w:tcW w:w="7389" w:type="dxa"/>
          </w:tcPr>
          <w:p w14:paraId="7F166C58" w14:textId="77777777" w:rsidR="005F38AA" w:rsidRDefault="009649F8">
            <w:pPr>
              <w:pStyle w:val="TableParagraph"/>
              <w:spacing w:line="276" w:lineRule="auto"/>
              <w:ind w:right="103"/>
              <w:rPr>
                <w:sz w:val="20"/>
                <w:lang w:eastAsia="ja-JP"/>
              </w:rPr>
            </w:pPr>
            <w:r>
              <w:rPr>
                <w:sz w:val="20"/>
                <w:lang w:eastAsia="ja-JP"/>
              </w:rPr>
              <w:t>廃棄物および副産物、特に有害工程廃棄物は、廃棄物処理BREFおよび塩素アルカリ製造のためのBREFに定められた要件に従って管理されている。</w:t>
            </w:r>
          </w:p>
        </w:tc>
      </w:tr>
      <w:tr w:rsidR="005F38AA" w14:paraId="7F166C5C" w14:textId="77777777">
        <w:trPr>
          <w:trHeight w:val="647"/>
        </w:trPr>
        <w:tc>
          <w:tcPr>
            <w:tcW w:w="1963" w:type="dxa"/>
          </w:tcPr>
          <w:p w14:paraId="7F166C5A" w14:textId="77777777" w:rsidR="005F38AA" w:rsidRDefault="009649F8">
            <w:pPr>
              <w:pStyle w:val="TableParagraph"/>
              <w:rPr>
                <w:sz w:val="20"/>
              </w:rPr>
            </w:pPr>
            <w:r>
              <w:rPr>
                <w:sz w:val="20"/>
              </w:rPr>
              <w:t>(5)汚染</w:t>
            </w:r>
          </w:p>
        </w:tc>
        <w:tc>
          <w:tcPr>
            <w:tcW w:w="7389" w:type="dxa"/>
          </w:tcPr>
          <w:p w14:paraId="7F166C5B" w14:textId="77777777" w:rsidR="005F38AA" w:rsidRDefault="009649F8">
            <w:pPr>
              <w:pStyle w:val="TableParagraph"/>
              <w:spacing w:line="276" w:lineRule="auto"/>
              <w:ind w:right="103"/>
              <w:rPr>
                <w:sz w:val="20"/>
                <w:lang w:eastAsia="ja-JP"/>
              </w:rPr>
            </w:pPr>
            <w:r>
              <w:rPr>
                <w:sz w:val="20"/>
                <w:lang w:eastAsia="ja-JP"/>
              </w:rPr>
              <w:t>大気および水への汚染物質の排出量が、BREFの塩素アルカリ生産のBAT-AELの範囲内にあることを確認する。</w:t>
            </w:r>
          </w:p>
        </w:tc>
      </w:tr>
      <w:tr w:rsidR="005F38AA" w14:paraId="7F166C64" w14:textId="77777777">
        <w:trPr>
          <w:trHeight w:val="7807"/>
        </w:trPr>
        <w:tc>
          <w:tcPr>
            <w:tcW w:w="1963" w:type="dxa"/>
          </w:tcPr>
          <w:p w14:paraId="7F166C5D" w14:textId="77777777" w:rsidR="005F38AA" w:rsidRDefault="009649F8">
            <w:pPr>
              <w:pStyle w:val="TableParagraph"/>
              <w:rPr>
                <w:sz w:val="20"/>
              </w:rPr>
            </w:pPr>
            <w:r>
              <w:rPr>
                <w:sz w:val="20"/>
              </w:rPr>
              <w:t>(6)生態系</w:t>
            </w:r>
          </w:p>
        </w:tc>
        <w:tc>
          <w:tcPr>
            <w:tcW w:w="7389" w:type="dxa"/>
          </w:tcPr>
          <w:p w14:paraId="7F166C5E" w14:textId="6A1260AB" w:rsidR="005F38AA" w:rsidRDefault="009649F8">
            <w:pPr>
              <w:pStyle w:val="TableParagraph"/>
              <w:spacing w:line="276" w:lineRule="auto"/>
              <w:ind w:right="137"/>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のサイト/事業の場合、より厳しい方—は、サイト/運営(輸送インフラ、運営、廃棄物処理施設などの付随サービスを含む)や、生物多様性/生態系を保護するために必要な緩和措置、特にユネスコ世界遺産および主要な生物多様性地域(KBA)が実施されてい</w:t>
            </w:r>
            <w:r w:rsidR="006F08B1">
              <w:rPr>
                <w:rFonts w:hint="eastAsia"/>
                <w:sz w:val="20"/>
                <w:lang w:eastAsia="ja-JP"/>
              </w:rPr>
              <w:t>ること</w:t>
            </w:r>
            <w:r>
              <w:rPr>
                <w:sz w:val="20"/>
                <w:lang w:eastAsia="ja-JP"/>
              </w:rPr>
              <w:t>。</w:t>
            </w:r>
          </w:p>
          <w:p w14:paraId="7F166C5F" w14:textId="77777777" w:rsidR="005F38AA" w:rsidRDefault="005F38AA">
            <w:pPr>
              <w:pStyle w:val="TableParagraph"/>
              <w:spacing w:before="0"/>
              <w:ind w:left="0"/>
              <w:rPr>
                <w:lang w:eastAsia="ja-JP"/>
              </w:rPr>
            </w:pPr>
          </w:p>
          <w:p w14:paraId="7F166C60" w14:textId="77777777" w:rsidR="005F38AA" w:rsidRDefault="009649F8">
            <w:pPr>
              <w:pStyle w:val="TableParagraph"/>
              <w:spacing w:before="172" w:line="276" w:lineRule="auto"/>
              <w:ind w:right="103"/>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C61" w14:textId="77777777" w:rsidR="005F38AA" w:rsidRDefault="009649F8">
            <w:pPr>
              <w:pStyle w:val="TableParagraph"/>
              <w:numPr>
                <w:ilvl w:val="0"/>
                <w:numId w:val="24"/>
              </w:numPr>
              <w:tabs>
                <w:tab w:val="left" w:pos="828"/>
                <w:tab w:val="left" w:pos="829"/>
              </w:tabs>
              <w:spacing w:before="81" w:line="273" w:lineRule="auto"/>
              <w:ind w:right="320"/>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C62" w14:textId="77777777" w:rsidR="005F38AA" w:rsidRDefault="009649F8">
            <w:pPr>
              <w:pStyle w:val="TableParagraph"/>
              <w:numPr>
                <w:ilvl w:val="0"/>
                <w:numId w:val="24"/>
              </w:numPr>
              <w:tabs>
                <w:tab w:val="left" w:pos="828"/>
                <w:tab w:val="left" w:pos="829"/>
              </w:tabs>
              <w:spacing w:before="7" w:line="268" w:lineRule="auto"/>
              <w:ind w:right="205"/>
              <w:rPr>
                <w:sz w:val="20"/>
                <w:lang w:eastAsia="ja-JP"/>
              </w:rPr>
            </w:pPr>
            <w:r>
              <w:rPr>
                <w:sz w:val="20"/>
                <w:lang w:eastAsia="ja-JP"/>
              </w:rPr>
              <w:t>種及び生息地への影響を低減するために必要なすべての緩和措置がとられていること。</w:t>
            </w:r>
          </w:p>
          <w:p w14:paraId="7F166C63" w14:textId="77777777" w:rsidR="005F38AA" w:rsidRDefault="009649F8">
            <w:pPr>
              <w:pStyle w:val="TableParagraph"/>
              <w:numPr>
                <w:ilvl w:val="0"/>
                <w:numId w:val="24"/>
              </w:numPr>
              <w:tabs>
                <w:tab w:val="left" w:pos="828"/>
                <w:tab w:val="left" w:pos="829"/>
              </w:tabs>
              <w:spacing w:before="11" w:line="268" w:lineRule="auto"/>
              <w:ind w:right="359"/>
              <w:rPr>
                <w:sz w:val="20"/>
                <w:lang w:eastAsia="ja-JP"/>
              </w:rPr>
            </w:pPr>
            <w:r>
              <w:rPr>
                <w:sz w:val="20"/>
                <w:lang w:eastAsia="ja-JP"/>
              </w:rPr>
              <w:t>強固で、適切に設計され、長期的な生物多様性のモニタリングと評価プログラムが存在し、実施されている。</w:t>
            </w:r>
          </w:p>
        </w:tc>
      </w:tr>
    </w:tbl>
    <w:p w14:paraId="7F166C65" w14:textId="77777777" w:rsidR="005F38AA" w:rsidRDefault="005F38AA">
      <w:pPr>
        <w:spacing w:line="268" w:lineRule="auto"/>
        <w:rPr>
          <w:sz w:val="20"/>
          <w:lang w:eastAsia="ja-JP"/>
        </w:rPr>
        <w:sectPr w:rsidR="005F38AA">
          <w:pgSz w:w="12240" w:h="15840"/>
          <w:pgMar w:top="1440" w:right="1320" w:bottom="1560" w:left="1340" w:header="0" w:footer="1372" w:gutter="0"/>
          <w:cols w:space="720"/>
        </w:sectPr>
      </w:pPr>
    </w:p>
    <w:p w14:paraId="7F166C66" w14:textId="77777777" w:rsidR="005F38AA" w:rsidRDefault="009649F8">
      <w:pPr>
        <w:pStyle w:val="1"/>
        <w:numPr>
          <w:ilvl w:val="1"/>
          <w:numId w:val="75"/>
        </w:numPr>
        <w:tabs>
          <w:tab w:val="left" w:pos="820"/>
          <w:tab w:val="left" w:pos="821"/>
        </w:tabs>
        <w:rPr>
          <w:lang w:eastAsia="ja-JP"/>
        </w:rPr>
      </w:pPr>
      <w:r>
        <w:rPr>
          <w:color w:val="006FC0"/>
          <w:lang w:eastAsia="ja-JP"/>
        </w:rPr>
        <w:lastRenderedPageBreak/>
        <w:t>その他の有機基礎化学品の製造</w:t>
      </w:r>
    </w:p>
    <w:p w14:paraId="7F166C67" w14:textId="77777777" w:rsidR="005F38AA" w:rsidRDefault="005F38AA">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52"/>
        <w:gridCol w:w="7792"/>
      </w:tblGrid>
      <w:tr w:rsidR="005F38AA" w14:paraId="7F166C6A" w14:textId="77777777">
        <w:trPr>
          <w:trHeight w:val="383"/>
        </w:trPr>
        <w:tc>
          <w:tcPr>
            <w:tcW w:w="108" w:type="dxa"/>
            <w:tcBorders>
              <w:right w:val="nil"/>
            </w:tcBorders>
            <w:shd w:val="clear" w:color="auto" w:fill="4471C4"/>
          </w:tcPr>
          <w:p w14:paraId="7F166C68" w14:textId="77777777" w:rsidR="005F38AA" w:rsidRDefault="005F38AA">
            <w:pPr>
              <w:pStyle w:val="TableParagraph"/>
              <w:spacing w:before="0"/>
              <w:ind w:left="0"/>
              <w:rPr>
                <w:rFonts w:ascii="Times New Roman"/>
                <w:sz w:val="20"/>
                <w:lang w:eastAsia="ja-JP"/>
              </w:rPr>
            </w:pPr>
          </w:p>
        </w:tc>
        <w:tc>
          <w:tcPr>
            <w:tcW w:w="9244" w:type="dxa"/>
            <w:gridSpan w:val="2"/>
            <w:tcBorders>
              <w:left w:val="nil"/>
            </w:tcBorders>
            <w:shd w:val="clear" w:color="auto" w:fill="4471C4"/>
          </w:tcPr>
          <w:p w14:paraId="7F166C69" w14:textId="77777777" w:rsidR="005F38AA" w:rsidRDefault="009649F8">
            <w:pPr>
              <w:pStyle w:val="TableParagraph"/>
              <w:ind w:left="4"/>
              <w:rPr>
                <w:b/>
                <w:sz w:val="20"/>
              </w:rPr>
            </w:pPr>
            <w:r>
              <w:rPr>
                <w:b/>
                <w:color w:val="FFFFFF"/>
                <w:sz w:val="20"/>
              </w:rPr>
              <w:t>セクター分類と活動</w:t>
            </w:r>
          </w:p>
        </w:tc>
      </w:tr>
      <w:tr w:rsidR="005F38AA" w14:paraId="7F166C6D" w14:textId="77777777">
        <w:trPr>
          <w:trHeight w:val="386"/>
        </w:trPr>
        <w:tc>
          <w:tcPr>
            <w:tcW w:w="1560" w:type="dxa"/>
            <w:gridSpan w:val="2"/>
          </w:tcPr>
          <w:p w14:paraId="7F166C6B" w14:textId="77777777" w:rsidR="005F38AA" w:rsidRDefault="009649F8">
            <w:pPr>
              <w:pStyle w:val="TableParagraph"/>
              <w:rPr>
                <w:sz w:val="20"/>
              </w:rPr>
            </w:pPr>
            <w:r>
              <w:rPr>
                <w:sz w:val="20"/>
              </w:rPr>
              <w:t>マクロセクター</w:t>
            </w:r>
          </w:p>
        </w:tc>
        <w:tc>
          <w:tcPr>
            <w:tcW w:w="7792" w:type="dxa"/>
          </w:tcPr>
          <w:p w14:paraId="7F166C6C" w14:textId="77777777" w:rsidR="005F38AA" w:rsidRDefault="009649F8">
            <w:pPr>
              <w:pStyle w:val="TableParagraph"/>
              <w:rPr>
                <w:sz w:val="20"/>
              </w:rPr>
            </w:pPr>
            <w:r>
              <w:rPr>
                <w:sz w:val="20"/>
              </w:rPr>
              <w:t>C-製造</w:t>
            </w:r>
          </w:p>
        </w:tc>
      </w:tr>
      <w:tr w:rsidR="005F38AA" w14:paraId="7F166C70" w14:textId="77777777">
        <w:trPr>
          <w:trHeight w:val="383"/>
        </w:trPr>
        <w:tc>
          <w:tcPr>
            <w:tcW w:w="1560" w:type="dxa"/>
            <w:gridSpan w:val="2"/>
          </w:tcPr>
          <w:p w14:paraId="7F166C6E" w14:textId="77777777" w:rsidR="005F38AA" w:rsidRDefault="009649F8">
            <w:pPr>
              <w:pStyle w:val="TableParagraph"/>
              <w:rPr>
                <w:sz w:val="20"/>
              </w:rPr>
            </w:pPr>
            <w:r>
              <w:rPr>
                <w:sz w:val="20"/>
              </w:rPr>
              <w:t>NACEレベル</w:t>
            </w:r>
          </w:p>
        </w:tc>
        <w:tc>
          <w:tcPr>
            <w:tcW w:w="7792" w:type="dxa"/>
          </w:tcPr>
          <w:p w14:paraId="7F166C6F" w14:textId="77777777" w:rsidR="005F38AA" w:rsidRDefault="009649F8">
            <w:pPr>
              <w:pStyle w:val="TableParagraph"/>
              <w:rPr>
                <w:sz w:val="20"/>
              </w:rPr>
            </w:pPr>
            <w:r>
              <w:rPr>
                <w:w w:val="99"/>
                <w:sz w:val="20"/>
              </w:rPr>
              <w:t>4</w:t>
            </w:r>
          </w:p>
        </w:tc>
      </w:tr>
      <w:tr w:rsidR="005F38AA" w14:paraId="7F166C73" w14:textId="77777777">
        <w:trPr>
          <w:trHeight w:val="383"/>
        </w:trPr>
        <w:tc>
          <w:tcPr>
            <w:tcW w:w="1560" w:type="dxa"/>
            <w:gridSpan w:val="2"/>
          </w:tcPr>
          <w:p w14:paraId="7F166C71" w14:textId="77777777" w:rsidR="005F38AA" w:rsidRDefault="009649F8">
            <w:pPr>
              <w:pStyle w:val="TableParagraph"/>
              <w:rPr>
                <w:sz w:val="20"/>
              </w:rPr>
            </w:pPr>
            <w:r>
              <w:rPr>
                <w:sz w:val="20"/>
              </w:rPr>
              <w:t>コード</w:t>
            </w:r>
          </w:p>
        </w:tc>
        <w:tc>
          <w:tcPr>
            <w:tcW w:w="7792" w:type="dxa"/>
          </w:tcPr>
          <w:p w14:paraId="7F166C72" w14:textId="77777777" w:rsidR="005F38AA" w:rsidRDefault="009649F8">
            <w:pPr>
              <w:pStyle w:val="TableParagraph"/>
              <w:rPr>
                <w:sz w:val="20"/>
              </w:rPr>
            </w:pPr>
            <w:r>
              <w:rPr>
                <w:sz w:val="20"/>
              </w:rPr>
              <w:t>C20.1.4</w:t>
            </w:r>
          </w:p>
        </w:tc>
      </w:tr>
      <w:tr w:rsidR="005F38AA" w14:paraId="7F166C8C" w14:textId="77777777">
        <w:trPr>
          <w:trHeight w:val="9356"/>
        </w:trPr>
        <w:tc>
          <w:tcPr>
            <w:tcW w:w="1560" w:type="dxa"/>
            <w:gridSpan w:val="2"/>
          </w:tcPr>
          <w:p w14:paraId="7F166C74" w14:textId="77777777" w:rsidR="005F38AA" w:rsidRDefault="009649F8">
            <w:pPr>
              <w:pStyle w:val="TableParagraph"/>
              <w:spacing w:before="42"/>
              <w:rPr>
                <w:sz w:val="20"/>
              </w:rPr>
            </w:pPr>
            <w:r>
              <w:rPr>
                <w:sz w:val="20"/>
              </w:rPr>
              <w:t>内容</w:t>
            </w:r>
          </w:p>
        </w:tc>
        <w:tc>
          <w:tcPr>
            <w:tcW w:w="7792" w:type="dxa"/>
          </w:tcPr>
          <w:p w14:paraId="7F166C75" w14:textId="77777777" w:rsidR="005F38AA" w:rsidRDefault="009649F8">
            <w:pPr>
              <w:pStyle w:val="TableParagraph"/>
              <w:spacing w:before="42"/>
              <w:rPr>
                <w:sz w:val="20"/>
              </w:rPr>
            </w:pPr>
            <w:r>
              <w:rPr>
                <w:sz w:val="20"/>
              </w:rPr>
              <w:t>製造:</w:t>
            </w:r>
          </w:p>
          <w:p w14:paraId="7F166C76" w14:textId="77777777" w:rsidR="005F38AA" w:rsidRDefault="009649F8">
            <w:pPr>
              <w:pStyle w:val="TableParagraph"/>
              <w:numPr>
                <w:ilvl w:val="0"/>
                <w:numId w:val="22"/>
              </w:numPr>
              <w:tabs>
                <w:tab w:val="left" w:pos="827"/>
                <w:tab w:val="left" w:pos="828"/>
              </w:tabs>
              <w:spacing w:before="114"/>
              <w:rPr>
                <w:b/>
                <w:sz w:val="20"/>
              </w:rPr>
            </w:pPr>
            <w:r>
              <w:rPr>
                <w:b/>
                <w:sz w:val="20"/>
              </w:rPr>
              <w:t>大量化学物質:</w:t>
            </w:r>
          </w:p>
          <w:p w14:paraId="7F166C77" w14:textId="77777777" w:rsidR="005F38AA" w:rsidRDefault="009649F8">
            <w:pPr>
              <w:pStyle w:val="TableParagraph"/>
              <w:tabs>
                <w:tab w:val="left" w:pos="1548"/>
              </w:tabs>
              <w:spacing w:before="112"/>
              <w:ind w:left="1188"/>
              <w:rPr>
                <w:sz w:val="10"/>
              </w:rPr>
            </w:pPr>
            <w:r>
              <w:rPr>
                <w:rFonts w:ascii="Courier New"/>
                <w:sz w:val="20"/>
              </w:rPr>
              <w:t>o</w:t>
            </w:r>
            <w:r>
              <w:rPr>
                <w:rFonts w:ascii="Courier New"/>
                <w:sz w:val="20"/>
              </w:rPr>
              <w:tab/>
            </w:r>
            <w:r>
              <w:rPr>
                <w:sz w:val="20"/>
              </w:rPr>
              <w:t>アセチレン: 20.14.11.90215</w:t>
            </w:r>
          </w:p>
          <w:p w14:paraId="7F166C78" w14:textId="77777777" w:rsidR="005F38AA" w:rsidRDefault="009649F8">
            <w:pPr>
              <w:pStyle w:val="TableParagraph"/>
              <w:tabs>
                <w:tab w:val="left" w:pos="1548"/>
              </w:tabs>
              <w:spacing w:before="96"/>
              <w:ind w:left="1188"/>
              <w:rPr>
                <w:sz w:val="20"/>
              </w:rPr>
            </w:pPr>
            <w:r>
              <w:rPr>
                <w:rFonts w:ascii="Courier New"/>
                <w:sz w:val="20"/>
              </w:rPr>
              <w:t>o</w:t>
            </w:r>
            <w:r>
              <w:rPr>
                <w:rFonts w:ascii="Courier New"/>
                <w:sz w:val="20"/>
              </w:rPr>
              <w:tab/>
            </w:r>
            <w:r>
              <w:rPr>
                <w:sz w:val="20"/>
              </w:rPr>
              <w:t>エチレン: 20.14.11.30</w:t>
            </w:r>
          </w:p>
          <w:p w14:paraId="7F166C79" w14:textId="77777777" w:rsidR="005F38AA" w:rsidRDefault="009649F8">
            <w:pPr>
              <w:pStyle w:val="TableParagraph"/>
              <w:tabs>
                <w:tab w:val="left" w:pos="1548"/>
              </w:tabs>
              <w:spacing w:before="98"/>
              <w:ind w:left="1188"/>
              <w:rPr>
                <w:sz w:val="20"/>
              </w:rPr>
            </w:pPr>
            <w:r>
              <w:rPr>
                <w:rFonts w:ascii="Courier New"/>
                <w:sz w:val="20"/>
              </w:rPr>
              <w:t>o</w:t>
            </w:r>
            <w:r>
              <w:rPr>
                <w:rFonts w:ascii="Courier New"/>
                <w:sz w:val="20"/>
              </w:rPr>
              <w:tab/>
            </w:r>
            <w:r>
              <w:rPr>
                <w:sz w:val="20"/>
              </w:rPr>
              <w:t>プロピレン: 20.14.11.40</w:t>
            </w:r>
          </w:p>
          <w:p w14:paraId="7F166C7A" w14:textId="77777777" w:rsidR="005F38AA" w:rsidRDefault="009649F8">
            <w:pPr>
              <w:pStyle w:val="TableParagraph"/>
              <w:tabs>
                <w:tab w:val="left" w:pos="1548"/>
              </w:tabs>
              <w:spacing w:before="96"/>
              <w:ind w:left="1188"/>
              <w:rPr>
                <w:sz w:val="20"/>
              </w:rPr>
            </w:pPr>
            <w:r>
              <w:rPr>
                <w:rFonts w:ascii="Courier New"/>
                <w:sz w:val="20"/>
              </w:rPr>
              <w:t>o</w:t>
            </w:r>
            <w:r>
              <w:rPr>
                <w:rFonts w:ascii="Courier New"/>
                <w:sz w:val="20"/>
              </w:rPr>
              <w:tab/>
            </w:r>
            <w:r>
              <w:rPr>
                <w:sz w:val="20"/>
              </w:rPr>
              <w:t>ブタジエン: 20.14.11.60</w:t>
            </w:r>
          </w:p>
          <w:p w14:paraId="7F166C7B" w14:textId="77777777" w:rsidR="005F38AA" w:rsidRDefault="009649F8">
            <w:pPr>
              <w:pStyle w:val="TableParagraph"/>
              <w:tabs>
                <w:tab w:val="left" w:pos="1548"/>
              </w:tabs>
              <w:spacing w:before="98"/>
              <w:ind w:left="1188"/>
              <w:rPr>
                <w:sz w:val="20"/>
              </w:rPr>
            </w:pPr>
            <w:r>
              <w:rPr>
                <w:rFonts w:ascii="Courier New"/>
                <w:sz w:val="20"/>
              </w:rPr>
              <w:t>o</w:t>
            </w:r>
            <w:r>
              <w:rPr>
                <w:rFonts w:ascii="Courier New"/>
                <w:sz w:val="20"/>
              </w:rPr>
              <w:tab/>
            </w:r>
            <w:r>
              <w:rPr>
                <w:sz w:val="20"/>
              </w:rPr>
              <w:t>水素: 20.11.11.50</w:t>
            </w:r>
          </w:p>
          <w:p w14:paraId="7F166C7C" w14:textId="77777777" w:rsidR="005F38AA" w:rsidRDefault="009649F8">
            <w:pPr>
              <w:pStyle w:val="TableParagraph"/>
              <w:numPr>
                <w:ilvl w:val="0"/>
                <w:numId w:val="22"/>
              </w:numPr>
              <w:tabs>
                <w:tab w:val="left" w:pos="827"/>
                <w:tab w:val="left" w:pos="828"/>
              </w:tabs>
              <w:spacing w:before="99"/>
              <w:rPr>
                <w:b/>
                <w:sz w:val="20"/>
              </w:rPr>
            </w:pPr>
            <w:r>
              <w:rPr>
                <w:b/>
                <w:sz w:val="20"/>
              </w:rPr>
              <w:t>芳香族:</w:t>
            </w:r>
          </w:p>
          <w:p w14:paraId="7F166C7D" w14:textId="77777777" w:rsidR="005F38AA" w:rsidRDefault="009649F8">
            <w:pPr>
              <w:pStyle w:val="TableParagraph"/>
              <w:numPr>
                <w:ilvl w:val="1"/>
                <w:numId w:val="22"/>
              </w:numPr>
              <w:tabs>
                <w:tab w:val="left" w:pos="1548"/>
                <w:tab w:val="left" w:pos="1549"/>
              </w:tabs>
              <w:spacing w:before="111" w:line="256" w:lineRule="auto"/>
              <w:ind w:right="289"/>
              <w:rPr>
                <w:sz w:val="20"/>
                <w:lang w:eastAsia="ja-JP"/>
              </w:rPr>
            </w:pPr>
            <w:r>
              <w:rPr>
                <w:sz w:val="20"/>
                <w:lang w:eastAsia="ja-JP"/>
              </w:rPr>
              <w:t>混合アルキルベンゼン(混合アルキルナフタレン(HS二七〇七又は二九〇二を除く。) 二〇・五九・五六・七〇)</w:t>
            </w:r>
          </w:p>
          <w:p w14:paraId="7F166C7E" w14:textId="77777777" w:rsidR="005F38AA" w:rsidRDefault="009649F8">
            <w:pPr>
              <w:pStyle w:val="TableParagraph"/>
              <w:numPr>
                <w:ilvl w:val="1"/>
                <w:numId w:val="22"/>
              </w:numPr>
              <w:tabs>
                <w:tab w:val="left" w:pos="1548"/>
                <w:tab w:val="left" w:pos="1549"/>
              </w:tabs>
              <w:spacing w:before="98"/>
              <w:rPr>
                <w:sz w:val="20"/>
              </w:rPr>
            </w:pPr>
            <w:r>
              <w:rPr>
                <w:sz w:val="20"/>
              </w:rPr>
              <w:t>シクロヘキサン: 20.14.12.13</w:t>
            </w:r>
          </w:p>
          <w:p w14:paraId="7F166C7F" w14:textId="77777777" w:rsidR="005F38AA" w:rsidRDefault="009649F8">
            <w:pPr>
              <w:pStyle w:val="TableParagraph"/>
              <w:tabs>
                <w:tab w:val="left" w:pos="1548"/>
              </w:tabs>
              <w:spacing w:before="98"/>
              <w:ind w:left="1188"/>
              <w:rPr>
                <w:sz w:val="20"/>
              </w:rPr>
            </w:pPr>
            <w:r>
              <w:rPr>
                <w:rFonts w:ascii="Courier New"/>
                <w:sz w:val="20"/>
              </w:rPr>
              <w:t>o</w:t>
            </w:r>
            <w:r>
              <w:rPr>
                <w:rFonts w:ascii="Courier New"/>
                <w:sz w:val="20"/>
              </w:rPr>
              <w:tab/>
            </w:r>
            <w:r>
              <w:rPr>
                <w:sz w:val="20"/>
              </w:rPr>
              <w:t>ベンゼン: 20.14.12.23</w:t>
            </w:r>
          </w:p>
          <w:p w14:paraId="7F166C80" w14:textId="77777777" w:rsidR="005F38AA" w:rsidRDefault="009649F8">
            <w:pPr>
              <w:pStyle w:val="TableParagraph"/>
              <w:tabs>
                <w:tab w:val="left" w:pos="1548"/>
              </w:tabs>
              <w:spacing w:before="95"/>
              <w:ind w:left="1188"/>
              <w:rPr>
                <w:sz w:val="20"/>
              </w:rPr>
            </w:pPr>
            <w:r>
              <w:rPr>
                <w:rFonts w:ascii="Courier New"/>
                <w:sz w:val="20"/>
              </w:rPr>
              <w:t>o</w:t>
            </w:r>
            <w:r>
              <w:rPr>
                <w:rFonts w:ascii="Courier New"/>
                <w:sz w:val="20"/>
              </w:rPr>
              <w:tab/>
            </w:r>
            <w:r>
              <w:rPr>
                <w:sz w:val="20"/>
              </w:rPr>
              <w:t>トルエン: 20.14.12.25</w:t>
            </w:r>
          </w:p>
          <w:p w14:paraId="7F166C81" w14:textId="77777777" w:rsidR="005F38AA" w:rsidRDefault="009649F8">
            <w:pPr>
              <w:pStyle w:val="TableParagraph"/>
              <w:tabs>
                <w:tab w:val="left" w:pos="1548"/>
              </w:tabs>
              <w:spacing w:before="98"/>
              <w:ind w:left="1188"/>
              <w:rPr>
                <w:sz w:val="20"/>
              </w:rPr>
            </w:pPr>
            <w:r>
              <w:rPr>
                <w:rFonts w:ascii="Courier New"/>
                <w:sz w:val="20"/>
              </w:rPr>
              <w:t>o</w:t>
            </w:r>
            <w:r>
              <w:rPr>
                <w:rFonts w:ascii="Courier New"/>
                <w:sz w:val="20"/>
              </w:rPr>
              <w:tab/>
            </w:r>
            <w:r>
              <w:rPr>
                <w:sz w:val="20"/>
              </w:rPr>
              <w:t>o-キシレン: 20.14.12.43</w:t>
            </w:r>
          </w:p>
          <w:p w14:paraId="7F166C82" w14:textId="77777777" w:rsidR="005F38AA" w:rsidRDefault="009649F8">
            <w:pPr>
              <w:pStyle w:val="TableParagraph"/>
              <w:tabs>
                <w:tab w:val="left" w:pos="1548"/>
              </w:tabs>
              <w:spacing w:before="98"/>
              <w:ind w:left="1188"/>
              <w:rPr>
                <w:sz w:val="20"/>
              </w:rPr>
            </w:pPr>
            <w:r>
              <w:rPr>
                <w:rFonts w:ascii="Courier New"/>
                <w:sz w:val="20"/>
              </w:rPr>
              <w:t>o</w:t>
            </w:r>
            <w:r>
              <w:rPr>
                <w:rFonts w:ascii="Courier New"/>
                <w:sz w:val="20"/>
              </w:rPr>
              <w:tab/>
            </w:r>
            <w:r>
              <w:rPr>
                <w:sz w:val="20"/>
              </w:rPr>
              <w:t>p-キシレン: 20.14.12.45</w:t>
            </w:r>
          </w:p>
          <w:p w14:paraId="7F166C83" w14:textId="77777777" w:rsidR="005F38AA" w:rsidRDefault="009649F8">
            <w:pPr>
              <w:pStyle w:val="TableParagraph"/>
              <w:numPr>
                <w:ilvl w:val="1"/>
                <w:numId w:val="22"/>
              </w:numPr>
              <w:tabs>
                <w:tab w:val="left" w:pos="1548"/>
                <w:tab w:val="left" w:pos="1549"/>
              </w:tabs>
              <w:spacing w:before="96"/>
              <w:rPr>
                <w:sz w:val="20"/>
                <w:lang w:eastAsia="ja-JP"/>
              </w:rPr>
            </w:pPr>
            <w:r>
              <w:rPr>
                <w:sz w:val="20"/>
                <w:lang w:eastAsia="ja-JP"/>
              </w:rPr>
              <w:t>m-キシレンおよび混合キシレン異性体: 20.14.12.47</w:t>
            </w:r>
          </w:p>
          <w:p w14:paraId="7F166C84" w14:textId="77777777" w:rsidR="005F38AA" w:rsidRDefault="009649F8">
            <w:pPr>
              <w:pStyle w:val="TableParagraph"/>
              <w:numPr>
                <w:ilvl w:val="1"/>
                <w:numId w:val="22"/>
              </w:numPr>
              <w:tabs>
                <w:tab w:val="left" w:pos="1548"/>
                <w:tab w:val="left" w:pos="1549"/>
              </w:tabs>
              <w:spacing w:before="98"/>
              <w:rPr>
                <w:sz w:val="20"/>
              </w:rPr>
            </w:pPr>
            <w:r>
              <w:rPr>
                <w:sz w:val="20"/>
              </w:rPr>
              <w:t>エチルベンゼン: 20.14.12.60</w:t>
            </w:r>
          </w:p>
          <w:p w14:paraId="7F166C85" w14:textId="77777777" w:rsidR="005F38AA" w:rsidRDefault="009649F8">
            <w:pPr>
              <w:pStyle w:val="TableParagraph"/>
              <w:tabs>
                <w:tab w:val="left" w:pos="1548"/>
              </w:tabs>
              <w:spacing w:before="95"/>
              <w:ind w:left="1188"/>
              <w:rPr>
                <w:sz w:val="20"/>
              </w:rPr>
            </w:pPr>
            <w:r>
              <w:rPr>
                <w:rFonts w:ascii="Courier New"/>
                <w:sz w:val="20"/>
              </w:rPr>
              <w:t>o</w:t>
            </w:r>
            <w:r>
              <w:rPr>
                <w:rFonts w:ascii="Courier New"/>
                <w:sz w:val="20"/>
              </w:rPr>
              <w:tab/>
            </w:r>
            <w:r>
              <w:rPr>
                <w:sz w:val="20"/>
              </w:rPr>
              <w:t>クメン: 20.14.12.70</w:t>
            </w:r>
          </w:p>
          <w:p w14:paraId="7F166C86" w14:textId="77777777" w:rsidR="005F38AA" w:rsidRDefault="009649F8">
            <w:pPr>
              <w:pStyle w:val="TableParagraph"/>
              <w:numPr>
                <w:ilvl w:val="1"/>
                <w:numId w:val="22"/>
              </w:numPr>
              <w:tabs>
                <w:tab w:val="left" w:pos="1548"/>
                <w:tab w:val="left" w:pos="1549"/>
              </w:tabs>
              <w:spacing w:before="98" w:line="268" w:lineRule="auto"/>
              <w:ind w:right="346"/>
              <w:rPr>
                <w:sz w:val="20"/>
              </w:rPr>
            </w:pPr>
            <w:r>
              <w:rPr>
                <w:sz w:val="20"/>
                <w:lang w:eastAsia="ja-JP"/>
              </w:rPr>
              <w:t>ビフェニル、ターフェニル、ビニルトルエン、その他の環状炭化水素(シクラン、シクロクレン、シクロテルペン、ベンゼン、トルエン、キシレン、スチレン、エチルベンゼン、クメン、ナフタレン、アントラセンを除く。</w:t>
            </w:r>
            <w:r>
              <w:rPr>
                <w:sz w:val="20"/>
              </w:rPr>
              <w:t>)</w:t>
            </w:r>
          </w:p>
          <w:p w14:paraId="7F166C87" w14:textId="77777777" w:rsidR="005F38AA" w:rsidRDefault="009649F8">
            <w:pPr>
              <w:pStyle w:val="TableParagraph"/>
              <w:numPr>
                <w:ilvl w:val="1"/>
                <w:numId w:val="22"/>
              </w:numPr>
              <w:tabs>
                <w:tab w:val="left" w:pos="1548"/>
                <w:tab w:val="left" w:pos="1549"/>
              </w:tabs>
              <w:spacing w:before="90"/>
              <w:rPr>
                <w:sz w:val="20"/>
                <w:lang w:eastAsia="ja-JP"/>
              </w:rPr>
            </w:pPr>
            <w:r>
              <w:rPr>
                <w:sz w:val="20"/>
                <w:lang w:eastAsia="ja-JP"/>
              </w:rPr>
              <w:t>ベンゾル(ベンゼン)、トルオール(トルエン)及びキシロール(キシレン)1:20.14.73.20</w:t>
            </w:r>
          </w:p>
          <w:p w14:paraId="7F166C88" w14:textId="77777777" w:rsidR="005F38AA" w:rsidRDefault="009649F8">
            <w:pPr>
              <w:pStyle w:val="TableParagraph"/>
              <w:numPr>
                <w:ilvl w:val="1"/>
                <w:numId w:val="22"/>
              </w:numPr>
              <w:tabs>
                <w:tab w:val="left" w:pos="1548"/>
                <w:tab w:val="left" w:pos="1549"/>
              </w:tabs>
              <w:spacing w:before="95" w:line="259" w:lineRule="auto"/>
              <w:ind w:right="432"/>
              <w:rPr>
                <w:sz w:val="20"/>
                <w:lang w:eastAsia="ja-JP"/>
              </w:rPr>
            </w:pPr>
            <w:r>
              <w:rPr>
                <w:sz w:val="20"/>
                <w:lang w:eastAsia="ja-JP"/>
              </w:rPr>
              <w:t>ナフタレンその他の芳香族炭化水素混合物(ベンゾール、トルオール、キシロールを除く。) 二〇・一四・七三・四〇</w:t>
            </w:r>
          </w:p>
          <w:p w14:paraId="7F166C89" w14:textId="77777777" w:rsidR="005F38AA" w:rsidRDefault="009649F8">
            <w:pPr>
              <w:pStyle w:val="TableParagraph"/>
              <w:numPr>
                <w:ilvl w:val="0"/>
                <w:numId w:val="22"/>
              </w:numPr>
              <w:tabs>
                <w:tab w:val="left" w:pos="827"/>
                <w:tab w:val="left" w:pos="828"/>
              </w:tabs>
              <w:spacing w:before="97"/>
              <w:rPr>
                <w:sz w:val="20"/>
              </w:rPr>
            </w:pPr>
            <w:r>
              <w:rPr>
                <w:b/>
                <w:sz w:val="20"/>
              </w:rPr>
              <w:t>塩化ビニル: 20.14.13.71</w:t>
            </w:r>
          </w:p>
          <w:p w14:paraId="7F166C8A" w14:textId="77777777" w:rsidR="005F38AA" w:rsidRDefault="009649F8">
            <w:pPr>
              <w:pStyle w:val="TableParagraph"/>
              <w:numPr>
                <w:ilvl w:val="0"/>
                <w:numId w:val="22"/>
              </w:numPr>
              <w:tabs>
                <w:tab w:val="left" w:pos="827"/>
                <w:tab w:val="left" w:pos="828"/>
              </w:tabs>
              <w:spacing w:before="113"/>
              <w:rPr>
                <w:sz w:val="20"/>
              </w:rPr>
            </w:pPr>
            <w:r>
              <w:rPr>
                <w:b/>
                <w:sz w:val="20"/>
              </w:rPr>
              <w:t>スチレン: 20.14.12.50</w:t>
            </w:r>
          </w:p>
          <w:p w14:paraId="7F166C8B" w14:textId="77777777" w:rsidR="005F38AA" w:rsidRDefault="009649F8">
            <w:pPr>
              <w:pStyle w:val="TableParagraph"/>
              <w:numPr>
                <w:ilvl w:val="0"/>
                <w:numId w:val="22"/>
              </w:numPr>
              <w:tabs>
                <w:tab w:val="left" w:pos="827"/>
                <w:tab w:val="left" w:pos="828"/>
              </w:tabs>
              <w:spacing w:before="112"/>
              <w:rPr>
                <w:sz w:val="20"/>
              </w:rPr>
            </w:pPr>
            <w:r>
              <w:rPr>
                <w:b/>
                <w:sz w:val="20"/>
              </w:rPr>
              <w:t>エチレンオキシド: 20.14.63.73</w:t>
            </w:r>
          </w:p>
        </w:tc>
      </w:tr>
    </w:tbl>
    <w:p w14:paraId="7F166C8D" w14:textId="77777777" w:rsidR="005F38AA" w:rsidRDefault="005F38AA">
      <w:pPr>
        <w:pStyle w:val="a3"/>
        <w:rPr>
          <w:b/>
        </w:rPr>
      </w:pPr>
    </w:p>
    <w:p w14:paraId="7F166C8E" w14:textId="764313E4" w:rsidR="005F38AA" w:rsidRDefault="00520D32">
      <w:pPr>
        <w:pStyle w:val="a3"/>
        <w:rPr>
          <w:b/>
        </w:rPr>
      </w:pPr>
      <w:r>
        <w:rPr>
          <w:noProof/>
          <w:lang w:val="en-US" w:eastAsia="ja-JP"/>
        </w:rPr>
        <mc:AlternateContent>
          <mc:Choice Requires="wps">
            <w:drawing>
              <wp:anchor distT="0" distB="0" distL="0" distR="0" simplePos="0" relativeHeight="251661312" behindDoc="1" locked="0" layoutInCell="1" allowOverlap="1" wp14:anchorId="7F166DA5" wp14:editId="1D7D9829">
                <wp:simplePos x="0" y="0"/>
                <wp:positionH relativeFrom="page">
                  <wp:posOffset>914400</wp:posOffset>
                </wp:positionH>
                <wp:positionV relativeFrom="paragraph">
                  <wp:posOffset>173990</wp:posOffset>
                </wp:positionV>
                <wp:extent cx="1829435" cy="0"/>
                <wp:effectExtent l="9525" t="7620" r="8890"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22DD" id="Line 7"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21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Ai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jMZpN5/vCIER18CSmGRGOd/8x1h4JRYgmcIzA5bpwPREgxhIR7lF4L&#10;KaPYUqG+xNN0Po0JTkvBgjOEObvfVdKiIwnjEr9YFXjuw6w+KBbBWk7Y6mp7IuTFhsulCnhQCtC5&#10;Wpd5+DFP56vZapaP8sl0NcrTuh59Wlf5aLrOnh7rh7qq6uxnoJblRSsY4yqwG2Yzy/9O++sruUzV&#10;bTpvbUjeo8d+AdnhH0lHLYN8l0HYaXbe2kFjGMcYfH06Yd7v92DfP/DlLwAAAP//AwBQSwMEFAAG&#10;AAgAAAAhAGgEKQjfAAAACQEAAA8AAABkcnMvZG93bnJldi54bWxMj8FOwzAQRO9I/IO1SNyo0xDR&#10;NI1TIRBIPaCKtuLsxksSEq+j2G3Sv2cRBzjO7Gj2Tb6ebCfOOPjGkYL5LAKBVDrTUKXgsH+5S0H4&#10;oMnozhEquKCHdXF9levMuJHe8bwLleAS8plWUIfQZ1L6skar/cz1SHz7dIPVgeVQSTPokcttJ+Mo&#10;epBWN8Qfat3jU41luztZBW+pfHbb9qO8fI371zTdtMvF5qDU7c30uAIRcAp/YfjBZ3QomOnoTmS8&#10;6FgnCW8JCuJFAoIDyX08B3H8NWSRy/8Lim8AAAD//wMAUEsBAi0AFAAGAAgAAAAhALaDOJL+AAAA&#10;4QEAABMAAAAAAAAAAAAAAAAAAAAAAFtDb250ZW50X1R5cGVzXS54bWxQSwECLQAUAAYACAAAACEA&#10;OP0h/9YAAACUAQAACwAAAAAAAAAAAAAAAAAvAQAAX3JlbHMvLnJlbHNQSwECLQAUAAYACAAAACEA&#10;MgzAIhMCAAAoBAAADgAAAAAAAAAAAAAAAAAuAgAAZHJzL2Uyb0RvYy54bWxQSwECLQAUAAYACAAA&#10;ACEAaAQpCN8AAAAJAQAADwAAAAAAAAAAAAAAAABtBAAAZHJzL2Rvd25yZXYueG1sUEsFBgAAAAAE&#10;AAQA8wAAAHkFAAAAAA==&#10;" strokeweight=".48pt">
                <w10:wrap type="topAndBottom" anchorx="page"/>
              </v:line>
            </w:pict>
          </mc:Fallback>
        </mc:AlternateContent>
      </w:r>
    </w:p>
    <w:p w14:paraId="7F166C8F" w14:textId="77777777" w:rsidR="005F38AA" w:rsidRDefault="005F38AA">
      <w:pPr>
        <w:pStyle w:val="a3"/>
        <w:spacing w:before="8"/>
        <w:rPr>
          <w:b/>
          <w:sz w:val="25"/>
        </w:rPr>
      </w:pPr>
    </w:p>
    <w:p w14:paraId="7F166C90" w14:textId="77777777" w:rsidR="005F38AA" w:rsidRDefault="009649F8">
      <w:pPr>
        <w:pStyle w:val="a4"/>
        <w:numPr>
          <w:ilvl w:val="0"/>
          <w:numId w:val="23"/>
        </w:numPr>
        <w:tabs>
          <w:tab w:val="left" w:pos="413"/>
        </w:tabs>
        <w:rPr>
          <w:sz w:val="16"/>
        </w:rPr>
      </w:pPr>
      <w:r>
        <w:rPr>
          <w:sz w:val="16"/>
        </w:rPr>
        <w:lastRenderedPageBreak/>
        <w:t>CPAコード</w:t>
      </w:r>
    </w:p>
    <w:p w14:paraId="7F166C91" w14:textId="77777777" w:rsidR="005F38AA" w:rsidRDefault="005F38AA">
      <w:pPr>
        <w:rPr>
          <w:sz w:val="16"/>
        </w:rPr>
        <w:sectPr w:rsidR="005F38AA">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52"/>
        <w:gridCol w:w="7792"/>
      </w:tblGrid>
      <w:tr w:rsidR="005F38AA" w14:paraId="7F166C9A" w14:textId="77777777">
        <w:trPr>
          <w:trHeight w:val="3165"/>
        </w:trPr>
        <w:tc>
          <w:tcPr>
            <w:tcW w:w="1560" w:type="dxa"/>
            <w:gridSpan w:val="2"/>
          </w:tcPr>
          <w:p w14:paraId="7F166C92" w14:textId="77777777" w:rsidR="005F38AA" w:rsidRDefault="005F38AA">
            <w:pPr>
              <w:pStyle w:val="TableParagraph"/>
              <w:spacing w:before="0"/>
              <w:ind w:left="0"/>
              <w:rPr>
                <w:rFonts w:ascii="Times New Roman"/>
                <w:sz w:val="18"/>
              </w:rPr>
            </w:pPr>
          </w:p>
        </w:tc>
        <w:tc>
          <w:tcPr>
            <w:tcW w:w="7792" w:type="dxa"/>
          </w:tcPr>
          <w:p w14:paraId="7F166C93" w14:textId="77777777" w:rsidR="005F38AA" w:rsidRDefault="009649F8">
            <w:pPr>
              <w:pStyle w:val="TableParagraph"/>
              <w:numPr>
                <w:ilvl w:val="0"/>
                <w:numId w:val="21"/>
              </w:numPr>
              <w:tabs>
                <w:tab w:val="left" w:pos="827"/>
                <w:tab w:val="left" w:pos="828"/>
              </w:tabs>
              <w:spacing w:before="0"/>
              <w:rPr>
                <w:sz w:val="20"/>
                <w:lang w:eastAsia="ja-JP"/>
              </w:rPr>
            </w:pPr>
            <w:r>
              <w:rPr>
                <w:b/>
                <w:sz w:val="20"/>
                <w:lang w:eastAsia="ja-JP"/>
              </w:rPr>
              <w:t>モノエチレングリコール: 20.14.23.10</w:t>
            </w:r>
          </w:p>
          <w:p w14:paraId="7F166C94" w14:textId="77777777" w:rsidR="005F38AA" w:rsidRDefault="009649F8">
            <w:pPr>
              <w:pStyle w:val="TableParagraph"/>
              <w:numPr>
                <w:ilvl w:val="0"/>
                <w:numId w:val="21"/>
              </w:numPr>
              <w:tabs>
                <w:tab w:val="left" w:pos="827"/>
                <w:tab w:val="left" w:pos="828"/>
              </w:tabs>
              <w:spacing w:before="113"/>
              <w:rPr>
                <w:sz w:val="20"/>
              </w:rPr>
            </w:pPr>
            <w:r>
              <w:rPr>
                <w:b/>
                <w:sz w:val="20"/>
              </w:rPr>
              <w:t>アジピン酸: 20.14.33.85</w:t>
            </w:r>
          </w:p>
          <w:p w14:paraId="7F166C95" w14:textId="0E8EE43F" w:rsidR="005F38AA" w:rsidRDefault="009649F8">
            <w:pPr>
              <w:pStyle w:val="TableParagraph"/>
              <w:numPr>
                <w:ilvl w:val="0"/>
                <w:numId w:val="21"/>
              </w:numPr>
              <w:tabs>
                <w:tab w:val="left" w:pos="827"/>
                <w:tab w:val="left" w:pos="828"/>
              </w:tabs>
              <w:spacing w:before="113"/>
              <w:rPr>
                <w:sz w:val="20"/>
                <w:lang w:eastAsia="ja-JP"/>
              </w:rPr>
            </w:pPr>
            <w:r>
              <w:rPr>
                <w:b/>
                <w:sz w:val="20"/>
                <w:lang w:eastAsia="ja-JP"/>
              </w:rPr>
              <w:t>有機化学品であって、次に掲げる</w:t>
            </w:r>
            <w:r w:rsidR="00082827">
              <w:rPr>
                <w:rFonts w:hint="eastAsia"/>
                <w:b/>
                <w:sz w:val="20"/>
                <w:lang w:eastAsia="ja-JP"/>
              </w:rPr>
              <w:t>CPA</w:t>
            </w:r>
            <w:commentRangeStart w:id="0"/>
            <w:commentRangeEnd w:id="0"/>
            <w:r w:rsidR="00082827">
              <w:rPr>
                <w:rStyle w:val="ae"/>
              </w:rPr>
              <w:commentReference w:id="0"/>
            </w:r>
            <w:r>
              <w:rPr>
                <w:b/>
                <w:sz w:val="20"/>
                <w:lang w:eastAsia="ja-JP"/>
              </w:rPr>
              <w:t>法規に該当するもの</w:t>
            </w:r>
          </w:p>
          <w:p w14:paraId="7F166C96" w14:textId="77777777" w:rsidR="005F38AA" w:rsidRDefault="009649F8">
            <w:pPr>
              <w:pStyle w:val="TableParagraph"/>
              <w:numPr>
                <w:ilvl w:val="1"/>
                <w:numId w:val="21"/>
              </w:numPr>
              <w:tabs>
                <w:tab w:val="left" w:pos="1548"/>
                <w:tab w:val="left" w:pos="1549"/>
              </w:tabs>
              <w:spacing w:before="114" w:line="256" w:lineRule="auto"/>
              <w:ind w:right="902"/>
              <w:rPr>
                <w:sz w:val="20"/>
                <w:lang w:eastAsia="ja-JP"/>
              </w:rPr>
            </w:pPr>
            <w:r>
              <w:rPr>
                <w:sz w:val="20"/>
                <w:lang w:eastAsia="ja-JP"/>
              </w:rPr>
              <w:t>飽和非環式モノカルボン酸及びその誘導体(二〇・一四・三二)</w:t>
            </w:r>
          </w:p>
          <w:p w14:paraId="7F166C97" w14:textId="77777777" w:rsidR="005F38AA" w:rsidRDefault="009649F8">
            <w:pPr>
              <w:pStyle w:val="TableParagraph"/>
              <w:numPr>
                <w:ilvl w:val="1"/>
                <w:numId w:val="21"/>
              </w:numPr>
              <w:tabs>
                <w:tab w:val="left" w:pos="1548"/>
                <w:tab w:val="left" w:pos="1549"/>
              </w:tabs>
              <w:spacing w:before="97" w:line="259" w:lineRule="auto"/>
              <w:ind w:right="605"/>
              <w:rPr>
                <w:sz w:val="20"/>
                <w:lang w:eastAsia="ja-JP"/>
              </w:rPr>
            </w:pPr>
            <w:r>
              <w:rPr>
                <w:sz w:val="20"/>
                <w:lang w:eastAsia="ja-JP"/>
              </w:rPr>
              <w:t>不飽和モノカルボン酸、シクラン酸、環状又はシクロテルペン非環状ポリカルボン酸及びその誘導体(二〇・一四・三三)</w:t>
            </w:r>
          </w:p>
          <w:p w14:paraId="7F166C98" w14:textId="77777777" w:rsidR="005F38AA" w:rsidRDefault="009649F8">
            <w:pPr>
              <w:pStyle w:val="TableParagraph"/>
              <w:numPr>
                <w:ilvl w:val="1"/>
                <w:numId w:val="21"/>
              </w:numPr>
              <w:tabs>
                <w:tab w:val="left" w:pos="1548"/>
                <w:tab w:val="left" w:pos="1549"/>
              </w:tabs>
              <w:spacing w:before="95" w:line="256" w:lineRule="auto"/>
              <w:ind w:right="256"/>
              <w:rPr>
                <w:sz w:val="20"/>
              </w:rPr>
            </w:pPr>
            <w:r>
              <w:rPr>
                <w:sz w:val="20"/>
                <w:lang w:eastAsia="ja-JP"/>
              </w:rPr>
              <w:t>酸素官能基を有する芳香族ポリカルボン酸及びカルボン酸並びにこれらの誘導体(サリチル酸及びその誘導体を除く。</w:t>
            </w:r>
            <w:r>
              <w:rPr>
                <w:sz w:val="20"/>
              </w:rPr>
              <w:t>)</w:t>
            </w:r>
          </w:p>
          <w:p w14:paraId="7F166C99" w14:textId="77777777" w:rsidR="005F38AA" w:rsidRDefault="009649F8">
            <w:pPr>
              <w:pStyle w:val="TableParagraph"/>
              <w:spacing w:before="18"/>
              <w:ind w:left="1548"/>
              <w:rPr>
                <w:sz w:val="20"/>
              </w:rPr>
            </w:pPr>
            <w:r>
              <w:rPr>
                <w:sz w:val="20"/>
              </w:rPr>
              <w:t>塩(20.14.34)</w:t>
            </w:r>
          </w:p>
        </w:tc>
      </w:tr>
      <w:tr w:rsidR="005F38AA" w14:paraId="7F166C9D" w14:textId="77777777">
        <w:trPr>
          <w:trHeight w:val="383"/>
        </w:trPr>
        <w:tc>
          <w:tcPr>
            <w:tcW w:w="108" w:type="dxa"/>
            <w:tcBorders>
              <w:right w:val="nil"/>
            </w:tcBorders>
            <w:shd w:val="clear" w:color="auto" w:fill="4471C4"/>
          </w:tcPr>
          <w:p w14:paraId="7F166C9B" w14:textId="77777777" w:rsidR="005F38AA" w:rsidRDefault="005F38AA">
            <w:pPr>
              <w:pStyle w:val="TableParagraph"/>
              <w:spacing w:before="0"/>
              <w:ind w:left="0"/>
              <w:rPr>
                <w:rFonts w:ascii="Times New Roman"/>
                <w:sz w:val="18"/>
              </w:rPr>
            </w:pPr>
          </w:p>
        </w:tc>
        <w:tc>
          <w:tcPr>
            <w:tcW w:w="9244" w:type="dxa"/>
            <w:gridSpan w:val="2"/>
            <w:tcBorders>
              <w:left w:val="nil"/>
            </w:tcBorders>
            <w:shd w:val="clear" w:color="auto" w:fill="4471C4"/>
          </w:tcPr>
          <w:p w14:paraId="7F166C9C" w14:textId="77777777" w:rsidR="005F38AA" w:rsidRDefault="009649F8">
            <w:pPr>
              <w:pStyle w:val="TableParagraph"/>
              <w:ind w:left="4"/>
              <w:rPr>
                <w:b/>
                <w:sz w:val="20"/>
              </w:rPr>
            </w:pPr>
            <w:r>
              <w:rPr>
                <w:b/>
                <w:color w:val="FFFFFF"/>
                <w:sz w:val="20"/>
              </w:rPr>
              <w:t>緩和基準</w:t>
            </w:r>
          </w:p>
        </w:tc>
      </w:tr>
      <w:tr w:rsidR="005F38AA" w14:paraId="7F166CA1" w14:textId="77777777">
        <w:trPr>
          <w:trHeight w:val="2397"/>
        </w:trPr>
        <w:tc>
          <w:tcPr>
            <w:tcW w:w="1560" w:type="dxa"/>
            <w:gridSpan w:val="2"/>
          </w:tcPr>
          <w:p w14:paraId="7F166C9E" w14:textId="77777777" w:rsidR="005F38AA" w:rsidRDefault="009649F8">
            <w:pPr>
              <w:pStyle w:val="TableParagraph"/>
              <w:spacing w:before="43"/>
              <w:rPr>
                <w:sz w:val="20"/>
              </w:rPr>
            </w:pPr>
            <w:r>
              <w:rPr>
                <w:sz w:val="20"/>
              </w:rPr>
              <w:t>原則</w:t>
            </w:r>
          </w:p>
        </w:tc>
        <w:tc>
          <w:tcPr>
            <w:tcW w:w="7792" w:type="dxa"/>
          </w:tcPr>
          <w:p w14:paraId="7F166C9F" w14:textId="77777777" w:rsidR="005F38AA" w:rsidRDefault="009649F8">
            <w:pPr>
              <w:pStyle w:val="TableParagraph"/>
              <w:spacing w:before="43" w:line="276" w:lineRule="auto"/>
              <w:ind w:right="109"/>
              <w:rPr>
                <w:sz w:val="20"/>
                <w:lang w:eastAsia="ja-JP"/>
              </w:rPr>
            </w:pPr>
            <w:r>
              <w:rPr>
                <w:sz w:val="20"/>
                <w:lang w:eastAsia="ja-JP"/>
              </w:rPr>
              <w:t>有機化学物質の製造に伴うCO2排出量は大きい。 プロセス排出を最小化し、再生可能な原料を用いた有機化学物質の製造を促進することは、緩和目標に貢献することができる。</w:t>
            </w:r>
          </w:p>
          <w:p w14:paraId="7F166CA0" w14:textId="77777777" w:rsidR="005F38AA" w:rsidRDefault="009649F8">
            <w:pPr>
              <w:pStyle w:val="TableParagraph"/>
              <w:spacing w:before="78" w:line="276" w:lineRule="auto"/>
              <w:ind w:right="284"/>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5F38AA" w14:paraId="7F166CAF" w14:textId="77777777">
        <w:trPr>
          <w:trHeight w:val="6291"/>
        </w:trPr>
        <w:tc>
          <w:tcPr>
            <w:tcW w:w="1560" w:type="dxa"/>
            <w:gridSpan w:val="2"/>
          </w:tcPr>
          <w:p w14:paraId="7F166CA2" w14:textId="77777777" w:rsidR="005F38AA" w:rsidRDefault="009649F8">
            <w:pPr>
              <w:pStyle w:val="TableParagraph"/>
              <w:rPr>
                <w:sz w:val="20"/>
              </w:rPr>
            </w:pPr>
            <w:r>
              <w:rPr>
                <w:sz w:val="20"/>
              </w:rPr>
              <w:t>閾値</w:t>
            </w:r>
          </w:p>
        </w:tc>
        <w:tc>
          <w:tcPr>
            <w:tcW w:w="7792" w:type="dxa"/>
          </w:tcPr>
          <w:p w14:paraId="7F166CA3" w14:textId="77777777" w:rsidR="005F38AA" w:rsidRDefault="009649F8">
            <w:pPr>
              <w:pStyle w:val="TableParagraph"/>
              <w:spacing w:line="276" w:lineRule="auto"/>
              <w:ind w:right="98"/>
              <w:jc w:val="both"/>
              <w:rPr>
                <w:sz w:val="20"/>
                <w:lang w:eastAsia="ja-JP"/>
              </w:rPr>
            </w:pPr>
            <w:r>
              <w:rPr>
                <w:sz w:val="20"/>
                <w:lang w:eastAsia="ja-JP"/>
              </w:rPr>
              <w:t>以下のCPA製品カテゴリー(20.14.32、20.14.33、20.14.34)の製造を除き、この活動の対象となるすべての化学物質の製造について、選択した測定基準は次のとおりである。</w:t>
            </w:r>
          </w:p>
          <w:p w14:paraId="7F166CA4" w14:textId="77777777" w:rsidR="005F38AA" w:rsidRDefault="009649F8">
            <w:pPr>
              <w:pStyle w:val="TableParagraph"/>
              <w:numPr>
                <w:ilvl w:val="0"/>
                <w:numId w:val="20"/>
              </w:numPr>
              <w:tabs>
                <w:tab w:val="left" w:pos="827"/>
                <w:tab w:val="left" w:pos="828"/>
              </w:tabs>
              <w:spacing w:before="81"/>
              <w:rPr>
                <w:sz w:val="20"/>
                <w:lang w:eastAsia="ja-JP"/>
              </w:rPr>
            </w:pPr>
            <w:r>
              <w:rPr>
                <w:sz w:val="20"/>
                <w:lang w:eastAsia="ja-JP"/>
              </w:rPr>
              <w:t>排出係数:生産高原単位(tCO2e/t)</w:t>
            </w:r>
          </w:p>
          <w:p w14:paraId="7F166CA5" w14:textId="77777777" w:rsidR="005F38AA" w:rsidRDefault="009649F8">
            <w:pPr>
              <w:pStyle w:val="TableParagraph"/>
              <w:spacing w:before="112" w:line="276" w:lineRule="auto"/>
              <w:ind w:right="284"/>
              <w:rPr>
                <w:sz w:val="20"/>
                <w:lang w:eastAsia="ja-JP"/>
              </w:rPr>
            </w:pPr>
            <w:r>
              <w:rPr>
                <w:sz w:val="20"/>
                <w:lang w:eastAsia="ja-JP"/>
              </w:rPr>
              <w:t>GHG排出量は、EU-ETSのベンチマークに使用された方法論に従って算定されなければならない。</w:t>
            </w:r>
          </w:p>
          <w:p w14:paraId="7F166CA6" w14:textId="77777777" w:rsidR="005F38AA" w:rsidRDefault="005F38AA">
            <w:pPr>
              <w:pStyle w:val="TableParagraph"/>
              <w:spacing w:before="0"/>
              <w:ind w:left="0"/>
              <w:rPr>
                <w:lang w:eastAsia="ja-JP"/>
              </w:rPr>
            </w:pPr>
          </w:p>
          <w:p w14:paraId="7F166CA7" w14:textId="1AD6FAC3" w:rsidR="005F38AA" w:rsidRDefault="009649F8">
            <w:pPr>
              <w:pStyle w:val="TableParagraph"/>
              <w:spacing w:before="171"/>
              <w:jc w:val="both"/>
              <w:rPr>
                <w:sz w:val="20"/>
                <w:lang w:eastAsia="ja-JP"/>
              </w:rPr>
            </w:pPr>
            <w:r>
              <w:rPr>
                <w:sz w:val="20"/>
                <w:lang w:eastAsia="ja-JP"/>
              </w:rPr>
              <w:t>次の各号に掲げる有機化学物質の製造にあ</w:t>
            </w:r>
            <w:r w:rsidR="00082827">
              <w:rPr>
                <w:rFonts w:hint="eastAsia"/>
                <w:sz w:val="20"/>
                <w:lang w:eastAsia="ja-JP"/>
              </w:rPr>
              <w:t>っ</w:t>
            </w:r>
            <w:r>
              <w:rPr>
                <w:sz w:val="20"/>
                <w:lang w:eastAsia="ja-JP"/>
              </w:rPr>
              <w:t>ては、当該各号に定めるところによる。</w:t>
            </w:r>
          </w:p>
          <w:p w14:paraId="7F166CA8" w14:textId="77777777" w:rsidR="005F38AA" w:rsidRDefault="009649F8">
            <w:pPr>
              <w:pStyle w:val="TableParagraph"/>
              <w:numPr>
                <w:ilvl w:val="0"/>
                <w:numId w:val="20"/>
              </w:numPr>
              <w:tabs>
                <w:tab w:val="left" w:pos="827"/>
                <w:tab w:val="left" w:pos="828"/>
              </w:tabs>
              <w:spacing w:before="114"/>
              <w:rPr>
                <w:sz w:val="20"/>
              </w:rPr>
            </w:pPr>
            <w:r>
              <w:rPr>
                <w:sz w:val="20"/>
              </w:rPr>
              <w:t>20.14.32</w:t>
            </w:r>
          </w:p>
          <w:p w14:paraId="7F166CA9" w14:textId="77777777" w:rsidR="005F38AA" w:rsidRDefault="009649F8">
            <w:pPr>
              <w:pStyle w:val="TableParagraph"/>
              <w:numPr>
                <w:ilvl w:val="0"/>
                <w:numId w:val="20"/>
              </w:numPr>
              <w:tabs>
                <w:tab w:val="left" w:pos="827"/>
                <w:tab w:val="left" w:pos="828"/>
              </w:tabs>
              <w:spacing w:before="115"/>
              <w:rPr>
                <w:sz w:val="20"/>
              </w:rPr>
            </w:pPr>
            <w:r>
              <w:rPr>
                <w:sz w:val="20"/>
              </w:rPr>
              <w:t>20.14.33</w:t>
            </w:r>
          </w:p>
          <w:p w14:paraId="7F166CAA" w14:textId="77777777" w:rsidR="005F38AA" w:rsidRDefault="009649F8">
            <w:pPr>
              <w:pStyle w:val="TableParagraph"/>
              <w:numPr>
                <w:ilvl w:val="0"/>
                <w:numId w:val="20"/>
              </w:numPr>
              <w:tabs>
                <w:tab w:val="left" w:pos="827"/>
                <w:tab w:val="left" w:pos="828"/>
              </w:tabs>
              <w:spacing w:before="113"/>
              <w:rPr>
                <w:sz w:val="20"/>
              </w:rPr>
            </w:pPr>
            <w:r>
              <w:rPr>
                <w:sz w:val="20"/>
              </w:rPr>
              <w:t>20.14.34</w:t>
            </w:r>
          </w:p>
          <w:p w14:paraId="7F166CAB" w14:textId="77777777" w:rsidR="005F38AA" w:rsidRDefault="009649F8">
            <w:pPr>
              <w:pStyle w:val="TableParagraph"/>
              <w:spacing w:before="111"/>
              <w:jc w:val="both"/>
              <w:rPr>
                <w:sz w:val="20"/>
              </w:rPr>
            </w:pPr>
            <w:r>
              <w:rPr>
                <w:sz w:val="20"/>
              </w:rPr>
              <w:t>次の基準を適用する。</w:t>
            </w:r>
          </w:p>
          <w:p w14:paraId="7F166CAC" w14:textId="77777777" w:rsidR="005F38AA" w:rsidRDefault="009649F8">
            <w:pPr>
              <w:pStyle w:val="TableParagraph"/>
              <w:numPr>
                <w:ilvl w:val="1"/>
                <w:numId w:val="20"/>
              </w:numPr>
              <w:tabs>
                <w:tab w:val="left" w:pos="1189"/>
              </w:tabs>
              <w:spacing w:before="114" w:line="271" w:lineRule="auto"/>
              <w:ind w:right="104"/>
              <w:jc w:val="both"/>
              <w:rPr>
                <w:sz w:val="20"/>
                <w:lang w:eastAsia="ja-JP"/>
              </w:rPr>
            </w:pPr>
            <w:r>
              <w:rPr>
                <w:sz w:val="20"/>
                <w:lang w:eastAsia="ja-JP"/>
              </w:rPr>
              <w:t>有機化学物質の製造は、全部又は一部が再生可能な原料に基づくものとし、</w:t>
            </w:r>
          </w:p>
          <w:p w14:paraId="7F166CAD" w14:textId="77777777" w:rsidR="005F38AA" w:rsidRDefault="009649F8">
            <w:pPr>
              <w:pStyle w:val="TableParagraph"/>
              <w:numPr>
                <w:ilvl w:val="1"/>
                <w:numId w:val="20"/>
              </w:numPr>
              <w:tabs>
                <w:tab w:val="left" w:pos="1189"/>
              </w:tabs>
              <w:spacing w:before="7" w:line="276" w:lineRule="auto"/>
              <w:ind w:right="102"/>
              <w:jc w:val="both"/>
              <w:rPr>
                <w:sz w:val="20"/>
                <w:lang w:eastAsia="ja-JP"/>
              </w:rPr>
            </w:pPr>
            <w:r>
              <w:rPr>
                <w:sz w:val="20"/>
                <w:lang w:eastAsia="ja-JP"/>
              </w:rPr>
              <w:t>カーボン・フットプリントは、化石燃料原料から製造された同じ化学物質のカーボン・フットプリントと比較して、実質的に低くなければならない。 カーボン・フットプリントは、ISO 14067:2018に従って計算され、第三者によって検証されるものとする。</w:t>
            </w:r>
          </w:p>
          <w:p w14:paraId="7F166CAE" w14:textId="77777777" w:rsidR="005F38AA" w:rsidRDefault="009649F8">
            <w:pPr>
              <w:pStyle w:val="TableParagraph"/>
              <w:spacing w:before="76" w:line="276" w:lineRule="auto"/>
              <w:rPr>
                <w:sz w:val="20"/>
                <w:lang w:eastAsia="ja-JP"/>
              </w:rPr>
            </w:pPr>
            <w:r>
              <w:rPr>
                <w:sz w:val="20"/>
                <w:lang w:eastAsia="ja-JP"/>
              </w:rPr>
              <w:t>これらの基準を適用するために、再生可能な原料とは、バイオマス、産業用バイオ廃棄物、または都市のバイオ廃棄物を指す。</w:t>
            </w:r>
          </w:p>
        </w:tc>
      </w:tr>
    </w:tbl>
    <w:p w14:paraId="7F166CB0" w14:textId="77777777" w:rsidR="005F38AA" w:rsidRDefault="005F38AA">
      <w:pPr>
        <w:spacing w:line="276" w:lineRule="auto"/>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792"/>
      </w:tblGrid>
      <w:tr w:rsidR="005F38AA" w14:paraId="7F166CC4" w14:textId="77777777">
        <w:trPr>
          <w:trHeight w:val="12414"/>
        </w:trPr>
        <w:tc>
          <w:tcPr>
            <w:tcW w:w="1560" w:type="dxa"/>
          </w:tcPr>
          <w:p w14:paraId="7F166CB1" w14:textId="77777777" w:rsidR="005F38AA" w:rsidRDefault="005F38AA">
            <w:pPr>
              <w:pStyle w:val="TableParagraph"/>
              <w:spacing w:before="0"/>
              <w:ind w:left="0"/>
              <w:rPr>
                <w:rFonts w:ascii="Times New Roman"/>
                <w:sz w:val="18"/>
                <w:lang w:eastAsia="ja-JP"/>
              </w:rPr>
            </w:pPr>
          </w:p>
        </w:tc>
        <w:tc>
          <w:tcPr>
            <w:tcW w:w="7792" w:type="dxa"/>
          </w:tcPr>
          <w:p w14:paraId="7F166CB2" w14:textId="77777777" w:rsidR="005F38AA" w:rsidRDefault="005F38AA">
            <w:pPr>
              <w:pStyle w:val="TableParagraph"/>
              <w:spacing w:before="0"/>
              <w:ind w:left="0"/>
              <w:rPr>
                <w:sz w:val="30"/>
                <w:lang w:eastAsia="ja-JP"/>
              </w:rPr>
            </w:pPr>
          </w:p>
          <w:p w14:paraId="7F166CB3" w14:textId="77777777" w:rsidR="005F38AA" w:rsidRDefault="009649F8">
            <w:pPr>
              <w:pStyle w:val="TableParagraph"/>
              <w:spacing w:before="0"/>
              <w:rPr>
                <w:b/>
                <w:sz w:val="20"/>
                <w:lang w:eastAsia="ja-JP"/>
              </w:rPr>
            </w:pPr>
            <w:r>
              <w:rPr>
                <w:b/>
                <w:sz w:val="20"/>
                <w:u w:val="thick"/>
                <w:lang w:eastAsia="ja-JP"/>
              </w:rPr>
              <w:t>アクティビティが遵守する必要がある追加の基準:</w:t>
            </w:r>
          </w:p>
          <w:p w14:paraId="7F166CB4" w14:textId="77777777" w:rsidR="005F38AA" w:rsidRDefault="005F38AA">
            <w:pPr>
              <w:pStyle w:val="TableParagraph"/>
              <w:spacing w:before="0"/>
              <w:ind w:left="0"/>
              <w:rPr>
                <w:lang w:eastAsia="ja-JP"/>
              </w:rPr>
            </w:pPr>
          </w:p>
          <w:p w14:paraId="7F166CB5" w14:textId="77777777" w:rsidR="005F38AA" w:rsidRDefault="005F38AA">
            <w:pPr>
              <w:pStyle w:val="TableParagraph"/>
              <w:spacing w:before="10"/>
              <w:ind w:left="0"/>
              <w:rPr>
                <w:sz w:val="17"/>
                <w:lang w:eastAsia="ja-JP"/>
              </w:rPr>
            </w:pPr>
          </w:p>
          <w:p w14:paraId="7F166CB6" w14:textId="77777777" w:rsidR="005F38AA" w:rsidRDefault="009649F8">
            <w:pPr>
              <w:pStyle w:val="TableParagraph"/>
              <w:spacing w:before="0"/>
              <w:rPr>
                <w:b/>
                <w:sz w:val="20"/>
                <w:lang w:eastAsia="ja-JP"/>
              </w:rPr>
            </w:pPr>
            <w:r>
              <w:rPr>
                <w:b/>
                <w:sz w:val="20"/>
                <w:lang w:eastAsia="ja-JP"/>
              </w:rPr>
              <w:t>原料がバイオマスである場合(産業廃棄物、一般廃棄物を除く):</w:t>
            </w:r>
          </w:p>
          <w:p w14:paraId="7F166CB7" w14:textId="77777777" w:rsidR="005F38AA" w:rsidRDefault="009649F8">
            <w:pPr>
              <w:pStyle w:val="TableParagraph"/>
              <w:numPr>
                <w:ilvl w:val="0"/>
                <w:numId w:val="19"/>
              </w:numPr>
              <w:tabs>
                <w:tab w:val="left" w:pos="827"/>
                <w:tab w:val="left" w:pos="828"/>
              </w:tabs>
              <w:spacing w:before="115" w:line="273" w:lineRule="auto"/>
              <w:ind w:right="601"/>
              <w:rPr>
                <w:sz w:val="20"/>
                <w:lang w:eastAsia="ja-JP"/>
              </w:rPr>
            </w:pPr>
            <w:r>
              <w:rPr>
                <w:sz w:val="20"/>
                <w:lang w:eastAsia="ja-JP"/>
              </w:rPr>
              <w:t>対応するチェーン・オブ・カストディ・マネジメント・システムを通じた調達の完全なトレーサビリティを整備し、対応する認証システムを通じてその有効性を証明する必要がある。</w:t>
            </w:r>
          </w:p>
          <w:p w14:paraId="7F166CB8" w14:textId="77777777" w:rsidR="005F38AA" w:rsidRDefault="009649F8">
            <w:pPr>
              <w:pStyle w:val="TableParagraph"/>
              <w:numPr>
                <w:ilvl w:val="0"/>
                <w:numId w:val="19"/>
              </w:numPr>
              <w:tabs>
                <w:tab w:val="left" w:pos="828"/>
              </w:tabs>
              <w:spacing w:before="5" w:line="273" w:lineRule="auto"/>
              <w:ind w:right="103"/>
              <w:jc w:val="both"/>
              <w:rPr>
                <w:sz w:val="20"/>
                <w:lang w:eastAsia="ja-JP"/>
              </w:rPr>
            </w:pPr>
            <w:r>
              <w:rPr>
                <w:sz w:val="20"/>
                <w:lang w:eastAsia="ja-JP"/>
              </w:rPr>
              <w:t>プロセスで使用される森林バイオマスは、該当する場合、EU木材規制(EU/995/2010)およびEU森林法施行ガバナンス・貿易(FLEGT)に準拠するものとする。</w:t>
            </w:r>
          </w:p>
          <w:p w14:paraId="7F166CB9" w14:textId="77777777" w:rsidR="005F38AA" w:rsidRDefault="009649F8">
            <w:pPr>
              <w:pStyle w:val="TableParagraph"/>
              <w:numPr>
                <w:ilvl w:val="0"/>
                <w:numId w:val="19"/>
              </w:numPr>
              <w:tabs>
                <w:tab w:val="left" w:pos="828"/>
              </w:tabs>
              <w:spacing w:before="2" w:line="273" w:lineRule="auto"/>
              <w:ind w:right="97"/>
              <w:jc w:val="both"/>
              <w:rPr>
                <w:sz w:val="20"/>
                <w:lang w:eastAsia="ja-JP"/>
              </w:rPr>
            </w:pPr>
            <w:r>
              <w:rPr>
                <w:sz w:val="20"/>
                <w:lang w:eastAsia="ja-JP"/>
              </w:rPr>
              <w:t>このプロセスで使用される森林バイオマスは、森林地域で定期的に監査される独立した第三者機関のスキームを用いて森林認証を行うことを約束している。 まだ認証されていない調達地域における森林管理と管理の連鎖は、同じ認証基準と整合させなければならない(認証へのロードマップ)。</w:t>
            </w:r>
          </w:p>
          <w:p w14:paraId="7F166CBA" w14:textId="77777777" w:rsidR="005F38AA" w:rsidRDefault="009649F8">
            <w:pPr>
              <w:pStyle w:val="TableParagraph"/>
              <w:numPr>
                <w:ilvl w:val="0"/>
                <w:numId w:val="19"/>
              </w:numPr>
              <w:tabs>
                <w:tab w:val="left" w:pos="827"/>
                <w:tab w:val="left" w:pos="828"/>
              </w:tabs>
              <w:spacing w:before="7"/>
              <w:rPr>
                <w:sz w:val="20"/>
                <w:lang w:eastAsia="ja-JP"/>
              </w:rPr>
            </w:pPr>
            <w:r>
              <w:rPr>
                <w:sz w:val="20"/>
                <w:lang w:eastAsia="ja-JP"/>
              </w:rPr>
              <w:t>灌漑林園からの森林バイオマスは、使用してはならない。</w:t>
            </w:r>
          </w:p>
          <w:p w14:paraId="7F166CBB" w14:textId="77777777" w:rsidR="005F38AA" w:rsidRDefault="009649F8">
            <w:pPr>
              <w:pStyle w:val="TableParagraph"/>
              <w:numPr>
                <w:ilvl w:val="0"/>
                <w:numId w:val="19"/>
              </w:numPr>
              <w:tabs>
                <w:tab w:val="left" w:pos="828"/>
              </w:tabs>
              <w:spacing w:before="34" w:line="273" w:lineRule="auto"/>
              <w:ind w:right="103"/>
              <w:jc w:val="both"/>
              <w:rPr>
                <w:sz w:val="20"/>
                <w:lang w:eastAsia="ja-JP"/>
              </w:rPr>
            </w:pPr>
            <w:r>
              <w:rPr>
                <w:sz w:val="20"/>
                <w:lang w:eastAsia="ja-JP"/>
              </w:rPr>
              <w:t>その過程で生産され使用されるバイオマスは、透明性があり、信頼性のある一連の管理の対象となり、共通農業政策のクロスコンプライアンス・コンディショナリティで定義され、共通漁業政策で定義されているバイオマス持続可能性基準に従わなければならない。</w:t>
            </w:r>
          </w:p>
          <w:p w14:paraId="7F166CBC" w14:textId="052A7366" w:rsidR="005F38AA" w:rsidRDefault="009649F8">
            <w:pPr>
              <w:pStyle w:val="TableParagraph"/>
              <w:numPr>
                <w:ilvl w:val="0"/>
                <w:numId w:val="19"/>
              </w:numPr>
              <w:tabs>
                <w:tab w:val="left" w:pos="827"/>
                <w:tab w:val="left" w:pos="828"/>
              </w:tabs>
              <w:spacing w:before="7" w:line="276" w:lineRule="auto"/>
              <w:ind w:right="141"/>
              <w:rPr>
                <w:sz w:val="20"/>
                <w:lang w:eastAsia="ja-JP"/>
              </w:rPr>
            </w:pPr>
            <w:r>
              <w:rPr>
                <w:sz w:val="20"/>
                <w:lang w:eastAsia="ja-JP"/>
              </w:rPr>
              <w:t>バイオマスの使用は、バイオマスとバイオ燃料に適用されるRED+指令とRED2+指令で定義された要件、および本</w:t>
            </w:r>
            <w:r w:rsidR="00082827">
              <w:rPr>
                <w:rFonts w:hint="eastAsia"/>
                <w:sz w:val="20"/>
                <w:lang w:eastAsia="ja-JP"/>
              </w:rPr>
              <w:t>タクソノミー</w:t>
            </w:r>
            <w:commentRangeStart w:id="1"/>
            <w:r>
              <w:rPr>
                <w:sz w:val="20"/>
                <w:lang w:eastAsia="ja-JP"/>
              </w:rPr>
              <w:t>の</w:t>
            </w:r>
            <w:commentRangeEnd w:id="1"/>
            <w:r w:rsidR="00082827">
              <w:rPr>
                <w:rStyle w:val="ae"/>
              </w:rPr>
              <w:commentReference w:id="1"/>
            </w:r>
            <w:r>
              <w:rPr>
                <w:sz w:val="20"/>
                <w:lang w:eastAsia="ja-JP"/>
              </w:rPr>
              <w:t>森林セクションで定義されたバイオマスの要件に適合しなければならない。 バイオマスは、森林又は牧草地からの土地利用変化の対象となっている農地(REDに沿ったもの)に由来してはならない。 上記の認証スキームは、原料の強固な連鎖管理監査システムを提供するものとする。</w:t>
            </w:r>
          </w:p>
          <w:p w14:paraId="7F166CBD" w14:textId="77777777" w:rsidR="005F38AA" w:rsidRDefault="009649F8">
            <w:pPr>
              <w:pStyle w:val="TableParagraph"/>
              <w:numPr>
                <w:ilvl w:val="0"/>
                <w:numId w:val="19"/>
              </w:numPr>
              <w:tabs>
                <w:tab w:val="left" w:pos="827"/>
                <w:tab w:val="left" w:pos="828"/>
              </w:tabs>
              <w:spacing w:before="0" w:line="268" w:lineRule="auto"/>
              <w:ind w:right="244"/>
              <w:rPr>
                <w:sz w:val="20"/>
                <w:lang w:eastAsia="ja-JP"/>
              </w:rPr>
            </w:pPr>
            <w:r>
              <w:rPr>
                <w:sz w:val="20"/>
                <w:lang w:eastAsia="ja-JP"/>
              </w:rPr>
              <w:t>新規の緑地アブラヤシ植林から得られた製品は対象から除外される。</w:t>
            </w:r>
          </w:p>
          <w:p w14:paraId="7F166CBE" w14:textId="77777777" w:rsidR="005F38AA" w:rsidRDefault="009649F8">
            <w:pPr>
              <w:pStyle w:val="TableParagraph"/>
              <w:numPr>
                <w:ilvl w:val="0"/>
                <w:numId w:val="19"/>
              </w:numPr>
              <w:tabs>
                <w:tab w:val="left" w:pos="827"/>
                <w:tab w:val="left" w:pos="828"/>
              </w:tabs>
              <w:spacing w:before="7" w:line="273" w:lineRule="auto"/>
              <w:ind w:right="196"/>
              <w:rPr>
                <w:sz w:val="20"/>
                <w:lang w:eastAsia="ja-JP"/>
              </w:rPr>
            </w:pPr>
            <w:r>
              <w:rPr>
                <w:sz w:val="20"/>
                <w:lang w:eastAsia="ja-JP"/>
              </w:rPr>
              <w:t>森林バイオマス認証の特別なケース:既存の森林プランテーションで操業する小規模パーム油栽培者は、認証システムに含めることができ、彼らが適正な利益配分を確実に受け取ることができるようにすべきである。</w:t>
            </w:r>
          </w:p>
          <w:p w14:paraId="7F166CBF" w14:textId="77777777" w:rsidR="005F38AA" w:rsidRDefault="005F38AA">
            <w:pPr>
              <w:pStyle w:val="TableParagraph"/>
              <w:spacing w:before="0"/>
              <w:ind w:left="0"/>
              <w:rPr>
                <w:lang w:eastAsia="ja-JP"/>
              </w:rPr>
            </w:pPr>
          </w:p>
          <w:p w14:paraId="7F166CC0" w14:textId="77777777" w:rsidR="005F38AA" w:rsidRDefault="009649F8">
            <w:pPr>
              <w:pStyle w:val="TableParagraph"/>
              <w:spacing w:before="173" w:line="276" w:lineRule="auto"/>
              <w:rPr>
                <w:b/>
                <w:sz w:val="20"/>
                <w:lang w:eastAsia="ja-JP"/>
              </w:rPr>
            </w:pPr>
            <w:r>
              <w:rPr>
                <w:b/>
                <w:sz w:val="20"/>
                <w:lang w:eastAsia="ja-JP"/>
              </w:rPr>
              <w:t>原料が産業廃棄物(食品または飼料産業からの廃棄物を含む)または一般廃棄物である場合:</w:t>
            </w:r>
          </w:p>
          <w:p w14:paraId="7F166CC1" w14:textId="77777777" w:rsidR="005F38AA" w:rsidRDefault="009649F8">
            <w:pPr>
              <w:pStyle w:val="TableParagraph"/>
              <w:numPr>
                <w:ilvl w:val="0"/>
                <w:numId w:val="19"/>
              </w:numPr>
              <w:tabs>
                <w:tab w:val="left" w:pos="827"/>
                <w:tab w:val="left" w:pos="828"/>
              </w:tabs>
              <w:spacing w:before="80" w:line="271" w:lineRule="auto"/>
              <w:ind w:right="99"/>
              <w:rPr>
                <w:sz w:val="20"/>
                <w:lang w:eastAsia="ja-JP"/>
              </w:rPr>
            </w:pPr>
            <w:r>
              <w:rPr>
                <w:sz w:val="20"/>
                <w:lang w:eastAsia="ja-JP"/>
              </w:rPr>
              <w:t>製造工程で使用される固体バイオ廃棄物は、発生源で分別され、別々に収集された(非有害)廃棄物流から発生するものとし、</w:t>
            </w:r>
          </w:p>
          <w:p w14:paraId="7F166CC2" w14:textId="77777777" w:rsidR="005F38AA" w:rsidRDefault="009649F8">
            <w:pPr>
              <w:pStyle w:val="TableParagraph"/>
              <w:spacing w:before="5"/>
              <w:ind w:left="827"/>
              <w:rPr>
                <w:sz w:val="20"/>
                <w:lang w:eastAsia="ja-JP"/>
              </w:rPr>
            </w:pPr>
            <w:r>
              <w:rPr>
                <w:sz w:val="20"/>
                <w:lang w:eastAsia="ja-JP"/>
              </w:rPr>
              <w:t>すなわち、混合残留廃棄物から分離してはならない。</w:t>
            </w:r>
          </w:p>
          <w:p w14:paraId="7F166CC3" w14:textId="77777777" w:rsidR="005F38AA" w:rsidRDefault="009649F8">
            <w:pPr>
              <w:pStyle w:val="TableParagraph"/>
              <w:numPr>
                <w:ilvl w:val="0"/>
                <w:numId w:val="18"/>
              </w:numPr>
              <w:tabs>
                <w:tab w:val="left" w:pos="828"/>
              </w:tabs>
              <w:spacing w:before="37" w:line="273" w:lineRule="auto"/>
              <w:ind w:right="99"/>
              <w:jc w:val="both"/>
              <w:rPr>
                <w:sz w:val="20"/>
                <w:lang w:eastAsia="ja-JP"/>
              </w:rPr>
            </w:pPr>
            <w:r>
              <w:rPr>
                <w:sz w:val="20"/>
                <w:lang w:eastAsia="ja-JP"/>
              </w:rPr>
              <w:t>プロセスで使用される生物廃棄物は、廃棄物規制の枠組みおよび国/地域/地方の廃棄物管理計画と、特に近接性の原則と整合的でなければならない。 都市のバイオ廃棄物が原料として使用される場合、プロジェクトは既存の都市のバイオ廃棄物管理インフラと補完的であり、競合しないものでなければならない。</w:t>
            </w:r>
          </w:p>
        </w:tc>
      </w:tr>
    </w:tbl>
    <w:p w14:paraId="7F166CC5" w14:textId="77777777" w:rsidR="005F38AA" w:rsidRDefault="005F38AA">
      <w:pPr>
        <w:spacing w:line="273" w:lineRule="auto"/>
        <w:jc w:val="both"/>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52"/>
        <w:gridCol w:w="7792"/>
      </w:tblGrid>
      <w:tr w:rsidR="005F38AA" w14:paraId="7F166CD0" w14:textId="77777777">
        <w:trPr>
          <w:trHeight w:val="3838"/>
        </w:trPr>
        <w:tc>
          <w:tcPr>
            <w:tcW w:w="1560" w:type="dxa"/>
            <w:gridSpan w:val="2"/>
          </w:tcPr>
          <w:p w14:paraId="7F166CC6" w14:textId="77777777" w:rsidR="005F38AA" w:rsidRDefault="005F38AA">
            <w:pPr>
              <w:pStyle w:val="TableParagraph"/>
              <w:spacing w:before="0"/>
              <w:ind w:left="0"/>
              <w:rPr>
                <w:rFonts w:ascii="Times New Roman"/>
                <w:sz w:val="18"/>
                <w:lang w:eastAsia="ja-JP"/>
              </w:rPr>
            </w:pPr>
          </w:p>
        </w:tc>
        <w:tc>
          <w:tcPr>
            <w:tcW w:w="7792" w:type="dxa"/>
          </w:tcPr>
          <w:p w14:paraId="7F166CC7" w14:textId="77777777" w:rsidR="005F38AA" w:rsidRDefault="009649F8">
            <w:pPr>
              <w:pStyle w:val="TableParagraph"/>
              <w:spacing w:before="0" w:line="276" w:lineRule="auto"/>
              <w:ind w:right="97"/>
              <w:jc w:val="both"/>
              <w:rPr>
                <w:sz w:val="20"/>
                <w:lang w:eastAsia="ja-JP"/>
              </w:rPr>
            </w:pPr>
            <w:r>
              <w:rPr>
                <w:sz w:val="20"/>
                <w:lang w:eastAsia="ja-JP"/>
              </w:rPr>
              <w:t>ETSベンチマークが閾値として使用される有機化学物質のいずれかの製造工程が再生可能原料に基づいている場合、再生可能原料の基準も適用される。</w:t>
            </w:r>
          </w:p>
          <w:p w14:paraId="7F166CC8" w14:textId="77777777" w:rsidR="005F38AA" w:rsidRDefault="005F38AA">
            <w:pPr>
              <w:pStyle w:val="TableParagraph"/>
              <w:spacing w:before="0"/>
              <w:ind w:left="0"/>
              <w:rPr>
                <w:lang w:eastAsia="ja-JP"/>
              </w:rPr>
            </w:pPr>
          </w:p>
          <w:p w14:paraId="7F166CC9" w14:textId="77777777" w:rsidR="005F38AA" w:rsidRDefault="009649F8">
            <w:pPr>
              <w:pStyle w:val="TableParagraph"/>
              <w:spacing w:before="172" w:line="276" w:lineRule="auto"/>
              <w:ind w:right="241"/>
              <w:jc w:val="both"/>
              <w:rPr>
                <w:sz w:val="20"/>
                <w:lang w:eastAsia="ja-JP"/>
              </w:rPr>
            </w:pPr>
            <w:r>
              <w:rPr>
                <w:sz w:val="20"/>
                <w:lang w:eastAsia="ja-JP"/>
              </w:rPr>
              <w:t>ETS製品ベンチマークは、以下のCPA製品カテゴリー(20.14.32、20.14.33、20.14.34)の製造を除き、この活動の対象となるすべての化学物質の製造についてのみ適用される。</w:t>
            </w:r>
          </w:p>
          <w:p w14:paraId="7F166CCA" w14:textId="77777777" w:rsidR="005F38AA" w:rsidRDefault="009649F8">
            <w:pPr>
              <w:pStyle w:val="TableParagraph"/>
              <w:numPr>
                <w:ilvl w:val="0"/>
                <w:numId w:val="17"/>
              </w:numPr>
              <w:tabs>
                <w:tab w:val="left" w:pos="1548"/>
                <w:tab w:val="left" w:pos="1549"/>
              </w:tabs>
              <w:spacing w:before="80"/>
              <w:rPr>
                <w:sz w:val="20"/>
              </w:rPr>
            </w:pPr>
            <w:r>
              <w:rPr>
                <w:sz w:val="20"/>
              </w:rPr>
              <w:t>HVC: 0,702 tCO2e/t</w:t>
            </w:r>
          </w:p>
          <w:p w14:paraId="7F166CCB" w14:textId="77777777" w:rsidR="005F38AA" w:rsidRDefault="009649F8">
            <w:pPr>
              <w:pStyle w:val="TableParagraph"/>
              <w:numPr>
                <w:ilvl w:val="0"/>
                <w:numId w:val="17"/>
              </w:numPr>
              <w:tabs>
                <w:tab w:val="left" w:pos="1548"/>
                <w:tab w:val="left" w:pos="1549"/>
              </w:tabs>
              <w:spacing w:before="34"/>
              <w:rPr>
                <w:sz w:val="10"/>
                <w:lang w:eastAsia="ja-JP"/>
              </w:rPr>
            </w:pPr>
            <w:r>
              <w:rPr>
                <w:position w:val="1"/>
                <w:sz w:val="20"/>
                <w:lang w:eastAsia="ja-JP"/>
              </w:rPr>
              <w:t>芳香族については、0,0295 tCO2e/t216</w:t>
            </w:r>
          </w:p>
          <w:p w14:paraId="7F166CCC" w14:textId="77777777" w:rsidR="005F38AA" w:rsidRDefault="009649F8">
            <w:pPr>
              <w:pStyle w:val="TableParagraph"/>
              <w:numPr>
                <w:ilvl w:val="0"/>
                <w:numId w:val="17"/>
              </w:numPr>
              <w:tabs>
                <w:tab w:val="left" w:pos="1548"/>
                <w:tab w:val="left" w:pos="1549"/>
              </w:tabs>
              <w:spacing w:before="34"/>
              <w:rPr>
                <w:sz w:val="20"/>
              </w:rPr>
            </w:pPr>
            <w:r>
              <w:rPr>
                <w:position w:val="1"/>
                <w:sz w:val="20"/>
              </w:rPr>
              <w:t>塩ビは0,204 tCO2e/t</w:t>
            </w:r>
          </w:p>
          <w:p w14:paraId="7F166CCD" w14:textId="77777777" w:rsidR="005F38AA" w:rsidRDefault="009649F8">
            <w:pPr>
              <w:pStyle w:val="TableParagraph"/>
              <w:numPr>
                <w:ilvl w:val="0"/>
                <w:numId w:val="17"/>
              </w:numPr>
              <w:tabs>
                <w:tab w:val="left" w:pos="1548"/>
                <w:tab w:val="left" w:pos="1549"/>
              </w:tabs>
              <w:spacing w:before="34"/>
              <w:rPr>
                <w:sz w:val="20"/>
              </w:rPr>
            </w:pPr>
            <w:r>
              <w:rPr>
                <w:position w:val="1"/>
                <w:sz w:val="20"/>
              </w:rPr>
              <w:t>スチレンは0,527 tCO2e/t</w:t>
            </w:r>
          </w:p>
          <w:p w14:paraId="7F166CCE" w14:textId="77777777" w:rsidR="005F38AA" w:rsidRDefault="009649F8">
            <w:pPr>
              <w:pStyle w:val="TableParagraph"/>
              <w:numPr>
                <w:ilvl w:val="0"/>
                <w:numId w:val="17"/>
              </w:numPr>
              <w:tabs>
                <w:tab w:val="left" w:pos="1548"/>
                <w:tab w:val="left" w:pos="1549"/>
                <w:tab w:val="left" w:pos="4224"/>
              </w:tabs>
              <w:spacing w:before="34"/>
              <w:rPr>
                <w:sz w:val="20"/>
                <w:lang w:eastAsia="ja-JP"/>
              </w:rPr>
            </w:pPr>
            <w:r>
              <w:rPr>
                <w:position w:val="1"/>
                <w:sz w:val="20"/>
                <w:lang w:eastAsia="ja-JP"/>
              </w:rPr>
              <w:t>エチレンオキシド/エチレンの場合</w:t>
            </w:r>
            <w:r>
              <w:rPr>
                <w:position w:val="1"/>
                <w:sz w:val="20"/>
                <w:lang w:eastAsia="ja-JP"/>
              </w:rPr>
              <w:tab/>
              <w:t>グリコール:0,512 tCO2e/t</w:t>
            </w:r>
          </w:p>
          <w:p w14:paraId="7F166CCF" w14:textId="77777777" w:rsidR="005F38AA" w:rsidRDefault="009649F8">
            <w:pPr>
              <w:pStyle w:val="TableParagraph"/>
              <w:tabs>
                <w:tab w:val="left" w:pos="1614"/>
              </w:tabs>
              <w:spacing w:before="117"/>
              <w:ind w:left="827"/>
              <w:rPr>
                <w:sz w:val="20"/>
                <w:lang w:eastAsia="ja-JP"/>
              </w:rPr>
            </w:pPr>
            <w:r>
              <w:rPr>
                <w:sz w:val="20"/>
                <w:lang w:eastAsia="ja-JP"/>
              </w:rPr>
              <w:t>g)</w:t>
            </w:r>
            <w:r>
              <w:rPr>
                <w:sz w:val="20"/>
                <w:lang w:eastAsia="ja-JP"/>
              </w:rPr>
              <w:tab/>
              <w:t>アジピン酸2,79(許容値/t)</w:t>
            </w:r>
          </w:p>
        </w:tc>
      </w:tr>
      <w:tr w:rsidR="005F38AA" w14:paraId="7F166CD3" w14:textId="77777777">
        <w:trPr>
          <w:trHeight w:val="386"/>
        </w:trPr>
        <w:tc>
          <w:tcPr>
            <w:tcW w:w="108" w:type="dxa"/>
            <w:tcBorders>
              <w:right w:val="nil"/>
            </w:tcBorders>
            <w:shd w:val="clear" w:color="auto" w:fill="4471C4"/>
          </w:tcPr>
          <w:p w14:paraId="7F166CD1" w14:textId="77777777" w:rsidR="005F38AA" w:rsidRDefault="005F38AA">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7F166CD2" w14:textId="77777777" w:rsidR="005F38AA" w:rsidRDefault="009649F8">
            <w:pPr>
              <w:pStyle w:val="TableParagraph"/>
              <w:spacing w:before="42"/>
              <w:ind w:left="4"/>
              <w:rPr>
                <w:b/>
                <w:sz w:val="20"/>
              </w:rPr>
            </w:pPr>
            <w:r>
              <w:rPr>
                <w:b/>
                <w:color w:val="FFFFFF"/>
                <w:sz w:val="20"/>
              </w:rPr>
              <w:t>根拠</w:t>
            </w:r>
          </w:p>
        </w:tc>
      </w:tr>
      <w:tr w:rsidR="005F38AA" w14:paraId="7F166CDE" w14:textId="77777777">
        <w:trPr>
          <w:trHeight w:val="6631"/>
        </w:trPr>
        <w:tc>
          <w:tcPr>
            <w:tcW w:w="9352" w:type="dxa"/>
            <w:gridSpan w:val="3"/>
          </w:tcPr>
          <w:p w14:paraId="7F166CD4" w14:textId="77777777" w:rsidR="005F38AA" w:rsidRDefault="009649F8">
            <w:pPr>
              <w:pStyle w:val="TableParagraph"/>
              <w:spacing w:line="276" w:lineRule="auto"/>
              <w:rPr>
                <w:b/>
                <w:sz w:val="20"/>
                <w:lang w:eastAsia="ja-JP"/>
              </w:rPr>
            </w:pPr>
            <w:r>
              <w:rPr>
                <w:b/>
                <w:sz w:val="20"/>
                <w:lang w:eastAsia="ja-JP"/>
              </w:rPr>
              <w:t>CPAコード20.14.31、20.14.32、20.14.33、20.14.34を除き、この活動におけるすべての化学物質の製造について:</w:t>
            </w:r>
          </w:p>
          <w:p w14:paraId="7F166CD5" w14:textId="77777777" w:rsidR="005F38AA" w:rsidRDefault="009649F8">
            <w:pPr>
              <w:pStyle w:val="TableParagraph"/>
              <w:spacing w:before="78" w:line="276" w:lineRule="auto"/>
              <w:ind w:right="102"/>
              <w:jc w:val="both"/>
              <w:rPr>
                <w:sz w:val="10"/>
                <w:lang w:eastAsia="ja-JP"/>
              </w:rPr>
            </w:pPr>
            <w:r>
              <w:rPr>
                <w:sz w:val="20"/>
                <w:lang w:eastAsia="ja-JP"/>
              </w:rPr>
              <w:t>高価な化学品、芳香族、エチレンクロライド、塩化ビニル、エチルベンゼン、スチレン、エチレンオキシド、モノエチレングリコール、メタノールの製造は、化学部門からの排出の35%以上を占めている217。</w:t>
            </w:r>
          </w:p>
          <w:p w14:paraId="7F166CD6" w14:textId="77777777" w:rsidR="005F38AA" w:rsidRDefault="009649F8">
            <w:pPr>
              <w:pStyle w:val="TableParagraph"/>
              <w:spacing w:before="80" w:line="276" w:lineRule="auto"/>
              <w:ind w:right="97"/>
              <w:jc w:val="both"/>
              <w:rPr>
                <w:sz w:val="10"/>
                <w:lang w:eastAsia="ja-JP"/>
              </w:rPr>
            </w:pPr>
            <w:r>
              <w:rPr>
                <w:sz w:val="20"/>
                <w:lang w:eastAsia="ja-JP"/>
              </w:rPr>
              <w:t>蒸気分解は、高価な化学品を製造する主要な工業プロセスであるが、化学工業で最もエネルギー集約的なプロセスであり、化学工業からの温室効果ガス排出量の25%を占める218。</w:t>
            </w:r>
          </w:p>
          <w:p w14:paraId="7F166CD7" w14:textId="77777777" w:rsidR="005F38AA" w:rsidRDefault="009649F8">
            <w:pPr>
              <w:pStyle w:val="TableParagraph"/>
              <w:spacing w:before="80" w:line="276" w:lineRule="auto"/>
              <w:ind w:right="111"/>
              <w:jc w:val="both"/>
              <w:rPr>
                <w:sz w:val="20"/>
                <w:lang w:eastAsia="ja-JP"/>
              </w:rPr>
            </w:pPr>
            <w:r>
              <w:rPr>
                <w:sz w:val="20"/>
                <w:lang w:eastAsia="ja-JP"/>
              </w:rPr>
              <w:t>したがって、有機化学物質の製造工程からの排出を削減することは、緩和目標に積極的に貢献することができる。</w:t>
            </w:r>
          </w:p>
          <w:p w14:paraId="7F166CD8" w14:textId="77777777" w:rsidR="005F38AA" w:rsidRDefault="009649F8">
            <w:pPr>
              <w:pStyle w:val="TableParagraph"/>
              <w:spacing w:before="82" w:line="276" w:lineRule="auto"/>
              <w:ind w:right="102"/>
              <w:jc w:val="both"/>
              <w:rPr>
                <w:sz w:val="20"/>
                <w:lang w:eastAsia="ja-JP"/>
              </w:rPr>
            </w:pPr>
            <w:r>
              <w:rPr>
                <w:sz w:val="20"/>
                <w:lang w:eastAsia="ja-JP"/>
              </w:rPr>
              <w:t>絶対性能アプローチは、緩和目標に実質的に寄与することができるように、活動が遵守すべき最大許容炭素強度を特定するために提案されている。</w:t>
            </w:r>
          </w:p>
          <w:p w14:paraId="7F166CD9" w14:textId="77777777" w:rsidR="005F38AA" w:rsidRDefault="009649F8">
            <w:pPr>
              <w:pStyle w:val="TableParagraph"/>
              <w:spacing w:before="80" w:line="276" w:lineRule="auto"/>
              <w:ind w:right="99"/>
              <w:jc w:val="both"/>
              <w:rPr>
                <w:sz w:val="20"/>
                <w:lang w:eastAsia="ja-JP"/>
              </w:rPr>
            </w:pPr>
            <w:r>
              <w:rPr>
                <w:sz w:val="20"/>
                <w:lang w:eastAsia="ja-JP"/>
              </w:rPr>
              <w:t>ETS製品のベンチマークが閾値として選択されている。 これらは、あるセクターで最も効率的な10%の設備の平均的な性能を反映している。</w:t>
            </w:r>
          </w:p>
          <w:p w14:paraId="7F166CDA" w14:textId="77777777" w:rsidR="005F38AA" w:rsidRDefault="009649F8">
            <w:pPr>
              <w:pStyle w:val="TableParagraph"/>
              <w:spacing w:before="80"/>
              <w:rPr>
                <w:sz w:val="20"/>
              </w:rPr>
            </w:pPr>
            <w:r>
              <w:rPr>
                <w:sz w:val="20"/>
              </w:rPr>
              <w:t>対象排出量</w:t>
            </w:r>
          </w:p>
          <w:p w14:paraId="7F166CDB" w14:textId="77777777" w:rsidR="005F38AA" w:rsidRDefault="009649F8">
            <w:pPr>
              <w:pStyle w:val="TableParagraph"/>
              <w:numPr>
                <w:ilvl w:val="0"/>
                <w:numId w:val="16"/>
              </w:numPr>
              <w:tabs>
                <w:tab w:val="left" w:pos="827"/>
                <w:tab w:val="left" w:pos="828"/>
              </w:tabs>
              <w:spacing w:before="35" w:line="271" w:lineRule="auto"/>
              <w:ind w:right="110"/>
              <w:rPr>
                <w:sz w:val="20"/>
                <w:lang w:eastAsia="ja-JP"/>
              </w:rPr>
            </w:pPr>
            <w:r>
              <w:rPr>
                <w:sz w:val="20"/>
                <w:lang w:eastAsia="ja-JP"/>
              </w:rPr>
              <w:t>スコープ1:生産に関連するすべての直接排出(プロセスからの直接排出およびエネルギー生産のための燃料使用による排出)。</w:t>
            </w:r>
          </w:p>
          <w:p w14:paraId="7F166CDC" w14:textId="77777777" w:rsidR="005F38AA" w:rsidRDefault="009649F8">
            <w:pPr>
              <w:pStyle w:val="TableParagraph"/>
              <w:numPr>
                <w:ilvl w:val="0"/>
                <w:numId w:val="16"/>
              </w:numPr>
              <w:tabs>
                <w:tab w:val="left" w:pos="827"/>
                <w:tab w:val="left" w:pos="828"/>
              </w:tabs>
              <w:spacing w:before="6"/>
              <w:rPr>
                <w:sz w:val="20"/>
              </w:rPr>
            </w:pPr>
            <w:r>
              <w:rPr>
                <w:sz w:val="20"/>
              </w:rPr>
              <w:t>電気に関する注記</w:t>
            </w:r>
          </w:p>
          <w:p w14:paraId="7F166CDD" w14:textId="77777777" w:rsidR="005F38AA" w:rsidRDefault="009649F8">
            <w:pPr>
              <w:pStyle w:val="TableParagraph"/>
              <w:spacing w:before="32" w:line="276" w:lineRule="auto"/>
              <w:ind w:left="827" w:right="105"/>
              <w:jc w:val="both"/>
              <w:rPr>
                <w:sz w:val="20"/>
                <w:lang w:eastAsia="ja-JP"/>
              </w:rPr>
            </w:pPr>
            <w:r>
              <w:rPr>
                <w:sz w:val="20"/>
                <w:lang w:eastAsia="ja-JP"/>
              </w:rPr>
              <w:t>ETSのベンチマークを算出する方法論によれば、電気からの排出は、直接排出量と電気からの間接排出量が一定のレベルに互換性がある場合に考慮される。</w:t>
            </w:r>
          </w:p>
        </w:tc>
      </w:tr>
    </w:tbl>
    <w:p w14:paraId="7F166CDF" w14:textId="2D0B744D" w:rsidR="005F38AA" w:rsidRDefault="00520D32">
      <w:pPr>
        <w:pStyle w:val="a3"/>
        <w:spacing w:before="1"/>
        <w:rPr>
          <w:sz w:val="24"/>
          <w:lang w:eastAsia="ja-JP"/>
        </w:rPr>
      </w:pPr>
      <w:r>
        <w:rPr>
          <w:noProof/>
          <w:lang w:val="en-US" w:eastAsia="ja-JP"/>
        </w:rPr>
        <mc:AlternateContent>
          <mc:Choice Requires="wps">
            <w:drawing>
              <wp:anchor distT="0" distB="0" distL="0" distR="0" simplePos="0" relativeHeight="251662336" behindDoc="1" locked="0" layoutInCell="1" allowOverlap="1" wp14:anchorId="7F166DA6" wp14:editId="282BA2A6">
                <wp:simplePos x="0" y="0"/>
                <wp:positionH relativeFrom="page">
                  <wp:posOffset>914400</wp:posOffset>
                </wp:positionH>
                <wp:positionV relativeFrom="paragraph">
                  <wp:posOffset>204470</wp:posOffset>
                </wp:positionV>
                <wp:extent cx="1829435" cy="0"/>
                <wp:effectExtent l="9525" t="7620" r="8890"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31B1" id="Line 6"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pt" to="216.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fP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VoTODcSUE1GprQ230pF7Ms6bfHVK67oja88jw9WwgLQsZyZuUsHEG8HfDZ80ghhy8jm06&#10;tbYPkNAAdIpqnG9q8JNHFA6z+WyRPzxiREdfQsox0VjnP3Hdo2BUWALnCEyOz84HIqQcQ8I9Sm+E&#10;lFFsqdAA1aaLIiY4LQULzhDm7H5XS4uOJIxL/GJV4LkPs/qgWATrOGHrq+2JkBcbLpcq4EEpQOdq&#10;XebhxyJdrOfreT7JZ8V6kqdNM/m4qfNJsck+PDYPTV032c9ALcvLTjDGVWA3zmaW/53211dymarb&#10;dN7akLxFj/0CsuM/ko5aBvkug7DT7Ly1o8YwjjH4+nTCvN/vwb5/4KtfAAAA//8DAFBLAwQUAAYA&#10;CAAAACEARBdOi98AAAAJAQAADwAAAGRycy9kb3ducmV2LnhtbEyPwU7DMBBE70j8g7VI3KjTNII0&#10;jVMhEEg9oIq24uzGSxISr6PYbdK/ZxEHOM7saPZNvp5sJ844+MaRgvksAoFUOtNQpeCwf7lLQfig&#10;yejOESq4oId1cX2V68y4kd7xvAuV4BLymVZQh9BnUvqyRqv9zPVIfPt0g9WB5VBJM+iRy20n4yi6&#10;l1Y3xB9q3eNTjWW7O1kFb6l8dtv2o7x8jfvXNN20y4fNQanbm+lxBSLgFP7C8IPP6FAw09GdyHjR&#10;sU4S3hIULOIYBAeSRTwHcfw1ZJHL/wuKbwAAAP//AwBQSwECLQAUAAYACAAAACEAtoM4kv4AAADh&#10;AQAAEwAAAAAAAAAAAAAAAAAAAAAAW0NvbnRlbnRfVHlwZXNdLnhtbFBLAQItABQABgAIAAAAIQA4&#10;/SH/1gAAAJQBAAALAAAAAAAAAAAAAAAAAC8BAABfcmVscy8ucmVsc1BLAQItABQABgAIAAAAIQBU&#10;NcfPEgIAACgEAAAOAAAAAAAAAAAAAAAAAC4CAABkcnMvZTJvRG9jLnhtbFBLAQItABQABgAIAAAA&#10;IQBEF06L3wAAAAkBAAAPAAAAAAAAAAAAAAAAAGwEAABkcnMvZG93bnJldi54bWxQSwUGAAAAAAQA&#10;BADzAAAAeAUAAAAA&#10;" strokeweight=".48pt">
                <w10:wrap type="topAndBottom" anchorx="page"/>
              </v:line>
            </w:pict>
          </mc:Fallback>
        </mc:AlternateContent>
      </w:r>
    </w:p>
    <w:p w14:paraId="7F166CE0" w14:textId="77777777" w:rsidR="005F38AA" w:rsidRDefault="005F38AA">
      <w:pPr>
        <w:pStyle w:val="a3"/>
        <w:spacing w:before="4"/>
        <w:rPr>
          <w:sz w:val="17"/>
          <w:lang w:eastAsia="ja-JP"/>
        </w:rPr>
      </w:pPr>
    </w:p>
    <w:p w14:paraId="7F166CE1" w14:textId="77777777" w:rsidR="005F38AA" w:rsidRDefault="009649F8">
      <w:pPr>
        <w:pStyle w:val="a4"/>
        <w:numPr>
          <w:ilvl w:val="0"/>
          <w:numId w:val="23"/>
        </w:numPr>
        <w:tabs>
          <w:tab w:val="left" w:pos="413"/>
        </w:tabs>
        <w:spacing w:before="96"/>
        <w:rPr>
          <w:sz w:val="16"/>
        </w:rPr>
      </w:pPr>
      <w:r>
        <w:rPr>
          <w:sz w:val="16"/>
        </w:rPr>
        <w:t>生産高原単位: CO2重量トン</w:t>
      </w:r>
    </w:p>
    <w:p w14:paraId="7F166CE2" w14:textId="77777777" w:rsidR="005F38AA" w:rsidRDefault="005F38AA">
      <w:pPr>
        <w:pStyle w:val="a3"/>
        <w:spacing w:before="3"/>
        <w:rPr>
          <w:sz w:val="15"/>
        </w:rPr>
      </w:pPr>
    </w:p>
    <w:p w14:paraId="7F166CE3" w14:textId="77777777" w:rsidR="005F38AA" w:rsidRDefault="009649F8">
      <w:pPr>
        <w:pStyle w:val="a4"/>
        <w:numPr>
          <w:ilvl w:val="0"/>
          <w:numId w:val="23"/>
        </w:numPr>
        <w:tabs>
          <w:tab w:val="left" w:pos="413"/>
        </w:tabs>
        <w:spacing w:before="1"/>
        <w:rPr>
          <w:sz w:val="16"/>
        </w:rPr>
      </w:pPr>
      <w:r>
        <w:rPr>
          <w:spacing w:val="-1"/>
          <w:sz w:val="16"/>
        </w:rPr>
        <w:t>Page  14 http://publications.jrc.ec.europa.eu/repository/bitstream/JRC105767/kj-na-28471-enn.pdf</w:t>
      </w:r>
      <w:hyperlink r:id="rId53"/>
    </w:p>
    <w:p w14:paraId="7F166CE4" w14:textId="77777777" w:rsidR="005F38AA" w:rsidRDefault="005F38AA">
      <w:pPr>
        <w:pStyle w:val="a3"/>
        <w:spacing w:before="1"/>
        <w:rPr>
          <w:sz w:val="15"/>
        </w:rPr>
      </w:pPr>
    </w:p>
    <w:p w14:paraId="7F166CE5" w14:textId="77777777" w:rsidR="005F38AA" w:rsidRDefault="009649F8">
      <w:pPr>
        <w:pStyle w:val="a4"/>
        <w:numPr>
          <w:ilvl w:val="0"/>
          <w:numId w:val="23"/>
        </w:numPr>
        <w:tabs>
          <w:tab w:val="left" w:pos="413"/>
        </w:tabs>
        <w:rPr>
          <w:sz w:val="16"/>
        </w:rPr>
      </w:pPr>
      <w:r>
        <w:rPr>
          <w:spacing w:val="-1"/>
          <w:sz w:val="16"/>
        </w:rPr>
        <w:lastRenderedPageBreak/>
        <w:t>Page  14 http://publications.jrc.ec.europa.eu/repository/bitstream/JRC105767/kj-na-28471-enn.pdf</w:t>
      </w:r>
      <w:hyperlink r:id="rId54"/>
    </w:p>
    <w:p w14:paraId="7F166CE6" w14:textId="77777777" w:rsidR="005F38AA" w:rsidRDefault="005F38AA">
      <w:pPr>
        <w:rPr>
          <w:sz w:val="16"/>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5F38AA" w14:paraId="7F166CF4" w14:textId="77777777">
        <w:trPr>
          <w:trHeight w:val="9267"/>
        </w:trPr>
        <w:tc>
          <w:tcPr>
            <w:tcW w:w="9352" w:type="dxa"/>
            <w:gridSpan w:val="2"/>
          </w:tcPr>
          <w:p w14:paraId="7F166CE7" w14:textId="77777777" w:rsidR="005F38AA" w:rsidRDefault="009649F8">
            <w:pPr>
              <w:pStyle w:val="TableParagraph"/>
              <w:spacing w:before="0" w:line="276" w:lineRule="auto"/>
              <w:rPr>
                <w:sz w:val="20"/>
                <w:lang w:eastAsia="ja-JP"/>
              </w:rPr>
            </w:pPr>
            <w:r>
              <w:rPr>
                <w:sz w:val="20"/>
                <w:lang w:eastAsia="ja-JP"/>
              </w:rPr>
              <w:lastRenderedPageBreak/>
              <w:t>閾値は、それぞれの林業サブグループで実施された作業と整合している。 バイオマス利用が適切な場合には、以下の原則が適用されている。</w:t>
            </w:r>
          </w:p>
          <w:p w14:paraId="7F166CE8" w14:textId="77777777" w:rsidR="005F38AA" w:rsidRDefault="009649F8">
            <w:pPr>
              <w:pStyle w:val="TableParagraph"/>
              <w:numPr>
                <w:ilvl w:val="0"/>
                <w:numId w:val="15"/>
              </w:numPr>
              <w:tabs>
                <w:tab w:val="left" w:pos="828"/>
              </w:tabs>
              <w:spacing w:before="81" w:line="273" w:lineRule="auto"/>
              <w:ind w:right="100"/>
              <w:jc w:val="both"/>
              <w:rPr>
                <w:sz w:val="20"/>
                <w:lang w:eastAsia="ja-JP"/>
              </w:rPr>
            </w:pPr>
            <w:r>
              <w:rPr>
                <w:sz w:val="20"/>
                <w:lang w:eastAsia="ja-JP"/>
              </w:rPr>
              <w:t>すべての持続可能な森林管理要件は、最低基準としてEUの法律を制定している。 「森林分類学」には、この包括的原則である「国内法に準拠した収穫活動の実施」が含まれており、EU木材規制(EU/995/2010)およびFLEGTに言及している。</w:t>
            </w:r>
          </w:p>
          <w:p w14:paraId="7F166CE9" w14:textId="77777777" w:rsidR="005F38AA" w:rsidRDefault="009649F8">
            <w:pPr>
              <w:pStyle w:val="TableParagraph"/>
              <w:numPr>
                <w:ilvl w:val="0"/>
                <w:numId w:val="15"/>
              </w:numPr>
              <w:tabs>
                <w:tab w:val="left" w:pos="828"/>
              </w:tabs>
              <w:spacing w:before="3" w:line="273" w:lineRule="auto"/>
              <w:ind w:right="100"/>
              <w:jc w:val="both"/>
              <w:rPr>
                <w:sz w:val="20"/>
                <w:lang w:eastAsia="ja-JP"/>
              </w:rPr>
            </w:pPr>
            <w:r>
              <w:rPr>
                <w:sz w:val="20"/>
                <w:lang w:eastAsia="ja-JP"/>
              </w:rPr>
              <w:t>分類学には、緩和に焦点が当てられているため、森林プランテーションは含まれていない。 我々は、国連REDDが提供する森林減少に対する国際的な指導原則を包括的な原則として認識する。</w:t>
            </w:r>
          </w:p>
          <w:p w14:paraId="7F166CEA" w14:textId="77777777" w:rsidR="005F38AA" w:rsidRDefault="00AC57BC">
            <w:pPr>
              <w:pStyle w:val="TableParagraph"/>
              <w:spacing w:before="83" w:line="357" w:lineRule="auto"/>
              <w:rPr>
                <w:sz w:val="20"/>
                <w:lang w:eastAsia="ja-JP"/>
              </w:rPr>
            </w:pPr>
            <w:hyperlink r:id="rId55">
              <w:r w:rsidR="009649F8">
                <w:rPr>
                  <w:color w:val="00AFEF"/>
                  <w:sz w:val="20"/>
                  <w:u w:val="single" w:color="00AFEF"/>
                  <w:lang w:eastAsia="ja-JP"/>
                </w:rPr>
                <w:t>https://eur-lex.europa.eu/legal-content/EN/TXT/PDF/?uri=CELEX:32011D0278&amp;from=EN https://ec.europa.eu/clima/sites/clima/files/ets/allowances/docs/gd9_sector_specific_guidance_en.pdf</w:t>
              </w:r>
            </w:hyperlink>
            <w:hyperlink r:id="rId56"/>
          </w:p>
          <w:p w14:paraId="7F166CEB" w14:textId="77777777" w:rsidR="005F38AA" w:rsidRDefault="005F38AA">
            <w:pPr>
              <w:pStyle w:val="TableParagraph"/>
              <w:spacing w:before="2"/>
              <w:ind w:left="0"/>
              <w:rPr>
                <w:sz w:val="30"/>
                <w:lang w:eastAsia="ja-JP"/>
              </w:rPr>
            </w:pPr>
          </w:p>
          <w:p w14:paraId="7F166CEC" w14:textId="77777777" w:rsidR="005F38AA" w:rsidRDefault="009649F8">
            <w:pPr>
              <w:pStyle w:val="TableParagraph"/>
              <w:spacing w:before="0"/>
              <w:rPr>
                <w:b/>
                <w:sz w:val="20"/>
                <w:lang w:eastAsia="ja-JP"/>
              </w:rPr>
            </w:pPr>
            <w:r>
              <w:rPr>
                <w:b/>
                <w:sz w:val="20"/>
                <w:lang w:eastAsia="ja-JP"/>
              </w:rPr>
              <w:t>BREF:</w:t>
            </w:r>
          </w:p>
          <w:p w14:paraId="7F166CED" w14:textId="77777777" w:rsidR="005F38AA" w:rsidRDefault="00AC57BC">
            <w:pPr>
              <w:pStyle w:val="TableParagraph"/>
              <w:spacing w:before="116" w:line="276" w:lineRule="auto"/>
              <w:ind w:right="584"/>
              <w:rPr>
                <w:sz w:val="20"/>
                <w:lang w:eastAsia="ja-JP"/>
              </w:rPr>
            </w:pPr>
            <w:hyperlink r:id="rId57">
              <w:r w:rsidR="009649F8">
                <w:rPr>
                  <w:color w:val="00AFEF"/>
                  <w:w w:val="95"/>
                  <w:sz w:val="20"/>
                  <w:u w:val="single" w:color="00AFEF"/>
                  <w:lang w:eastAsia="ja-JP"/>
                </w:rPr>
                <w:t>https://ec.europa.eu/jrc/en/publication/eur-scientific-and-technical-research-reports/best-available-技術-バット-リファレンス-ドキュメント-プロダクション-大量有機化学物質</w:t>
              </w:r>
            </w:hyperlink>
            <w:hyperlink r:id="rId58"/>
          </w:p>
          <w:p w14:paraId="7F166CEE" w14:textId="77777777" w:rsidR="005F38AA" w:rsidRDefault="009649F8">
            <w:pPr>
              <w:pStyle w:val="TableParagraph"/>
              <w:spacing w:before="81" w:line="276" w:lineRule="auto"/>
              <w:ind w:right="9"/>
              <w:rPr>
                <w:sz w:val="20"/>
              </w:rPr>
            </w:pPr>
            <w:r>
              <w:rPr>
                <w:sz w:val="20"/>
                <w:lang w:eastAsia="ja-JP"/>
              </w:rPr>
              <w:t xml:space="preserve">2021年から2025年までの期間及び2026年から2030年までの期間のベンチマークを決定するための規定は、アートに含まれる。 </w:t>
            </w:r>
            <w:r>
              <w:rPr>
                <w:sz w:val="20"/>
              </w:rPr>
              <w:t>指令2003/87/ECの10a、2(a)及び2(c)。</w:t>
            </w:r>
          </w:p>
          <w:p w14:paraId="7F166CEF" w14:textId="77777777" w:rsidR="005F38AA" w:rsidRDefault="00AC57BC">
            <w:pPr>
              <w:pStyle w:val="TableParagraph"/>
              <w:spacing w:before="78" w:line="276" w:lineRule="auto"/>
              <w:rPr>
                <w:sz w:val="20"/>
              </w:rPr>
            </w:pPr>
            <w:hyperlink r:id="rId59">
              <w:r w:rsidR="009649F8">
                <w:rPr>
                  <w:color w:val="00AFEF"/>
                  <w:w w:val="95"/>
                  <w:sz w:val="20"/>
                  <w:u w:val="single" w:color="00AFEF"/>
                </w:rPr>
                <w:t>https://eur-lex.europa.eu/legal-content/EN/TXT/PDF/?uri=CELEX:02003L0087- 20180408&amp;qid=1547917622180&amp;from=EN</w:t>
              </w:r>
            </w:hyperlink>
            <w:hyperlink r:id="rId60"/>
          </w:p>
          <w:p w14:paraId="7F166CF0" w14:textId="77777777" w:rsidR="005F38AA" w:rsidRDefault="005F38AA">
            <w:pPr>
              <w:pStyle w:val="TableParagraph"/>
              <w:spacing w:before="0"/>
              <w:ind w:left="0"/>
            </w:pPr>
          </w:p>
          <w:p w14:paraId="7F166CF1" w14:textId="77777777" w:rsidR="005F38AA" w:rsidRDefault="009649F8">
            <w:pPr>
              <w:pStyle w:val="TableParagraph"/>
              <w:spacing w:before="173"/>
              <w:rPr>
                <w:b/>
                <w:sz w:val="20"/>
                <w:lang w:eastAsia="ja-JP"/>
              </w:rPr>
            </w:pPr>
            <w:r>
              <w:rPr>
                <w:b/>
                <w:sz w:val="20"/>
                <w:lang w:eastAsia="ja-JP"/>
              </w:rPr>
              <w:t>CPAコード20.14.31、20.14.32、20.14.33、20.14.34に基づく化学品の製造については:</w:t>
            </w:r>
          </w:p>
          <w:p w14:paraId="7F166CF2" w14:textId="77777777" w:rsidR="005F38AA" w:rsidRDefault="009649F8">
            <w:pPr>
              <w:pStyle w:val="TableParagraph"/>
              <w:spacing w:before="113" w:line="276" w:lineRule="auto"/>
              <w:ind w:right="99"/>
              <w:jc w:val="both"/>
              <w:rPr>
                <w:sz w:val="20"/>
                <w:lang w:eastAsia="ja-JP"/>
              </w:rPr>
            </w:pPr>
            <w:r>
              <w:rPr>
                <w:sz w:val="20"/>
                <w:lang w:eastAsia="ja-JP"/>
              </w:rPr>
              <w:t>持続可能な投資を促進するための枠組みに関する欧州委員会の規制案の第6条には、気候変動緩和に実質的な貢献を提供するための「再生可能資源の利用への転換」が含まれている。 革新的な生化学部門がこの目的に貢献するかもしれない。 従って、バイオマスのような再生可能な原料に基づく場合、有機化学物質の製造工程が緩和目標に実質的に寄与する条件を特定するために、追加の基準が規定されている。</w:t>
            </w:r>
          </w:p>
          <w:p w14:paraId="7F166CF3" w14:textId="77777777" w:rsidR="005F38AA" w:rsidRDefault="009649F8">
            <w:pPr>
              <w:pStyle w:val="TableParagraph"/>
              <w:spacing w:before="82" w:line="276" w:lineRule="auto"/>
              <w:ind w:right="100"/>
              <w:jc w:val="both"/>
              <w:rPr>
                <w:sz w:val="10"/>
              </w:rPr>
            </w:pPr>
            <w:r>
              <w:rPr>
                <w:sz w:val="20"/>
                <w:lang w:eastAsia="ja-JP"/>
              </w:rPr>
              <w:t>「生物由来化学物質」とは、生物由来の物質(例えば、バイオマス、原料、植物、藻類、作物、樹木、海洋生物及び生物学的廃棄物)に全部又は一部由来する化学製品と定義される。 従来の化学品と比較して環境への影響が限定的であると予想されることを考慮すると、バイオベースの化学品は、最近、EU市場において、標準的な化学品に代わる有効で環境に優しい代替品として登場している。</w:t>
            </w:r>
            <w:r>
              <w:rPr>
                <w:sz w:val="20"/>
              </w:rPr>
              <w:t>」219。</w:t>
            </w:r>
          </w:p>
        </w:tc>
      </w:tr>
      <w:tr w:rsidR="005F38AA" w14:paraId="7F166CF7" w14:textId="77777777">
        <w:trPr>
          <w:trHeight w:val="383"/>
        </w:trPr>
        <w:tc>
          <w:tcPr>
            <w:tcW w:w="108" w:type="dxa"/>
            <w:tcBorders>
              <w:right w:val="nil"/>
            </w:tcBorders>
            <w:shd w:val="clear" w:color="auto" w:fill="4471C4"/>
          </w:tcPr>
          <w:p w14:paraId="7F166CF5" w14:textId="77777777" w:rsidR="005F38AA" w:rsidRDefault="005F38AA">
            <w:pPr>
              <w:pStyle w:val="TableParagraph"/>
              <w:spacing w:before="0"/>
              <w:ind w:left="0"/>
              <w:rPr>
                <w:rFonts w:ascii="Times New Roman"/>
                <w:sz w:val="18"/>
              </w:rPr>
            </w:pPr>
          </w:p>
        </w:tc>
        <w:tc>
          <w:tcPr>
            <w:tcW w:w="9244" w:type="dxa"/>
            <w:tcBorders>
              <w:left w:val="nil"/>
            </w:tcBorders>
            <w:shd w:val="clear" w:color="auto" w:fill="4471C4"/>
          </w:tcPr>
          <w:p w14:paraId="7F166CF6" w14:textId="5E1380EC" w:rsidR="005F38AA" w:rsidRDefault="009649F8" w:rsidP="006F08B1">
            <w:pPr>
              <w:pStyle w:val="TableParagraph"/>
              <w:ind w:left="4"/>
              <w:rPr>
                <w:b/>
                <w:sz w:val="20"/>
                <w:lang w:eastAsia="ja-JP"/>
              </w:rPr>
            </w:pPr>
            <w:r>
              <w:rPr>
                <w:b/>
                <w:color w:val="FFFFFF"/>
                <w:sz w:val="20"/>
                <w:lang w:eastAsia="ja-JP"/>
              </w:rPr>
              <w:t>重大な有害性</w:t>
            </w:r>
          </w:p>
        </w:tc>
      </w:tr>
      <w:tr w:rsidR="005F38AA" w14:paraId="7F166CFB" w14:textId="77777777">
        <w:trPr>
          <w:trHeight w:val="1471"/>
        </w:trPr>
        <w:tc>
          <w:tcPr>
            <w:tcW w:w="9352" w:type="dxa"/>
            <w:gridSpan w:val="2"/>
          </w:tcPr>
          <w:p w14:paraId="7F166CF8" w14:textId="77777777" w:rsidR="005F38AA" w:rsidRDefault="009649F8">
            <w:pPr>
              <w:pStyle w:val="TableParagraph"/>
              <w:spacing w:line="276" w:lineRule="auto"/>
              <w:ind w:right="166"/>
              <w:rPr>
                <w:sz w:val="20"/>
                <w:lang w:eastAsia="ja-JP"/>
              </w:rPr>
            </w:pPr>
            <w:r>
              <w:rPr>
                <w:sz w:val="20"/>
                <w:lang w:eastAsia="ja-JP"/>
              </w:rPr>
              <w:t>他の有機化学物質の生産による環境への重大な潜在的危害は、次のものに関係している。</w:t>
            </w:r>
          </w:p>
          <w:p w14:paraId="7F166CF9" w14:textId="77777777" w:rsidR="005F38AA" w:rsidRDefault="009649F8">
            <w:pPr>
              <w:pStyle w:val="TableParagraph"/>
              <w:numPr>
                <w:ilvl w:val="0"/>
                <w:numId w:val="14"/>
              </w:numPr>
              <w:tabs>
                <w:tab w:val="left" w:pos="827"/>
                <w:tab w:val="left" w:pos="828"/>
              </w:tabs>
              <w:spacing w:before="82"/>
              <w:rPr>
                <w:sz w:val="20"/>
                <w:lang w:eastAsia="ja-JP"/>
              </w:rPr>
            </w:pPr>
            <w:r>
              <w:rPr>
                <w:sz w:val="20"/>
                <w:lang w:eastAsia="ja-JP"/>
              </w:rPr>
              <w:t>製造工程からの大気および水への汚染物質の排出</w:t>
            </w:r>
          </w:p>
          <w:p w14:paraId="7F166CFA" w14:textId="77777777" w:rsidR="005F38AA" w:rsidRDefault="009649F8">
            <w:pPr>
              <w:pStyle w:val="TableParagraph"/>
              <w:numPr>
                <w:ilvl w:val="0"/>
                <w:numId w:val="14"/>
              </w:numPr>
              <w:tabs>
                <w:tab w:val="left" w:pos="827"/>
                <w:tab w:val="left" w:pos="828"/>
              </w:tabs>
              <w:spacing w:before="18" w:line="260" w:lineRule="atLeast"/>
              <w:ind w:right="972"/>
              <w:rPr>
                <w:sz w:val="20"/>
                <w:lang w:eastAsia="ja-JP"/>
              </w:rPr>
            </w:pPr>
            <w:r>
              <w:rPr>
                <w:sz w:val="20"/>
                <w:lang w:eastAsia="ja-JP"/>
              </w:rPr>
              <w:t>脆弱な生態系は、生産施設の建設および/または操業によって損なわれる可能性がある。</w:t>
            </w:r>
          </w:p>
        </w:tc>
      </w:tr>
    </w:tbl>
    <w:p w14:paraId="7F166CFC" w14:textId="77777777" w:rsidR="005F38AA" w:rsidRDefault="005F38AA">
      <w:pPr>
        <w:pStyle w:val="a3"/>
        <w:rPr>
          <w:lang w:eastAsia="ja-JP"/>
        </w:rPr>
      </w:pPr>
    </w:p>
    <w:p w14:paraId="7F166CFD" w14:textId="77777777" w:rsidR="005F38AA" w:rsidRDefault="005F38AA">
      <w:pPr>
        <w:pStyle w:val="a3"/>
        <w:rPr>
          <w:lang w:eastAsia="ja-JP"/>
        </w:rPr>
      </w:pPr>
    </w:p>
    <w:p w14:paraId="7F166CFE" w14:textId="58266674" w:rsidR="005F38AA" w:rsidRDefault="00520D32">
      <w:pPr>
        <w:pStyle w:val="a3"/>
        <w:spacing w:before="4"/>
        <w:rPr>
          <w:sz w:val="23"/>
          <w:lang w:eastAsia="ja-JP"/>
        </w:rPr>
      </w:pPr>
      <w:r>
        <w:rPr>
          <w:noProof/>
          <w:lang w:val="en-US" w:eastAsia="ja-JP"/>
        </w:rPr>
        <mc:AlternateContent>
          <mc:Choice Requires="wps">
            <w:drawing>
              <wp:anchor distT="0" distB="0" distL="0" distR="0" simplePos="0" relativeHeight="251663360" behindDoc="1" locked="0" layoutInCell="1" allowOverlap="1" wp14:anchorId="7F166DA7" wp14:editId="37732A31">
                <wp:simplePos x="0" y="0"/>
                <wp:positionH relativeFrom="page">
                  <wp:posOffset>914400</wp:posOffset>
                </wp:positionH>
                <wp:positionV relativeFrom="paragraph">
                  <wp:posOffset>198755</wp:posOffset>
                </wp:positionV>
                <wp:extent cx="1829435" cy="0"/>
                <wp:effectExtent l="9525" t="5080" r="8890"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C2F9" id="Line 5"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216.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nyzyJ6BFB19CiiHRWOc/cd2hYJRYAucITE5b5wMRUgwh4R6lN0LK&#10;KLZUqC/xLF3MYoLTUrDgDGHOHvaVtOhEwrjEL1YFnscwq4+KRbCWE7a+2Z4IebXhcqkCHpQCdG7W&#10;dR5+LNLFer6e56N8MluP8rSuRx83VT6abbIP0/qprqo6+xmoZXnRCsa4CuyG2czyv9P+9kquU3Wf&#10;znsbkrfosV9AdvhH0lHLIN91EPaaXXZ20BjGMQbfnk6Y98c92I8PfPULAAD//wMAUEsDBBQABgAI&#10;AAAAIQAjMRQ83gAAAAkBAAAPAAAAZHJzL2Rvd25yZXYueG1sTI9BT4NAEIXvJv6HzZh4swuFKCJL&#10;YzSa9GAa28bzlh0BYWcJuy303zvGgx7fm5c33ytWs+3FCUffOlIQLyIQSJUzLdUK9ruXmwyED5qM&#10;7h2hgjN6WJWXF4XOjZvoHU/bUAsuIZ9rBU0IQy6lrxq02i/cgMS3TzdaHViOtTSjnrjc9nIZRbfS&#10;6pb4Q6MHfGqw6rZHq+Atk89u031U569p95pl6+7+br1X6vpqfnwAEXAOf2H4wWd0KJnp4I5kvOhZ&#10;pylvCQqSOAHBgTRZxiAOv4YsC/l/QfkNAAD//wMAUEsBAi0AFAAGAAgAAAAhALaDOJL+AAAA4QEA&#10;ABMAAAAAAAAAAAAAAAAAAAAAAFtDb250ZW50X1R5cGVzXS54bWxQSwECLQAUAAYACAAAACEAOP0h&#10;/9YAAACUAQAACwAAAAAAAAAAAAAAAAAvAQAAX3JlbHMvLnJlbHNQSwECLQAUAAYACAAAACEAv3i/&#10;IxECAAAoBAAADgAAAAAAAAAAAAAAAAAuAgAAZHJzL2Uyb0RvYy54bWxQSwECLQAUAAYACAAAACEA&#10;IzEUPN4AAAAJAQAADwAAAAAAAAAAAAAAAABrBAAAZHJzL2Rvd25yZXYueG1sUEsFBgAAAAAEAAQA&#10;8wAAAHYFAAAAAA==&#10;" strokeweight=".48pt">
                <w10:wrap type="topAndBottom" anchorx="page"/>
              </v:line>
            </w:pict>
          </mc:Fallback>
        </mc:AlternateContent>
      </w:r>
    </w:p>
    <w:p w14:paraId="7F166CFF" w14:textId="77777777" w:rsidR="005F38AA" w:rsidRDefault="005F38AA">
      <w:pPr>
        <w:pStyle w:val="a3"/>
        <w:spacing w:before="4"/>
        <w:rPr>
          <w:sz w:val="17"/>
          <w:lang w:eastAsia="ja-JP"/>
        </w:rPr>
      </w:pPr>
    </w:p>
    <w:p w14:paraId="7F166D00" w14:textId="77777777" w:rsidR="005F38AA" w:rsidRDefault="00AC57BC">
      <w:pPr>
        <w:pStyle w:val="a4"/>
        <w:numPr>
          <w:ilvl w:val="0"/>
          <w:numId w:val="23"/>
        </w:numPr>
        <w:tabs>
          <w:tab w:val="left" w:pos="413"/>
        </w:tabs>
        <w:spacing w:before="96"/>
        <w:rPr>
          <w:sz w:val="16"/>
          <w:lang w:eastAsia="ja-JP"/>
        </w:rPr>
      </w:pPr>
      <w:hyperlink r:id="rId61">
        <w:r w:rsidR="009649F8">
          <w:rPr>
            <w:sz w:val="16"/>
            <w:lang w:eastAsia="ja-JP"/>
          </w:rPr>
          <w:t>https://ec.europa.eu/jrc/en/science-update/future-bio-based-chemicals-eu-bioeconomy</w:t>
        </w:r>
      </w:hyperlink>
    </w:p>
    <w:p w14:paraId="7F166D01" w14:textId="77777777" w:rsidR="005F38AA" w:rsidRDefault="005F38AA">
      <w:pPr>
        <w:rPr>
          <w:sz w:val="16"/>
          <w:lang w:eastAsia="ja-JP"/>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585"/>
      </w:tblGrid>
      <w:tr w:rsidR="005F38AA" w14:paraId="7F166D04" w14:textId="77777777">
        <w:trPr>
          <w:trHeight w:val="900"/>
        </w:trPr>
        <w:tc>
          <w:tcPr>
            <w:tcW w:w="9351" w:type="dxa"/>
            <w:gridSpan w:val="2"/>
          </w:tcPr>
          <w:p w14:paraId="7F166D02" w14:textId="77777777" w:rsidR="005F38AA" w:rsidRDefault="009649F8">
            <w:pPr>
              <w:pStyle w:val="TableParagraph"/>
              <w:numPr>
                <w:ilvl w:val="0"/>
                <w:numId w:val="13"/>
              </w:numPr>
              <w:tabs>
                <w:tab w:val="left" w:pos="827"/>
                <w:tab w:val="left" w:pos="828"/>
              </w:tabs>
              <w:spacing w:before="0" w:line="271" w:lineRule="auto"/>
              <w:ind w:right="681"/>
              <w:rPr>
                <w:sz w:val="20"/>
                <w:lang w:eastAsia="ja-JP"/>
              </w:rPr>
            </w:pPr>
            <w:r>
              <w:rPr>
                <w:sz w:val="20"/>
                <w:lang w:eastAsia="ja-JP"/>
              </w:rPr>
              <w:lastRenderedPageBreak/>
              <w:t>水ストレス地域における生産目的(例:冷却水)のための水資源の使用</w:t>
            </w:r>
          </w:p>
          <w:p w14:paraId="7F166D03" w14:textId="77777777" w:rsidR="005F38AA" w:rsidRDefault="009649F8">
            <w:pPr>
              <w:pStyle w:val="TableParagraph"/>
              <w:numPr>
                <w:ilvl w:val="0"/>
                <w:numId w:val="13"/>
              </w:numPr>
              <w:tabs>
                <w:tab w:val="left" w:pos="827"/>
                <w:tab w:val="left" w:pos="828"/>
              </w:tabs>
              <w:spacing w:before="6"/>
              <w:rPr>
                <w:sz w:val="20"/>
              </w:rPr>
            </w:pPr>
            <w:r>
              <w:rPr>
                <w:sz w:val="20"/>
              </w:rPr>
              <w:t>有害廃棄物の発生</w:t>
            </w:r>
          </w:p>
        </w:tc>
      </w:tr>
      <w:tr w:rsidR="005F38AA" w14:paraId="7F166D07" w14:textId="77777777">
        <w:trPr>
          <w:trHeight w:val="397"/>
        </w:trPr>
        <w:tc>
          <w:tcPr>
            <w:tcW w:w="1766" w:type="dxa"/>
          </w:tcPr>
          <w:p w14:paraId="7F166D05" w14:textId="77777777" w:rsidR="005F38AA" w:rsidRDefault="009649F8">
            <w:pPr>
              <w:pStyle w:val="TableParagraph"/>
              <w:rPr>
                <w:sz w:val="20"/>
              </w:rPr>
            </w:pPr>
            <w:r>
              <w:rPr>
                <w:sz w:val="20"/>
              </w:rPr>
              <w:t>(2)適応</w:t>
            </w:r>
          </w:p>
        </w:tc>
        <w:tc>
          <w:tcPr>
            <w:tcW w:w="7585" w:type="dxa"/>
          </w:tcPr>
          <w:p w14:paraId="7F166D06" w14:textId="77777777" w:rsidR="005F38AA" w:rsidRDefault="009649F8">
            <w:pPr>
              <w:pStyle w:val="TableParagraph"/>
              <w:numPr>
                <w:ilvl w:val="0"/>
                <w:numId w:val="12"/>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5F38AA" w14:paraId="7F166D0B" w14:textId="77777777">
        <w:trPr>
          <w:trHeight w:val="1550"/>
        </w:trPr>
        <w:tc>
          <w:tcPr>
            <w:tcW w:w="1766" w:type="dxa"/>
          </w:tcPr>
          <w:p w14:paraId="7F166D08" w14:textId="77777777" w:rsidR="005F38AA" w:rsidRDefault="009649F8">
            <w:pPr>
              <w:pStyle w:val="TableParagraph"/>
              <w:rPr>
                <w:sz w:val="20"/>
              </w:rPr>
            </w:pPr>
            <w:r>
              <w:rPr>
                <w:sz w:val="20"/>
              </w:rPr>
              <w:t>(3) 水</w:t>
            </w:r>
          </w:p>
        </w:tc>
        <w:tc>
          <w:tcPr>
            <w:tcW w:w="7585" w:type="dxa"/>
          </w:tcPr>
          <w:p w14:paraId="7F166D09" w14:textId="77777777" w:rsidR="005F38AA" w:rsidRDefault="009649F8">
            <w:pPr>
              <w:pStyle w:val="TableParagraph"/>
              <w:numPr>
                <w:ilvl w:val="0"/>
                <w:numId w:val="11"/>
              </w:numPr>
              <w:tabs>
                <w:tab w:val="left" w:pos="468"/>
                <w:tab w:val="left" w:pos="469"/>
              </w:tabs>
              <w:spacing w:before="41" w:line="273" w:lineRule="auto"/>
              <w:ind w:right="186"/>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D0A" w14:textId="77777777" w:rsidR="005F38AA" w:rsidRDefault="009649F8">
            <w:pPr>
              <w:pStyle w:val="TableParagraph"/>
              <w:numPr>
                <w:ilvl w:val="0"/>
                <w:numId w:val="11"/>
              </w:numPr>
              <w:tabs>
                <w:tab w:val="left" w:pos="468"/>
                <w:tab w:val="left" w:pos="469"/>
              </w:tabs>
              <w:spacing w:before="86"/>
              <w:rPr>
                <w:sz w:val="20"/>
                <w:lang w:eastAsia="ja-JP"/>
              </w:rPr>
            </w:pPr>
            <w:r>
              <w:rPr>
                <w:sz w:val="20"/>
                <w:lang w:eastAsia="ja-JP"/>
              </w:rPr>
              <w:t>EUでは、EU水関連法規の要件を満たす。</w:t>
            </w:r>
          </w:p>
        </w:tc>
      </w:tr>
      <w:tr w:rsidR="005F38AA" w14:paraId="7F166D0E" w14:textId="77777777">
        <w:trPr>
          <w:trHeight w:val="993"/>
        </w:trPr>
        <w:tc>
          <w:tcPr>
            <w:tcW w:w="1766" w:type="dxa"/>
          </w:tcPr>
          <w:p w14:paraId="7F166D0C" w14:textId="2D45C0CB" w:rsidR="005F38AA" w:rsidRDefault="006F08B1">
            <w:pPr>
              <w:pStyle w:val="TableParagraph"/>
              <w:spacing w:line="276" w:lineRule="auto"/>
              <w:ind w:right="640"/>
              <w:rPr>
                <w:sz w:val="20"/>
                <w:lang w:eastAsia="ja-JP"/>
              </w:rPr>
            </w:pPr>
            <w:r>
              <w:rPr>
                <w:rFonts w:hint="eastAsia"/>
                <w:sz w:val="20"/>
                <w:lang w:eastAsia="ja-JP"/>
              </w:rPr>
              <w:t>(4) サーキュラーエコノミー</w:t>
            </w:r>
          </w:p>
        </w:tc>
        <w:tc>
          <w:tcPr>
            <w:tcW w:w="7585" w:type="dxa"/>
          </w:tcPr>
          <w:p w14:paraId="7F166D0D" w14:textId="77777777" w:rsidR="005F38AA" w:rsidRDefault="009649F8">
            <w:pPr>
              <w:pStyle w:val="TableParagraph"/>
              <w:spacing w:line="276" w:lineRule="auto"/>
              <w:ind w:left="108" w:right="116"/>
              <w:rPr>
                <w:sz w:val="20"/>
              </w:rPr>
            </w:pPr>
            <w:r>
              <w:rPr>
                <w:sz w:val="20"/>
              </w:rPr>
              <w:t>廃棄物および副産物、特に有害廃棄物は、BREF for Waste Treatment220に沿って管理されている。</w:t>
            </w:r>
          </w:p>
        </w:tc>
      </w:tr>
      <w:tr w:rsidR="005F38AA" w14:paraId="7F166D19" w14:textId="77777777">
        <w:trPr>
          <w:trHeight w:val="4015"/>
        </w:trPr>
        <w:tc>
          <w:tcPr>
            <w:tcW w:w="1766" w:type="dxa"/>
          </w:tcPr>
          <w:p w14:paraId="7F166D0F" w14:textId="77777777" w:rsidR="005F38AA" w:rsidRDefault="009649F8">
            <w:pPr>
              <w:pStyle w:val="TableParagraph"/>
              <w:rPr>
                <w:sz w:val="20"/>
              </w:rPr>
            </w:pPr>
            <w:r>
              <w:rPr>
                <w:sz w:val="20"/>
              </w:rPr>
              <w:t>(5)汚染</w:t>
            </w:r>
          </w:p>
        </w:tc>
        <w:tc>
          <w:tcPr>
            <w:tcW w:w="7585" w:type="dxa"/>
          </w:tcPr>
          <w:p w14:paraId="7F166D10" w14:textId="77777777" w:rsidR="005F38AA" w:rsidRDefault="009649F8">
            <w:pPr>
              <w:pStyle w:val="TableParagraph"/>
              <w:spacing w:line="276" w:lineRule="auto"/>
              <w:ind w:left="108" w:right="116"/>
              <w:rPr>
                <w:sz w:val="20"/>
                <w:lang w:eastAsia="ja-JP"/>
              </w:rPr>
            </w:pPr>
            <w:r>
              <w:rPr>
                <w:sz w:val="20"/>
                <w:lang w:eastAsia="ja-JP"/>
              </w:rPr>
              <w:t>大気、土壌および水への汚染物質の排出が、以下のBREF文書(該当する場合)に規定されているBAT-AELの範囲内であることを確認する。</w:t>
            </w:r>
          </w:p>
          <w:p w14:paraId="7F166D11" w14:textId="77777777" w:rsidR="005F38AA" w:rsidRDefault="009649F8">
            <w:pPr>
              <w:pStyle w:val="TableParagraph"/>
              <w:numPr>
                <w:ilvl w:val="0"/>
                <w:numId w:val="10"/>
              </w:numPr>
              <w:tabs>
                <w:tab w:val="left" w:pos="828"/>
                <w:tab w:val="left" w:pos="829"/>
              </w:tabs>
              <w:spacing w:before="81"/>
              <w:ind w:hanging="360"/>
              <w:rPr>
                <w:sz w:val="10"/>
                <w:lang w:eastAsia="ja-JP"/>
              </w:rPr>
            </w:pPr>
            <w:r>
              <w:rPr>
                <w:sz w:val="20"/>
                <w:lang w:eastAsia="ja-JP"/>
              </w:rPr>
              <w:t>BREF文書LVOC(大容量有機化学物質)221</w:t>
            </w:r>
          </w:p>
          <w:p w14:paraId="7F166D12" w14:textId="77777777" w:rsidR="005F38AA" w:rsidRDefault="009649F8">
            <w:pPr>
              <w:pStyle w:val="TableParagraph"/>
              <w:numPr>
                <w:ilvl w:val="0"/>
                <w:numId w:val="10"/>
              </w:numPr>
              <w:tabs>
                <w:tab w:val="left" w:pos="828"/>
                <w:tab w:val="left" w:pos="829"/>
              </w:tabs>
              <w:spacing w:before="113" w:line="271" w:lineRule="auto"/>
              <w:ind w:right="834" w:hanging="360"/>
              <w:rPr>
                <w:sz w:val="13"/>
                <w:lang w:eastAsia="ja-JP"/>
              </w:rPr>
            </w:pPr>
            <w:r>
              <w:rPr>
                <w:sz w:val="20"/>
                <w:lang w:eastAsia="ja-JP"/>
              </w:rPr>
              <w:t>BREF文書CWW(化学部門の一般的な廃水・廃ガス処理・管理システム用)222</w:t>
            </w:r>
          </w:p>
          <w:p w14:paraId="7F166D13" w14:textId="77777777" w:rsidR="005F38AA" w:rsidRDefault="009649F8">
            <w:pPr>
              <w:pStyle w:val="TableParagraph"/>
              <w:numPr>
                <w:ilvl w:val="0"/>
                <w:numId w:val="10"/>
              </w:numPr>
              <w:tabs>
                <w:tab w:val="left" w:pos="828"/>
                <w:tab w:val="left" w:pos="829"/>
              </w:tabs>
              <w:spacing w:before="85"/>
              <w:ind w:hanging="360"/>
              <w:rPr>
                <w:sz w:val="13"/>
                <w:lang w:eastAsia="ja-JP"/>
              </w:rPr>
            </w:pPr>
            <w:r>
              <w:rPr>
                <w:sz w:val="20"/>
                <w:lang w:eastAsia="ja-JP"/>
              </w:rPr>
              <w:t>BREF文書EFS(貯蔵からの放出)223</w:t>
            </w:r>
          </w:p>
          <w:p w14:paraId="7F166D14" w14:textId="77777777" w:rsidR="005F38AA" w:rsidRDefault="009649F8">
            <w:pPr>
              <w:pStyle w:val="TableParagraph"/>
              <w:numPr>
                <w:ilvl w:val="0"/>
                <w:numId w:val="10"/>
              </w:numPr>
              <w:tabs>
                <w:tab w:val="left" w:pos="828"/>
                <w:tab w:val="left" w:pos="829"/>
              </w:tabs>
              <w:spacing w:before="112"/>
              <w:ind w:hanging="360"/>
              <w:rPr>
                <w:sz w:val="10"/>
              </w:rPr>
            </w:pPr>
            <w:r>
              <w:rPr>
                <w:sz w:val="20"/>
              </w:rPr>
              <w:t>BREF文書REF(鉱油ガス精製)224</w:t>
            </w:r>
          </w:p>
          <w:p w14:paraId="7F166D15" w14:textId="77777777" w:rsidR="005F38AA" w:rsidRDefault="009649F8">
            <w:pPr>
              <w:pStyle w:val="TableParagraph"/>
              <w:numPr>
                <w:ilvl w:val="0"/>
                <w:numId w:val="10"/>
              </w:numPr>
              <w:tabs>
                <w:tab w:val="left" w:pos="828"/>
                <w:tab w:val="left" w:pos="829"/>
              </w:tabs>
              <w:spacing w:before="113"/>
              <w:ind w:hanging="360"/>
              <w:rPr>
                <w:sz w:val="20"/>
              </w:rPr>
            </w:pPr>
            <w:r>
              <w:rPr>
                <w:sz w:val="20"/>
              </w:rPr>
              <w:t>BREF文書WT(廃棄物処理)(上記参照)</w:t>
            </w:r>
          </w:p>
          <w:p w14:paraId="7F166D16" w14:textId="77777777" w:rsidR="005F38AA" w:rsidRDefault="009649F8">
            <w:pPr>
              <w:pStyle w:val="TableParagraph"/>
              <w:numPr>
                <w:ilvl w:val="0"/>
                <w:numId w:val="10"/>
              </w:numPr>
              <w:tabs>
                <w:tab w:val="left" w:pos="828"/>
                <w:tab w:val="left" w:pos="829"/>
              </w:tabs>
              <w:spacing w:before="115"/>
              <w:ind w:hanging="360"/>
              <w:rPr>
                <w:sz w:val="10"/>
              </w:rPr>
            </w:pPr>
            <w:r>
              <w:rPr>
                <w:sz w:val="20"/>
              </w:rPr>
              <w:t>BREF文書WI(廃棄物焼却)225</w:t>
            </w:r>
          </w:p>
          <w:p w14:paraId="7F166D17" w14:textId="77777777" w:rsidR="005F38AA" w:rsidRDefault="005F38AA">
            <w:pPr>
              <w:pStyle w:val="TableParagraph"/>
              <w:spacing w:before="0"/>
              <w:ind w:left="0"/>
              <w:rPr>
                <w:sz w:val="24"/>
              </w:rPr>
            </w:pPr>
          </w:p>
          <w:p w14:paraId="7F166D18" w14:textId="77777777" w:rsidR="005F38AA" w:rsidRDefault="009649F8">
            <w:pPr>
              <w:pStyle w:val="TableParagraph"/>
              <w:spacing w:before="179" w:line="278" w:lineRule="auto"/>
              <w:ind w:left="108" w:right="116"/>
              <w:rPr>
                <w:sz w:val="20"/>
                <w:lang w:eastAsia="ja-JP"/>
              </w:rPr>
            </w:pPr>
            <w:r>
              <w:rPr>
                <w:sz w:val="20"/>
                <w:lang w:eastAsia="ja-JP"/>
              </w:rPr>
              <w:t>最低限の要求事項は、承認された環境マネジメントシステム(ISO 14001、EMAS、または同等のもの)の実施と遵守である。</w:t>
            </w:r>
          </w:p>
        </w:tc>
      </w:tr>
    </w:tbl>
    <w:p w14:paraId="7F166D1A" w14:textId="77777777" w:rsidR="005F38AA" w:rsidRDefault="005F38AA">
      <w:pPr>
        <w:pStyle w:val="a3"/>
        <w:rPr>
          <w:lang w:eastAsia="ja-JP"/>
        </w:rPr>
      </w:pPr>
    </w:p>
    <w:p w14:paraId="7F166D1B" w14:textId="77777777" w:rsidR="005F38AA" w:rsidRDefault="005F38AA">
      <w:pPr>
        <w:pStyle w:val="a3"/>
        <w:rPr>
          <w:lang w:eastAsia="ja-JP"/>
        </w:rPr>
      </w:pPr>
    </w:p>
    <w:p w14:paraId="7F166D1C" w14:textId="1159700C" w:rsidR="005F38AA" w:rsidRDefault="00520D32">
      <w:pPr>
        <w:pStyle w:val="a3"/>
        <w:spacing w:before="9"/>
        <w:rPr>
          <w:sz w:val="28"/>
          <w:lang w:eastAsia="ja-JP"/>
        </w:rPr>
      </w:pPr>
      <w:r>
        <w:rPr>
          <w:noProof/>
          <w:lang w:val="en-US" w:eastAsia="ja-JP"/>
        </w:rPr>
        <mc:AlternateContent>
          <mc:Choice Requires="wps">
            <w:drawing>
              <wp:anchor distT="0" distB="0" distL="0" distR="0" simplePos="0" relativeHeight="251664384" behindDoc="1" locked="0" layoutInCell="1" allowOverlap="1" wp14:anchorId="7F166DA8" wp14:editId="7ACFCF87">
                <wp:simplePos x="0" y="0"/>
                <wp:positionH relativeFrom="page">
                  <wp:posOffset>914400</wp:posOffset>
                </wp:positionH>
                <wp:positionV relativeFrom="paragraph">
                  <wp:posOffset>238125</wp:posOffset>
                </wp:positionV>
                <wp:extent cx="1829435" cy="0"/>
                <wp:effectExtent l="9525" t="5080" r="889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0353" id="Line 4"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5pt" to="216.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jO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NsNpnnD48Y0cGXkGJINNb5L1x3KBgllsA5ApPjxvlAhBRDSLhH6bWQ&#10;MootFepLPE3n05jgtBQsOEOYs/tdJS06kjAu8YtVgec+zOqDYhGs5YStrrYnQl5suFyqgAelAJ2r&#10;dZmHX/N0vpqtZvkon0xXozyt69HndZWPpuvs02P9UFdVnf0O1LK8aAVjXAV2w2xm+du0v76Sy1Td&#10;pvPWhuQ1euwXkB3+kXTUMsh3GYSdZuetHTSGcYzB16cT5v1+D/b9A1/+AQAA//8DAFBLAwQUAAYA&#10;CAAAACEA2S7pWN8AAAAJAQAADwAAAGRycy9kb3ducmV2LnhtbEyPwU7DMBBE70j8g7VI3KjTNtA0&#10;xKkQCKQeKkRb9ezGSxISr6PYbdK/ZxEHOM7saPZNthptK87Y+9qRgukkAoFUOFNTqWC/e71LQPig&#10;yejWESq4oIdVfn2V6dS4gT7wvA2l4BLyqVZQhdClUvqiQqv9xHVIfPt0vdWBZV9K0+uBy20rZ1H0&#10;IK2uiT9UusPnCotme7IKNol8ce/Nobh8Dbu3JFk3y8V6r9Ttzfj0CCLgGP7C8IPP6JAz09GdyHjR&#10;so5j3hIUzBf3IDgQz2dTEMdfQ+aZ/L8g/wYAAP//AwBQSwECLQAUAAYACAAAACEAtoM4kv4AAADh&#10;AQAAEwAAAAAAAAAAAAAAAAAAAAAAW0NvbnRlbnRfVHlwZXNdLnhtbFBLAQItABQABgAIAAAAIQA4&#10;/SH/1gAAAJQBAAALAAAAAAAAAAAAAAAAAC8BAABfcmVscy8ucmVsc1BLAQItABQABgAIAAAAIQDZ&#10;QbjOEgIAACgEAAAOAAAAAAAAAAAAAAAAAC4CAABkcnMvZTJvRG9jLnhtbFBLAQItABQABgAIAAAA&#10;IQDZLulY3wAAAAkBAAAPAAAAAAAAAAAAAAAAAGwEAABkcnMvZG93bnJldi54bWxQSwUGAAAAAAQA&#10;BADzAAAAeAUAAAAA&#10;" strokeweight=".48pt">
                <w10:wrap type="topAndBottom" anchorx="page"/>
              </v:line>
            </w:pict>
          </mc:Fallback>
        </mc:AlternateContent>
      </w:r>
    </w:p>
    <w:p w14:paraId="7F166D1D" w14:textId="77777777" w:rsidR="005F38AA" w:rsidRDefault="005F38AA">
      <w:pPr>
        <w:pStyle w:val="a3"/>
        <w:spacing w:before="4"/>
        <w:rPr>
          <w:sz w:val="17"/>
          <w:lang w:eastAsia="ja-JP"/>
        </w:rPr>
      </w:pPr>
    </w:p>
    <w:p w14:paraId="7F166D1E" w14:textId="77777777" w:rsidR="005F38AA" w:rsidRDefault="009649F8">
      <w:pPr>
        <w:pStyle w:val="a4"/>
        <w:numPr>
          <w:ilvl w:val="0"/>
          <w:numId w:val="23"/>
        </w:numPr>
        <w:tabs>
          <w:tab w:val="left" w:pos="413"/>
        </w:tabs>
        <w:spacing w:before="96" w:line="259" w:lineRule="auto"/>
        <w:ind w:left="100" w:right="2904" w:firstLine="0"/>
        <w:rPr>
          <w:sz w:val="16"/>
          <w:lang w:eastAsia="ja-JP"/>
        </w:rPr>
      </w:pPr>
      <w:r>
        <w:rPr>
          <w:sz w:val="16"/>
          <w:lang w:eastAsia="ja-JP"/>
        </w:rPr>
        <w:t>http://eippcb.jrc.ec.europa.eu/reference/BREF/WT/JRC113018_WT_Bref.pdfで利用可能な廃棄物処理のための最良利用可能技術(BAT)参考文書</w:t>
      </w:r>
      <w:hyperlink r:id="rId62"/>
    </w:p>
    <w:p w14:paraId="7F166D1F" w14:textId="77777777" w:rsidR="005F38AA" w:rsidRDefault="009649F8">
      <w:pPr>
        <w:pStyle w:val="a4"/>
        <w:numPr>
          <w:ilvl w:val="0"/>
          <w:numId w:val="23"/>
        </w:numPr>
        <w:tabs>
          <w:tab w:val="left" w:pos="413"/>
        </w:tabs>
        <w:spacing w:before="160" w:line="259" w:lineRule="auto"/>
        <w:ind w:left="100" w:right="449" w:firstLine="0"/>
        <w:rPr>
          <w:sz w:val="16"/>
          <w:lang w:eastAsia="ja-JP"/>
        </w:rPr>
      </w:pPr>
      <w:r>
        <w:rPr>
          <w:sz w:val="16"/>
          <w:lang w:eastAsia="ja-JP"/>
        </w:rPr>
        <w:t>http://eippcb.jrc.ec.europa.eu/reference/BREF/lvic-s_bref_0907.pdfで入手可能な大量有機化学物質製造のための最良利用可能技術(BAT)参考文書</w:t>
      </w:r>
      <w:hyperlink r:id="rId63"/>
    </w:p>
    <w:p w14:paraId="7F166D20" w14:textId="77777777" w:rsidR="005F38AA" w:rsidRDefault="009649F8">
      <w:pPr>
        <w:pStyle w:val="a4"/>
        <w:numPr>
          <w:ilvl w:val="0"/>
          <w:numId w:val="23"/>
        </w:numPr>
        <w:tabs>
          <w:tab w:val="left" w:pos="413"/>
        </w:tabs>
        <w:spacing w:before="160" w:line="259" w:lineRule="auto"/>
        <w:ind w:left="100" w:right="357" w:firstLine="0"/>
        <w:rPr>
          <w:sz w:val="16"/>
          <w:lang w:eastAsia="ja-JP"/>
        </w:rPr>
      </w:pPr>
      <w:r>
        <w:rPr>
          <w:sz w:val="16"/>
          <w:lang w:eastAsia="ja-JP"/>
        </w:rPr>
        <w:t>化学部門の一般的な廃水および廃ガス処理/管理システムのための最良利用可能技術(BAT)参考文書、http://eippcb.jrc.ec.europa.eu/reference/BREF/CWW_Bref_2016_published.pdf(p.539-557)で入手可能</w:t>
      </w:r>
      <w:hyperlink r:id="rId64"/>
    </w:p>
    <w:p w14:paraId="7F166D21" w14:textId="77777777" w:rsidR="005F38AA" w:rsidRDefault="009649F8">
      <w:pPr>
        <w:pStyle w:val="a4"/>
        <w:numPr>
          <w:ilvl w:val="0"/>
          <w:numId w:val="23"/>
        </w:numPr>
        <w:tabs>
          <w:tab w:val="left" w:pos="413"/>
        </w:tabs>
        <w:spacing w:before="159" w:line="259" w:lineRule="auto"/>
        <w:ind w:left="100" w:right="1908" w:firstLine="0"/>
        <w:rPr>
          <w:sz w:val="16"/>
          <w:lang w:eastAsia="ja-JP"/>
        </w:rPr>
      </w:pPr>
      <w:r>
        <w:rPr>
          <w:sz w:val="16"/>
          <w:lang w:eastAsia="ja-JP"/>
        </w:rPr>
        <w:t>2006年7月の貯蔵からの放出に関する最良利用可能技術に関する参考文書、http://eippcb.jrc.ec.europa.eu/reference/BREF/esb_bref_0706.pdf(p.257-277)で入手可能</w:t>
      </w:r>
      <w:hyperlink r:id="rId65"/>
    </w:p>
    <w:p w14:paraId="7F166D22" w14:textId="77777777" w:rsidR="005F38AA" w:rsidRDefault="009649F8">
      <w:pPr>
        <w:pStyle w:val="a4"/>
        <w:numPr>
          <w:ilvl w:val="0"/>
          <w:numId w:val="23"/>
        </w:numPr>
        <w:tabs>
          <w:tab w:val="left" w:pos="413"/>
        </w:tabs>
        <w:spacing w:before="160" w:line="259" w:lineRule="auto"/>
        <w:ind w:left="100" w:right="1597" w:firstLine="0"/>
        <w:rPr>
          <w:sz w:val="16"/>
          <w:lang w:eastAsia="ja-JP"/>
        </w:rPr>
      </w:pPr>
      <w:r>
        <w:rPr>
          <w:sz w:val="16"/>
          <w:lang w:eastAsia="ja-JP"/>
        </w:rPr>
        <w:t>http://eippcb.jrc.ec.europa.eu/reference/BREF/REF_BREF_2015.pdfで入手可能な鉱物油ガス精製のための最良利用可能技術(BAT)参考文書</w:t>
      </w:r>
      <w:hyperlink r:id="rId66"/>
    </w:p>
    <w:p w14:paraId="7F166D23" w14:textId="77777777" w:rsidR="005F38AA" w:rsidRDefault="009649F8">
      <w:pPr>
        <w:pStyle w:val="a4"/>
        <w:numPr>
          <w:ilvl w:val="0"/>
          <w:numId w:val="23"/>
        </w:numPr>
        <w:tabs>
          <w:tab w:val="left" w:pos="413"/>
        </w:tabs>
        <w:spacing w:before="159" w:line="259" w:lineRule="auto"/>
        <w:ind w:left="100" w:right="2811" w:firstLine="0"/>
        <w:rPr>
          <w:sz w:val="16"/>
          <w:lang w:eastAsia="ja-JP"/>
        </w:rPr>
      </w:pPr>
      <w:r>
        <w:rPr>
          <w:sz w:val="16"/>
          <w:lang w:eastAsia="ja-JP"/>
        </w:rPr>
        <w:lastRenderedPageBreak/>
        <w:t>http://eippcb.jrc.ec.europa.eu/reference/BREF/WI/WI_BREF_FD_Black_Watermark.pdfで入手可能な廃棄物焼却のための最良利用可能技術(BAT)参考文書</w:t>
      </w:r>
      <w:hyperlink r:id="rId67"/>
    </w:p>
    <w:p w14:paraId="7F166D24" w14:textId="77777777" w:rsidR="005F38AA" w:rsidRDefault="005F38AA">
      <w:pPr>
        <w:spacing w:line="259" w:lineRule="auto"/>
        <w:rPr>
          <w:sz w:val="16"/>
          <w:lang w:eastAsia="ja-JP"/>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585"/>
      </w:tblGrid>
      <w:tr w:rsidR="005F38AA" w14:paraId="7F166D27" w14:textId="77777777">
        <w:trPr>
          <w:trHeight w:val="609"/>
        </w:trPr>
        <w:tc>
          <w:tcPr>
            <w:tcW w:w="1766" w:type="dxa"/>
          </w:tcPr>
          <w:p w14:paraId="7F166D25" w14:textId="77777777" w:rsidR="005F38AA" w:rsidRDefault="005F38AA">
            <w:pPr>
              <w:pStyle w:val="TableParagraph"/>
              <w:spacing w:before="0"/>
              <w:ind w:left="0"/>
              <w:rPr>
                <w:rFonts w:ascii="Times New Roman"/>
                <w:sz w:val="18"/>
                <w:lang w:eastAsia="ja-JP"/>
              </w:rPr>
            </w:pPr>
          </w:p>
        </w:tc>
        <w:tc>
          <w:tcPr>
            <w:tcW w:w="7585" w:type="dxa"/>
          </w:tcPr>
          <w:p w14:paraId="7F166D26" w14:textId="77777777" w:rsidR="005F38AA" w:rsidRDefault="009649F8">
            <w:pPr>
              <w:pStyle w:val="TableParagraph"/>
              <w:spacing w:before="0" w:line="276" w:lineRule="auto"/>
              <w:ind w:left="108" w:right="116"/>
              <w:rPr>
                <w:sz w:val="20"/>
                <w:lang w:eastAsia="ja-JP"/>
              </w:rPr>
            </w:pPr>
            <w:r>
              <w:rPr>
                <w:sz w:val="20"/>
                <w:lang w:eastAsia="ja-JP"/>
              </w:rPr>
              <w:t>活動が地域の大気汚染レベルに大きく寄与し、大気質基準を超える場合は、厳しいレベルのBAT-AELが要求される。</w:t>
            </w:r>
          </w:p>
        </w:tc>
      </w:tr>
      <w:tr w:rsidR="005F38AA" w14:paraId="7F166D2F" w14:textId="77777777">
        <w:trPr>
          <w:trHeight w:val="7966"/>
        </w:trPr>
        <w:tc>
          <w:tcPr>
            <w:tcW w:w="1766" w:type="dxa"/>
          </w:tcPr>
          <w:p w14:paraId="7F166D28" w14:textId="77777777" w:rsidR="005F38AA" w:rsidRDefault="009649F8">
            <w:pPr>
              <w:pStyle w:val="TableParagraph"/>
              <w:rPr>
                <w:sz w:val="20"/>
              </w:rPr>
            </w:pPr>
            <w:r>
              <w:rPr>
                <w:sz w:val="20"/>
              </w:rPr>
              <w:t>(6)生態系</w:t>
            </w:r>
          </w:p>
        </w:tc>
        <w:tc>
          <w:tcPr>
            <w:tcW w:w="7585" w:type="dxa"/>
          </w:tcPr>
          <w:p w14:paraId="7F166D29" w14:textId="77777777" w:rsidR="005F38AA" w:rsidRDefault="009649F8">
            <w:pPr>
              <w:pStyle w:val="TableParagraph"/>
              <w:spacing w:line="276" w:lineRule="auto"/>
              <w:ind w:left="108" w:right="72"/>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のサイト/事業の場合、より厳しい方—は、サイト/運営(輸送インフラ、運営、廃棄物処理施設などの付随サービスを含む)や、生物多様性/生態系を保護するために必要な緩和措置、特にユネスコ世界遺産および主要な生物多様性地域(KBA)が実施されています。</w:t>
            </w:r>
          </w:p>
          <w:p w14:paraId="7F166D2A" w14:textId="77777777" w:rsidR="005F38AA" w:rsidRDefault="005F38AA">
            <w:pPr>
              <w:pStyle w:val="TableParagraph"/>
              <w:spacing w:before="0"/>
              <w:ind w:left="0"/>
              <w:rPr>
                <w:lang w:eastAsia="ja-JP"/>
              </w:rPr>
            </w:pPr>
          </w:p>
          <w:p w14:paraId="7F166D2B" w14:textId="77777777" w:rsidR="005F38AA" w:rsidRDefault="009649F8">
            <w:pPr>
              <w:pStyle w:val="TableParagraph"/>
              <w:spacing w:before="172" w:line="276" w:lineRule="auto"/>
              <w:ind w:left="108" w:right="72"/>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D2C" w14:textId="77777777" w:rsidR="005F38AA" w:rsidRDefault="009649F8">
            <w:pPr>
              <w:pStyle w:val="TableParagraph"/>
              <w:numPr>
                <w:ilvl w:val="0"/>
                <w:numId w:val="9"/>
              </w:numPr>
              <w:tabs>
                <w:tab w:val="left" w:pos="1188"/>
                <w:tab w:val="left" w:pos="1189"/>
              </w:tabs>
              <w:spacing w:before="81" w:line="273" w:lineRule="auto"/>
              <w:ind w:right="154"/>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D2D" w14:textId="77777777" w:rsidR="005F38AA" w:rsidRDefault="009649F8">
            <w:pPr>
              <w:pStyle w:val="TableParagraph"/>
              <w:numPr>
                <w:ilvl w:val="0"/>
                <w:numId w:val="9"/>
              </w:numPr>
              <w:tabs>
                <w:tab w:val="left" w:pos="1188"/>
                <w:tab w:val="left" w:pos="1189"/>
              </w:tabs>
              <w:spacing w:before="84" w:line="271" w:lineRule="auto"/>
              <w:ind w:right="320"/>
              <w:rPr>
                <w:sz w:val="20"/>
                <w:lang w:eastAsia="ja-JP"/>
              </w:rPr>
            </w:pPr>
            <w:r>
              <w:rPr>
                <w:sz w:val="20"/>
                <w:lang w:eastAsia="ja-JP"/>
              </w:rPr>
              <w:t>種及び生息地への影響を低減するために必要なすべての緩和措置がとられていること。</w:t>
            </w:r>
          </w:p>
          <w:p w14:paraId="7F166D2E" w14:textId="77777777" w:rsidR="005F38AA" w:rsidRDefault="009649F8">
            <w:pPr>
              <w:pStyle w:val="TableParagraph"/>
              <w:numPr>
                <w:ilvl w:val="0"/>
                <w:numId w:val="9"/>
              </w:numPr>
              <w:tabs>
                <w:tab w:val="left" w:pos="1188"/>
                <w:tab w:val="left" w:pos="1189"/>
              </w:tabs>
              <w:spacing w:before="87" w:line="271" w:lineRule="auto"/>
              <w:ind w:right="195"/>
              <w:rPr>
                <w:sz w:val="20"/>
                <w:lang w:eastAsia="ja-JP"/>
              </w:rPr>
            </w:pPr>
            <w:r>
              <w:rPr>
                <w:sz w:val="20"/>
                <w:lang w:eastAsia="ja-JP"/>
              </w:rPr>
              <w:t>強固で、適切に設計され、長期的な生物多様性のモニタリングと評価プログラムが存在し、実施されている。</w:t>
            </w:r>
          </w:p>
        </w:tc>
      </w:tr>
    </w:tbl>
    <w:p w14:paraId="7F166D30" w14:textId="77777777" w:rsidR="005F38AA" w:rsidRDefault="005F38AA">
      <w:pPr>
        <w:spacing w:line="271" w:lineRule="auto"/>
        <w:rPr>
          <w:sz w:val="20"/>
          <w:lang w:eastAsia="ja-JP"/>
        </w:rPr>
        <w:sectPr w:rsidR="005F38AA">
          <w:pgSz w:w="12240" w:h="15840"/>
          <w:pgMar w:top="1440" w:right="1320" w:bottom="1560" w:left="1340" w:header="0" w:footer="1372" w:gutter="0"/>
          <w:cols w:space="720"/>
        </w:sectPr>
      </w:pPr>
    </w:p>
    <w:p w14:paraId="7F166D31" w14:textId="77777777" w:rsidR="005F38AA" w:rsidRDefault="009649F8">
      <w:pPr>
        <w:pStyle w:val="1"/>
        <w:numPr>
          <w:ilvl w:val="1"/>
          <w:numId w:val="75"/>
        </w:numPr>
        <w:tabs>
          <w:tab w:val="left" w:pos="820"/>
          <w:tab w:val="left" w:pos="821"/>
        </w:tabs>
      </w:pPr>
      <w:r>
        <w:rPr>
          <w:color w:val="006FC0"/>
        </w:rPr>
        <w:lastRenderedPageBreak/>
        <w:t>肥料・窒素化合物製造</w:t>
      </w:r>
    </w:p>
    <w:p w14:paraId="7F166D32" w14:textId="77777777" w:rsidR="005F38AA" w:rsidRDefault="005F38AA">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7787"/>
      </w:tblGrid>
      <w:tr w:rsidR="005F38AA" w14:paraId="7F166D34" w14:textId="77777777">
        <w:trPr>
          <w:trHeight w:val="383"/>
        </w:trPr>
        <w:tc>
          <w:tcPr>
            <w:tcW w:w="9352" w:type="dxa"/>
            <w:gridSpan w:val="2"/>
            <w:shd w:val="clear" w:color="auto" w:fill="4471C4"/>
          </w:tcPr>
          <w:p w14:paraId="7F166D33" w14:textId="77777777" w:rsidR="005F38AA" w:rsidRDefault="009649F8">
            <w:pPr>
              <w:pStyle w:val="TableParagraph"/>
              <w:rPr>
                <w:b/>
                <w:sz w:val="20"/>
              </w:rPr>
            </w:pPr>
            <w:r>
              <w:rPr>
                <w:b/>
                <w:color w:val="FFFFFF"/>
                <w:sz w:val="20"/>
              </w:rPr>
              <w:t>セクター分類と活動</w:t>
            </w:r>
          </w:p>
        </w:tc>
      </w:tr>
      <w:tr w:rsidR="005F38AA" w14:paraId="7F166D37" w14:textId="77777777">
        <w:trPr>
          <w:trHeight w:val="386"/>
        </w:trPr>
        <w:tc>
          <w:tcPr>
            <w:tcW w:w="1565" w:type="dxa"/>
          </w:tcPr>
          <w:p w14:paraId="7F166D35" w14:textId="77777777" w:rsidR="005F38AA" w:rsidRDefault="009649F8">
            <w:pPr>
              <w:pStyle w:val="TableParagraph"/>
              <w:rPr>
                <w:sz w:val="20"/>
              </w:rPr>
            </w:pPr>
            <w:r>
              <w:rPr>
                <w:sz w:val="20"/>
              </w:rPr>
              <w:t>マクロセクター</w:t>
            </w:r>
          </w:p>
        </w:tc>
        <w:tc>
          <w:tcPr>
            <w:tcW w:w="7787" w:type="dxa"/>
          </w:tcPr>
          <w:p w14:paraId="7F166D36" w14:textId="77777777" w:rsidR="005F38AA" w:rsidRDefault="009649F8">
            <w:pPr>
              <w:pStyle w:val="TableParagraph"/>
              <w:rPr>
                <w:sz w:val="20"/>
              </w:rPr>
            </w:pPr>
            <w:r>
              <w:rPr>
                <w:sz w:val="20"/>
              </w:rPr>
              <w:t>C-製造</w:t>
            </w:r>
          </w:p>
        </w:tc>
      </w:tr>
      <w:tr w:rsidR="005F38AA" w14:paraId="7F166D3A" w14:textId="77777777">
        <w:trPr>
          <w:trHeight w:val="383"/>
        </w:trPr>
        <w:tc>
          <w:tcPr>
            <w:tcW w:w="1565" w:type="dxa"/>
          </w:tcPr>
          <w:p w14:paraId="7F166D38" w14:textId="77777777" w:rsidR="005F38AA" w:rsidRDefault="009649F8">
            <w:pPr>
              <w:pStyle w:val="TableParagraph"/>
              <w:rPr>
                <w:sz w:val="20"/>
              </w:rPr>
            </w:pPr>
            <w:r>
              <w:rPr>
                <w:sz w:val="20"/>
              </w:rPr>
              <w:t>NACEレベル</w:t>
            </w:r>
          </w:p>
        </w:tc>
        <w:tc>
          <w:tcPr>
            <w:tcW w:w="7787" w:type="dxa"/>
          </w:tcPr>
          <w:p w14:paraId="7F166D39" w14:textId="77777777" w:rsidR="005F38AA" w:rsidRDefault="009649F8">
            <w:pPr>
              <w:pStyle w:val="TableParagraph"/>
              <w:rPr>
                <w:sz w:val="20"/>
              </w:rPr>
            </w:pPr>
            <w:r>
              <w:rPr>
                <w:w w:val="99"/>
                <w:sz w:val="20"/>
              </w:rPr>
              <w:t>4</w:t>
            </w:r>
          </w:p>
        </w:tc>
      </w:tr>
      <w:tr w:rsidR="005F38AA" w14:paraId="7F166D3D" w14:textId="77777777">
        <w:trPr>
          <w:trHeight w:val="383"/>
        </w:trPr>
        <w:tc>
          <w:tcPr>
            <w:tcW w:w="1565" w:type="dxa"/>
          </w:tcPr>
          <w:p w14:paraId="7F166D3B" w14:textId="77777777" w:rsidR="005F38AA" w:rsidRDefault="009649F8">
            <w:pPr>
              <w:pStyle w:val="TableParagraph"/>
              <w:rPr>
                <w:sz w:val="20"/>
              </w:rPr>
            </w:pPr>
            <w:r>
              <w:rPr>
                <w:sz w:val="20"/>
              </w:rPr>
              <w:t>コード</w:t>
            </w:r>
          </w:p>
        </w:tc>
        <w:tc>
          <w:tcPr>
            <w:tcW w:w="7787" w:type="dxa"/>
          </w:tcPr>
          <w:p w14:paraId="7F166D3C" w14:textId="77777777" w:rsidR="005F38AA" w:rsidRDefault="009649F8">
            <w:pPr>
              <w:pStyle w:val="TableParagraph"/>
              <w:rPr>
                <w:sz w:val="20"/>
              </w:rPr>
            </w:pPr>
            <w:r>
              <w:rPr>
                <w:sz w:val="20"/>
              </w:rPr>
              <w:t>C20.1.5</w:t>
            </w:r>
          </w:p>
        </w:tc>
      </w:tr>
      <w:tr w:rsidR="005F38AA" w14:paraId="7F166D42" w14:textId="77777777">
        <w:trPr>
          <w:trHeight w:val="1101"/>
        </w:trPr>
        <w:tc>
          <w:tcPr>
            <w:tcW w:w="1565" w:type="dxa"/>
          </w:tcPr>
          <w:p w14:paraId="7F166D3E" w14:textId="77777777" w:rsidR="005F38AA" w:rsidRDefault="009649F8">
            <w:pPr>
              <w:pStyle w:val="TableParagraph"/>
              <w:spacing w:before="42"/>
              <w:rPr>
                <w:sz w:val="20"/>
              </w:rPr>
            </w:pPr>
            <w:r>
              <w:rPr>
                <w:sz w:val="20"/>
              </w:rPr>
              <w:t>内容</w:t>
            </w:r>
          </w:p>
        </w:tc>
        <w:tc>
          <w:tcPr>
            <w:tcW w:w="7787" w:type="dxa"/>
          </w:tcPr>
          <w:p w14:paraId="7F166D3F" w14:textId="77777777" w:rsidR="005F38AA" w:rsidRDefault="009649F8">
            <w:pPr>
              <w:pStyle w:val="TableParagraph"/>
              <w:spacing w:before="42"/>
              <w:rPr>
                <w:sz w:val="20"/>
              </w:rPr>
            </w:pPr>
            <w:r>
              <w:rPr>
                <w:sz w:val="20"/>
              </w:rPr>
              <w:t>製造:</w:t>
            </w:r>
          </w:p>
          <w:p w14:paraId="7F166D40" w14:textId="77777777" w:rsidR="005F38AA" w:rsidRDefault="009649F8">
            <w:pPr>
              <w:pStyle w:val="TableParagraph"/>
              <w:numPr>
                <w:ilvl w:val="0"/>
                <w:numId w:val="7"/>
              </w:numPr>
              <w:tabs>
                <w:tab w:val="left" w:pos="827"/>
                <w:tab w:val="left" w:pos="828"/>
              </w:tabs>
              <w:spacing w:before="114"/>
              <w:rPr>
                <w:sz w:val="20"/>
                <w:lang w:eastAsia="ja-JP"/>
              </w:rPr>
            </w:pPr>
            <w:r>
              <w:rPr>
                <w:sz w:val="20"/>
                <w:lang w:eastAsia="ja-JP"/>
              </w:rPr>
              <w:t>無水アンモニア(CPA: 20.15.10.75)</w:t>
            </w:r>
          </w:p>
          <w:p w14:paraId="7F166D41" w14:textId="77777777" w:rsidR="005F38AA" w:rsidRDefault="009649F8">
            <w:pPr>
              <w:pStyle w:val="TableParagraph"/>
              <w:numPr>
                <w:ilvl w:val="0"/>
                <w:numId w:val="7"/>
              </w:numPr>
              <w:tabs>
                <w:tab w:val="left" w:pos="827"/>
                <w:tab w:val="left" w:pos="828"/>
              </w:tabs>
              <w:spacing w:before="113"/>
              <w:rPr>
                <w:sz w:val="20"/>
              </w:rPr>
            </w:pPr>
            <w:r>
              <w:rPr>
                <w:sz w:val="20"/>
              </w:rPr>
              <w:t>硝酸(CPA:20.15.10.50)</w:t>
            </w:r>
          </w:p>
        </w:tc>
      </w:tr>
      <w:tr w:rsidR="005F38AA" w14:paraId="7F166D44" w14:textId="77777777">
        <w:trPr>
          <w:trHeight w:val="383"/>
        </w:trPr>
        <w:tc>
          <w:tcPr>
            <w:tcW w:w="9352" w:type="dxa"/>
            <w:gridSpan w:val="2"/>
            <w:shd w:val="clear" w:color="auto" w:fill="4471C4"/>
          </w:tcPr>
          <w:p w14:paraId="7F166D43" w14:textId="77777777" w:rsidR="005F38AA" w:rsidRDefault="009649F8">
            <w:pPr>
              <w:pStyle w:val="TableParagraph"/>
              <w:rPr>
                <w:b/>
                <w:sz w:val="20"/>
              </w:rPr>
            </w:pPr>
            <w:r>
              <w:rPr>
                <w:b/>
                <w:color w:val="FFFFFF"/>
                <w:sz w:val="20"/>
              </w:rPr>
              <w:t>緩和基準</w:t>
            </w:r>
          </w:p>
        </w:tc>
      </w:tr>
      <w:tr w:rsidR="005F38AA" w14:paraId="7F166D48" w14:textId="77777777">
        <w:trPr>
          <w:trHeight w:val="2052"/>
        </w:trPr>
        <w:tc>
          <w:tcPr>
            <w:tcW w:w="1565" w:type="dxa"/>
          </w:tcPr>
          <w:p w14:paraId="7F166D45" w14:textId="77777777" w:rsidR="005F38AA" w:rsidRDefault="009649F8">
            <w:pPr>
              <w:pStyle w:val="TableParagraph"/>
              <w:spacing w:before="43"/>
              <w:rPr>
                <w:sz w:val="20"/>
              </w:rPr>
            </w:pPr>
            <w:r>
              <w:rPr>
                <w:sz w:val="20"/>
              </w:rPr>
              <w:t>原則</w:t>
            </w:r>
          </w:p>
        </w:tc>
        <w:tc>
          <w:tcPr>
            <w:tcW w:w="7787" w:type="dxa"/>
          </w:tcPr>
          <w:p w14:paraId="7F166D46" w14:textId="77777777" w:rsidR="005F38AA" w:rsidRDefault="009649F8">
            <w:pPr>
              <w:pStyle w:val="TableParagraph"/>
              <w:spacing w:before="43" w:line="276" w:lineRule="auto"/>
              <w:ind w:right="141"/>
              <w:rPr>
                <w:sz w:val="20"/>
                <w:lang w:eastAsia="ja-JP"/>
              </w:rPr>
            </w:pPr>
            <w:r>
              <w:rPr>
                <w:sz w:val="20"/>
                <w:lang w:eastAsia="ja-JP"/>
              </w:rPr>
              <w:t>アンモニアや硝酸の製造は炭素集約度が高い。 従って、製造活動自体からの排出を削減することは、緩和目標に積極的に貢献することができる。</w:t>
            </w:r>
          </w:p>
          <w:p w14:paraId="7F166D47" w14:textId="77777777" w:rsidR="005F38AA" w:rsidRDefault="009649F8">
            <w:pPr>
              <w:pStyle w:val="TableParagraph"/>
              <w:spacing w:before="78" w:line="276" w:lineRule="auto"/>
              <w:ind w:right="235"/>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5F38AA" w14:paraId="7F166D52" w14:textId="77777777">
        <w:trPr>
          <w:trHeight w:val="4690"/>
        </w:trPr>
        <w:tc>
          <w:tcPr>
            <w:tcW w:w="1565" w:type="dxa"/>
          </w:tcPr>
          <w:p w14:paraId="7F166D49" w14:textId="77777777" w:rsidR="005F38AA" w:rsidRDefault="009649F8">
            <w:pPr>
              <w:pStyle w:val="TableParagraph"/>
              <w:rPr>
                <w:sz w:val="20"/>
              </w:rPr>
            </w:pPr>
            <w:r>
              <w:rPr>
                <w:sz w:val="20"/>
              </w:rPr>
              <w:t>閾値</w:t>
            </w:r>
          </w:p>
        </w:tc>
        <w:tc>
          <w:tcPr>
            <w:tcW w:w="7787" w:type="dxa"/>
          </w:tcPr>
          <w:p w14:paraId="7F166D4A" w14:textId="77777777" w:rsidR="005F38AA" w:rsidRDefault="009649F8">
            <w:pPr>
              <w:pStyle w:val="TableParagraph"/>
              <w:spacing w:line="276" w:lineRule="auto"/>
              <w:ind w:right="141"/>
              <w:rPr>
                <w:sz w:val="20"/>
                <w:lang w:eastAsia="ja-JP"/>
              </w:rPr>
            </w:pPr>
            <w:r>
              <w:rPr>
                <w:sz w:val="20"/>
                <w:lang w:eastAsia="ja-JP"/>
              </w:rPr>
              <w:t>製造プロセスに関連するGHG排出量(EU-ETSベンチマークに使用される方法に従って計算される)が、関連するEU-ETSベンチマークの値よりも低い場合、硝酸の製造は適格である。</w:t>
            </w:r>
          </w:p>
          <w:p w14:paraId="7F166D4B" w14:textId="77777777" w:rsidR="005F38AA" w:rsidRDefault="009649F8">
            <w:pPr>
              <w:pStyle w:val="TableParagraph"/>
              <w:spacing w:before="80" w:line="276" w:lineRule="auto"/>
              <w:ind w:right="235"/>
              <w:rPr>
                <w:sz w:val="20"/>
                <w:lang w:eastAsia="ja-JP"/>
              </w:rPr>
            </w:pPr>
            <w:r>
              <w:rPr>
                <w:sz w:val="20"/>
                <w:lang w:eastAsia="ja-JP"/>
              </w:rPr>
              <w:t>2020年2月現在、EU-ETSの硝酸製造ベンチマーク値は以下の通りである。</w:t>
            </w:r>
          </w:p>
          <w:p w14:paraId="7F166D4C" w14:textId="77777777" w:rsidR="005F38AA" w:rsidRDefault="009649F8">
            <w:pPr>
              <w:pStyle w:val="TableParagraph"/>
              <w:numPr>
                <w:ilvl w:val="0"/>
                <w:numId w:val="6"/>
              </w:numPr>
              <w:tabs>
                <w:tab w:val="left" w:pos="827"/>
                <w:tab w:val="left" w:pos="828"/>
              </w:tabs>
              <w:spacing w:before="82"/>
              <w:rPr>
                <w:sz w:val="10"/>
                <w:lang w:eastAsia="ja-JP"/>
              </w:rPr>
            </w:pPr>
            <w:r>
              <w:rPr>
                <w:sz w:val="20"/>
                <w:lang w:eastAsia="ja-JP"/>
              </w:rPr>
              <w:t>ETSベンチマーク:0.302 tCO2e/t226</w:t>
            </w:r>
          </w:p>
          <w:p w14:paraId="7F166D4D" w14:textId="77777777" w:rsidR="005F38AA" w:rsidRDefault="009649F8">
            <w:pPr>
              <w:pStyle w:val="TableParagraph"/>
              <w:spacing w:before="112"/>
              <w:rPr>
                <w:sz w:val="20"/>
                <w:lang w:eastAsia="ja-JP"/>
              </w:rPr>
            </w:pPr>
            <w:r>
              <w:rPr>
                <w:sz w:val="20"/>
                <w:lang w:eastAsia="ja-JP"/>
              </w:rPr>
              <w:t>以下の2つの閾値を満たす場合には、アンモニアの製造が適格である。</w:t>
            </w:r>
          </w:p>
          <w:p w14:paraId="7F166D4E" w14:textId="77777777" w:rsidR="005F38AA" w:rsidRDefault="009649F8">
            <w:pPr>
              <w:pStyle w:val="TableParagraph"/>
              <w:numPr>
                <w:ilvl w:val="0"/>
                <w:numId w:val="6"/>
              </w:numPr>
              <w:tabs>
                <w:tab w:val="left" w:pos="827"/>
                <w:tab w:val="left" w:pos="828"/>
              </w:tabs>
              <w:spacing w:before="114"/>
              <w:rPr>
                <w:sz w:val="20"/>
                <w:lang w:eastAsia="ja-JP"/>
              </w:rPr>
            </w:pPr>
            <w:r>
              <w:rPr>
                <w:sz w:val="20"/>
                <w:lang w:eastAsia="ja-JP"/>
              </w:rPr>
              <w:t>スコープ1の排出量が1 tCO2/tアンモニアよりも小さく、</w:t>
            </w:r>
          </w:p>
          <w:p w14:paraId="7F166D4F" w14:textId="77777777" w:rsidR="005F38AA" w:rsidRDefault="009649F8">
            <w:pPr>
              <w:pStyle w:val="TableParagraph"/>
              <w:numPr>
                <w:ilvl w:val="0"/>
                <w:numId w:val="6"/>
              </w:numPr>
              <w:tabs>
                <w:tab w:val="left" w:pos="827"/>
                <w:tab w:val="left" w:pos="828"/>
              </w:tabs>
              <w:spacing w:before="115" w:line="268" w:lineRule="auto"/>
              <w:ind w:right="261"/>
              <w:rPr>
                <w:sz w:val="20"/>
                <w:lang w:eastAsia="ja-JP"/>
              </w:rPr>
            </w:pPr>
            <w:r>
              <w:rPr>
                <w:sz w:val="20"/>
                <w:lang w:eastAsia="ja-JP"/>
              </w:rPr>
              <w:t>CO2総排出量(スコープ1排出量、スコープ2排出量、電力使用量)が1,3 tCO2/tアンモニアを下回る。</w:t>
            </w:r>
          </w:p>
          <w:p w14:paraId="7F166D50" w14:textId="77777777" w:rsidR="005F38AA" w:rsidRDefault="009649F8">
            <w:pPr>
              <w:pStyle w:val="TableParagraph"/>
              <w:spacing w:before="88" w:line="276" w:lineRule="auto"/>
              <w:ind w:right="141"/>
              <w:rPr>
                <w:sz w:val="20"/>
                <w:lang w:eastAsia="ja-JP"/>
              </w:rPr>
            </w:pPr>
            <w:r>
              <w:rPr>
                <w:sz w:val="20"/>
                <w:lang w:eastAsia="ja-JP"/>
              </w:rPr>
              <w:t>アンモニアの製造工程からの排出量の算定にあたっては、中間生成物である水素の製造とアンモニアの合成の両段階を考慮する。 スコープ1の排出量には、両方の排出量が含まれる。</w:t>
            </w:r>
          </w:p>
          <w:p w14:paraId="7F166D51" w14:textId="77777777" w:rsidR="005F38AA" w:rsidRDefault="009649F8">
            <w:pPr>
              <w:pStyle w:val="TableParagraph"/>
              <w:spacing w:before="81" w:line="276" w:lineRule="auto"/>
              <w:ind w:right="279"/>
              <w:rPr>
                <w:sz w:val="20"/>
                <w:lang w:eastAsia="ja-JP"/>
              </w:rPr>
            </w:pPr>
            <w:r>
              <w:rPr>
                <w:sz w:val="20"/>
                <w:lang w:eastAsia="ja-JP"/>
              </w:rPr>
              <w:t>GHG排出量は、EU-ETSのベンチマークに使用された方法論に従って算定されなければならない。</w:t>
            </w:r>
          </w:p>
        </w:tc>
      </w:tr>
      <w:tr w:rsidR="005F38AA" w14:paraId="7F166D54" w14:textId="77777777">
        <w:trPr>
          <w:trHeight w:val="383"/>
        </w:trPr>
        <w:tc>
          <w:tcPr>
            <w:tcW w:w="9352" w:type="dxa"/>
            <w:gridSpan w:val="2"/>
            <w:shd w:val="clear" w:color="auto" w:fill="4471C4"/>
          </w:tcPr>
          <w:p w14:paraId="7F166D53" w14:textId="77777777" w:rsidR="005F38AA" w:rsidRDefault="009649F8">
            <w:pPr>
              <w:pStyle w:val="TableParagraph"/>
              <w:rPr>
                <w:b/>
                <w:sz w:val="20"/>
              </w:rPr>
            </w:pPr>
            <w:r>
              <w:rPr>
                <w:b/>
                <w:color w:val="FFFFFF"/>
                <w:sz w:val="20"/>
              </w:rPr>
              <w:t>根拠</w:t>
            </w:r>
          </w:p>
        </w:tc>
      </w:tr>
    </w:tbl>
    <w:p w14:paraId="7F166D55" w14:textId="77777777" w:rsidR="005F38AA" w:rsidRDefault="005F38AA">
      <w:pPr>
        <w:pStyle w:val="a3"/>
        <w:rPr>
          <w:b/>
        </w:rPr>
      </w:pPr>
    </w:p>
    <w:p w14:paraId="7F166D56" w14:textId="77777777" w:rsidR="005F38AA" w:rsidRDefault="005F38AA">
      <w:pPr>
        <w:pStyle w:val="a3"/>
        <w:rPr>
          <w:b/>
        </w:rPr>
      </w:pPr>
    </w:p>
    <w:p w14:paraId="7F166D57" w14:textId="77777777" w:rsidR="005F38AA" w:rsidRDefault="005F38AA">
      <w:pPr>
        <w:pStyle w:val="a3"/>
        <w:rPr>
          <w:b/>
        </w:rPr>
      </w:pPr>
    </w:p>
    <w:p w14:paraId="7F166D58" w14:textId="51CFE869" w:rsidR="005F38AA" w:rsidRDefault="00520D32">
      <w:pPr>
        <w:pStyle w:val="a3"/>
        <w:rPr>
          <w:b/>
          <w:sz w:val="24"/>
        </w:rPr>
      </w:pPr>
      <w:r>
        <w:rPr>
          <w:noProof/>
          <w:lang w:val="en-US" w:eastAsia="ja-JP"/>
        </w:rPr>
        <mc:AlternateContent>
          <mc:Choice Requires="wps">
            <w:drawing>
              <wp:anchor distT="0" distB="0" distL="0" distR="0" simplePos="0" relativeHeight="251665408" behindDoc="1" locked="0" layoutInCell="1" allowOverlap="1" wp14:anchorId="7F166DA9" wp14:editId="7759F9C5">
                <wp:simplePos x="0" y="0"/>
                <wp:positionH relativeFrom="page">
                  <wp:posOffset>914400</wp:posOffset>
                </wp:positionH>
                <wp:positionV relativeFrom="paragraph">
                  <wp:posOffset>203200</wp:posOffset>
                </wp:positionV>
                <wp:extent cx="1829435" cy="0"/>
                <wp:effectExtent l="9525" t="12065" r="889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3B69" id="Line 3"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21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4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nyzy6RNGdPAlpBgSjXX+E9cdCkaJJXCOwOS0dT4QIcUQEu5ReiOk&#10;jGJLhfoSz9LFLCY4LQULzhDm7GFfSYtOJIxL/GJV4HkMs/qoWARrOWHrm+2JkFcbLpcq4EEpQOdm&#10;XefhxyJdrOfreT7KJ7P1KE/revRxU+Wj2Sb78FRP66qqs5+BWpYXrWCMq8BumM0s/zvtb6/kOlX3&#10;6by3IXmLHvsFZId/JB21DPJdB2Gv2WVnB41hHGPw7emEeX/cg/34wFe/AAAA//8DAFBLAwQUAAYA&#10;CAAAACEA3r5qDt8AAAAJAQAADwAAAGRycy9kb3ducmV2LnhtbEyPQUvDQBCF74L/YRnBm900DZqm&#10;2RRRFHqQYls8b7NjEpOdDdltk/57RzzoaXgzjzffy9eT7cQZB984UjCfRSCQSmcaqhQc9i93KQgf&#10;NBndOUIFF/SwLq6vcp0ZN9I7nnehEhxCPtMK6hD6TEpf1mi1n7keiW+fbrA6sBwqaQY9crjtZBxF&#10;99LqhvhDrXt8qrFsdyer4C2Vz27bfpSXr3H/mqabdvmwOSh1ezM9rkAEnMKfGX7wGR0KZjq6Exkv&#10;OtZJwl2CgkXMkw3JIp6DOP4uZJHL/w2KbwAAAP//AwBQSwECLQAUAAYACAAAACEAtoM4kv4AAADh&#10;AQAAEwAAAAAAAAAAAAAAAAAAAAAAW0NvbnRlbnRfVHlwZXNdLnhtbFBLAQItABQABgAIAAAAIQA4&#10;/SH/1gAAAJQBAAALAAAAAAAAAAAAAAAAAC8BAABfcmVscy8ucmVsc1BLAQItABQABgAIAAAAIQAo&#10;5T4gEgIAACgEAAAOAAAAAAAAAAAAAAAAAC4CAABkcnMvZTJvRG9jLnhtbFBLAQItABQABgAIAAAA&#10;IQDevmoO3wAAAAkBAAAPAAAAAAAAAAAAAAAAAGwEAABkcnMvZG93bnJldi54bWxQSwUGAAAAAAQA&#10;BADzAAAAeAUAAAAA&#10;" strokeweight=".48pt">
                <w10:wrap type="topAndBottom" anchorx="page"/>
              </v:line>
            </w:pict>
          </mc:Fallback>
        </mc:AlternateContent>
      </w:r>
    </w:p>
    <w:p w14:paraId="7F166D59" w14:textId="77777777" w:rsidR="005F38AA" w:rsidRDefault="005F38AA">
      <w:pPr>
        <w:pStyle w:val="a3"/>
        <w:spacing w:before="8"/>
        <w:rPr>
          <w:b/>
          <w:sz w:val="25"/>
        </w:rPr>
      </w:pPr>
    </w:p>
    <w:p w14:paraId="7F166D5A" w14:textId="77777777" w:rsidR="005F38AA" w:rsidRDefault="009649F8">
      <w:pPr>
        <w:pStyle w:val="a4"/>
        <w:numPr>
          <w:ilvl w:val="0"/>
          <w:numId w:val="8"/>
        </w:numPr>
        <w:tabs>
          <w:tab w:val="left" w:pos="413"/>
        </w:tabs>
        <w:spacing w:line="259" w:lineRule="auto"/>
        <w:ind w:right="2315" w:firstLine="0"/>
        <w:rPr>
          <w:sz w:val="16"/>
        </w:rPr>
      </w:pPr>
      <w:r>
        <w:rPr>
          <w:sz w:val="16"/>
        </w:rPr>
        <w:t>基準値:https://ec.europa.eu/clima/sites/clima/files/ets/allowances/docs/gd9_sector_specific_guidan</w:t>
      </w:r>
      <w:r>
        <w:rPr>
          <w:sz w:val="16"/>
        </w:rPr>
        <w:lastRenderedPageBreak/>
        <w:t>ce_en.pdfについては、P.100をご覧ください。</w:t>
      </w:r>
      <w:hyperlink r:id="rId68"/>
    </w:p>
    <w:p w14:paraId="7F166D5B" w14:textId="77777777" w:rsidR="005F38AA" w:rsidRDefault="005F38AA">
      <w:pPr>
        <w:spacing w:line="259" w:lineRule="auto"/>
        <w:rPr>
          <w:sz w:val="16"/>
        </w:rPr>
        <w:sectPr w:rsidR="005F38AA">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5F38AA" w14:paraId="7F166D64" w14:textId="77777777">
        <w:trPr>
          <w:trHeight w:val="6130"/>
        </w:trPr>
        <w:tc>
          <w:tcPr>
            <w:tcW w:w="9352" w:type="dxa"/>
            <w:gridSpan w:val="2"/>
          </w:tcPr>
          <w:p w14:paraId="7F166D5C" w14:textId="77777777" w:rsidR="005F38AA" w:rsidRDefault="009649F8">
            <w:pPr>
              <w:pStyle w:val="TableParagraph"/>
              <w:spacing w:line="276" w:lineRule="auto"/>
              <w:ind w:right="99"/>
              <w:jc w:val="both"/>
              <w:rPr>
                <w:sz w:val="20"/>
                <w:lang w:eastAsia="ja-JP"/>
              </w:rPr>
            </w:pPr>
            <w:r>
              <w:rPr>
                <w:sz w:val="20"/>
                <w:lang w:eastAsia="ja-JP"/>
              </w:rPr>
              <w:lastRenderedPageBreak/>
              <w:t>アンモニアと硝酸の製造は化学部門からの排出の約23%を占め、227 製造工程からの排出削減は、緩和目標に積極的に寄与することができる。</w:t>
            </w:r>
          </w:p>
          <w:p w14:paraId="7F166D5D" w14:textId="77777777" w:rsidR="005F38AA" w:rsidRDefault="009649F8">
            <w:pPr>
              <w:pStyle w:val="TableParagraph"/>
              <w:spacing w:before="80" w:line="276" w:lineRule="auto"/>
              <w:ind w:right="105"/>
              <w:jc w:val="both"/>
              <w:rPr>
                <w:sz w:val="13"/>
                <w:lang w:eastAsia="ja-JP"/>
              </w:rPr>
            </w:pPr>
            <w:r>
              <w:rPr>
                <w:sz w:val="20"/>
                <w:lang w:eastAsia="ja-JP"/>
              </w:rPr>
              <w:t>アンモニア部門は、特に電気分解により生成された水素を使用することにより、GHG排出削減に大きく貢献すると期待されている。</w:t>
            </w:r>
          </w:p>
          <w:p w14:paraId="7F166D5E" w14:textId="77777777" w:rsidR="005F38AA" w:rsidRDefault="009649F8">
            <w:pPr>
              <w:pStyle w:val="TableParagraph"/>
              <w:spacing w:before="79" w:line="278" w:lineRule="auto"/>
              <w:ind w:right="101"/>
              <w:jc w:val="both"/>
              <w:rPr>
                <w:sz w:val="13"/>
                <w:lang w:eastAsia="ja-JP"/>
              </w:rPr>
            </w:pPr>
            <w:r>
              <w:rPr>
                <w:sz w:val="20"/>
                <w:lang w:eastAsia="ja-JP"/>
              </w:rPr>
              <w:t>硝酸の製造工程で発生する温室効果ガスの主なものは亜酸化窒素であり、利用可能な技術を応用することで、排出削減量の80%以上を達成することが可能です。</w:t>
            </w:r>
          </w:p>
          <w:p w14:paraId="7F166D5F" w14:textId="77777777" w:rsidR="005F38AA" w:rsidRDefault="009649F8">
            <w:pPr>
              <w:pStyle w:val="TableParagraph"/>
              <w:spacing w:before="76" w:line="276" w:lineRule="auto"/>
              <w:ind w:right="97"/>
              <w:jc w:val="both"/>
              <w:rPr>
                <w:sz w:val="20"/>
                <w:lang w:eastAsia="ja-JP"/>
              </w:rPr>
            </w:pPr>
            <w:r>
              <w:rPr>
                <w:sz w:val="20"/>
                <w:lang w:eastAsia="ja-JP"/>
              </w:rPr>
              <w:t>硝酸のために選択されたメトリックは、生産単位当たりのGHG排出量をXXとする排出係数である。 絶対性能アプローチは、緩和目標に実質的に寄与することができるように、活動が遵守すべき製造プロセスの許容可能な最大炭素強度を特定するために提案されている。</w:t>
            </w:r>
          </w:p>
          <w:p w14:paraId="7F166D60" w14:textId="77777777" w:rsidR="005F38AA" w:rsidRDefault="009649F8">
            <w:pPr>
              <w:pStyle w:val="TableParagraph"/>
              <w:spacing w:before="79" w:line="278" w:lineRule="auto"/>
              <w:ind w:right="102"/>
              <w:jc w:val="both"/>
              <w:rPr>
                <w:sz w:val="20"/>
                <w:lang w:eastAsia="ja-JP"/>
              </w:rPr>
            </w:pPr>
            <w:r>
              <w:rPr>
                <w:sz w:val="20"/>
                <w:lang w:eastAsia="ja-JP"/>
              </w:rPr>
              <w:t>硝酸の選択した閾値はETS製品のベンチマークである。 ETS製品のベンチマークは、あるセクターで最も効率的な10%の設備の平均性能を反映している。</w:t>
            </w:r>
          </w:p>
          <w:p w14:paraId="7F166D61" w14:textId="77777777" w:rsidR="005F38AA" w:rsidRDefault="00AC57BC">
            <w:pPr>
              <w:pStyle w:val="TableParagraph"/>
              <w:spacing w:before="77" w:line="360" w:lineRule="auto"/>
              <w:ind w:right="291"/>
              <w:rPr>
                <w:sz w:val="20"/>
                <w:lang w:eastAsia="ja-JP"/>
              </w:rPr>
            </w:pPr>
            <w:hyperlink r:id="rId69">
              <w:r w:rsidR="009649F8">
                <w:rPr>
                  <w:color w:val="00AFEF"/>
                  <w:w w:val="95"/>
                  <w:sz w:val="20"/>
                  <w:u w:val="single" w:color="00AFEF"/>
                  <w:lang w:eastAsia="ja-JP"/>
                </w:rPr>
                <w:t>https://ec.europa.eu/clima/sites/clima/files/ets/allowances/docs/gd9_sector_specific_guidance_en.pdf https://eur-lex.europa.eu/legal-content/EN/TXT/PDF/?uri=CELEX:32011D0278&amp;from=EN http://eippcb.jrc.ec.europa.eu/reference/BREF/lvic_aaf.pdf</w:t>
              </w:r>
            </w:hyperlink>
            <w:hyperlink r:id="rId70"/>
            <w:hyperlink r:id="rId71"/>
          </w:p>
          <w:p w14:paraId="7F166D62" w14:textId="77777777" w:rsidR="005F38AA" w:rsidRDefault="009649F8">
            <w:pPr>
              <w:pStyle w:val="TableParagraph"/>
              <w:spacing w:before="0" w:line="276" w:lineRule="auto"/>
              <w:ind w:right="100"/>
              <w:jc w:val="both"/>
              <w:rPr>
                <w:sz w:val="20"/>
              </w:rPr>
            </w:pPr>
            <w:r>
              <w:rPr>
                <w:sz w:val="20"/>
                <w:lang w:eastAsia="ja-JP"/>
              </w:rPr>
              <w:t xml:space="preserve">2021年から2025年までの期間及び2026年から2030年までの期間のベンチマークを決定するための規定は、アートに含まれる。 </w:t>
            </w:r>
            <w:r>
              <w:rPr>
                <w:sz w:val="20"/>
              </w:rPr>
              <w:t>指令2003/87/ECの10a、2(a)及び2(c)。</w:t>
            </w:r>
          </w:p>
          <w:p w14:paraId="7F166D63" w14:textId="77777777" w:rsidR="005F38AA" w:rsidRDefault="00AC57BC">
            <w:pPr>
              <w:pStyle w:val="TableParagraph"/>
              <w:spacing w:before="78" w:line="278" w:lineRule="auto"/>
              <w:rPr>
                <w:sz w:val="20"/>
              </w:rPr>
            </w:pPr>
            <w:hyperlink r:id="rId72">
              <w:r w:rsidR="009649F8">
                <w:rPr>
                  <w:color w:val="00AFEF"/>
                  <w:w w:val="95"/>
                  <w:sz w:val="20"/>
                  <w:u w:val="single" w:color="00AFEF"/>
                </w:rPr>
                <w:t>https://eur-lex.europa.eu/legal-content/EN/TXT/PDF/?uri=CELEX:02003L0087- 20180408&amp;qid=1547917622180&amp;from=EN</w:t>
              </w:r>
            </w:hyperlink>
            <w:hyperlink r:id="rId73"/>
          </w:p>
        </w:tc>
      </w:tr>
      <w:tr w:rsidR="005F38AA" w14:paraId="7F166D67" w14:textId="77777777">
        <w:trPr>
          <w:trHeight w:val="386"/>
        </w:trPr>
        <w:tc>
          <w:tcPr>
            <w:tcW w:w="108" w:type="dxa"/>
            <w:tcBorders>
              <w:right w:val="nil"/>
            </w:tcBorders>
            <w:shd w:val="clear" w:color="auto" w:fill="4471C4"/>
          </w:tcPr>
          <w:p w14:paraId="7F166D65" w14:textId="77777777" w:rsidR="005F38AA" w:rsidRDefault="005F38AA">
            <w:pPr>
              <w:pStyle w:val="TableParagraph"/>
              <w:spacing w:before="0"/>
              <w:ind w:left="0"/>
              <w:rPr>
                <w:rFonts w:ascii="Times New Roman"/>
                <w:sz w:val="18"/>
              </w:rPr>
            </w:pPr>
          </w:p>
        </w:tc>
        <w:tc>
          <w:tcPr>
            <w:tcW w:w="9244" w:type="dxa"/>
            <w:tcBorders>
              <w:left w:val="nil"/>
            </w:tcBorders>
            <w:shd w:val="clear" w:color="auto" w:fill="4471C4"/>
          </w:tcPr>
          <w:p w14:paraId="7F166D66" w14:textId="6801E42A" w:rsidR="005F38AA" w:rsidRDefault="009649F8" w:rsidP="006F08B1">
            <w:pPr>
              <w:pStyle w:val="TableParagraph"/>
              <w:ind w:left="4"/>
              <w:rPr>
                <w:b/>
                <w:sz w:val="20"/>
                <w:lang w:eastAsia="ja-JP"/>
              </w:rPr>
            </w:pPr>
            <w:r>
              <w:rPr>
                <w:b/>
                <w:color w:val="FFFFFF"/>
                <w:sz w:val="20"/>
                <w:lang w:eastAsia="ja-JP"/>
              </w:rPr>
              <w:t>重大な有害性</w:t>
            </w:r>
          </w:p>
        </w:tc>
      </w:tr>
      <w:tr w:rsidR="005F38AA" w14:paraId="7F166D6D" w14:textId="77777777">
        <w:trPr>
          <w:trHeight w:val="2632"/>
        </w:trPr>
        <w:tc>
          <w:tcPr>
            <w:tcW w:w="9352" w:type="dxa"/>
            <w:gridSpan w:val="2"/>
          </w:tcPr>
          <w:p w14:paraId="7F166D68" w14:textId="77777777" w:rsidR="005F38AA" w:rsidRDefault="009649F8">
            <w:pPr>
              <w:pStyle w:val="TableParagraph"/>
              <w:spacing w:line="276" w:lineRule="auto"/>
              <w:rPr>
                <w:sz w:val="20"/>
                <w:lang w:eastAsia="ja-JP"/>
              </w:rPr>
            </w:pPr>
            <w:r>
              <w:rPr>
                <w:sz w:val="20"/>
                <w:lang w:eastAsia="ja-JP"/>
              </w:rPr>
              <w:t>硝酸またはアンモニアの生成による環境への重大な潜在的危害は、次のものに関連している。</w:t>
            </w:r>
          </w:p>
          <w:p w14:paraId="7F166D69" w14:textId="77777777" w:rsidR="005F38AA" w:rsidRDefault="009649F8">
            <w:pPr>
              <w:pStyle w:val="TableParagraph"/>
              <w:numPr>
                <w:ilvl w:val="0"/>
                <w:numId w:val="5"/>
              </w:numPr>
              <w:tabs>
                <w:tab w:val="left" w:pos="827"/>
                <w:tab w:val="left" w:pos="828"/>
              </w:tabs>
              <w:spacing w:before="79" w:line="271" w:lineRule="auto"/>
              <w:ind w:right="561"/>
              <w:rPr>
                <w:sz w:val="20"/>
                <w:lang w:eastAsia="ja-JP"/>
              </w:rPr>
            </w:pPr>
            <w:r>
              <w:rPr>
                <w:sz w:val="20"/>
                <w:lang w:eastAsia="ja-JP"/>
              </w:rPr>
              <w:t>製造工程からの大気(特に窒素酸化物(NOx)、アンモニア(NH3))への排出</w:t>
            </w:r>
          </w:p>
          <w:p w14:paraId="7F166D6A" w14:textId="77777777" w:rsidR="005F38AA" w:rsidRDefault="009649F8">
            <w:pPr>
              <w:pStyle w:val="TableParagraph"/>
              <w:numPr>
                <w:ilvl w:val="0"/>
                <w:numId w:val="5"/>
              </w:numPr>
              <w:tabs>
                <w:tab w:val="left" w:pos="827"/>
                <w:tab w:val="left" w:pos="828"/>
              </w:tabs>
              <w:spacing w:before="6" w:line="271" w:lineRule="auto"/>
              <w:ind w:right="939"/>
              <w:rPr>
                <w:sz w:val="20"/>
                <w:lang w:eastAsia="ja-JP"/>
              </w:rPr>
            </w:pPr>
            <w:r>
              <w:rPr>
                <w:sz w:val="20"/>
                <w:lang w:eastAsia="ja-JP"/>
              </w:rPr>
              <w:t>脆弱な生態系は、生産施設の建設および/または操業によって損なわれる可能性がある。</w:t>
            </w:r>
          </w:p>
          <w:p w14:paraId="7F166D6B" w14:textId="77777777" w:rsidR="005F38AA" w:rsidRDefault="009649F8">
            <w:pPr>
              <w:pStyle w:val="TableParagraph"/>
              <w:numPr>
                <w:ilvl w:val="0"/>
                <w:numId w:val="5"/>
              </w:numPr>
              <w:tabs>
                <w:tab w:val="left" w:pos="827"/>
                <w:tab w:val="left" w:pos="828"/>
              </w:tabs>
              <w:spacing w:before="6" w:line="271" w:lineRule="auto"/>
              <w:ind w:right="234"/>
              <w:rPr>
                <w:sz w:val="20"/>
                <w:lang w:eastAsia="ja-JP"/>
              </w:rPr>
            </w:pPr>
            <w:r>
              <w:rPr>
                <w:sz w:val="20"/>
                <w:lang w:eastAsia="ja-JP"/>
              </w:rPr>
              <w:t>水ストレス地域における生産目的(特に冷却工程)のための水資源の使用</w:t>
            </w:r>
          </w:p>
          <w:p w14:paraId="7F166D6C" w14:textId="77777777" w:rsidR="005F38AA" w:rsidRDefault="009649F8">
            <w:pPr>
              <w:pStyle w:val="TableParagraph"/>
              <w:numPr>
                <w:ilvl w:val="0"/>
                <w:numId w:val="5"/>
              </w:numPr>
              <w:tabs>
                <w:tab w:val="left" w:pos="827"/>
                <w:tab w:val="left" w:pos="828"/>
              </w:tabs>
              <w:spacing w:before="5"/>
              <w:rPr>
                <w:sz w:val="20"/>
                <w:lang w:eastAsia="ja-JP"/>
              </w:rPr>
            </w:pPr>
            <w:r>
              <w:rPr>
                <w:sz w:val="20"/>
                <w:lang w:eastAsia="ja-JP"/>
              </w:rPr>
              <w:t>有害廃棄物(例:使用済み触媒材料)の発生。</w:t>
            </w:r>
          </w:p>
        </w:tc>
      </w:tr>
    </w:tbl>
    <w:p w14:paraId="7F166D6E" w14:textId="1B633D3D" w:rsidR="005F38AA" w:rsidRDefault="00520D32">
      <w:pPr>
        <w:pStyle w:val="a3"/>
        <w:spacing w:before="10"/>
        <w:rPr>
          <w:sz w:val="23"/>
          <w:lang w:eastAsia="ja-JP"/>
        </w:rPr>
      </w:pPr>
      <w:r>
        <w:rPr>
          <w:noProof/>
          <w:lang w:val="en-US" w:eastAsia="ja-JP"/>
        </w:rPr>
        <mc:AlternateContent>
          <mc:Choice Requires="wps">
            <w:drawing>
              <wp:anchor distT="0" distB="0" distL="0" distR="0" simplePos="0" relativeHeight="251666432" behindDoc="1" locked="0" layoutInCell="1" allowOverlap="1" wp14:anchorId="7F166DAA" wp14:editId="4E2C7A78">
                <wp:simplePos x="0" y="0"/>
                <wp:positionH relativeFrom="page">
                  <wp:posOffset>914400</wp:posOffset>
                </wp:positionH>
                <wp:positionV relativeFrom="paragraph">
                  <wp:posOffset>202565</wp:posOffset>
                </wp:positionV>
                <wp:extent cx="1829435" cy="0"/>
                <wp:effectExtent l="9525" t="9525" r="889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F3B6" id="Line 2"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1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mfEw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Nsms+Kh0eM6NWXkPKaaKzzn7nuUTAqLIFzBCaHtfOBCCmvIeEepVdC&#10;yii2VGio8CSdPcUEp6VgwRnCnN1ta2nRgYRxiV+sCjz3YVbvFYtgHSdsebE9EfJsw+VSBTwoBehc&#10;rPM8/Jils+V0OS1GRT5Zjoq0aUafVnUxmqyyp8fmoanrJvsZqGVF2QnGuArsrrOZFX+n/eWVnKfq&#10;Np23NiTv0WO/gOz1H0lHLYN850HYanba2KvGMI4x+PJ0wrzf78G+f+CLXwAAAP//AwBQSwMEFAAG&#10;AAgAAAAhAAaR4jvdAAAACQEAAA8AAABkcnMvZG93bnJldi54bWxMj81OwzAQhO9IvIO1SNyokyag&#10;EuJUUAkJiRPl5+zESxJhr6PYTROenkUcynFmR7PflNvZWTHhGHpPCtJVAgKp8aanVsHb6+PVBkSI&#10;moy2nlDBggG21flZqQvjj/SC0z62gksoFFpBF+NQSBmaDp0OKz8g8e3Tj05HlmMrzaiPXO6sXCfJ&#10;jXS6J/7Q6QF3HTZf+4NTkE/z8vy9w4esfkqXzXX7noUPq9TlxXx/ByLiHE9h+MVndKiYqfYHMkFY&#10;1nnOW6KCLL0FwYE8W6cg6j9DVqX8v6D6AQAA//8DAFBLAQItABQABgAIAAAAIQC2gziS/gAAAOEB&#10;AAATAAAAAAAAAAAAAAAAAAAAAABbQ29udGVudF9UeXBlc10ueG1sUEsBAi0AFAAGAAgAAAAhADj9&#10;If/WAAAAlAEAAAsAAAAAAAAAAAAAAAAALwEAAF9yZWxzLy5yZWxzUEsBAi0AFAAGAAgAAAAhABum&#10;2Z8TAgAAKAQAAA4AAAAAAAAAAAAAAAAALgIAAGRycy9lMm9Eb2MueG1sUEsBAi0AFAAGAAgAAAAh&#10;AAaR4jvdAAAACQEAAA8AAAAAAAAAAAAAAAAAbQQAAGRycy9kb3ducmV2LnhtbFBLBQYAAAAABAAE&#10;APMAAAB3BQAAAAA=&#10;" strokeweight=".16936mm">
                <w10:wrap type="topAndBottom" anchorx="page"/>
              </v:line>
            </w:pict>
          </mc:Fallback>
        </mc:AlternateContent>
      </w:r>
    </w:p>
    <w:p w14:paraId="7F166D6F" w14:textId="77777777" w:rsidR="005F38AA" w:rsidRDefault="005F38AA">
      <w:pPr>
        <w:pStyle w:val="a3"/>
        <w:spacing w:before="4"/>
        <w:rPr>
          <w:sz w:val="17"/>
          <w:lang w:eastAsia="ja-JP"/>
        </w:rPr>
      </w:pPr>
    </w:p>
    <w:p w14:paraId="7F166D70" w14:textId="77777777" w:rsidR="005F38AA" w:rsidRDefault="009649F8">
      <w:pPr>
        <w:pStyle w:val="a4"/>
        <w:numPr>
          <w:ilvl w:val="0"/>
          <w:numId w:val="8"/>
        </w:numPr>
        <w:tabs>
          <w:tab w:val="left" w:pos="413"/>
        </w:tabs>
        <w:spacing w:before="96" w:line="256" w:lineRule="auto"/>
        <w:ind w:right="126" w:firstLine="0"/>
        <w:rPr>
          <w:sz w:val="16"/>
          <w:lang w:eastAsia="ja-JP"/>
        </w:rPr>
      </w:pPr>
      <w:r>
        <w:rPr>
          <w:sz w:val="16"/>
          <w:lang w:eastAsia="ja-JP"/>
        </w:rPr>
        <w:t>エネルギー効率とJRC排出量、化学・石油化学産業の展望シナリオ、JRC(2017)、p.12</w:t>
      </w:r>
      <w:hyperlink r:id="rId74">
        <w:r>
          <w:rPr>
            <w:sz w:val="16"/>
            <w:lang w:eastAsia="ja-JP"/>
          </w:rPr>
          <w:t xml:space="preserve"> http://publications.jrc.ec.europa.eu/repository/bitstream/JRC105767/kj-na-28471-enn.pdf .</w:t>
        </w:r>
      </w:hyperlink>
    </w:p>
    <w:p w14:paraId="7F166D71" w14:textId="77777777" w:rsidR="005F38AA" w:rsidRDefault="005F38AA">
      <w:pPr>
        <w:pStyle w:val="a3"/>
        <w:spacing w:before="3"/>
        <w:rPr>
          <w:sz w:val="14"/>
          <w:lang w:eastAsia="ja-JP"/>
        </w:rPr>
      </w:pPr>
    </w:p>
    <w:p w14:paraId="7F166D72" w14:textId="77777777" w:rsidR="005F38AA" w:rsidRDefault="009649F8">
      <w:pPr>
        <w:pStyle w:val="a4"/>
        <w:numPr>
          <w:ilvl w:val="0"/>
          <w:numId w:val="8"/>
        </w:numPr>
        <w:tabs>
          <w:tab w:val="left" w:pos="413"/>
        </w:tabs>
        <w:spacing w:line="259" w:lineRule="auto"/>
        <w:ind w:right="132" w:firstLine="0"/>
        <w:rPr>
          <w:sz w:val="16"/>
        </w:rPr>
      </w:pPr>
      <w:r>
        <w:rPr>
          <w:sz w:val="16"/>
        </w:rPr>
        <w:t>Page 56, https://dechema.de/dechema_media/Downloads/Positionspapiere/Technology_study_Low_carbon_energy_and_feedstock_for_the_ European_chemical_industry-p-20002750.pdf</w:t>
      </w:r>
      <w:hyperlink r:id="rId75"/>
      <w:hyperlink r:id="rId76"/>
    </w:p>
    <w:p w14:paraId="7F166D73" w14:textId="77777777" w:rsidR="005F38AA" w:rsidRDefault="009649F8">
      <w:pPr>
        <w:pStyle w:val="a4"/>
        <w:numPr>
          <w:ilvl w:val="0"/>
          <w:numId w:val="8"/>
        </w:numPr>
        <w:tabs>
          <w:tab w:val="left" w:pos="413"/>
        </w:tabs>
        <w:spacing w:before="160" w:line="256" w:lineRule="auto"/>
        <w:ind w:right="348" w:firstLine="0"/>
        <w:rPr>
          <w:sz w:val="16"/>
        </w:rPr>
      </w:pPr>
      <w:r>
        <w:rPr>
          <w:sz w:val="16"/>
          <w:lang w:eastAsia="ja-JP"/>
        </w:rPr>
        <w:t xml:space="preserve">低炭素電力を用いた水素トラフ電解の製造は、脱炭素化された将来の望ましいプロセスである。 </w:t>
      </w:r>
      <w:r>
        <w:rPr>
          <w:sz w:val="16"/>
        </w:rPr>
        <w:t>Page 64 https://ec.europa.eu/clima/sites/clima/files/docs/pages/com_2018_733_analysis_in_support_en_0.pdf</w:t>
      </w:r>
      <w:hyperlink r:id="rId77"/>
    </w:p>
    <w:p w14:paraId="7F166D74" w14:textId="77777777" w:rsidR="005F38AA" w:rsidRDefault="005F38AA">
      <w:pPr>
        <w:pStyle w:val="a3"/>
        <w:spacing w:before="2"/>
        <w:rPr>
          <w:sz w:val="14"/>
        </w:rPr>
      </w:pPr>
    </w:p>
    <w:p w14:paraId="7F166D75" w14:textId="77777777" w:rsidR="005F38AA" w:rsidRDefault="009649F8">
      <w:pPr>
        <w:pStyle w:val="a4"/>
        <w:numPr>
          <w:ilvl w:val="0"/>
          <w:numId w:val="8"/>
        </w:numPr>
        <w:tabs>
          <w:tab w:val="left" w:pos="413"/>
        </w:tabs>
        <w:spacing w:line="259" w:lineRule="auto"/>
        <w:ind w:right="809" w:firstLine="0"/>
        <w:rPr>
          <w:sz w:val="16"/>
          <w:lang w:eastAsia="ja-JP"/>
        </w:rPr>
      </w:pPr>
      <w:r>
        <w:rPr>
          <w:sz w:val="16"/>
          <w:lang w:eastAsia="ja-JP"/>
        </w:rPr>
        <w:t>FORECASTでは、アンモニアは低炭素自由電力でトラフ電解を生成すると仮定している。</w:t>
      </w:r>
      <w:r>
        <w:rPr>
          <w:spacing w:val="-3"/>
          <w:sz w:val="16"/>
          <w:lang w:eastAsia="ja-JP"/>
        </w:rPr>
        <w:t xml:space="preserve"> P.353https://ec.europa.eu/clima/sites/clima/files/docs/pages/com_2018_733_analysis_in_support_en_0.pdf参照</w:t>
      </w:r>
      <w:hyperlink r:id="rId78"/>
    </w:p>
    <w:p w14:paraId="7F166D76" w14:textId="77777777" w:rsidR="005F38AA" w:rsidRDefault="009649F8">
      <w:pPr>
        <w:pStyle w:val="a4"/>
        <w:numPr>
          <w:ilvl w:val="0"/>
          <w:numId w:val="8"/>
        </w:numPr>
        <w:tabs>
          <w:tab w:val="left" w:pos="413"/>
        </w:tabs>
        <w:spacing w:before="159"/>
        <w:ind w:left="412"/>
        <w:rPr>
          <w:sz w:val="16"/>
          <w:lang w:eastAsia="ja-JP"/>
        </w:rPr>
      </w:pPr>
      <w:r>
        <w:rPr>
          <w:sz w:val="16"/>
          <w:lang w:eastAsia="ja-JP"/>
        </w:rPr>
        <w:lastRenderedPageBreak/>
        <w:t>http://publications.jrc.ec.europa.eu/repository/bitstream/JRC105767/kj-na-28471-enn.pdf39頁</w:t>
      </w:r>
      <w:hyperlink r:id="rId79"/>
    </w:p>
    <w:p w14:paraId="7F166D77" w14:textId="77777777" w:rsidR="005F38AA" w:rsidRDefault="005F38AA">
      <w:pPr>
        <w:rPr>
          <w:sz w:val="16"/>
          <w:lang w:eastAsia="ja-JP"/>
        </w:rPr>
        <w:sectPr w:rsidR="005F38AA">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7787"/>
      </w:tblGrid>
      <w:tr w:rsidR="005F38AA" w14:paraId="7F166D7A" w14:textId="77777777">
        <w:trPr>
          <w:trHeight w:val="398"/>
        </w:trPr>
        <w:tc>
          <w:tcPr>
            <w:tcW w:w="1565" w:type="dxa"/>
          </w:tcPr>
          <w:p w14:paraId="7F166D78" w14:textId="77777777" w:rsidR="005F38AA" w:rsidRDefault="009649F8">
            <w:pPr>
              <w:pStyle w:val="TableParagraph"/>
              <w:rPr>
                <w:sz w:val="20"/>
              </w:rPr>
            </w:pPr>
            <w:r>
              <w:rPr>
                <w:sz w:val="20"/>
              </w:rPr>
              <w:lastRenderedPageBreak/>
              <w:t>(2)適応</w:t>
            </w:r>
          </w:p>
        </w:tc>
        <w:tc>
          <w:tcPr>
            <w:tcW w:w="7787" w:type="dxa"/>
          </w:tcPr>
          <w:p w14:paraId="7F166D79" w14:textId="77777777" w:rsidR="005F38AA" w:rsidRDefault="009649F8">
            <w:pPr>
              <w:pStyle w:val="TableParagraph"/>
              <w:numPr>
                <w:ilvl w:val="0"/>
                <w:numId w:val="4"/>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5F38AA" w14:paraId="7F166D7E" w14:textId="77777777">
        <w:trPr>
          <w:trHeight w:val="1549"/>
        </w:trPr>
        <w:tc>
          <w:tcPr>
            <w:tcW w:w="1565" w:type="dxa"/>
          </w:tcPr>
          <w:p w14:paraId="7F166D7B" w14:textId="77777777" w:rsidR="005F38AA" w:rsidRDefault="009649F8">
            <w:pPr>
              <w:pStyle w:val="TableParagraph"/>
              <w:rPr>
                <w:sz w:val="20"/>
              </w:rPr>
            </w:pPr>
            <w:r>
              <w:rPr>
                <w:sz w:val="20"/>
              </w:rPr>
              <w:t>(3) 水</w:t>
            </w:r>
          </w:p>
        </w:tc>
        <w:tc>
          <w:tcPr>
            <w:tcW w:w="7787" w:type="dxa"/>
          </w:tcPr>
          <w:p w14:paraId="7F166D7C" w14:textId="77777777" w:rsidR="005F38AA" w:rsidRDefault="009649F8">
            <w:pPr>
              <w:pStyle w:val="TableParagraph"/>
              <w:numPr>
                <w:ilvl w:val="0"/>
                <w:numId w:val="3"/>
              </w:numPr>
              <w:tabs>
                <w:tab w:val="left" w:pos="467"/>
                <w:tab w:val="left" w:pos="468"/>
              </w:tabs>
              <w:spacing w:before="41" w:line="273" w:lineRule="auto"/>
              <w:ind w:right="271"/>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F166D7D" w14:textId="77777777" w:rsidR="005F38AA" w:rsidRDefault="009649F8">
            <w:pPr>
              <w:pStyle w:val="TableParagraph"/>
              <w:numPr>
                <w:ilvl w:val="0"/>
                <w:numId w:val="3"/>
              </w:numPr>
              <w:tabs>
                <w:tab w:val="left" w:pos="467"/>
                <w:tab w:val="left" w:pos="468"/>
              </w:tabs>
              <w:spacing w:before="86"/>
              <w:rPr>
                <w:sz w:val="20"/>
                <w:lang w:eastAsia="ja-JP"/>
              </w:rPr>
            </w:pPr>
            <w:r>
              <w:rPr>
                <w:sz w:val="20"/>
                <w:lang w:eastAsia="ja-JP"/>
              </w:rPr>
              <w:t>EUでは、EU水関連法規の要件を満たす。</w:t>
            </w:r>
          </w:p>
        </w:tc>
      </w:tr>
      <w:tr w:rsidR="005F38AA" w14:paraId="7F166D81" w14:textId="77777777">
        <w:trPr>
          <w:trHeight w:val="993"/>
        </w:trPr>
        <w:tc>
          <w:tcPr>
            <w:tcW w:w="1565" w:type="dxa"/>
          </w:tcPr>
          <w:p w14:paraId="7F166D7F" w14:textId="2B9B16D8" w:rsidR="005F38AA" w:rsidRDefault="006F08B1">
            <w:pPr>
              <w:pStyle w:val="TableParagraph"/>
              <w:spacing w:line="276" w:lineRule="auto"/>
              <w:ind w:right="439"/>
              <w:rPr>
                <w:sz w:val="20"/>
                <w:lang w:eastAsia="ja-JP"/>
              </w:rPr>
            </w:pPr>
            <w:r>
              <w:rPr>
                <w:rFonts w:hint="eastAsia"/>
                <w:sz w:val="20"/>
                <w:lang w:eastAsia="ja-JP"/>
              </w:rPr>
              <w:t>(4) サーキュラーエコノミー</w:t>
            </w:r>
          </w:p>
        </w:tc>
        <w:tc>
          <w:tcPr>
            <w:tcW w:w="7787" w:type="dxa"/>
          </w:tcPr>
          <w:p w14:paraId="7F166D80" w14:textId="77777777" w:rsidR="005F38AA" w:rsidRDefault="009649F8">
            <w:pPr>
              <w:pStyle w:val="TableParagraph"/>
              <w:spacing w:line="276" w:lineRule="auto"/>
              <w:rPr>
                <w:sz w:val="20"/>
                <w:lang w:eastAsia="ja-JP"/>
              </w:rPr>
            </w:pPr>
            <w:r>
              <w:rPr>
                <w:sz w:val="20"/>
                <w:lang w:eastAsia="ja-JP"/>
              </w:rPr>
              <w:t>廃棄物および副産物、特に有害廃棄物は、廃棄物処理のためのBREFに沿って管理されている。</w:t>
            </w:r>
          </w:p>
        </w:tc>
      </w:tr>
      <w:tr w:rsidR="005F38AA" w14:paraId="7F166D86" w14:textId="77777777">
        <w:trPr>
          <w:trHeight w:val="2659"/>
        </w:trPr>
        <w:tc>
          <w:tcPr>
            <w:tcW w:w="1565" w:type="dxa"/>
          </w:tcPr>
          <w:p w14:paraId="7F166D82" w14:textId="77777777" w:rsidR="005F38AA" w:rsidRDefault="009649F8">
            <w:pPr>
              <w:pStyle w:val="TableParagraph"/>
              <w:rPr>
                <w:sz w:val="20"/>
              </w:rPr>
            </w:pPr>
            <w:r>
              <w:rPr>
                <w:sz w:val="20"/>
              </w:rPr>
              <w:t>(5)汚染</w:t>
            </w:r>
          </w:p>
        </w:tc>
        <w:tc>
          <w:tcPr>
            <w:tcW w:w="7787" w:type="dxa"/>
          </w:tcPr>
          <w:p w14:paraId="7F166D83" w14:textId="77777777" w:rsidR="005F38AA" w:rsidRDefault="009649F8">
            <w:pPr>
              <w:pStyle w:val="TableParagraph"/>
              <w:spacing w:line="276" w:lineRule="auto"/>
              <w:ind w:right="141"/>
              <w:rPr>
                <w:sz w:val="20"/>
                <w:lang w:eastAsia="ja-JP"/>
              </w:rPr>
            </w:pPr>
            <w:r>
              <w:rPr>
                <w:position w:val="1"/>
                <w:sz w:val="20"/>
                <w:lang w:eastAsia="ja-JP"/>
              </w:rPr>
              <w:t>大気(例:窒素酸化物(NOx)、アンモニア(NH3)))および水への汚染物質の排出が、BREF LVIC-AAF(大量無機化学物質:アンモニア、酸、肥料)、BREF CWW(化学部門における一般的な廃水および廃ガス処理/管理システム)およびBREF EFS(貯蔵からの排出)で設定されたBAT-AEL範囲内であることを確実にする。</w:t>
            </w:r>
          </w:p>
          <w:p w14:paraId="7F166D84" w14:textId="77777777" w:rsidR="005F38AA" w:rsidRDefault="009649F8">
            <w:pPr>
              <w:pStyle w:val="TableParagraph"/>
              <w:spacing w:before="80" w:line="276" w:lineRule="auto"/>
              <w:rPr>
                <w:sz w:val="20"/>
                <w:lang w:eastAsia="ja-JP"/>
              </w:rPr>
            </w:pPr>
            <w:r>
              <w:rPr>
                <w:sz w:val="20"/>
                <w:lang w:eastAsia="ja-JP"/>
              </w:rPr>
              <w:t>最低限の要求事項は、承認された環境マネジメントシステム(ISO 14001、EMAS、または同等のもの)の実施と遵守である。</w:t>
            </w:r>
          </w:p>
          <w:p w14:paraId="7F166D85" w14:textId="77777777" w:rsidR="005F38AA" w:rsidRDefault="009649F8">
            <w:pPr>
              <w:pStyle w:val="TableParagraph"/>
              <w:spacing w:before="80" w:line="276" w:lineRule="auto"/>
              <w:rPr>
                <w:sz w:val="20"/>
                <w:lang w:eastAsia="ja-JP"/>
              </w:rPr>
            </w:pPr>
            <w:r>
              <w:rPr>
                <w:sz w:val="20"/>
                <w:lang w:eastAsia="ja-JP"/>
              </w:rPr>
              <w:t>活動が地域の大気汚染レベルに大きく寄与し、大気質基準を超える場合は、厳しいレベルのBAT-AELが要求される。</w:t>
            </w:r>
          </w:p>
        </w:tc>
      </w:tr>
      <w:tr w:rsidR="005F38AA" w14:paraId="7F166D8D" w14:textId="77777777">
        <w:trPr>
          <w:trHeight w:val="6391"/>
        </w:trPr>
        <w:tc>
          <w:tcPr>
            <w:tcW w:w="1565" w:type="dxa"/>
          </w:tcPr>
          <w:p w14:paraId="7F166D87" w14:textId="77777777" w:rsidR="005F38AA" w:rsidRDefault="009649F8">
            <w:pPr>
              <w:pStyle w:val="TableParagraph"/>
              <w:spacing w:before="42"/>
              <w:rPr>
                <w:sz w:val="20"/>
              </w:rPr>
            </w:pPr>
            <w:r>
              <w:rPr>
                <w:sz w:val="20"/>
              </w:rPr>
              <w:t>(6)</w:t>
            </w:r>
          </w:p>
          <w:p w14:paraId="7F166D88" w14:textId="77777777" w:rsidR="005F38AA" w:rsidRDefault="009649F8">
            <w:pPr>
              <w:pStyle w:val="TableParagraph"/>
              <w:spacing w:before="32"/>
              <w:rPr>
                <w:sz w:val="20"/>
              </w:rPr>
            </w:pPr>
            <w:r>
              <w:rPr>
                <w:sz w:val="20"/>
              </w:rPr>
              <w:t>生態系</w:t>
            </w:r>
          </w:p>
        </w:tc>
        <w:tc>
          <w:tcPr>
            <w:tcW w:w="7787" w:type="dxa"/>
          </w:tcPr>
          <w:p w14:paraId="7F166D89" w14:textId="77C83269" w:rsidR="005F38AA" w:rsidRDefault="009649F8">
            <w:pPr>
              <w:pStyle w:val="TableParagraph"/>
              <w:spacing w:before="42" w:line="276" w:lineRule="auto"/>
              <w:ind w:right="141"/>
              <w:rPr>
                <w:sz w:val="20"/>
                <w:lang w:eastAsia="ja-JP"/>
              </w:rPr>
            </w:pPr>
            <w:r>
              <w:rPr>
                <w:sz w:val="20"/>
                <w:lang w:eastAsia="ja-JP"/>
              </w:rPr>
              <w:t>EU環境影響評価指令(2014/52/EU)および戦略的環境評価指令(2001/42/EC)(または他の同等の国内規定または国際基準(例えば)に従って、環境影響評価(EIA)が完了していることを確実にする。 IFC Performance Standard 1: 環境・社会的リスクの評価と管理—EU以外の国のサイト/事業の場合、より厳しい方—は、サイト/運営(輸送インフラ、運営、廃棄物処理施設などの付随サービスを含む)と、生物多様性/生態系を保護するために必要な緩和措置、特にユネスコ世界遺産・生物多様性地域(KBA)が実施されて</w:t>
            </w:r>
            <w:r w:rsidR="006F08B1">
              <w:rPr>
                <w:rFonts w:hint="eastAsia"/>
                <w:sz w:val="20"/>
                <w:lang w:eastAsia="ja-JP"/>
              </w:rPr>
              <w:t>いること</w:t>
            </w:r>
            <w:r>
              <w:rPr>
                <w:sz w:val="20"/>
                <w:lang w:eastAsia="ja-JP"/>
              </w:rPr>
              <w:t>。</w:t>
            </w:r>
          </w:p>
          <w:p w14:paraId="7F166D8A" w14:textId="77777777" w:rsidR="005F38AA" w:rsidRDefault="009649F8">
            <w:pPr>
              <w:pStyle w:val="TableParagraph"/>
              <w:spacing w:before="80" w:line="276" w:lineRule="auto"/>
              <w:ind w:right="156"/>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7F166D8B" w14:textId="77777777" w:rsidR="005F38AA" w:rsidRDefault="009649F8">
            <w:pPr>
              <w:pStyle w:val="TableParagraph"/>
              <w:numPr>
                <w:ilvl w:val="0"/>
                <w:numId w:val="2"/>
              </w:numPr>
              <w:tabs>
                <w:tab w:val="left" w:pos="1188"/>
                <w:tab w:val="left" w:pos="1189"/>
              </w:tabs>
              <w:spacing w:before="82" w:line="273" w:lineRule="auto"/>
              <w:ind w:right="131"/>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7F166D8C" w14:textId="77777777" w:rsidR="005F38AA" w:rsidRDefault="009649F8">
            <w:pPr>
              <w:pStyle w:val="TableParagraph"/>
              <w:numPr>
                <w:ilvl w:val="0"/>
                <w:numId w:val="2"/>
              </w:numPr>
              <w:tabs>
                <w:tab w:val="left" w:pos="1188"/>
                <w:tab w:val="left" w:pos="1189"/>
              </w:tabs>
              <w:spacing w:before="2" w:line="271" w:lineRule="auto"/>
              <w:ind w:right="240"/>
              <w:rPr>
                <w:sz w:val="20"/>
                <w:lang w:eastAsia="ja-JP"/>
              </w:rPr>
            </w:pPr>
            <w:r>
              <w:rPr>
                <w:sz w:val="20"/>
                <w:lang w:eastAsia="ja-JP"/>
              </w:rPr>
              <w:t>種及び生息地への影響を低減するために必要なすべての緩和措置がとられていること。</w:t>
            </w:r>
          </w:p>
        </w:tc>
      </w:tr>
    </w:tbl>
    <w:p w14:paraId="7F166D8E" w14:textId="77777777" w:rsidR="005F38AA" w:rsidRDefault="005F38AA">
      <w:pPr>
        <w:spacing w:line="271" w:lineRule="auto"/>
        <w:rPr>
          <w:sz w:val="20"/>
          <w:lang w:eastAsia="ja-JP"/>
        </w:rPr>
        <w:sectPr w:rsidR="005F38AA">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7787"/>
      </w:tblGrid>
      <w:tr w:rsidR="005F38AA" w14:paraId="7F166D91" w14:textId="77777777">
        <w:trPr>
          <w:trHeight w:val="623"/>
        </w:trPr>
        <w:tc>
          <w:tcPr>
            <w:tcW w:w="1565" w:type="dxa"/>
          </w:tcPr>
          <w:p w14:paraId="7F166D8F" w14:textId="77777777" w:rsidR="005F38AA" w:rsidRDefault="005F38AA">
            <w:pPr>
              <w:pStyle w:val="TableParagraph"/>
              <w:spacing w:before="0"/>
              <w:ind w:left="0"/>
              <w:rPr>
                <w:rFonts w:ascii="Times New Roman"/>
                <w:sz w:val="18"/>
                <w:lang w:eastAsia="ja-JP"/>
              </w:rPr>
            </w:pPr>
          </w:p>
        </w:tc>
        <w:tc>
          <w:tcPr>
            <w:tcW w:w="7787" w:type="dxa"/>
          </w:tcPr>
          <w:p w14:paraId="7F166D90" w14:textId="77777777" w:rsidR="005F38AA" w:rsidRDefault="009649F8">
            <w:pPr>
              <w:pStyle w:val="TableParagraph"/>
              <w:numPr>
                <w:ilvl w:val="0"/>
                <w:numId w:val="1"/>
              </w:numPr>
              <w:tabs>
                <w:tab w:val="left" w:pos="1188"/>
                <w:tab w:val="left" w:pos="1189"/>
              </w:tabs>
              <w:spacing w:before="0" w:line="271" w:lineRule="auto"/>
              <w:ind w:right="398"/>
              <w:rPr>
                <w:sz w:val="20"/>
                <w:lang w:eastAsia="ja-JP"/>
              </w:rPr>
            </w:pPr>
            <w:r>
              <w:rPr>
                <w:sz w:val="20"/>
                <w:lang w:eastAsia="ja-JP"/>
              </w:rPr>
              <w:t>強固で、適切に設計され、長期的な生物多様性のモニタリングと評価プログラムが存在し、実施されている。</w:t>
            </w:r>
          </w:p>
        </w:tc>
      </w:tr>
    </w:tbl>
    <w:p w14:paraId="7F166D92" w14:textId="77777777" w:rsidR="009649F8" w:rsidRDefault="009649F8">
      <w:pPr>
        <w:rPr>
          <w:lang w:eastAsia="ja-JP"/>
        </w:rPr>
      </w:pPr>
    </w:p>
    <w:sectPr w:rsidR="009649F8">
      <w:pgSz w:w="12240" w:h="15840"/>
      <w:pgMar w:top="1440" w:right="1320" w:bottom="156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純" w:date="2020-12-22T09:13:00Z" w:initials="西田純">
    <w:p w14:paraId="5945A6FB" w14:textId="714EBF5C" w:rsidR="00082827" w:rsidRDefault="00082827">
      <w:pPr>
        <w:pStyle w:val="af"/>
        <w:rPr>
          <w:lang w:eastAsia="ja-JP"/>
        </w:rPr>
      </w:pPr>
      <w:r>
        <w:rPr>
          <w:rStyle w:val="ae"/>
        </w:rPr>
        <w:annotationRef/>
      </w:r>
      <w:r>
        <w:rPr>
          <w:rFonts w:hint="eastAsia"/>
          <w:lang w:eastAsia="ja-JP"/>
        </w:rPr>
        <w:t>見落としです。</w:t>
      </w:r>
    </w:p>
  </w:comment>
  <w:comment w:id="1" w:author="西田純" w:date="2020-12-22T09:16:00Z" w:initials="西田純">
    <w:p w14:paraId="607E8D00" w14:textId="1C58D13D" w:rsidR="00082827" w:rsidRDefault="00082827">
      <w:pPr>
        <w:pStyle w:val="af"/>
        <w:rPr>
          <w:lang w:eastAsia="ja-JP"/>
        </w:rPr>
      </w:pPr>
      <w:r>
        <w:rPr>
          <w:rStyle w:val="ae"/>
        </w:rPr>
        <w:annotationRef/>
      </w:r>
      <w:r>
        <w:rPr>
          <w:rFonts w:hint="eastAsia"/>
          <w:lang w:eastAsia="ja-JP"/>
        </w:rPr>
        <w:t>見落としです。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45A6FB" w15:done="0"/>
  <w15:commentEx w15:paraId="607E8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45A6FB" w16cid:durableId="23BD1CA1"/>
  <w16cid:commentId w16cid:paraId="607E8D00" w16cid:durableId="23BD1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52A6" w14:textId="77777777" w:rsidR="00AC57BC" w:rsidRDefault="00AC57BC">
      <w:r>
        <w:separator/>
      </w:r>
    </w:p>
  </w:endnote>
  <w:endnote w:type="continuationSeparator" w:id="0">
    <w:p w14:paraId="700B5013" w14:textId="77777777" w:rsidR="00AC57BC" w:rsidRDefault="00AC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6DAB" w14:textId="379D896C" w:rsidR="009A6BB8" w:rsidRDefault="009A6BB8">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7F166DAC" wp14:editId="105C14FB">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6DB4" w14:textId="77777777" w:rsidR="009A6BB8" w:rsidRDefault="009A6BB8">
                          <w:pPr>
                            <w:pStyle w:val="a3"/>
                            <w:spacing w:before="12"/>
                            <w:ind w:left="40"/>
                          </w:pPr>
                          <w:r>
                            <w:fldChar w:fldCharType="begin"/>
                          </w:r>
                          <w:r>
                            <w:instrText xml:space="preserve"> PAGE </w:instrText>
                          </w:r>
                          <w:r>
                            <w:fldChar w:fldCharType="separate"/>
                          </w:r>
                          <w:r w:rsidR="00082827">
                            <w:rPr>
                              <w:noProof/>
                            </w:rP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66DAC" id="_x0000_t202" coordsize="21600,21600" o:spt="202" path="m,l,21600r21600,l21600,xe">
              <v:stroke joinstyle="miter"/>
              <v:path gradientshapeok="t" o:connecttype="rect"/>
            </v:shapetype>
            <v:shape id="Text Box 1" o:spid="_x0000_s1028"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KG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kR8FcFPAlR8tPG9uuLkkmR53Uun3VLTIGCmW&#10;0HgLTo63So+uk4uJxUXOmsY2v+HPDgBzPIHQ8NTcGRK2l4+xF2+X22XohEG0dUIvy5ybfBM6Ue4v&#10;5tm7bLPJ/J8mrh8mNStLyk2YSVd++Gd9Oyl8VMRZWUo0rDRwhpKS+92mkehIQNe5/U4FuXBzn9Ow&#10;9YJcXqTkB6G3DmInj5YLJ8zDuRMvvKXj+fE6jrwwDrP8eUq3jNN/Twn1KY7nwXzU0m9z8+z3OjeS&#10;tEzD5GhYm+Ll2YkkRoFbXtrWasKa0b4ohaH/VApo99Roq1cj0VGsetgNgGJEvBPlAyhXClAWiBDG&#10;HRi1kD8w6mF0pFh9PxBJMWo+cFC/mTOTISdjNxmEF/A0xRqj0dzocR4dOsn2NSCP/xcXN/CHVMyq&#10;94kFUDcbGAc2idPoMvPmcm+9ngbs6hcAAAD//wMAUEsDBBQABgAIAAAAIQBjr4IX4QAAAA0BAAAP&#10;AAAAZHJzL2Rvd25yZXYueG1sTI9BT4NAEIXvJv6HzZh4swulJRZZmsboycRI8eBxgSlsys4iu23x&#10;3zs96XHe+/LmvXw720GccfLGkYJ4EYFAalxrqFPwWb0+PILwQVOrB0eo4Ac9bIvbm1xnrbtQied9&#10;6ASHkM+0gj6EMZPSNz1a7RduRGLv4CarA59TJ9tJXzjcDnIZRam02hB/6PWIzz02x/3JKth9Ufli&#10;vt/rj/JQmqraRPSWHpW6v5t3TyACzuEPhmt9rg4Fd6rdiVovBgXrTZwwysYqTnkEI2myXIOor9Iq&#10;iUEWufy/ovgFAAD//wMAUEsBAi0AFAAGAAgAAAAhALaDOJL+AAAA4QEAABMAAAAAAAAAAAAAAAAA&#10;AAAAAFtDb250ZW50X1R5cGVzXS54bWxQSwECLQAUAAYACAAAACEAOP0h/9YAAACUAQAACwAAAAAA&#10;AAAAAAAAAAAvAQAAX3JlbHMvLnJlbHNQSwECLQAUAAYACAAAACEAq4eyhqoCAACoBQAADgAAAAAA&#10;AAAAAAAAAAAuAgAAZHJzL2Uyb0RvYy54bWxQSwECLQAUAAYACAAAACEAY6+CF+EAAAANAQAADwAA&#10;AAAAAAAAAAAAAAAEBQAAZHJzL2Rvd25yZXYueG1sUEsFBgAAAAAEAAQA8wAAABIGAAAAAA==&#10;" filled="f" stroked="f">
              <v:textbox inset="0,0,0,0">
                <w:txbxContent>
                  <w:p w14:paraId="7F166DB4" w14:textId="77777777" w:rsidR="009A6BB8" w:rsidRDefault="009A6BB8">
                    <w:pPr>
                      <w:pStyle w:val="a3"/>
                      <w:spacing w:before="12"/>
                      <w:ind w:left="40"/>
                    </w:pPr>
                    <w:r>
                      <w:fldChar w:fldCharType="begin"/>
                    </w:r>
                    <w:r>
                      <w:instrText xml:space="preserve"> PAGE </w:instrText>
                    </w:r>
                    <w:r>
                      <w:fldChar w:fldCharType="separate"/>
                    </w:r>
                    <w:r w:rsidR="00082827">
                      <w:rPr>
                        <w:noProof/>
                      </w:rPr>
                      <w:t>207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5614D" w14:textId="77777777" w:rsidR="00AC57BC" w:rsidRDefault="00AC57BC">
      <w:r>
        <w:separator/>
      </w:r>
    </w:p>
  </w:footnote>
  <w:footnote w:type="continuationSeparator" w:id="0">
    <w:p w14:paraId="3FD1F9F2" w14:textId="77777777" w:rsidR="00AC57BC" w:rsidRDefault="00AC57BC">
      <w:r>
        <w:continuationSeparator/>
      </w:r>
    </w:p>
  </w:footnote>
  <w:footnote w:id="1">
    <w:p w14:paraId="3EA6EF24" w14:textId="0A9D89AF" w:rsidR="00CD5365" w:rsidRDefault="00CD5365">
      <w:pPr>
        <w:pStyle w:val="ab"/>
        <w:rPr>
          <w:lang w:eastAsia="ja-JP"/>
        </w:rPr>
      </w:pPr>
      <w:r>
        <w:rPr>
          <w:rStyle w:val="ad"/>
        </w:rPr>
        <w:footnoteRef/>
      </w:r>
      <w:r>
        <w:rPr>
          <w:lang w:eastAsia="ja-JP"/>
        </w:rPr>
        <w:t xml:space="preserve"> </w:t>
      </w:r>
      <w:r>
        <w:rPr>
          <w:rFonts w:hint="eastAsia"/>
          <w:lang w:eastAsia="ja-JP"/>
        </w:rPr>
        <w:t>触媒的に他者の目的達成を促進する活動のこと。評価の対象となる。</w:t>
      </w:r>
    </w:p>
  </w:footnote>
  <w:footnote w:id="2">
    <w:p w14:paraId="2434D437" w14:textId="7B00CBBC" w:rsidR="009A6BB8" w:rsidRDefault="009A6BB8">
      <w:pPr>
        <w:pStyle w:val="ab"/>
        <w:rPr>
          <w:lang w:eastAsia="ja-JP"/>
        </w:rPr>
      </w:pPr>
      <w:r>
        <w:rPr>
          <w:rStyle w:val="ad"/>
        </w:rPr>
        <w:footnoteRef/>
      </w:r>
      <w:r>
        <w:rPr>
          <w:rStyle w:val="ad"/>
        </w:rPr>
        <w:footnoteRef/>
      </w:r>
      <w:r>
        <w:rPr>
          <w:lang w:eastAsia="ja-JP"/>
        </w:rPr>
        <w:t xml:space="preserve"> </w:t>
      </w:r>
      <w:r>
        <w:rPr>
          <w:rFonts w:hint="eastAsia"/>
          <w:lang w:eastAsia="ja-JP"/>
        </w:rPr>
        <w:t>Platform on Sustainable Financeのこと。EC委員会の下部組織。</w:t>
      </w:r>
    </w:p>
  </w:footnote>
  <w:footnote w:id="3">
    <w:p w14:paraId="7165DB66" w14:textId="3C25B416" w:rsidR="00CD5365" w:rsidRPr="00F30B66" w:rsidRDefault="00CD5365">
      <w:pPr>
        <w:pStyle w:val="ab"/>
        <w:rPr>
          <w:lang w:val="en-US" w:eastAsia="ja-JP"/>
        </w:rPr>
      </w:pPr>
      <w:r>
        <w:rPr>
          <w:rStyle w:val="ad"/>
        </w:rPr>
        <w:footnoteRef/>
      </w:r>
      <w:r w:rsidRPr="00F30B66">
        <w:rPr>
          <w:lang w:val="en-US" w:eastAsia="ja-JP"/>
        </w:rPr>
        <w:t xml:space="preserve"> </w:t>
      </w:r>
      <w:r w:rsidR="00416990" w:rsidRPr="00F30B66">
        <w:rPr>
          <w:rFonts w:hint="eastAsia"/>
          <w:lang w:val="en-US" w:eastAsia="ja-JP"/>
        </w:rPr>
        <w:t xml:space="preserve">Best Available Techniques </w:t>
      </w:r>
      <w:r w:rsidR="00416990" w:rsidRPr="00F30B66">
        <w:rPr>
          <w:lang w:val="en-US" w:eastAsia="ja-JP"/>
        </w:rPr>
        <w:t>–</w:t>
      </w:r>
      <w:r w:rsidR="00416990" w:rsidRPr="00F30B66">
        <w:rPr>
          <w:rFonts w:hint="eastAsia"/>
          <w:lang w:val="en-US" w:eastAsia="ja-JP"/>
        </w:rPr>
        <w:t xml:space="preserve"> Associated </w:t>
      </w:r>
      <w:r w:rsidR="00D66F1B" w:rsidRPr="00D66F1B">
        <w:rPr>
          <w:rFonts w:hint="eastAsia"/>
          <w:lang w:val="en-US" w:eastAsia="ja-JP"/>
        </w:rPr>
        <w:t>E</w:t>
      </w:r>
      <w:r w:rsidR="00D66F1B">
        <w:rPr>
          <w:rFonts w:hint="eastAsia"/>
          <w:lang w:val="en-US" w:eastAsia="ja-JP"/>
        </w:rPr>
        <w:t>fficiency</w:t>
      </w:r>
      <w:r w:rsidR="00416990" w:rsidRPr="00F30B66">
        <w:rPr>
          <w:rFonts w:hint="eastAsia"/>
          <w:lang w:val="en-US" w:eastAsia="ja-JP"/>
        </w:rPr>
        <w:t xml:space="preserve"> Levels</w:t>
      </w:r>
      <w:r w:rsidR="00416990">
        <w:rPr>
          <w:rFonts w:hint="eastAsia"/>
          <w:lang w:eastAsia="ja-JP"/>
        </w:rPr>
        <w:t>（</w:t>
      </w:r>
      <w:r w:rsidR="00D66F1B">
        <w:rPr>
          <w:rFonts w:hint="eastAsia"/>
          <w:lang w:eastAsia="ja-JP"/>
        </w:rPr>
        <w:t>効率</w:t>
      </w:r>
      <w:r w:rsidR="00416990">
        <w:rPr>
          <w:rFonts w:hint="eastAsia"/>
          <w:lang w:eastAsia="ja-JP"/>
        </w:rPr>
        <w:t>水準に関する最善の技術リスト）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8FE"/>
    <w:multiLevelType w:val="hybridMultilevel"/>
    <w:tmpl w:val="0A34B728"/>
    <w:lvl w:ilvl="0" w:tplc="2618BBD0">
      <w:numFmt w:val="bullet"/>
      <w:lvlText w:val=""/>
      <w:lvlJc w:val="left"/>
      <w:pPr>
        <w:ind w:left="827" w:hanging="360"/>
      </w:pPr>
      <w:rPr>
        <w:rFonts w:ascii="Symbol" w:eastAsia="Symbol" w:hAnsi="Symbol" w:cs="Symbol" w:hint="default"/>
        <w:w w:val="99"/>
        <w:sz w:val="20"/>
        <w:szCs w:val="20"/>
      </w:rPr>
    </w:lvl>
    <w:lvl w:ilvl="1" w:tplc="C58C0B9C">
      <w:numFmt w:val="bullet"/>
      <w:lvlText w:val="•"/>
      <w:lvlJc w:val="left"/>
      <w:pPr>
        <w:ind w:left="1516" w:hanging="360"/>
      </w:pPr>
      <w:rPr>
        <w:rFonts w:hint="default"/>
      </w:rPr>
    </w:lvl>
    <w:lvl w:ilvl="2" w:tplc="DFCE9D62">
      <w:numFmt w:val="bullet"/>
      <w:lvlText w:val="•"/>
      <w:lvlJc w:val="left"/>
      <w:pPr>
        <w:ind w:left="2212" w:hanging="360"/>
      </w:pPr>
      <w:rPr>
        <w:rFonts w:hint="default"/>
      </w:rPr>
    </w:lvl>
    <w:lvl w:ilvl="3" w:tplc="5E44D01E">
      <w:numFmt w:val="bullet"/>
      <w:lvlText w:val="•"/>
      <w:lvlJc w:val="left"/>
      <w:pPr>
        <w:ind w:left="2908" w:hanging="360"/>
      </w:pPr>
      <w:rPr>
        <w:rFonts w:hint="default"/>
      </w:rPr>
    </w:lvl>
    <w:lvl w:ilvl="4" w:tplc="88EC7188">
      <w:numFmt w:val="bullet"/>
      <w:lvlText w:val="•"/>
      <w:lvlJc w:val="left"/>
      <w:pPr>
        <w:ind w:left="3604" w:hanging="360"/>
      </w:pPr>
      <w:rPr>
        <w:rFonts w:hint="default"/>
      </w:rPr>
    </w:lvl>
    <w:lvl w:ilvl="5" w:tplc="EA764A4C">
      <w:numFmt w:val="bullet"/>
      <w:lvlText w:val="•"/>
      <w:lvlJc w:val="left"/>
      <w:pPr>
        <w:ind w:left="4301" w:hanging="360"/>
      </w:pPr>
      <w:rPr>
        <w:rFonts w:hint="default"/>
      </w:rPr>
    </w:lvl>
    <w:lvl w:ilvl="6" w:tplc="93FA580C">
      <w:numFmt w:val="bullet"/>
      <w:lvlText w:val="•"/>
      <w:lvlJc w:val="left"/>
      <w:pPr>
        <w:ind w:left="4997" w:hanging="360"/>
      </w:pPr>
      <w:rPr>
        <w:rFonts w:hint="default"/>
      </w:rPr>
    </w:lvl>
    <w:lvl w:ilvl="7" w:tplc="51D495A0">
      <w:numFmt w:val="bullet"/>
      <w:lvlText w:val="•"/>
      <w:lvlJc w:val="left"/>
      <w:pPr>
        <w:ind w:left="5693" w:hanging="360"/>
      </w:pPr>
      <w:rPr>
        <w:rFonts w:hint="default"/>
      </w:rPr>
    </w:lvl>
    <w:lvl w:ilvl="8" w:tplc="C6DC88DE">
      <w:numFmt w:val="bullet"/>
      <w:lvlText w:val="•"/>
      <w:lvlJc w:val="left"/>
      <w:pPr>
        <w:ind w:left="6389" w:hanging="360"/>
      </w:pPr>
      <w:rPr>
        <w:rFonts w:hint="default"/>
      </w:rPr>
    </w:lvl>
  </w:abstractNum>
  <w:abstractNum w:abstractNumId="1" w15:restartNumberingAfterBreak="0">
    <w:nsid w:val="026E6854"/>
    <w:multiLevelType w:val="hybridMultilevel"/>
    <w:tmpl w:val="55449972"/>
    <w:lvl w:ilvl="0" w:tplc="24B6D762">
      <w:start w:val="1"/>
      <w:numFmt w:val="decimal"/>
      <w:lvlText w:val="%1."/>
      <w:lvlJc w:val="left"/>
      <w:pPr>
        <w:ind w:left="100" w:hanging="221"/>
        <w:jc w:val="left"/>
      </w:pPr>
      <w:rPr>
        <w:rFonts w:ascii="Arial" w:eastAsia="Arial" w:hAnsi="Arial" w:cs="Arial" w:hint="default"/>
        <w:w w:val="99"/>
        <w:sz w:val="20"/>
        <w:szCs w:val="20"/>
      </w:rPr>
    </w:lvl>
    <w:lvl w:ilvl="1" w:tplc="47923C74">
      <w:numFmt w:val="bullet"/>
      <w:lvlText w:val="•"/>
      <w:lvlJc w:val="left"/>
      <w:pPr>
        <w:ind w:left="1048" w:hanging="221"/>
      </w:pPr>
      <w:rPr>
        <w:rFonts w:hint="default"/>
      </w:rPr>
    </w:lvl>
    <w:lvl w:ilvl="2" w:tplc="AD52C91E">
      <w:numFmt w:val="bullet"/>
      <w:lvlText w:val="•"/>
      <w:lvlJc w:val="left"/>
      <w:pPr>
        <w:ind w:left="1996" w:hanging="221"/>
      </w:pPr>
      <w:rPr>
        <w:rFonts w:hint="default"/>
      </w:rPr>
    </w:lvl>
    <w:lvl w:ilvl="3" w:tplc="407C2AF8">
      <w:numFmt w:val="bullet"/>
      <w:lvlText w:val="•"/>
      <w:lvlJc w:val="left"/>
      <w:pPr>
        <w:ind w:left="2944" w:hanging="221"/>
      </w:pPr>
      <w:rPr>
        <w:rFonts w:hint="default"/>
      </w:rPr>
    </w:lvl>
    <w:lvl w:ilvl="4" w:tplc="EE084C8C">
      <w:numFmt w:val="bullet"/>
      <w:lvlText w:val="•"/>
      <w:lvlJc w:val="left"/>
      <w:pPr>
        <w:ind w:left="3892" w:hanging="221"/>
      </w:pPr>
      <w:rPr>
        <w:rFonts w:hint="default"/>
      </w:rPr>
    </w:lvl>
    <w:lvl w:ilvl="5" w:tplc="1C86BB48">
      <w:numFmt w:val="bullet"/>
      <w:lvlText w:val="•"/>
      <w:lvlJc w:val="left"/>
      <w:pPr>
        <w:ind w:left="4840" w:hanging="221"/>
      </w:pPr>
      <w:rPr>
        <w:rFonts w:hint="default"/>
      </w:rPr>
    </w:lvl>
    <w:lvl w:ilvl="6" w:tplc="51E093CA">
      <w:numFmt w:val="bullet"/>
      <w:lvlText w:val="•"/>
      <w:lvlJc w:val="left"/>
      <w:pPr>
        <w:ind w:left="5788" w:hanging="221"/>
      </w:pPr>
      <w:rPr>
        <w:rFonts w:hint="default"/>
      </w:rPr>
    </w:lvl>
    <w:lvl w:ilvl="7" w:tplc="1A7A0A28">
      <w:numFmt w:val="bullet"/>
      <w:lvlText w:val="•"/>
      <w:lvlJc w:val="left"/>
      <w:pPr>
        <w:ind w:left="6736" w:hanging="221"/>
      </w:pPr>
      <w:rPr>
        <w:rFonts w:hint="default"/>
      </w:rPr>
    </w:lvl>
    <w:lvl w:ilvl="8" w:tplc="DC6C989A">
      <w:numFmt w:val="bullet"/>
      <w:lvlText w:val="•"/>
      <w:lvlJc w:val="left"/>
      <w:pPr>
        <w:ind w:left="7684" w:hanging="221"/>
      </w:pPr>
      <w:rPr>
        <w:rFonts w:hint="default"/>
      </w:rPr>
    </w:lvl>
  </w:abstractNum>
  <w:abstractNum w:abstractNumId="2" w15:restartNumberingAfterBreak="0">
    <w:nsid w:val="03D0634B"/>
    <w:multiLevelType w:val="hybridMultilevel"/>
    <w:tmpl w:val="E390C4E8"/>
    <w:lvl w:ilvl="0" w:tplc="9D181C84">
      <w:numFmt w:val="bullet"/>
      <w:lvlText w:val=""/>
      <w:lvlJc w:val="left"/>
      <w:pPr>
        <w:ind w:left="828" w:hanging="360"/>
      </w:pPr>
      <w:rPr>
        <w:rFonts w:ascii="Symbol" w:eastAsia="Symbol" w:hAnsi="Symbol" w:cs="Symbol" w:hint="default"/>
        <w:w w:val="99"/>
        <w:position w:val="1"/>
        <w:sz w:val="20"/>
        <w:szCs w:val="20"/>
      </w:rPr>
    </w:lvl>
    <w:lvl w:ilvl="1" w:tplc="4F7A8EF2">
      <w:numFmt w:val="bullet"/>
      <w:lvlText w:val="•"/>
      <w:lvlJc w:val="left"/>
      <w:pPr>
        <w:ind w:left="1473" w:hanging="360"/>
      </w:pPr>
      <w:rPr>
        <w:rFonts w:hint="default"/>
      </w:rPr>
    </w:lvl>
    <w:lvl w:ilvl="2" w:tplc="6F40434C">
      <w:numFmt w:val="bullet"/>
      <w:lvlText w:val="•"/>
      <w:lvlJc w:val="left"/>
      <w:pPr>
        <w:ind w:left="2127" w:hanging="360"/>
      </w:pPr>
      <w:rPr>
        <w:rFonts w:hint="default"/>
      </w:rPr>
    </w:lvl>
    <w:lvl w:ilvl="3" w:tplc="391E7BCA">
      <w:numFmt w:val="bullet"/>
      <w:lvlText w:val="•"/>
      <w:lvlJc w:val="left"/>
      <w:pPr>
        <w:ind w:left="2781" w:hanging="360"/>
      </w:pPr>
      <w:rPr>
        <w:rFonts w:hint="default"/>
      </w:rPr>
    </w:lvl>
    <w:lvl w:ilvl="4" w:tplc="98CC6CC2">
      <w:numFmt w:val="bullet"/>
      <w:lvlText w:val="•"/>
      <w:lvlJc w:val="left"/>
      <w:pPr>
        <w:ind w:left="3434" w:hanging="360"/>
      </w:pPr>
      <w:rPr>
        <w:rFonts w:hint="default"/>
      </w:rPr>
    </w:lvl>
    <w:lvl w:ilvl="5" w:tplc="B3EAD010">
      <w:numFmt w:val="bullet"/>
      <w:lvlText w:val="•"/>
      <w:lvlJc w:val="left"/>
      <w:pPr>
        <w:ind w:left="4088" w:hanging="360"/>
      </w:pPr>
      <w:rPr>
        <w:rFonts w:hint="default"/>
      </w:rPr>
    </w:lvl>
    <w:lvl w:ilvl="6" w:tplc="82E40096">
      <w:numFmt w:val="bullet"/>
      <w:lvlText w:val="•"/>
      <w:lvlJc w:val="left"/>
      <w:pPr>
        <w:ind w:left="4742" w:hanging="360"/>
      </w:pPr>
      <w:rPr>
        <w:rFonts w:hint="default"/>
      </w:rPr>
    </w:lvl>
    <w:lvl w:ilvl="7" w:tplc="EF82DE32">
      <w:numFmt w:val="bullet"/>
      <w:lvlText w:val="•"/>
      <w:lvlJc w:val="left"/>
      <w:pPr>
        <w:ind w:left="5395" w:hanging="360"/>
      </w:pPr>
      <w:rPr>
        <w:rFonts w:hint="default"/>
      </w:rPr>
    </w:lvl>
    <w:lvl w:ilvl="8" w:tplc="9F60C4B4">
      <w:numFmt w:val="bullet"/>
      <w:lvlText w:val="•"/>
      <w:lvlJc w:val="left"/>
      <w:pPr>
        <w:ind w:left="6049" w:hanging="360"/>
      </w:pPr>
      <w:rPr>
        <w:rFonts w:hint="default"/>
      </w:rPr>
    </w:lvl>
  </w:abstractNum>
  <w:abstractNum w:abstractNumId="3" w15:restartNumberingAfterBreak="0">
    <w:nsid w:val="049331BE"/>
    <w:multiLevelType w:val="hybridMultilevel"/>
    <w:tmpl w:val="1FDE1052"/>
    <w:lvl w:ilvl="0" w:tplc="606CAAB4">
      <w:numFmt w:val="bullet"/>
      <w:lvlText w:val=""/>
      <w:lvlJc w:val="left"/>
      <w:pPr>
        <w:ind w:left="827" w:hanging="360"/>
      </w:pPr>
      <w:rPr>
        <w:rFonts w:ascii="Symbol" w:eastAsia="Symbol" w:hAnsi="Symbol" w:cs="Symbol" w:hint="default"/>
        <w:w w:val="99"/>
        <w:sz w:val="20"/>
        <w:szCs w:val="20"/>
      </w:rPr>
    </w:lvl>
    <w:lvl w:ilvl="1" w:tplc="5B14A9E2">
      <w:numFmt w:val="bullet"/>
      <w:lvlText w:val="o"/>
      <w:lvlJc w:val="left"/>
      <w:pPr>
        <w:ind w:left="1548" w:hanging="360"/>
      </w:pPr>
      <w:rPr>
        <w:rFonts w:ascii="Courier New" w:eastAsia="Courier New" w:hAnsi="Courier New" w:cs="Courier New" w:hint="default"/>
        <w:w w:val="99"/>
        <w:sz w:val="20"/>
        <w:szCs w:val="20"/>
      </w:rPr>
    </w:lvl>
    <w:lvl w:ilvl="2" w:tplc="EC76F26C">
      <w:numFmt w:val="bullet"/>
      <w:lvlText w:val="•"/>
      <w:lvlJc w:val="left"/>
      <w:pPr>
        <w:ind w:left="2233" w:hanging="360"/>
      </w:pPr>
      <w:rPr>
        <w:rFonts w:hint="default"/>
      </w:rPr>
    </w:lvl>
    <w:lvl w:ilvl="3" w:tplc="E2BE37F4">
      <w:numFmt w:val="bullet"/>
      <w:lvlText w:val="•"/>
      <w:lvlJc w:val="left"/>
      <w:pPr>
        <w:ind w:left="2927" w:hanging="360"/>
      </w:pPr>
      <w:rPr>
        <w:rFonts w:hint="default"/>
      </w:rPr>
    </w:lvl>
    <w:lvl w:ilvl="4" w:tplc="EB3049D0">
      <w:numFmt w:val="bullet"/>
      <w:lvlText w:val="•"/>
      <w:lvlJc w:val="left"/>
      <w:pPr>
        <w:ind w:left="3620" w:hanging="360"/>
      </w:pPr>
      <w:rPr>
        <w:rFonts w:hint="default"/>
      </w:rPr>
    </w:lvl>
    <w:lvl w:ilvl="5" w:tplc="208E46DE">
      <w:numFmt w:val="bullet"/>
      <w:lvlText w:val="•"/>
      <w:lvlJc w:val="left"/>
      <w:pPr>
        <w:ind w:left="4314" w:hanging="360"/>
      </w:pPr>
      <w:rPr>
        <w:rFonts w:hint="default"/>
      </w:rPr>
    </w:lvl>
    <w:lvl w:ilvl="6" w:tplc="3A287B32">
      <w:numFmt w:val="bullet"/>
      <w:lvlText w:val="•"/>
      <w:lvlJc w:val="left"/>
      <w:pPr>
        <w:ind w:left="5007" w:hanging="360"/>
      </w:pPr>
      <w:rPr>
        <w:rFonts w:hint="default"/>
      </w:rPr>
    </w:lvl>
    <w:lvl w:ilvl="7" w:tplc="C7B28C48">
      <w:numFmt w:val="bullet"/>
      <w:lvlText w:val="•"/>
      <w:lvlJc w:val="left"/>
      <w:pPr>
        <w:ind w:left="5701" w:hanging="360"/>
      </w:pPr>
      <w:rPr>
        <w:rFonts w:hint="default"/>
      </w:rPr>
    </w:lvl>
    <w:lvl w:ilvl="8" w:tplc="4148B9F0">
      <w:numFmt w:val="bullet"/>
      <w:lvlText w:val="•"/>
      <w:lvlJc w:val="left"/>
      <w:pPr>
        <w:ind w:left="6394" w:hanging="360"/>
      </w:pPr>
      <w:rPr>
        <w:rFonts w:hint="default"/>
      </w:rPr>
    </w:lvl>
  </w:abstractNum>
  <w:abstractNum w:abstractNumId="4" w15:restartNumberingAfterBreak="0">
    <w:nsid w:val="06791197"/>
    <w:multiLevelType w:val="hybridMultilevel"/>
    <w:tmpl w:val="E8D8415E"/>
    <w:lvl w:ilvl="0" w:tplc="3E7EC67A">
      <w:start w:val="226"/>
      <w:numFmt w:val="decimal"/>
      <w:lvlText w:val="%1"/>
      <w:lvlJc w:val="left"/>
      <w:pPr>
        <w:ind w:left="100" w:hanging="312"/>
        <w:jc w:val="left"/>
      </w:pPr>
      <w:rPr>
        <w:rFonts w:ascii="Arial" w:eastAsia="Arial" w:hAnsi="Arial" w:cs="Arial" w:hint="default"/>
        <w:spacing w:val="-1"/>
        <w:w w:val="100"/>
        <w:sz w:val="16"/>
        <w:szCs w:val="16"/>
      </w:rPr>
    </w:lvl>
    <w:lvl w:ilvl="1" w:tplc="AEBE44E2">
      <w:numFmt w:val="bullet"/>
      <w:lvlText w:val="•"/>
      <w:lvlJc w:val="left"/>
      <w:pPr>
        <w:ind w:left="1048" w:hanging="312"/>
      </w:pPr>
      <w:rPr>
        <w:rFonts w:hint="default"/>
      </w:rPr>
    </w:lvl>
    <w:lvl w:ilvl="2" w:tplc="008C6656">
      <w:numFmt w:val="bullet"/>
      <w:lvlText w:val="•"/>
      <w:lvlJc w:val="left"/>
      <w:pPr>
        <w:ind w:left="1996" w:hanging="312"/>
      </w:pPr>
      <w:rPr>
        <w:rFonts w:hint="default"/>
      </w:rPr>
    </w:lvl>
    <w:lvl w:ilvl="3" w:tplc="504E0EB6">
      <w:numFmt w:val="bullet"/>
      <w:lvlText w:val="•"/>
      <w:lvlJc w:val="left"/>
      <w:pPr>
        <w:ind w:left="2944" w:hanging="312"/>
      </w:pPr>
      <w:rPr>
        <w:rFonts w:hint="default"/>
      </w:rPr>
    </w:lvl>
    <w:lvl w:ilvl="4" w:tplc="B70023A2">
      <w:numFmt w:val="bullet"/>
      <w:lvlText w:val="•"/>
      <w:lvlJc w:val="left"/>
      <w:pPr>
        <w:ind w:left="3892" w:hanging="312"/>
      </w:pPr>
      <w:rPr>
        <w:rFonts w:hint="default"/>
      </w:rPr>
    </w:lvl>
    <w:lvl w:ilvl="5" w:tplc="5E2E7640">
      <w:numFmt w:val="bullet"/>
      <w:lvlText w:val="•"/>
      <w:lvlJc w:val="left"/>
      <w:pPr>
        <w:ind w:left="4840" w:hanging="312"/>
      </w:pPr>
      <w:rPr>
        <w:rFonts w:hint="default"/>
      </w:rPr>
    </w:lvl>
    <w:lvl w:ilvl="6" w:tplc="DDACBC54">
      <w:numFmt w:val="bullet"/>
      <w:lvlText w:val="•"/>
      <w:lvlJc w:val="left"/>
      <w:pPr>
        <w:ind w:left="5788" w:hanging="312"/>
      </w:pPr>
      <w:rPr>
        <w:rFonts w:hint="default"/>
      </w:rPr>
    </w:lvl>
    <w:lvl w:ilvl="7" w:tplc="56705EEC">
      <w:numFmt w:val="bullet"/>
      <w:lvlText w:val="•"/>
      <w:lvlJc w:val="left"/>
      <w:pPr>
        <w:ind w:left="6736" w:hanging="312"/>
      </w:pPr>
      <w:rPr>
        <w:rFonts w:hint="default"/>
      </w:rPr>
    </w:lvl>
    <w:lvl w:ilvl="8" w:tplc="E392D522">
      <w:numFmt w:val="bullet"/>
      <w:lvlText w:val="•"/>
      <w:lvlJc w:val="left"/>
      <w:pPr>
        <w:ind w:left="7684" w:hanging="312"/>
      </w:pPr>
      <w:rPr>
        <w:rFonts w:hint="default"/>
      </w:rPr>
    </w:lvl>
  </w:abstractNum>
  <w:abstractNum w:abstractNumId="5" w15:restartNumberingAfterBreak="0">
    <w:nsid w:val="06895E08"/>
    <w:multiLevelType w:val="hybridMultilevel"/>
    <w:tmpl w:val="2C066FB2"/>
    <w:lvl w:ilvl="0" w:tplc="7C485832">
      <w:numFmt w:val="bullet"/>
      <w:lvlText w:val=""/>
      <w:lvlJc w:val="left"/>
      <w:pPr>
        <w:ind w:left="827" w:hanging="360"/>
      </w:pPr>
      <w:rPr>
        <w:rFonts w:ascii="Symbol" w:eastAsia="Symbol" w:hAnsi="Symbol" w:cs="Symbol" w:hint="default"/>
        <w:w w:val="99"/>
        <w:sz w:val="20"/>
        <w:szCs w:val="20"/>
      </w:rPr>
    </w:lvl>
    <w:lvl w:ilvl="1" w:tplc="11985348">
      <w:numFmt w:val="bullet"/>
      <w:lvlText w:val="•"/>
      <w:lvlJc w:val="left"/>
      <w:pPr>
        <w:ind w:left="1672" w:hanging="360"/>
      </w:pPr>
      <w:rPr>
        <w:rFonts w:hint="default"/>
      </w:rPr>
    </w:lvl>
    <w:lvl w:ilvl="2" w:tplc="50148C68">
      <w:numFmt w:val="bullet"/>
      <w:lvlText w:val="•"/>
      <w:lvlJc w:val="left"/>
      <w:pPr>
        <w:ind w:left="2524" w:hanging="360"/>
      </w:pPr>
      <w:rPr>
        <w:rFonts w:hint="default"/>
      </w:rPr>
    </w:lvl>
    <w:lvl w:ilvl="3" w:tplc="164A99E6">
      <w:numFmt w:val="bullet"/>
      <w:lvlText w:val="•"/>
      <w:lvlJc w:val="left"/>
      <w:pPr>
        <w:ind w:left="3376" w:hanging="360"/>
      </w:pPr>
      <w:rPr>
        <w:rFonts w:hint="default"/>
      </w:rPr>
    </w:lvl>
    <w:lvl w:ilvl="4" w:tplc="BB3C5C2E">
      <w:numFmt w:val="bullet"/>
      <w:lvlText w:val="•"/>
      <w:lvlJc w:val="left"/>
      <w:pPr>
        <w:ind w:left="4228" w:hanging="360"/>
      </w:pPr>
      <w:rPr>
        <w:rFonts w:hint="default"/>
      </w:rPr>
    </w:lvl>
    <w:lvl w:ilvl="5" w:tplc="B1F6D508">
      <w:numFmt w:val="bullet"/>
      <w:lvlText w:val="•"/>
      <w:lvlJc w:val="left"/>
      <w:pPr>
        <w:ind w:left="5081" w:hanging="360"/>
      </w:pPr>
      <w:rPr>
        <w:rFonts w:hint="default"/>
      </w:rPr>
    </w:lvl>
    <w:lvl w:ilvl="6" w:tplc="2F289CF6">
      <w:numFmt w:val="bullet"/>
      <w:lvlText w:val="•"/>
      <w:lvlJc w:val="left"/>
      <w:pPr>
        <w:ind w:left="5933" w:hanging="360"/>
      </w:pPr>
      <w:rPr>
        <w:rFonts w:hint="default"/>
      </w:rPr>
    </w:lvl>
    <w:lvl w:ilvl="7" w:tplc="0ACCB4CE">
      <w:numFmt w:val="bullet"/>
      <w:lvlText w:val="•"/>
      <w:lvlJc w:val="left"/>
      <w:pPr>
        <w:ind w:left="6785" w:hanging="360"/>
      </w:pPr>
      <w:rPr>
        <w:rFonts w:hint="default"/>
      </w:rPr>
    </w:lvl>
    <w:lvl w:ilvl="8" w:tplc="E368B8FA">
      <w:numFmt w:val="bullet"/>
      <w:lvlText w:val="•"/>
      <w:lvlJc w:val="left"/>
      <w:pPr>
        <w:ind w:left="7637" w:hanging="360"/>
      </w:pPr>
      <w:rPr>
        <w:rFonts w:hint="default"/>
      </w:rPr>
    </w:lvl>
  </w:abstractNum>
  <w:abstractNum w:abstractNumId="6" w15:restartNumberingAfterBreak="0">
    <w:nsid w:val="068A1CF6"/>
    <w:multiLevelType w:val="hybridMultilevel"/>
    <w:tmpl w:val="8D962A14"/>
    <w:lvl w:ilvl="0" w:tplc="96500B68">
      <w:numFmt w:val="bullet"/>
      <w:lvlText w:val=""/>
      <w:lvlJc w:val="left"/>
      <w:pPr>
        <w:ind w:left="467" w:hanging="360"/>
      </w:pPr>
      <w:rPr>
        <w:rFonts w:ascii="Symbol" w:eastAsia="Symbol" w:hAnsi="Symbol" w:cs="Symbol" w:hint="default"/>
        <w:w w:val="99"/>
        <w:sz w:val="20"/>
        <w:szCs w:val="20"/>
      </w:rPr>
    </w:lvl>
    <w:lvl w:ilvl="1" w:tplc="FDEABF66">
      <w:numFmt w:val="bullet"/>
      <w:lvlText w:val="•"/>
      <w:lvlJc w:val="left"/>
      <w:pPr>
        <w:ind w:left="1157" w:hanging="360"/>
      </w:pPr>
      <w:rPr>
        <w:rFonts w:hint="default"/>
      </w:rPr>
    </w:lvl>
    <w:lvl w:ilvl="2" w:tplc="63A6749C">
      <w:numFmt w:val="bullet"/>
      <w:lvlText w:val="•"/>
      <w:lvlJc w:val="left"/>
      <w:pPr>
        <w:ind w:left="1855" w:hanging="360"/>
      </w:pPr>
      <w:rPr>
        <w:rFonts w:hint="default"/>
      </w:rPr>
    </w:lvl>
    <w:lvl w:ilvl="3" w:tplc="0144D748">
      <w:numFmt w:val="bullet"/>
      <w:lvlText w:val="•"/>
      <w:lvlJc w:val="left"/>
      <w:pPr>
        <w:ind w:left="2553" w:hanging="360"/>
      </w:pPr>
      <w:rPr>
        <w:rFonts w:hint="default"/>
      </w:rPr>
    </w:lvl>
    <w:lvl w:ilvl="4" w:tplc="7C9A9A74">
      <w:numFmt w:val="bullet"/>
      <w:lvlText w:val="•"/>
      <w:lvlJc w:val="left"/>
      <w:pPr>
        <w:ind w:left="3250" w:hanging="360"/>
      </w:pPr>
      <w:rPr>
        <w:rFonts w:hint="default"/>
      </w:rPr>
    </w:lvl>
    <w:lvl w:ilvl="5" w:tplc="C14C1B28">
      <w:numFmt w:val="bullet"/>
      <w:lvlText w:val="•"/>
      <w:lvlJc w:val="left"/>
      <w:pPr>
        <w:ind w:left="3948" w:hanging="360"/>
      </w:pPr>
      <w:rPr>
        <w:rFonts w:hint="default"/>
      </w:rPr>
    </w:lvl>
    <w:lvl w:ilvl="6" w:tplc="34AC24B2">
      <w:numFmt w:val="bullet"/>
      <w:lvlText w:val="•"/>
      <w:lvlJc w:val="left"/>
      <w:pPr>
        <w:ind w:left="4646" w:hanging="360"/>
      </w:pPr>
      <w:rPr>
        <w:rFonts w:hint="default"/>
      </w:rPr>
    </w:lvl>
    <w:lvl w:ilvl="7" w:tplc="4DB0C33A">
      <w:numFmt w:val="bullet"/>
      <w:lvlText w:val="•"/>
      <w:lvlJc w:val="left"/>
      <w:pPr>
        <w:ind w:left="5343" w:hanging="360"/>
      </w:pPr>
      <w:rPr>
        <w:rFonts w:hint="default"/>
      </w:rPr>
    </w:lvl>
    <w:lvl w:ilvl="8" w:tplc="0272265E">
      <w:numFmt w:val="bullet"/>
      <w:lvlText w:val="•"/>
      <w:lvlJc w:val="left"/>
      <w:pPr>
        <w:ind w:left="6041" w:hanging="360"/>
      </w:pPr>
      <w:rPr>
        <w:rFonts w:hint="default"/>
      </w:rPr>
    </w:lvl>
  </w:abstractNum>
  <w:abstractNum w:abstractNumId="7" w15:restartNumberingAfterBreak="0">
    <w:nsid w:val="07EE5533"/>
    <w:multiLevelType w:val="hybridMultilevel"/>
    <w:tmpl w:val="8A0C868E"/>
    <w:lvl w:ilvl="0" w:tplc="780244EE">
      <w:numFmt w:val="bullet"/>
      <w:lvlText w:val=""/>
      <w:lvlJc w:val="left"/>
      <w:pPr>
        <w:ind w:left="827" w:hanging="360"/>
      </w:pPr>
      <w:rPr>
        <w:rFonts w:ascii="Symbol" w:eastAsia="Symbol" w:hAnsi="Symbol" w:cs="Symbol" w:hint="default"/>
        <w:w w:val="99"/>
        <w:sz w:val="20"/>
        <w:szCs w:val="20"/>
      </w:rPr>
    </w:lvl>
    <w:lvl w:ilvl="1" w:tplc="AB008C48">
      <w:numFmt w:val="bullet"/>
      <w:lvlText w:val="•"/>
      <w:lvlJc w:val="left"/>
      <w:pPr>
        <w:ind w:left="1672" w:hanging="360"/>
      </w:pPr>
      <w:rPr>
        <w:rFonts w:hint="default"/>
      </w:rPr>
    </w:lvl>
    <w:lvl w:ilvl="2" w:tplc="2436B172">
      <w:numFmt w:val="bullet"/>
      <w:lvlText w:val="•"/>
      <w:lvlJc w:val="left"/>
      <w:pPr>
        <w:ind w:left="2524" w:hanging="360"/>
      </w:pPr>
      <w:rPr>
        <w:rFonts w:hint="default"/>
      </w:rPr>
    </w:lvl>
    <w:lvl w:ilvl="3" w:tplc="D4288480">
      <w:numFmt w:val="bullet"/>
      <w:lvlText w:val="•"/>
      <w:lvlJc w:val="left"/>
      <w:pPr>
        <w:ind w:left="3376" w:hanging="360"/>
      </w:pPr>
      <w:rPr>
        <w:rFonts w:hint="default"/>
      </w:rPr>
    </w:lvl>
    <w:lvl w:ilvl="4" w:tplc="94A89054">
      <w:numFmt w:val="bullet"/>
      <w:lvlText w:val="•"/>
      <w:lvlJc w:val="left"/>
      <w:pPr>
        <w:ind w:left="4228" w:hanging="360"/>
      </w:pPr>
      <w:rPr>
        <w:rFonts w:hint="default"/>
      </w:rPr>
    </w:lvl>
    <w:lvl w:ilvl="5" w:tplc="87AAEEDA">
      <w:numFmt w:val="bullet"/>
      <w:lvlText w:val="•"/>
      <w:lvlJc w:val="left"/>
      <w:pPr>
        <w:ind w:left="5080" w:hanging="360"/>
      </w:pPr>
      <w:rPr>
        <w:rFonts w:hint="default"/>
      </w:rPr>
    </w:lvl>
    <w:lvl w:ilvl="6" w:tplc="C8DC3A78">
      <w:numFmt w:val="bullet"/>
      <w:lvlText w:val="•"/>
      <w:lvlJc w:val="left"/>
      <w:pPr>
        <w:ind w:left="5932" w:hanging="360"/>
      </w:pPr>
      <w:rPr>
        <w:rFonts w:hint="default"/>
      </w:rPr>
    </w:lvl>
    <w:lvl w:ilvl="7" w:tplc="765AD21E">
      <w:numFmt w:val="bullet"/>
      <w:lvlText w:val="•"/>
      <w:lvlJc w:val="left"/>
      <w:pPr>
        <w:ind w:left="6784" w:hanging="360"/>
      </w:pPr>
      <w:rPr>
        <w:rFonts w:hint="default"/>
      </w:rPr>
    </w:lvl>
    <w:lvl w:ilvl="8" w:tplc="452C3E04">
      <w:numFmt w:val="bullet"/>
      <w:lvlText w:val="•"/>
      <w:lvlJc w:val="left"/>
      <w:pPr>
        <w:ind w:left="7636" w:hanging="360"/>
      </w:pPr>
      <w:rPr>
        <w:rFonts w:hint="default"/>
      </w:rPr>
    </w:lvl>
  </w:abstractNum>
  <w:abstractNum w:abstractNumId="8" w15:restartNumberingAfterBreak="0">
    <w:nsid w:val="09ED78FB"/>
    <w:multiLevelType w:val="hybridMultilevel"/>
    <w:tmpl w:val="F1D29F18"/>
    <w:lvl w:ilvl="0" w:tplc="017EBDA8">
      <w:numFmt w:val="bullet"/>
      <w:lvlText w:val=""/>
      <w:lvlJc w:val="left"/>
      <w:pPr>
        <w:ind w:left="828" w:hanging="360"/>
      </w:pPr>
      <w:rPr>
        <w:rFonts w:ascii="Symbol" w:eastAsia="Symbol" w:hAnsi="Symbol" w:cs="Symbol" w:hint="default"/>
        <w:w w:val="99"/>
        <w:sz w:val="20"/>
        <w:szCs w:val="20"/>
      </w:rPr>
    </w:lvl>
    <w:lvl w:ilvl="1" w:tplc="6068CFE8">
      <w:numFmt w:val="bullet"/>
      <w:lvlText w:val="•"/>
      <w:lvlJc w:val="left"/>
      <w:pPr>
        <w:ind w:left="1443" w:hanging="360"/>
      </w:pPr>
      <w:rPr>
        <w:rFonts w:hint="default"/>
      </w:rPr>
    </w:lvl>
    <w:lvl w:ilvl="2" w:tplc="B660EDF4">
      <w:numFmt w:val="bullet"/>
      <w:lvlText w:val="•"/>
      <w:lvlJc w:val="left"/>
      <w:pPr>
        <w:ind w:left="2067" w:hanging="360"/>
      </w:pPr>
      <w:rPr>
        <w:rFonts w:hint="default"/>
      </w:rPr>
    </w:lvl>
    <w:lvl w:ilvl="3" w:tplc="4CEC6F56">
      <w:numFmt w:val="bullet"/>
      <w:lvlText w:val="•"/>
      <w:lvlJc w:val="left"/>
      <w:pPr>
        <w:ind w:left="2690" w:hanging="360"/>
      </w:pPr>
      <w:rPr>
        <w:rFonts w:hint="default"/>
      </w:rPr>
    </w:lvl>
    <w:lvl w:ilvl="4" w:tplc="94A61906">
      <w:numFmt w:val="bullet"/>
      <w:lvlText w:val="•"/>
      <w:lvlJc w:val="left"/>
      <w:pPr>
        <w:ind w:left="3314" w:hanging="360"/>
      </w:pPr>
      <w:rPr>
        <w:rFonts w:hint="default"/>
      </w:rPr>
    </w:lvl>
    <w:lvl w:ilvl="5" w:tplc="51744196">
      <w:numFmt w:val="bullet"/>
      <w:lvlText w:val="•"/>
      <w:lvlJc w:val="left"/>
      <w:pPr>
        <w:ind w:left="3937" w:hanging="360"/>
      </w:pPr>
      <w:rPr>
        <w:rFonts w:hint="default"/>
      </w:rPr>
    </w:lvl>
    <w:lvl w:ilvl="6" w:tplc="98E62568">
      <w:numFmt w:val="bullet"/>
      <w:lvlText w:val="•"/>
      <w:lvlJc w:val="left"/>
      <w:pPr>
        <w:ind w:left="4561" w:hanging="360"/>
      </w:pPr>
      <w:rPr>
        <w:rFonts w:hint="default"/>
      </w:rPr>
    </w:lvl>
    <w:lvl w:ilvl="7" w:tplc="5E3EF29C">
      <w:numFmt w:val="bullet"/>
      <w:lvlText w:val="•"/>
      <w:lvlJc w:val="left"/>
      <w:pPr>
        <w:ind w:left="5184" w:hanging="360"/>
      </w:pPr>
      <w:rPr>
        <w:rFonts w:hint="default"/>
      </w:rPr>
    </w:lvl>
    <w:lvl w:ilvl="8" w:tplc="0936BA14">
      <w:numFmt w:val="bullet"/>
      <w:lvlText w:val="•"/>
      <w:lvlJc w:val="left"/>
      <w:pPr>
        <w:ind w:left="5808" w:hanging="360"/>
      </w:pPr>
      <w:rPr>
        <w:rFonts w:hint="default"/>
      </w:rPr>
    </w:lvl>
  </w:abstractNum>
  <w:abstractNum w:abstractNumId="9" w15:restartNumberingAfterBreak="0">
    <w:nsid w:val="0CDD3885"/>
    <w:multiLevelType w:val="hybridMultilevel"/>
    <w:tmpl w:val="2E04A4FA"/>
    <w:lvl w:ilvl="0" w:tplc="AD565000">
      <w:numFmt w:val="bullet"/>
      <w:lvlText w:val=""/>
      <w:lvlJc w:val="left"/>
      <w:pPr>
        <w:ind w:left="163" w:hanging="360"/>
      </w:pPr>
      <w:rPr>
        <w:rFonts w:ascii="Symbol" w:eastAsia="Symbol" w:hAnsi="Symbol" w:cs="Symbol" w:hint="default"/>
        <w:w w:val="99"/>
        <w:sz w:val="20"/>
        <w:szCs w:val="20"/>
      </w:rPr>
    </w:lvl>
    <w:lvl w:ilvl="1" w:tplc="6BFE8776">
      <w:numFmt w:val="bullet"/>
      <w:lvlText w:val="•"/>
      <w:lvlJc w:val="left"/>
      <w:pPr>
        <w:ind w:left="874" w:hanging="360"/>
      </w:pPr>
      <w:rPr>
        <w:rFonts w:hint="default"/>
      </w:rPr>
    </w:lvl>
    <w:lvl w:ilvl="2" w:tplc="25FA6CAE">
      <w:numFmt w:val="bullet"/>
      <w:lvlText w:val="•"/>
      <w:lvlJc w:val="left"/>
      <w:pPr>
        <w:ind w:left="1589" w:hanging="360"/>
      </w:pPr>
      <w:rPr>
        <w:rFonts w:hint="default"/>
      </w:rPr>
    </w:lvl>
    <w:lvl w:ilvl="3" w:tplc="DE5613D6">
      <w:numFmt w:val="bullet"/>
      <w:lvlText w:val="•"/>
      <w:lvlJc w:val="left"/>
      <w:pPr>
        <w:ind w:left="2304" w:hanging="360"/>
      </w:pPr>
      <w:rPr>
        <w:rFonts w:hint="default"/>
      </w:rPr>
    </w:lvl>
    <w:lvl w:ilvl="4" w:tplc="71A06166">
      <w:numFmt w:val="bullet"/>
      <w:lvlText w:val="•"/>
      <w:lvlJc w:val="left"/>
      <w:pPr>
        <w:ind w:left="3018" w:hanging="360"/>
      </w:pPr>
      <w:rPr>
        <w:rFonts w:hint="default"/>
      </w:rPr>
    </w:lvl>
    <w:lvl w:ilvl="5" w:tplc="E1D42DA6">
      <w:numFmt w:val="bullet"/>
      <w:lvlText w:val="•"/>
      <w:lvlJc w:val="left"/>
      <w:pPr>
        <w:ind w:left="3733" w:hanging="360"/>
      </w:pPr>
      <w:rPr>
        <w:rFonts w:hint="default"/>
      </w:rPr>
    </w:lvl>
    <w:lvl w:ilvl="6" w:tplc="936C0A06">
      <w:numFmt w:val="bullet"/>
      <w:lvlText w:val="•"/>
      <w:lvlJc w:val="left"/>
      <w:pPr>
        <w:ind w:left="4448" w:hanging="360"/>
      </w:pPr>
      <w:rPr>
        <w:rFonts w:hint="default"/>
      </w:rPr>
    </w:lvl>
    <w:lvl w:ilvl="7" w:tplc="DBF25E48">
      <w:numFmt w:val="bullet"/>
      <w:lvlText w:val="•"/>
      <w:lvlJc w:val="left"/>
      <w:pPr>
        <w:ind w:left="5162" w:hanging="360"/>
      </w:pPr>
      <w:rPr>
        <w:rFonts w:hint="default"/>
      </w:rPr>
    </w:lvl>
    <w:lvl w:ilvl="8" w:tplc="66BCBEFC">
      <w:numFmt w:val="bullet"/>
      <w:lvlText w:val="•"/>
      <w:lvlJc w:val="left"/>
      <w:pPr>
        <w:ind w:left="5877" w:hanging="360"/>
      </w:pPr>
      <w:rPr>
        <w:rFonts w:hint="default"/>
      </w:rPr>
    </w:lvl>
  </w:abstractNum>
  <w:abstractNum w:abstractNumId="10" w15:restartNumberingAfterBreak="0">
    <w:nsid w:val="11E9394E"/>
    <w:multiLevelType w:val="hybridMultilevel"/>
    <w:tmpl w:val="4684A842"/>
    <w:lvl w:ilvl="0" w:tplc="98DA7CB8">
      <w:numFmt w:val="bullet"/>
      <w:lvlText w:val=""/>
      <w:lvlJc w:val="left"/>
      <w:pPr>
        <w:ind w:left="827" w:hanging="360"/>
      </w:pPr>
      <w:rPr>
        <w:rFonts w:ascii="Symbol" w:eastAsia="Symbol" w:hAnsi="Symbol" w:cs="Symbol" w:hint="default"/>
        <w:w w:val="99"/>
        <w:sz w:val="20"/>
        <w:szCs w:val="20"/>
      </w:rPr>
    </w:lvl>
    <w:lvl w:ilvl="1" w:tplc="26FE3134">
      <w:numFmt w:val="bullet"/>
      <w:lvlText w:val="•"/>
      <w:lvlJc w:val="left"/>
      <w:pPr>
        <w:ind w:left="1672" w:hanging="360"/>
      </w:pPr>
      <w:rPr>
        <w:rFonts w:hint="default"/>
      </w:rPr>
    </w:lvl>
    <w:lvl w:ilvl="2" w:tplc="E5E2BA64">
      <w:numFmt w:val="bullet"/>
      <w:lvlText w:val="•"/>
      <w:lvlJc w:val="left"/>
      <w:pPr>
        <w:ind w:left="2524" w:hanging="360"/>
      </w:pPr>
      <w:rPr>
        <w:rFonts w:hint="default"/>
      </w:rPr>
    </w:lvl>
    <w:lvl w:ilvl="3" w:tplc="2E862128">
      <w:numFmt w:val="bullet"/>
      <w:lvlText w:val="•"/>
      <w:lvlJc w:val="left"/>
      <w:pPr>
        <w:ind w:left="3376" w:hanging="360"/>
      </w:pPr>
      <w:rPr>
        <w:rFonts w:hint="default"/>
      </w:rPr>
    </w:lvl>
    <w:lvl w:ilvl="4" w:tplc="743A6864">
      <w:numFmt w:val="bullet"/>
      <w:lvlText w:val="•"/>
      <w:lvlJc w:val="left"/>
      <w:pPr>
        <w:ind w:left="4228" w:hanging="360"/>
      </w:pPr>
      <w:rPr>
        <w:rFonts w:hint="default"/>
      </w:rPr>
    </w:lvl>
    <w:lvl w:ilvl="5" w:tplc="3E12B2EC">
      <w:numFmt w:val="bullet"/>
      <w:lvlText w:val="•"/>
      <w:lvlJc w:val="left"/>
      <w:pPr>
        <w:ind w:left="5080" w:hanging="360"/>
      </w:pPr>
      <w:rPr>
        <w:rFonts w:hint="default"/>
      </w:rPr>
    </w:lvl>
    <w:lvl w:ilvl="6" w:tplc="8398DEB0">
      <w:numFmt w:val="bullet"/>
      <w:lvlText w:val="•"/>
      <w:lvlJc w:val="left"/>
      <w:pPr>
        <w:ind w:left="5932" w:hanging="360"/>
      </w:pPr>
      <w:rPr>
        <w:rFonts w:hint="default"/>
      </w:rPr>
    </w:lvl>
    <w:lvl w:ilvl="7" w:tplc="C468800C">
      <w:numFmt w:val="bullet"/>
      <w:lvlText w:val="•"/>
      <w:lvlJc w:val="left"/>
      <w:pPr>
        <w:ind w:left="6784" w:hanging="360"/>
      </w:pPr>
      <w:rPr>
        <w:rFonts w:hint="default"/>
      </w:rPr>
    </w:lvl>
    <w:lvl w:ilvl="8" w:tplc="F42020AE">
      <w:numFmt w:val="bullet"/>
      <w:lvlText w:val="•"/>
      <w:lvlJc w:val="left"/>
      <w:pPr>
        <w:ind w:left="7636" w:hanging="360"/>
      </w:pPr>
      <w:rPr>
        <w:rFonts w:hint="default"/>
      </w:rPr>
    </w:lvl>
  </w:abstractNum>
  <w:abstractNum w:abstractNumId="11" w15:restartNumberingAfterBreak="0">
    <w:nsid w:val="12590975"/>
    <w:multiLevelType w:val="hybridMultilevel"/>
    <w:tmpl w:val="F0B603BC"/>
    <w:lvl w:ilvl="0" w:tplc="A8D09F20">
      <w:numFmt w:val="bullet"/>
      <w:lvlText w:val=""/>
      <w:lvlJc w:val="left"/>
      <w:pPr>
        <w:ind w:left="827" w:hanging="360"/>
      </w:pPr>
      <w:rPr>
        <w:rFonts w:ascii="Symbol" w:eastAsia="Symbol" w:hAnsi="Symbol" w:cs="Symbol" w:hint="default"/>
        <w:w w:val="99"/>
        <w:sz w:val="20"/>
        <w:szCs w:val="20"/>
      </w:rPr>
    </w:lvl>
    <w:lvl w:ilvl="1" w:tplc="3F0E729E">
      <w:numFmt w:val="bullet"/>
      <w:lvlText w:val="•"/>
      <w:lvlJc w:val="left"/>
      <w:pPr>
        <w:ind w:left="1672" w:hanging="360"/>
      </w:pPr>
      <w:rPr>
        <w:rFonts w:hint="default"/>
      </w:rPr>
    </w:lvl>
    <w:lvl w:ilvl="2" w:tplc="A6022454">
      <w:numFmt w:val="bullet"/>
      <w:lvlText w:val="•"/>
      <w:lvlJc w:val="left"/>
      <w:pPr>
        <w:ind w:left="2524" w:hanging="360"/>
      </w:pPr>
      <w:rPr>
        <w:rFonts w:hint="default"/>
      </w:rPr>
    </w:lvl>
    <w:lvl w:ilvl="3" w:tplc="F8486FE8">
      <w:numFmt w:val="bullet"/>
      <w:lvlText w:val="•"/>
      <w:lvlJc w:val="left"/>
      <w:pPr>
        <w:ind w:left="3376" w:hanging="360"/>
      </w:pPr>
      <w:rPr>
        <w:rFonts w:hint="default"/>
      </w:rPr>
    </w:lvl>
    <w:lvl w:ilvl="4" w:tplc="851A9FCE">
      <w:numFmt w:val="bullet"/>
      <w:lvlText w:val="•"/>
      <w:lvlJc w:val="left"/>
      <w:pPr>
        <w:ind w:left="4228" w:hanging="360"/>
      </w:pPr>
      <w:rPr>
        <w:rFonts w:hint="default"/>
      </w:rPr>
    </w:lvl>
    <w:lvl w:ilvl="5" w:tplc="44327F10">
      <w:numFmt w:val="bullet"/>
      <w:lvlText w:val="•"/>
      <w:lvlJc w:val="left"/>
      <w:pPr>
        <w:ind w:left="5081" w:hanging="360"/>
      </w:pPr>
      <w:rPr>
        <w:rFonts w:hint="default"/>
      </w:rPr>
    </w:lvl>
    <w:lvl w:ilvl="6" w:tplc="30ACA428">
      <w:numFmt w:val="bullet"/>
      <w:lvlText w:val="•"/>
      <w:lvlJc w:val="left"/>
      <w:pPr>
        <w:ind w:left="5933" w:hanging="360"/>
      </w:pPr>
      <w:rPr>
        <w:rFonts w:hint="default"/>
      </w:rPr>
    </w:lvl>
    <w:lvl w:ilvl="7" w:tplc="33A4A338">
      <w:numFmt w:val="bullet"/>
      <w:lvlText w:val="•"/>
      <w:lvlJc w:val="left"/>
      <w:pPr>
        <w:ind w:left="6785" w:hanging="360"/>
      </w:pPr>
      <w:rPr>
        <w:rFonts w:hint="default"/>
      </w:rPr>
    </w:lvl>
    <w:lvl w:ilvl="8" w:tplc="0EAE9688">
      <w:numFmt w:val="bullet"/>
      <w:lvlText w:val="•"/>
      <w:lvlJc w:val="left"/>
      <w:pPr>
        <w:ind w:left="7637" w:hanging="360"/>
      </w:pPr>
      <w:rPr>
        <w:rFonts w:hint="default"/>
      </w:rPr>
    </w:lvl>
  </w:abstractNum>
  <w:abstractNum w:abstractNumId="12" w15:restartNumberingAfterBreak="0">
    <w:nsid w:val="13C40125"/>
    <w:multiLevelType w:val="hybridMultilevel"/>
    <w:tmpl w:val="1A3CD810"/>
    <w:lvl w:ilvl="0" w:tplc="9AB0E8B2">
      <w:numFmt w:val="bullet"/>
      <w:lvlText w:val=""/>
      <w:lvlJc w:val="left"/>
      <w:pPr>
        <w:ind w:left="828" w:hanging="360"/>
      </w:pPr>
      <w:rPr>
        <w:rFonts w:ascii="Symbol" w:eastAsia="Symbol" w:hAnsi="Symbol" w:cs="Symbol" w:hint="default"/>
        <w:w w:val="99"/>
        <w:sz w:val="20"/>
        <w:szCs w:val="20"/>
      </w:rPr>
    </w:lvl>
    <w:lvl w:ilvl="1" w:tplc="9C5E6EA2">
      <w:numFmt w:val="bullet"/>
      <w:lvlText w:val="•"/>
      <w:lvlJc w:val="left"/>
      <w:pPr>
        <w:ind w:left="1451" w:hanging="360"/>
      </w:pPr>
      <w:rPr>
        <w:rFonts w:hint="default"/>
      </w:rPr>
    </w:lvl>
    <w:lvl w:ilvl="2" w:tplc="DC9E2DC4">
      <w:numFmt w:val="bullet"/>
      <w:lvlText w:val="•"/>
      <w:lvlJc w:val="left"/>
      <w:pPr>
        <w:ind w:left="2082" w:hanging="360"/>
      </w:pPr>
      <w:rPr>
        <w:rFonts w:hint="default"/>
      </w:rPr>
    </w:lvl>
    <w:lvl w:ilvl="3" w:tplc="3D5EACDE">
      <w:numFmt w:val="bullet"/>
      <w:lvlText w:val="•"/>
      <w:lvlJc w:val="left"/>
      <w:pPr>
        <w:ind w:left="2714" w:hanging="360"/>
      </w:pPr>
      <w:rPr>
        <w:rFonts w:hint="default"/>
      </w:rPr>
    </w:lvl>
    <w:lvl w:ilvl="4" w:tplc="6CD20E88">
      <w:numFmt w:val="bullet"/>
      <w:lvlText w:val="•"/>
      <w:lvlJc w:val="left"/>
      <w:pPr>
        <w:ind w:left="3345" w:hanging="360"/>
      </w:pPr>
      <w:rPr>
        <w:rFonts w:hint="default"/>
      </w:rPr>
    </w:lvl>
    <w:lvl w:ilvl="5" w:tplc="ED60194A">
      <w:numFmt w:val="bullet"/>
      <w:lvlText w:val="•"/>
      <w:lvlJc w:val="left"/>
      <w:pPr>
        <w:ind w:left="3977" w:hanging="360"/>
      </w:pPr>
      <w:rPr>
        <w:rFonts w:hint="default"/>
      </w:rPr>
    </w:lvl>
    <w:lvl w:ilvl="6" w:tplc="B0C40428">
      <w:numFmt w:val="bullet"/>
      <w:lvlText w:val="•"/>
      <w:lvlJc w:val="left"/>
      <w:pPr>
        <w:ind w:left="4608" w:hanging="360"/>
      </w:pPr>
      <w:rPr>
        <w:rFonts w:hint="default"/>
      </w:rPr>
    </w:lvl>
    <w:lvl w:ilvl="7" w:tplc="C15EC4F4">
      <w:numFmt w:val="bullet"/>
      <w:lvlText w:val="•"/>
      <w:lvlJc w:val="left"/>
      <w:pPr>
        <w:ind w:left="5239" w:hanging="360"/>
      </w:pPr>
      <w:rPr>
        <w:rFonts w:hint="default"/>
      </w:rPr>
    </w:lvl>
    <w:lvl w:ilvl="8" w:tplc="5E60ED42">
      <w:numFmt w:val="bullet"/>
      <w:lvlText w:val="•"/>
      <w:lvlJc w:val="left"/>
      <w:pPr>
        <w:ind w:left="5871" w:hanging="360"/>
      </w:pPr>
      <w:rPr>
        <w:rFonts w:hint="default"/>
      </w:rPr>
    </w:lvl>
  </w:abstractNum>
  <w:abstractNum w:abstractNumId="13" w15:restartNumberingAfterBreak="0">
    <w:nsid w:val="14634C97"/>
    <w:multiLevelType w:val="hybridMultilevel"/>
    <w:tmpl w:val="1C3EDFC8"/>
    <w:lvl w:ilvl="0" w:tplc="9B1621BA">
      <w:start w:val="3"/>
      <w:numFmt w:val="decimal"/>
      <w:lvlText w:val="%1."/>
      <w:lvlJc w:val="left"/>
      <w:pPr>
        <w:ind w:left="820" w:hanging="720"/>
        <w:jc w:val="left"/>
      </w:pPr>
      <w:rPr>
        <w:rFonts w:ascii="Arial" w:eastAsia="Arial" w:hAnsi="Arial" w:cs="Arial" w:hint="default"/>
        <w:b/>
        <w:bCs/>
        <w:color w:val="087ADA"/>
        <w:w w:val="100"/>
        <w:sz w:val="28"/>
        <w:szCs w:val="28"/>
      </w:rPr>
    </w:lvl>
    <w:lvl w:ilvl="1" w:tplc="46DE1DC2">
      <w:start w:val="1"/>
      <w:numFmt w:val="lowerRoman"/>
      <w:lvlText w:val="%2."/>
      <w:lvlJc w:val="left"/>
      <w:pPr>
        <w:ind w:left="820" w:hanging="461"/>
        <w:jc w:val="left"/>
      </w:pPr>
      <w:rPr>
        <w:rFonts w:ascii="Arial" w:eastAsia="Arial" w:hAnsi="Arial" w:cs="Arial" w:hint="default"/>
        <w:color w:val="006FC0"/>
        <w:spacing w:val="-2"/>
        <w:w w:val="99"/>
        <w:sz w:val="20"/>
        <w:szCs w:val="20"/>
      </w:rPr>
    </w:lvl>
    <w:lvl w:ilvl="2" w:tplc="183610E6">
      <w:numFmt w:val="bullet"/>
      <w:lvlText w:val="•"/>
      <w:lvlJc w:val="left"/>
      <w:pPr>
        <w:ind w:left="2572" w:hanging="461"/>
      </w:pPr>
      <w:rPr>
        <w:rFonts w:hint="default"/>
      </w:rPr>
    </w:lvl>
    <w:lvl w:ilvl="3" w:tplc="91CE0F70">
      <w:numFmt w:val="bullet"/>
      <w:lvlText w:val="•"/>
      <w:lvlJc w:val="left"/>
      <w:pPr>
        <w:ind w:left="3448" w:hanging="461"/>
      </w:pPr>
      <w:rPr>
        <w:rFonts w:hint="default"/>
      </w:rPr>
    </w:lvl>
    <w:lvl w:ilvl="4" w:tplc="B704CB94">
      <w:numFmt w:val="bullet"/>
      <w:lvlText w:val="•"/>
      <w:lvlJc w:val="left"/>
      <w:pPr>
        <w:ind w:left="4324" w:hanging="461"/>
      </w:pPr>
      <w:rPr>
        <w:rFonts w:hint="default"/>
      </w:rPr>
    </w:lvl>
    <w:lvl w:ilvl="5" w:tplc="AC4092F8">
      <w:numFmt w:val="bullet"/>
      <w:lvlText w:val="•"/>
      <w:lvlJc w:val="left"/>
      <w:pPr>
        <w:ind w:left="5200" w:hanging="461"/>
      </w:pPr>
      <w:rPr>
        <w:rFonts w:hint="default"/>
      </w:rPr>
    </w:lvl>
    <w:lvl w:ilvl="6" w:tplc="C6902A0A">
      <w:numFmt w:val="bullet"/>
      <w:lvlText w:val="•"/>
      <w:lvlJc w:val="left"/>
      <w:pPr>
        <w:ind w:left="6076" w:hanging="461"/>
      </w:pPr>
      <w:rPr>
        <w:rFonts w:hint="default"/>
      </w:rPr>
    </w:lvl>
    <w:lvl w:ilvl="7" w:tplc="0A1629C8">
      <w:numFmt w:val="bullet"/>
      <w:lvlText w:val="•"/>
      <w:lvlJc w:val="left"/>
      <w:pPr>
        <w:ind w:left="6952" w:hanging="461"/>
      </w:pPr>
      <w:rPr>
        <w:rFonts w:hint="default"/>
      </w:rPr>
    </w:lvl>
    <w:lvl w:ilvl="8" w:tplc="39E0B488">
      <w:numFmt w:val="bullet"/>
      <w:lvlText w:val="•"/>
      <w:lvlJc w:val="left"/>
      <w:pPr>
        <w:ind w:left="7828" w:hanging="461"/>
      </w:pPr>
      <w:rPr>
        <w:rFonts w:hint="default"/>
      </w:rPr>
    </w:lvl>
  </w:abstractNum>
  <w:abstractNum w:abstractNumId="14" w15:restartNumberingAfterBreak="0">
    <w:nsid w:val="1569040B"/>
    <w:multiLevelType w:val="hybridMultilevel"/>
    <w:tmpl w:val="6F1C1F7A"/>
    <w:lvl w:ilvl="0" w:tplc="F2E01BAE">
      <w:numFmt w:val="bullet"/>
      <w:lvlText w:val=""/>
      <w:lvlJc w:val="left"/>
      <w:pPr>
        <w:ind w:left="827" w:hanging="360"/>
      </w:pPr>
      <w:rPr>
        <w:rFonts w:ascii="Symbol" w:eastAsia="Symbol" w:hAnsi="Symbol" w:cs="Symbol" w:hint="default"/>
        <w:w w:val="99"/>
        <w:sz w:val="20"/>
        <w:szCs w:val="20"/>
      </w:rPr>
    </w:lvl>
    <w:lvl w:ilvl="1" w:tplc="558EC2CE">
      <w:numFmt w:val="bullet"/>
      <w:lvlText w:val="•"/>
      <w:lvlJc w:val="left"/>
      <w:pPr>
        <w:ind w:left="1672" w:hanging="360"/>
      </w:pPr>
      <w:rPr>
        <w:rFonts w:hint="default"/>
      </w:rPr>
    </w:lvl>
    <w:lvl w:ilvl="2" w:tplc="DE341FCC">
      <w:numFmt w:val="bullet"/>
      <w:lvlText w:val="•"/>
      <w:lvlJc w:val="left"/>
      <w:pPr>
        <w:ind w:left="2524" w:hanging="360"/>
      </w:pPr>
      <w:rPr>
        <w:rFonts w:hint="default"/>
      </w:rPr>
    </w:lvl>
    <w:lvl w:ilvl="3" w:tplc="2D7C6954">
      <w:numFmt w:val="bullet"/>
      <w:lvlText w:val="•"/>
      <w:lvlJc w:val="left"/>
      <w:pPr>
        <w:ind w:left="3376" w:hanging="360"/>
      </w:pPr>
      <w:rPr>
        <w:rFonts w:hint="default"/>
      </w:rPr>
    </w:lvl>
    <w:lvl w:ilvl="4" w:tplc="472A7C4C">
      <w:numFmt w:val="bullet"/>
      <w:lvlText w:val="•"/>
      <w:lvlJc w:val="left"/>
      <w:pPr>
        <w:ind w:left="4228" w:hanging="360"/>
      </w:pPr>
      <w:rPr>
        <w:rFonts w:hint="default"/>
      </w:rPr>
    </w:lvl>
    <w:lvl w:ilvl="5" w:tplc="D67A9736">
      <w:numFmt w:val="bullet"/>
      <w:lvlText w:val="•"/>
      <w:lvlJc w:val="left"/>
      <w:pPr>
        <w:ind w:left="5081" w:hanging="360"/>
      </w:pPr>
      <w:rPr>
        <w:rFonts w:hint="default"/>
      </w:rPr>
    </w:lvl>
    <w:lvl w:ilvl="6" w:tplc="94B467EA">
      <w:numFmt w:val="bullet"/>
      <w:lvlText w:val="•"/>
      <w:lvlJc w:val="left"/>
      <w:pPr>
        <w:ind w:left="5933" w:hanging="360"/>
      </w:pPr>
      <w:rPr>
        <w:rFonts w:hint="default"/>
      </w:rPr>
    </w:lvl>
    <w:lvl w:ilvl="7" w:tplc="14D0B7B6">
      <w:numFmt w:val="bullet"/>
      <w:lvlText w:val="•"/>
      <w:lvlJc w:val="left"/>
      <w:pPr>
        <w:ind w:left="6785" w:hanging="360"/>
      </w:pPr>
      <w:rPr>
        <w:rFonts w:hint="default"/>
      </w:rPr>
    </w:lvl>
    <w:lvl w:ilvl="8" w:tplc="2F60DFC8">
      <w:numFmt w:val="bullet"/>
      <w:lvlText w:val="•"/>
      <w:lvlJc w:val="left"/>
      <w:pPr>
        <w:ind w:left="7637" w:hanging="360"/>
      </w:pPr>
      <w:rPr>
        <w:rFonts w:hint="default"/>
      </w:rPr>
    </w:lvl>
  </w:abstractNum>
  <w:abstractNum w:abstractNumId="15" w15:restartNumberingAfterBreak="0">
    <w:nsid w:val="15A9372E"/>
    <w:multiLevelType w:val="hybridMultilevel"/>
    <w:tmpl w:val="2FF8C77A"/>
    <w:lvl w:ilvl="0" w:tplc="2CD67A9E">
      <w:numFmt w:val="bullet"/>
      <w:lvlText w:val=""/>
      <w:lvlJc w:val="left"/>
      <w:pPr>
        <w:ind w:left="827" w:hanging="360"/>
      </w:pPr>
      <w:rPr>
        <w:rFonts w:ascii="Symbol" w:eastAsia="Symbol" w:hAnsi="Symbol" w:cs="Symbol" w:hint="default"/>
        <w:w w:val="99"/>
        <w:sz w:val="20"/>
        <w:szCs w:val="20"/>
      </w:rPr>
    </w:lvl>
    <w:lvl w:ilvl="1" w:tplc="62C80386">
      <w:numFmt w:val="bullet"/>
      <w:lvlText w:val="•"/>
      <w:lvlJc w:val="left"/>
      <w:pPr>
        <w:ind w:left="1515" w:hanging="360"/>
      </w:pPr>
      <w:rPr>
        <w:rFonts w:hint="default"/>
      </w:rPr>
    </w:lvl>
    <w:lvl w:ilvl="2" w:tplc="9554585C">
      <w:numFmt w:val="bullet"/>
      <w:lvlText w:val="•"/>
      <w:lvlJc w:val="left"/>
      <w:pPr>
        <w:ind w:left="2211" w:hanging="360"/>
      </w:pPr>
      <w:rPr>
        <w:rFonts w:hint="default"/>
      </w:rPr>
    </w:lvl>
    <w:lvl w:ilvl="3" w:tplc="4B7C6384">
      <w:numFmt w:val="bullet"/>
      <w:lvlText w:val="•"/>
      <w:lvlJc w:val="left"/>
      <w:pPr>
        <w:ind w:left="2907" w:hanging="360"/>
      </w:pPr>
      <w:rPr>
        <w:rFonts w:hint="default"/>
      </w:rPr>
    </w:lvl>
    <w:lvl w:ilvl="4" w:tplc="2B34B1F6">
      <w:numFmt w:val="bullet"/>
      <w:lvlText w:val="•"/>
      <w:lvlJc w:val="left"/>
      <w:pPr>
        <w:ind w:left="3602" w:hanging="360"/>
      </w:pPr>
      <w:rPr>
        <w:rFonts w:hint="default"/>
      </w:rPr>
    </w:lvl>
    <w:lvl w:ilvl="5" w:tplc="D07838EA">
      <w:numFmt w:val="bullet"/>
      <w:lvlText w:val="•"/>
      <w:lvlJc w:val="left"/>
      <w:pPr>
        <w:ind w:left="4298" w:hanging="360"/>
      </w:pPr>
      <w:rPr>
        <w:rFonts w:hint="default"/>
      </w:rPr>
    </w:lvl>
    <w:lvl w:ilvl="6" w:tplc="E6FE38A8">
      <w:numFmt w:val="bullet"/>
      <w:lvlText w:val="•"/>
      <w:lvlJc w:val="left"/>
      <w:pPr>
        <w:ind w:left="4994" w:hanging="360"/>
      </w:pPr>
      <w:rPr>
        <w:rFonts w:hint="default"/>
      </w:rPr>
    </w:lvl>
    <w:lvl w:ilvl="7" w:tplc="0F72EBD0">
      <w:numFmt w:val="bullet"/>
      <w:lvlText w:val="•"/>
      <w:lvlJc w:val="left"/>
      <w:pPr>
        <w:ind w:left="5689" w:hanging="360"/>
      </w:pPr>
      <w:rPr>
        <w:rFonts w:hint="default"/>
      </w:rPr>
    </w:lvl>
    <w:lvl w:ilvl="8" w:tplc="529A57DE">
      <w:numFmt w:val="bullet"/>
      <w:lvlText w:val="•"/>
      <w:lvlJc w:val="left"/>
      <w:pPr>
        <w:ind w:left="6385" w:hanging="360"/>
      </w:pPr>
      <w:rPr>
        <w:rFonts w:hint="default"/>
      </w:rPr>
    </w:lvl>
  </w:abstractNum>
  <w:abstractNum w:abstractNumId="16" w15:restartNumberingAfterBreak="0">
    <w:nsid w:val="1645140C"/>
    <w:multiLevelType w:val="hybridMultilevel"/>
    <w:tmpl w:val="A0A452F4"/>
    <w:lvl w:ilvl="0" w:tplc="BC12B910">
      <w:numFmt w:val="bullet"/>
      <w:lvlText w:val=""/>
      <w:lvlJc w:val="left"/>
      <w:pPr>
        <w:ind w:left="1188" w:hanging="361"/>
      </w:pPr>
      <w:rPr>
        <w:rFonts w:ascii="Symbol" w:eastAsia="Symbol" w:hAnsi="Symbol" w:cs="Symbol" w:hint="default"/>
        <w:w w:val="99"/>
        <w:sz w:val="20"/>
        <w:szCs w:val="20"/>
      </w:rPr>
    </w:lvl>
    <w:lvl w:ilvl="1" w:tplc="31E0B5EC">
      <w:numFmt w:val="bullet"/>
      <w:lvlText w:val="•"/>
      <w:lvlJc w:val="left"/>
      <w:pPr>
        <w:ind w:left="1839" w:hanging="361"/>
      </w:pPr>
      <w:rPr>
        <w:rFonts w:hint="default"/>
      </w:rPr>
    </w:lvl>
    <w:lvl w:ilvl="2" w:tplc="B73A9EA8">
      <w:numFmt w:val="bullet"/>
      <w:lvlText w:val="•"/>
      <w:lvlJc w:val="left"/>
      <w:pPr>
        <w:ind w:left="2499" w:hanging="361"/>
      </w:pPr>
      <w:rPr>
        <w:rFonts w:hint="default"/>
      </w:rPr>
    </w:lvl>
    <w:lvl w:ilvl="3" w:tplc="415CB97C">
      <w:numFmt w:val="bullet"/>
      <w:lvlText w:val="•"/>
      <w:lvlJc w:val="left"/>
      <w:pPr>
        <w:ind w:left="3159" w:hanging="361"/>
      </w:pPr>
      <w:rPr>
        <w:rFonts w:hint="default"/>
      </w:rPr>
    </w:lvl>
    <w:lvl w:ilvl="4" w:tplc="42D8C604">
      <w:numFmt w:val="bullet"/>
      <w:lvlText w:val="•"/>
      <w:lvlJc w:val="left"/>
      <w:pPr>
        <w:ind w:left="3818" w:hanging="361"/>
      </w:pPr>
      <w:rPr>
        <w:rFonts w:hint="default"/>
      </w:rPr>
    </w:lvl>
    <w:lvl w:ilvl="5" w:tplc="33F6F568">
      <w:numFmt w:val="bullet"/>
      <w:lvlText w:val="•"/>
      <w:lvlJc w:val="left"/>
      <w:pPr>
        <w:ind w:left="4478" w:hanging="361"/>
      </w:pPr>
      <w:rPr>
        <w:rFonts w:hint="default"/>
      </w:rPr>
    </w:lvl>
    <w:lvl w:ilvl="6" w:tplc="23BC3BD0">
      <w:numFmt w:val="bullet"/>
      <w:lvlText w:val="•"/>
      <w:lvlJc w:val="left"/>
      <w:pPr>
        <w:ind w:left="5138" w:hanging="361"/>
      </w:pPr>
      <w:rPr>
        <w:rFonts w:hint="default"/>
      </w:rPr>
    </w:lvl>
    <w:lvl w:ilvl="7" w:tplc="F31AEED4">
      <w:numFmt w:val="bullet"/>
      <w:lvlText w:val="•"/>
      <w:lvlJc w:val="left"/>
      <w:pPr>
        <w:ind w:left="5797" w:hanging="361"/>
      </w:pPr>
      <w:rPr>
        <w:rFonts w:hint="default"/>
      </w:rPr>
    </w:lvl>
    <w:lvl w:ilvl="8" w:tplc="027A41BA">
      <w:numFmt w:val="bullet"/>
      <w:lvlText w:val="•"/>
      <w:lvlJc w:val="left"/>
      <w:pPr>
        <w:ind w:left="6457" w:hanging="361"/>
      </w:pPr>
      <w:rPr>
        <w:rFonts w:hint="default"/>
      </w:rPr>
    </w:lvl>
  </w:abstractNum>
  <w:abstractNum w:abstractNumId="17" w15:restartNumberingAfterBreak="0">
    <w:nsid w:val="1783220A"/>
    <w:multiLevelType w:val="hybridMultilevel"/>
    <w:tmpl w:val="220EE1CE"/>
    <w:lvl w:ilvl="0" w:tplc="298EB75C">
      <w:numFmt w:val="bullet"/>
      <w:lvlText w:val=""/>
      <w:lvlJc w:val="left"/>
      <w:pPr>
        <w:ind w:left="828" w:hanging="361"/>
      </w:pPr>
      <w:rPr>
        <w:rFonts w:ascii="Symbol" w:eastAsia="Symbol" w:hAnsi="Symbol" w:cs="Symbol" w:hint="default"/>
        <w:w w:val="99"/>
        <w:sz w:val="20"/>
        <w:szCs w:val="20"/>
      </w:rPr>
    </w:lvl>
    <w:lvl w:ilvl="1" w:tplc="CABC0EE8">
      <w:numFmt w:val="bullet"/>
      <w:lvlText w:val="•"/>
      <w:lvlJc w:val="left"/>
      <w:pPr>
        <w:ind w:left="1495" w:hanging="361"/>
      </w:pPr>
      <w:rPr>
        <w:rFonts w:hint="default"/>
      </w:rPr>
    </w:lvl>
    <w:lvl w:ilvl="2" w:tplc="24EE214E">
      <w:numFmt w:val="bullet"/>
      <w:lvlText w:val="•"/>
      <w:lvlJc w:val="left"/>
      <w:pPr>
        <w:ind w:left="2171" w:hanging="361"/>
      </w:pPr>
      <w:rPr>
        <w:rFonts w:hint="default"/>
      </w:rPr>
    </w:lvl>
    <w:lvl w:ilvl="3" w:tplc="38DE1902">
      <w:numFmt w:val="bullet"/>
      <w:lvlText w:val="•"/>
      <w:lvlJc w:val="left"/>
      <w:pPr>
        <w:ind w:left="2846" w:hanging="361"/>
      </w:pPr>
      <w:rPr>
        <w:rFonts w:hint="default"/>
      </w:rPr>
    </w:lvl>
    <w:lvl w:ilvl="4" w:tplc="DCC27C68">
      <w:numFmt w:val="bullet"/>
      <w:lvlText w:val="•"/>
      <w:lvlJc w:val="left"/>
      <w:pPr>
        <w:ind w:left="3522" w:hanging="361"/>
      </w:pPr>
      <w:rPr>
        <w:rFonts w:hint="default"/>
      </w:rPr>
    </w:lvl>
    <w:lvl w:ilvl="5" w:tplc="1E1A39BE">
      <w:numFmt w:val="bullet"/>
      <w:lvlText w:val="•"/>
      <w:lvlJc w:val="left"/>
      <w:pPr>
        <w:ind w:left="4197" w:hanging="361"/>
      </w:pPr>
      <w:rPr>
        <w:rFonts w:hint="default"/>
      </w:rPr>
    </w:lvl>
    <w:lvl w:ilvl="6" w:tplc="B8B800E2">
      <w:numFmt w:val="bullet"/>
      <w:lvlText w:val="•"/>
      <w:lvlJc w:val="left"/>
      <w:pPr>
        <w:ind w:left="4873" w:hanging="361"/>
      </w:pPr>
      <w:rPr>
        <w:rFonts w:hint="default"/>
      </w:rPr>
    </w:lvl>
    <w:lvl w:ilvl="7" w:tplc="1DFA5FC4">
      <w:numFmt w:val="bullet"/>
      <w:lvlText w:val="•"/>
      <w:lvlJc w:val="left"/>
      <w:pPr>
        <w:ind w:left="5548" w:hanging="361"/>
      </w:pPr>
      <w:rPr>
        <w:rFonts w:hint="default"/>
      </w:rPr>
    </w:lvl>
    <w:lvl w:ilvl="8" w:tplc="614AC072">
      <w:numFmt w:val="bullet"/>
      <w:lvlText w:val="•"/>
      <w:lvlJc w:val="left"/>
      <w:pPr>
        <w:ind w:left="6224" w:hanging="361"/>
      </w:pPr>
      <w:rPr>
        <w:rFonts w:hint="default"/>
      </w:rPr>
    </w:lvl>
  </w:abstractNum>
  <w:abstractNum w:abstractNumId="18" w15:restartNumberingAfterBreak="0">
    <w:nsid w:val="19CE23DC"/>
    <w:multiLevelType w:val="hybridMultilevel"/>
    <w:tmpl w:val="F6047D2C"/>
    <w:lvl w:ilvl="0" w:tplc="5F8E6710">
      <w:numFmt w:val="bullet"/>
      <w:lvlText w:val=""/>
      <w:lvlJc w:val="left"/>
      <w:pPr>
        <w:ind w:left="1188" w:hanging="361"/>
      </w:pPr>
      <w:rPr>
        <w:rFonts w:ascii="Symbol" w:eastAsia="Symbol" w:hAnsi="Symbol" w:cs="Symbol" w:hint="default"/>
        <w:w w:val="99"/>
        <w:sz w:val="20"/>
        <w:szCs w:val="20"/>
      </w:rPr>
    </w:lvl>
    <w:lvl w:ilvl="1" w:tplc="25EAF924">
      <w:numFmt w:val="bullet"/>
      <w:lvlText w:val="•"/>
      <w:lvlJc w:val="left"/>
      <w:pPr>
        <w:ind w:left="1839" w:hanging="361"/>
      </w:pPr>
      <w:rPr>
        <w:rFonts w:hint="default"/>
      </w:rPr>
    </w:lvl>
    <w:lvl w:ilvl="2" w:tplc="A1F83EDE">
      <w:numFmt w:val="bullet"/>
      <w:lvlText w:val="•"/>
      <w:lvlJc w:val="left"/>
      <w:pPr>
        <w:ind w:left="2499" w:hanging="361"/>
      </w:pPr>
      <w:rPr>
        <w:rFonts w:hint="default"/>
      </w:rPr>
    </w:lvl>
    <w:lvl w:ilvl="3" w:tplc="434AC83C">
      <w:numFmt w:val="bullet"/>
      <w:lvlText w:val="•"/>
      <w:lvlJc w:val="left"/>
      <w:pPr>
        <w:ind w:left="3159" w:hanging="361"/>
      </w:pPr>
      <w:rPr>
        <w:rFonts w:hint="default"/>
      </w:rPr>
    </w:lvl>
    <w:lvl w:ilvl="4" w:tplc="1EA8954A">
      <w:numFmt w:val="bullet"/>
      <w:lvlText w:val="•"/>
      <w:lvlJc w:val="left"/>
      <w:pPr>
        <w:ind w:left="3818" w:hanging="361"/>
      </w:pPr>
      <w:rPr>
        <w:rFonts w:hint="default"/>
      </w:rPr>
    </w:lvl>
    <w:lvl w:ilvl="5" w:tplc="D8F847B8">
      <w:numFmt w:val="bullet"/>
      <w:lvlText w:val="•"/>
      <w:lvlJc w:val="left"/>
      <w:pPr>
        <w:ind w:left="4478" w:hanging="361"/>
      </w:pPr>
      <w:rPr>
        <w:rFonts w:hint="default"/>
      </w:rPr>
    </w:lvl>
    <w:lvl w:ilvl="6" w:tplc="EFF049FA">
      <w:numFmt w:val="bullet"/>
      <w:lvlText w:val="•"/>
      <w:lvlJc w:val="left"/>
      <w:pPr>
        <w:ind w:left="5138" w:hanging="361"/>
      </w:pPr>
      <w:rPr>
        <w:rFonts w:hint="default"/>
      </w:rPr>
    </w:lvl>
    <w:lvl w:ilvl="7" w:tplc="73EC8DEA">
      <w:numFmt w:val="bullet"/>
      <w:lvlText w:val="•"/>
      <w:lvlJc w:val="left"/>
      <w:pPr>
        <w:ind w:left="5797" w:hanging="361"/>
      </w:pPr>
      <w:rPr>
        <w:rFonts w:hint="default"/>
      </w:rPr>
    </w:lvl>
    <w:lvl w:ilvl="8" w:tplc="E068A00A">
      <w:numFmt w:val="bullet"/>
      <w:lvlText w:val="•"/>
      <w:lvlJc w:val="left"/>
      <w:pPr>
        <w:ind w:left="6457" w:hanging="361"/>
      </w:pPr>
      <w:rPr>
        <w:rFonts w:hint="default"/>
      </w:rPr>
    </w:lvl>
  </w:abstractNum>
  <w:abstractNum w:abstractNumId="19" w15:restartNumberingAfterBreak="0">
    <w:nsid w:val="1A810D43"/>
    <w:multiLevelType w:val="hybridMultilevel"/>
    <w:tmpl w:val="EFC2A932"/>
    <w:lvl w:ilvl="0" w:tplc="4DA2B4B4">
      <w:numFmt w:val="bullet"/>
      <w:lvlText w:val=""/>
      <w:lvlJc w:val="left"/>
      <w:pPr>
        <w:ind w:left="467" w:hanging="360"/>
      </w:pPr>
      <w:rPr>
        <w:rFonts w:ascii="Symbol" w:eastAsia="Symbol" w:hAnsi="Symbol" w:cs="Symbol" w:hint="default"/>
        <w:w w:val="99"/>
        <w:sz w:val="20"/>
        <w:szCs w:val="20"/>
      </w:rPr>
    </w:lvl>
    <w:lvl w:ilvl="1" w:tplc="D50CDBCC">
      <w:numFmt w:val="bullet"/>
      <w:lvlText w:val="•"/>
      <w:lvlJc w:val="left"/>
      <w:pPr>
        <w:ind w:left="1191" w:hanging="360"/>
      </w:pPr>
      <w:rPr>
        <w:rFonts w:hint="default"/>
      </w:rPr>
    </w:lvl>
    <w:lvl w:ilvl="2" w:tplc="E3862778">
      <w:numFmt w:val="bullet"/>
      <w:lvlText w:val="•"/>
      <w:lvlJc w:val="left"/>
      <w:pPr>
        <w:ind w:left="1923" w:hanging="360"/>
      </w:pPr>
      <w:rPr>
        <w:rFonts w:hint="default"/>
      </w:rPr>
    </w:lvl>
    <w:lvl w:ilvl="3" w:tplc="A58C8ED6">
      <w:numFmt w:val="bullet"/>
      <w:lvlText w:val="•"/>
      <w:lvlJc w:val="left"/>
      <w:pPr>
        <w:ind w:left="2655" w:hanging="360"/>
      </w:pPr>
      <w:rPr>
        <w:rFonts w:hint="default"/>
      </w:rPr>
    </w:lvl>
    <w:lvl w:ilvl="4" w:tplc="17F0D1F2">
      <w:numFmt w:val="bullet"/>
      <w:lvlText w:val="•"/>
      <w:lvlJc w:val="left"/>
      <w:pPr>
        <w:ind w:left="3386" w:hanging="360"/>
      </w:pPr>
      <w:rPr>
        <w:rFonts w:hint="default"/>
      </w:rPr>
    </w:lvl>
    <w:lvl w:ilvl="5" w:tplc="E9C862A0">
      <w:numFmt w:val="bullet"/>
      <w:lvlText w:val="•"/>
      <w:lvlJc w:val="left"/>
      <w:pPr>
        <w:ind w:left="4118" w:hanging="360"/>
      </w:pPr>
      <w:rPr>
        <w:rFonts w:hint="default"/>
      </w:rPr>
    </w:lvl>
    <w:lvl w:ilvl="6" w:tplc="FF1A4688">
      <w:numFmt w:val="bullet"/>
      <w:lvlText w:val="•"/>
      <w:lvlJc w:val="left"/>
      <w:pPr>
        <w:ind w:left="4850" w:hanging="360"/>
      </w:pPr>
      <w:rPr>
        <w:rFonts w:hint="default"/>
      </w:rPr>
    </w:lvl>
    <w:lvl w:ilvl="7" w:tplc="2D34B3D2">
      <w:numFmt w:val="bullet"/>
      <w:lvlText w:val="•"/>
      <w:lvlJc w:val="left"/>
      <w:pPr>
        <w:ind w:left="5581" w:hanging="360"/>
      </w:pPr>
      <w:rPr>
        <w:rFonts w:hint="default"/>
      </w:rPr>
    </w:lvl>
    <w:lvl w:ilvl="8" w:tplc="F384AC52">
      <w:numFmt w:val="bullet"/>
      <w:lvlText w:val="•"/>
      <w:lvlJc w:val="left"/>
      <w:pPr>
        <w:ind w:left="6313" w:hanging="360"/>
      </w:pPr>
      <w:rPr>
        <w:rFonts w:hint="default"/>
      </w:rPr>
    </w:lvl>
  </w:abstractNum>
  <w:abstractNum w:abstractNumId="20" w15:restartNumberingAfterBreak="0">
    <w:nsid w:val="1CA65310"/>
    <w:multiLevelType w:val="hybridMultilevel"/>
    <w:tmpl w:val="A53210F0"/>
    <w:lvl w:ilvl="0" w:tplc="3ACE81F6">
      <w:start w:val="1"/>
      <w:numFmt w:val="decimal"/>
      <w:lvlText w:val="%1."/>
      <w:lvlJc w:val="left"/>
      <w:pPr>
        <w:ind w:left="828" w:hanging="360"/>
        <w:jc w:val="left"/>
      </w:pPr>
      <w:rPr>
        <w:rFonts w:ascii="Arial" w:eastAsia="Arial" w:hAnsi="Arial" w:cs="Arial" w:hint="default"/>
        <w:spacing w:val="-1"/>
        <w:w w:val="99"/>
        <w:sz w:val="20"/>
        <w:szCs w:val="20"/>
      </w:rPr>
    </w:lvl>
    <w:lvl w:ilvl="1" w:tplc="2FFEA51E">
      <w:numFmt w:val="bullet"/>
      <w:lvlText w:val="•"/>
      <w:lvlJc w:val="left"/>
      <w:pPr>
        <w:ind w:left="1443" w:hanging="360"/>
      </w:pPr>
      <w:rPr>
        <w:rFonts w:hint="default"/>
      </w:rPr>
    </w:lvl>
    <w:lvl w:ilvl="2" w:tplc="0CE06870">
      <w:numFmt w:val="bullet"/>
      <w:lvlText w:val="•"/>
      <w:lvlJc w:val="left"/>
      <w:pPr>
        <w:ind w:left="2067" w:hanging="360"/>
      </w:pPr>
      <w:rPr>
        <w:rFonts w:hint="default"/>
      </w:rPr>
    </w:lvl>
    <w:lvl w:ilvl="3" w:tplc="32961078">
      <w:numFmt w:val="bullet"/>
      <w:lvlText w:val="•"/>
      <w:lvlJc w:val="left"/>
      <w:pPr>
        <w:ind w:left="2690" w:hanging="360"/>
      </w:pPr>
      <w:rPr>
        <w:rFonts w:hint="default"/>
      </w:rPr>
    </w:lvl>
    <w:lvl w:ilvl="4" w:tplc="0AB64A0C">
      <w:numFmt w:val="bullet"/>
      <w:lvlText w:val="•"/>
      <w:lvlJc w:val="left"/>
      <w:pPr>
        <w:ind w:left="3314" w:hanging="360"/>
      </w:pPr>
      <w:rPr>
        <w:rFonts w:hint="default"/>
      </w:rPr>
    </w:lvl>
    <w:lvl w:ilvl="5" w:tplc="10D4D716">
      <w:numFmt w:val="bullet"/>
      <w:lvlText w:val="•"/>
      <w:lvlJc w:val="left"/>
      <w:pPr>
        <w:ind w:left="3937" w:hanging="360"/>
      </w:pPr>
      <w:rPr>
        <w:rFonts w:hint="default"/>
      </w:rPr>
    </w:lvl>
    <w:lvl w:ilvl="6" w:tplc="E3605778">
      <w:numFmt w:val="bullet"/>
      <w:lvlText w:val="•"/>
      <w:lvlJc w:val="left"/>
      <w:pPr>
        <w:ind w:left="4561" w:hanging="360"/>
      </w:pPr>
      <w:rPr>
        <w:rFonts w:hint="default"/>
      </w:rPr>
    </w:lvl>
    <w:lvl w:ilvl="7" w:tplc="28D4B962">
      <w:numFmt w:val="bullet"/>
      <w:lvlText w:val="•"/>
      <w:lvlJc w:val="left"/>
      <w:pPr>
        <w:ind w:left="5184" w:hanging="360"/>
      </w:pPr>
      <w:rPr>
        <w:rFonts w:hint="default"/>
      </w:rPr>
    </w:lvl>
    <w:lvl w:ilvl="8" w:tplc="65D4FB76">
      <w:numFmt w:val="bullet"/>
      <w:lvlText w:val="•"/>
      <w:lvlJc w:val="left"/>
      <w:pPr>
        <w:ind w:left="5808" w:hanging="360"/>
      </w:pPr>
      <w:rPr>
        <w:rFonts w:hint="default"/>
      </w:rPr>
    </w:lvl>
  </w:abstractNum>
  <w:abstractNum w:abstractNumId="21" w15:restartNumberingAfterBreak="0">
    <w:nsid w:val="1DDC3E3D"/>
    <w:multiLevelType w:val="hybridMultilevel"/>
    <w:tmpl w:val="CC509804"/>
    <w:lvl w:ilvl="0" w:tplc="4546DCEE">
      <w:numFmt w:val="bullet"/>
      <w:lvlText w:val=""/>
      <w:lvlJc w:val="left"/>
      <w:pPr>
        <w:ind w:left="827" w:hanging="360"/>
      </w:pPr>
      <w:rPr>
        <w:rFonts w:ascii="Symbol" w:eastAsia="Symbol" w:hAnsi="Symbol" w:cs="Symbol" w:hint="default"/>
        <w:w w:val="99"/>
        <w:sz w:val="20"/>
        <w:szCs w:val="20"/>
      </w:rPr>
    </w:lvl>
    <w:lvl w:ilvl="1" w:tplc="324866F4">
      <w:numFmt w:val="bullet"/>
      <w:lvlText w:val="•"/>
      <w:lvlJc w:val="left"/>
      <w:pPr>
        <w:ind w:left="1515" w:hanging="360"/>
      </w:pPr>
      <w:rPr>
        <w:rFonts w:hint="default"/>
      </w:rPr>
    </w:lvl>
    <w:lvl w:ilvl="2" w:tplc="2DFEE062">
      <w:numFmt w:val="bullet"/>
      <w:lvlText w:val="•"/>
      <w:lvlJc w:val="left"/>
      <w:pPr>
        <w:ind w:left="2211" w:hanging="360"/>
      </w:pPr>
      <w:rPr>
        <w:rFonts w:hint="default"/>
      </w:rPr>
    </w:lvl>
    <w:lvl w:ilvl="3" w:tplc="B9267D78">
      <w:numFmt w:val="bullet"/>
      <w:lvlText w:val="•"/>
      <w:lvlJc w:val="left"/>
      <w:pPr>
        <w:ind w:left="2907" w:hanging="360"/>
      </w:pPr>
      <w:rPr>
        <w:rFonts w:hint="default"/>
      </w:rPr>
    </w:lvl>
    <w:lvl w:ilvl="4" w:tplc="FD1A58B4">
      <w:numFmt w:val="bullet"/>
      <w:lvlText w:val="•"/>
      <w:lvlJc w:val="left"/>
      <w:pPr>
        <w:ind w:left="3602" w:hanging="360"/>
      </w:pPr>
      <w:rPr>
        <w:rFonts w:hint="default"/>
      </w:rPr>
    </w:lvl>
    <w:lvl w:ilvl="5" w:tplc="5DC82F04">
      <w:numFmt w:val="bullet"/>
      <w:lvlText w:val="•"/>
      <w:lvlJc w:val="left"/>
      <w:pPr>
        <w:ind w:left="4298" w:hanging="360"/>
      </w:pPr>
      <w:rPr>
        <w:rFonts w:hint="default"/>
      </w:rPr>
    </w:lvl>
    <w:lvl w:ilvl="6" w:tplc="1698165A">
      <w:numFmt w:val="bullet"/>
      <w:lvlText w:val="•"/>
      <w:lvlJc w:val="left"/>
      <w:pPr>
        <w:ind w:left="4994" w:hanging="360"/>
      </w:pPr>
      <w:rPr>
        <w:rFonts w:hint="default"/>
      </w:rPr>
    </w:lvl>
    <w:lvl w:ilvl="7" w:tplc="BC4C3522">
      <w:numFmt w:val="bullet"/>
      <w:lvlText w:val="•"/>
      <w:lvlJc w:val="left"/>
      <w:pPr>
        <w:ind w:left="5689" w:hanging="360"/>
      </w:pPr>
      <w:rPr>
        <w:rFonts w:hint="default"/>
      </w:rPr>
    </w:lvl>
    <w:lvl w:ilvl="8" w:tplc="D5580FBC">
      <w:numFmt w:val="bullet"/>
      <w:lvlText w:val="•"/>
      <w:lvlJc w:val="left"/>
      <w:pPr>
        <w:ind w:left="6385" w:hanging="360"/>
      </w:pPr>
      <w:rPr>
        <w:rFonts w:hint="default"/>
      </w:rPr>
    </w:lvl>
  </w:abstractNum>
  <w:abstractNum w:abstractNumId="22" w15:restartNumberingAfterBreak="0">
    <w:nsid w:val="1FEF4F01"/>
    <w:multiLevelType w:val="hybridMultilevel"/>
    <w:tmpl w:val="5F024A52"/>
    <w:lvl w:ilvl="0" w:tplc="A07A0A20">
      <w:numFmt w:val="bullet"/>
      <w:lvlText w:val=""/>
      <w:lvlJc w:val="left"/>
      <w:pPr>
        <w:ind w:left="468" w:hanging="361"/>
      </w:pPr>
      <w:rPr>
        <w:rFonts w:ascii="Symbol" w:eastAsia="Symbol" w:hAnsi="Symbol" w:cs="Symbol" w:hint="default"/>
        <w:w w:val="99"/>
        <w:sz w:val="20"/>
        <w:szCs w:val="20"/>
      </w:rPr>
    </w:lvl>
    <w:lvl w:ilvl="1" w:tplc="E632A5B2">
      <w:numFmt w:val="bullet"/>
      <w:lvlText w:val="•"/>
      <w:lvlJc w:val="left"/>
      <w:pPr>
        <w:ind w:left="1119" w:hanging="361"/>
      </w:pPr>
      <w:rPr>
        <w:rFonts w:hint="default"/>
      </w:rPr>
    </w:lvl>
    <w:lvl w:ilvl="2" w:tplc="1F2C44D2">
      <w:numFmt w:val="bullet"/>
      <w:lvlText w:val="•"/>
      <w:lvlJc w:val="left"/>
      <w:pPr>
        <w:ind w:left="1779" w:hanging="361"/>
      </w:pPr>
      <w:rPr>
        <w:rFonts w:hint="default"/>
      </w:rPr>
    </w:lvl>
    <w:lvl w:ilvl="3" w:tplc="BA029938">
      <w:numFmt w:val="bullet"/>
      <w:lvlText w:val="•"/>
      <w:lvlJc w:val="left"/>
      <w:pPr>
        <w:ind w:left="2438" w:hanging="361"/>
      </w:pPr>
      <w:rPr>
        <w:rFonts w:hint="default"/>
      </w:rPr>
    </w:lvl>
    <w:lvl w:ilvl="4" w:tplc="96CA4216">
      <w:numFmt w:val="bullet"/>
      <w:lvlText w:val="•"/>
      <w:lvlJc w:val="left"/>
      <w:pPr>
        <w:ind w:left="3098" w:hanging="361"/>
      </w:pPr>
      <w:rPr>
        <w:rFonts w:hint="default"/>
      </w:rPr>
    </w:lvl>
    <w:lvl w:ilvl="5" w:tplc="C9D8FE64">
      <w:numFmt w:val="bullet"/>
      <w:lvlText w:val="•"/>
      <w:lvlJc w:val="left"/>
      <w:pPr>
        <w:ind w:left="3757" w:hanging="361"/>
      </w:pPr>
      <w:rPr>
        <w:rFonts w:hint="default"/>
      </w:rPr>
    </w:lvl>
    <w:lvl w:ilvl="6" w:tplc="EAB0E0C2">
      <w:numFmt w:val="bullet"/>
      <w:lvlText w:val="•"/>
      <w:lvlJc w:val="left"/>
      <w:pPr>
        <w:ind w:left="4417" w:hanging="361"/>
      </w:pPr>
      <w:rPr>
        <w:rFonts w:hint="default"/>
      </w:rPr>
    </w:lvl>
    <w:lvl w:ilvl="7" w:tplc="0BFC10A0">
      <w:numFmt w:val="bullet"/>
      <w:lvlText w:val="•"/>
      <w:lvlJc w:val="left"/>
      <w:pPr>
        <w:ind w:left="5076" w:hanging="361"/>
      </w:pPr>
      <w:rPr>
        <w:rFonts w:hint="default"/>
      </w:rPr>
    </w:lvl>
    <w:lvl w:ilvl="8" w:tplc="274E1D42">
      <w:numFmt w:val="bullet"/>
      <w:lvlText w:val="•"/>
      <w:lvlJc w:val="left"/>
      <w:pPr>
        <w:ind w:left="5736" w:hanging="361"/>
      </w:pPr>
      <w:rPr>
        <w:rFonts w:hint="default"/>
      </w:rPr>
    </w:lvl>
  </w:abstractNum>
  <w:abstractNum w:abstractNumId="23" w15:restartNumberingAfterBreak="0">
    <w:nsid w:val="206165CA"/>
    <w:multiLevelType w:val="hybridMultilevel"/>
    <w:tmpl w:val="8C028DC2"/>
    <w:lvl w:ilvl="0" w:tplc="E07A5EDA">
      <w:numFmt w:val="bullet"/>
      <w:lvlText w:val=""/>
      <w:lvlJc w:val="left"/>
      <w:pPr>
        <w:ind w:left="467" w:hanging="360"/>
      </w:pPr>
      <w:rPr>
        <w:rFonts w:ascii="Symbol" w:eastAsia="Symbol" w:hAnsi="Symbol" w:cs="Symbol" w:hint="default"/>
        <w:w w:val="99"/>
        <w:sz w:val="20"/>
        <w:szCs w:val="20"/>
      </w:rPr>
    </w:lvl>
    <w:lvl w:ilvl="1" w:tplc="4EEC05D4">
      <w:numFmt w:val="bullet"/>
      <w:lvlText w:val="•"/>
      <w:lvlJc w:val="left"/>
      <w:pPr>
        <w:ind w:left="1151" w:hanging="360"/>
      </w:pPr>
      <w:rPr>
        <w:rFonts w:hint="default"/>
      </w:rPr>
    </w:lvl>
    <w:lvl w:ilvl="2" w:tplc="F6EC677E">
      <w:numFmt w:val="bullet"/>
      <w:lvlText w:val="•"/>
      <w:lvlJc w:val="left"/>
      <w:pPr>
        <w:ind w:left="1843" w:hanging="360"/>
      </w:pPr>
      <w:rPr>
        <w:rFonts w:hint="default"/>
      </w:rPr>
    </w:lvl>
    <w:lvl w:ilvl="3" w:tplc="A84AB4A2">
      <w:numFmt w:val="bullet"/>
      <w:lvlText w:val="•"/>
      <w:lvlJc w:val="left"/>
      <w:pPr>
        <w:ind w:left="2535" w:hanging="360"/>
      </w:pPr>
      <w:rPr>
        <w:rFonts w:hint="default"/>
      </w:rPr>
    </w:lvl>
    <w:lvl w:ilvl="4" w:tplc="3AAE76D4">
      <w:numFmt w:val="bullet"/>
      <w:lvlText w:val="•"/>
      <w:lvlJc w:val="left"/>
      <w:pPr>
        <w:ind w:left="3227" w:hanging="360"/>
      </w:pPr>
      <w:rPr>
        <w:rFonts w:hint="default"/>
      </w:rPr>
    </w:lvl>
    <w:lvl w:ilvl="5" w:tplc="343AF034">
      <w:numFmt w:val="bullet"/>
      <w:lvlText w:val="•"/>
      <w:lvlJc w:val="left"/>
      <w:pPr>
        <w:ind w:left="3919" w:hanging="360"/>
      </w:pPr>
      <w:rPr>
        <w:rFonts w:hint="default"/>
      </w:rPr>
    </w:lvl>
    <w:lvl w:ilvl="6" w:tplc="8EC47128">
      <w:numFmt w:val="bullet"/>
      <w:lvlText w:val="•"/>
      <w:lvlJc w:val="left"/>
      <w:pPr>
        <w:ind w:left="4611" w:hanging="360"/>
      </w:pPr>
      <w:rPr>
        <w:rFonts w:hint="default"/>
      </w:rPr>
    </w:lvl>
    <w:lvl w:ilvl="7" w:tplc="750816B2">
      <w:numFmt w:val="bullet"/>
      <w:lvlText w:val="•"/>
      <w:lvlJc w:val="left"/>
      <w:pPr>
        <w:ind w:left="5303" w:hanging="360"/>
      </w:pPr>
      <w:rPr>
        <w:rFonts w:hint="default"/>
      </w:rPr>
    </w:lvl>
    <w:lvl w:ilvl="8" w:tplc="ECFC33D2">
      <w:numFmt w:val="bullet"/>
      <w:lvlText w:val="•"/>
      <w:lvlJc w:val="left"/>
      <w:pPr>
        <w:ind w:left="5995" w:hanging="360"/>
      </w:pPr>
      <w:rPr>
        <w:rFonts w:hint="default"/>
      </w:rPr>
    </w:lvl>
  </w:abstractNum>
  <w:abstractNum w:abstractNumId="24" w15:restartNumberingAfterBreak="0">
    <w:nsid w:val="216D04EE"/>
    <w:multiLevelType w:val="hybridMultilevel"/>
    <w:tmpl w:val="9DB825F8"/>
    <w:lvl w:ilvl="0" w:tplc="03B221D2">
      <w:numFmt w:val="bullet"/>
      <w:lvlText w:val=""/>
      <w:lvlJc w:val="left"/>
      <w:pPr>
        <w:ind w:left="828" w:hanging="360"/>
      </w:pPr>
      <w:rPr>
        <w:rFonts w:ascii="Symbol" w:eastAsia="Symbol" w:hAnsi="Symbol" w:cs="Symbol" w:hint="default"/>
        <w:w w:val="99"/>
        <w:sz w:val="20"/>
        <w:szCs w:val="20"/>
      </w:rPr>
    </w:lvl>
    <w:lvl w:ilvl="1" w:tplc="01EE596A">
      <w:numFmt w:val="bullet"/>
      <w:lvlText w:val="•"/>
      <w:lvlJc w:val="left"/>
      <w:pPr>
        <w:ind w:left="1473" w:hanging="360"/>
      </w:pPr>
      <w:rPr>
        <w:rFonts w:hint="default"/>
      </w:rPr>
    </w:lvl>
    <w:lvl w:ilvl="2" w:tplc="CBA89ADE">
      <w:numFmt w:val="bullet"/>
      <w:lvlText w:val="•"/>
      <w:lvlJc w:val="left"/>
      <w:pPr>
        <w:ind w:left="2127" w:hanging="360"/>
      </w:pPr>
      <w:rPr>
        <w:rFonts w:hint="default"/>
      </w:rPr>
    </w:lvl>
    <w:lvl w:ilvl="3" w:tplc="CF56A690">
      <w:numFmt w:val="bullet"/>
      <w:lvlText w:val="•"/>
      <w:lvlJc w:val="left"/>
      <w:pPr>
        <w:ind w:left="2781" w:hanging="360"/>
      </w:pPr>
      <w:rPr>
        <w:rFonts w:hint="default"/>
      </w:rPr>
    </w:lvl>
    <w:lvl w:ilvl="4" w:tplc="81C6F4A2">
      <w:numFmt w:val="bullet"/>
      <w:lvlText w:val="•"/>
      <w:lvlJc w:val="left"/>
      <w:pPr>
        <w:ind w:left="3434" w:hanging="360"/>
      </w:pPr>
      <w:rPr>
        <w:rFonts w:hint="default"/>
      </w:rPr>
    </w:lvl>
    <w:lvl w:ilvl="5" w:tplc="94BA22E6">
      <w:numFmt w:val="bullet"/>
      <w:lvlText w:val="•"/>
      <w:lvlJc w:val="left"/>
      <w:pPr>
        <w:ind w:left="4088" w:hanging="360"/>
      </w:pPr>
      <w:rPr>
        <w:rFonts w:hint="default"/>
      </w:rPr>
    </w:lvl>
    <w:lvl w:ilvl="6" w:tplc="597AFB2A">
      <w:numFmt w:val="bullet"/>
      <w:lvlText w:val="•"/>
      <w:lvlJc w:val="left"/>
      <w:pPr>
        <w:ind w:left="4742" w:hanging="360"/>
      </w:pPr>
      <w:rPr>
        <w:rFonts w:hint="default"/>
      </w:rPr>
    </w:lvl>
    <w:lvl w:ilvl="7" w:tplc="230A77D8">
      <w:numFmt w:val="bullet"/>
      <w:lvlText w:val="•"/>
      <w:lvlJc w:val="left"/>
      <w:pPr>
        <w:ind w:left="5395" w:hanging="360"/>
      </w:pPr>
      <w:rPr>
        <w:rFonts w:hint="default"/>
      </w:rPr>
    </w:lvl>
    <w:lvl w:ilvl="8" w:tplc="37565A66">
      <w:numFmt w:val="bullet"/>
      <w:lvlText w:val="•"/>
      <w:lvlJc w:val="left"/>
      <w:pPr>
        <w:ind w:left="6049" w:hanging="360"/>
      </w:pPr>
      <w:rPr>
        <w:rFonts w:hint="default"/>
      </w:rPr>
    </w:lvl>
  </w:abstractNum>
  <w:abstractNum w:abstractNumId="25" w15:restartNumberingAfterBreak="0">
    <w:nsid w:val="216D1B1E"/>
    <w:multiLevelType w:val="hybridMultilevel"/>
    <w:tmpl w:val="133C4F42"/>
    <w:lvl w:ilvl="0" w:tplc="2812AF90">
      <w:numFmt w:val="bullet"/>
      <w:lvlText w:val=""/>
      <w:lvlJc w:val="left"/>
      <w:pPr>
        <w:ind w:left="827" w:hanging="360"/>
      </w:pPr>
      <w:rPr>
        <w:rFonts w:ascii="Symbol" w:eastAsia="Symbol" w:hAnsi="Symbol" w:cs="Symbol" w:hint="default"/>
        <w:w w:val="99"/>
        <w:sz w:val="20"/>
        <w:szCs w:val="20"/>
      </w:rPr>
    </w:lvl>
    <w:lvl w:ilvl="1" w:tplc="D2C699D8">
      <w:numFmt w:val="bullet"/>
      <w:lvlText w:val="•"/>
      <w:lvlJc w:val="left"/>
      <w:pPr>
        <w:ind w:left="1672" w:hanging="360"/>
      </w:pPr>
      <w:rPr>
        <w:rFonts w:hint="default"/>
      </w:rPr>
    </w:lvl>
    <w:lvl w:ilvl="2" w:tplc="75966658">
      <w:numFmt w:val="bullet"/>
      <w:lvlText w:val="•"/>
      <w:lvlJc w:val="left"/>
      <w:pPr>
        <w:ind w:left="2524" w:hanging="360"/>
      </w:pPr>
      <w:rPr>
        <w:rFonts w:hint="default"/>
      </w:rPr>
    </w:lvl>
    <w:lvl w:ilvl="3" w:tplc="C026FCC0">
      <w:numFmt w:val="bullet"/>
      <w:lvlText w:val="•"/>
      <w:lvlJc w:val="left"/>
      <w:pPr>
        <w:ind w:left="3376" w:hanging="360"/>
      </w:pPr>
      <w:rPr>
        <w:rFonts w:hint="default"/>
      </w:rPr>
    </w:lvl>
    <w:lvl w:ilvl="4" w:tplc="E4D08916">
      <w:numFmt w:val="bullet"/>
      <w:lvlText w:val="•"/>
      <w:lvlJc w:val="left"/>
      <w:pPr>
        <w:ind w:left="4228" w:hanging="360"/>
      </w:pPr>
      <w:rPr>
        <w:rFonts w:hint="default"/>
      </w:rPr>
    </w:lvl>
    <w:lvl w:ilvl="5" w:tplc="9CE0C09A">
      <w:numFmt w:val="bullet"/>
      <w:lvlText w:val="•"/>
      <w:lvlJc w:val="left"/>
      <w:pPr>
        <w:ind w:left="5081" w:hanging="360"/>
      </w:pPr>
      <w:rPr>
        <w:rFonts w:hint="default"/>
      </w:rPr>
    </w:lvl>
    <w:lvl w:ilvl="6" w:tplc="793A12B8">
      <w:numFmt w:val="bullet"/>
      <w:lvlText w:val="•"/>
      <w:lvlJc w:val="left"/>
      <w:pPr>
        <w:ind w:left="5933" w:hanging="360"/>
      </w:pPr>
      <w:rPr>
        <w:rFonts w:hint="default"/>
      </w:rPr>
    </w:lvl>
    <w:lvl w:ilvl="7" w:tplc="79066FCA">
      <w:numFmt w:val="bullet"/>
      <w:lvlText w:val="•"/>
      <w:lvlJc w:val="left"/>
      <w:pPr>
        <w:ind w:left="6785" w:hanging="360"/>
      </w:pPr>
      <w:rPr>
        <w:rFonts w:hint="default"/>
      </w:rPr>
    </w:lvl>
    <w:lvl w:ilvl="8" w:tplc="F3BC1F1E">
      <w:numFmt w:val="bullet"/>
      <w:lvlText w:val="•"/>
      <w:lvlJc w:val="left"/>
      <w:pPr>
        <w:ind w:left="7637" w:hanging="360"/>
      </w:pPr>
      <w:rPr>
        <w:rFonts w:hint="default"/>
      </w:rPr>
    </w:lvl>
  </w:abstractNum>
  <w:abstractNum w:abstractNumId="26" w15:restartNumberingAfterBreak="0">
    <w:nsid w:val="2448299E"/>
    <w:multiLevelType w:val="hybridMultilevel"/>
    <w:tmpl w:val="9D543DD6"/>
    <w:lvl w:ilvl="0" w:tplc="846C8ACE">
      <w:numFmt w:val="bullet"/>
      <w:lvlText w:val=""/>
      <w:lvlJc w:val="left"/>
      <w:pPr>
        <w:ind w:left="827" w:hanging="360"/>
      </w:pPr>
      <w:rPr>
        <w:rFonts w:ascii="Symbol" w:eastAsia="Symbol" w:hAnsi="Symbol" w:cs="Symbol" w:hint="default"/>
        <w:w w:val="99"/>
        <w:sz w:val="20"/>
        <w:szCs w:val="20"/>
      </w:rPr>
    </w:lvl>
    <w:lvl w:ilvl="1" w:tplc="860270A2">
      <w:numFmt w:val="bullet"/>
      <w:lvlText w:val="•"/>
      <w:lvlJc w:val="left"/>
      <w:pPr>
        <w:ind w:left="1516" w:hanging="360"/>
      </w:pPr>
      <w:rPr>
        <w:rFonts w:hint="default"/>
      </w:rPr>
    </w:lvl>
    <w:lvl w:ilvl="2" w:tplc="79F675EA">
      <w:numFmt w:val="bullet"/>
      <w:lvlText w:val="•"/>
      <w:lvlJc w:val="left"/>
      <w:pPr>
        <w:ind w:left="2212" w:hanging="360"/>
      </w:pPr>
      <w:rPr>
        <w:rFonts w:hint="default"/>
      </w:rPr>
    </w:lvl>
    <w:lvl w:ilvl="3" w:tplc="32BEEBF8">
      <w:numFmt w:val="bullet"/>
      <w:lvlText w:val="•"/>
      <w:lvlJc w:val="left"/>
      <w:pPr>
        <w:ind w:left="2908" w:hanging="360"/>
      </w:pPr>
      <w:rPr>
        <w:rFonts w:hint="default"/>
      </w:rPr>
    </w:lvl>
    <w:lvl w:ilvl="4" w:tplc="1B8C347C">
      <w:numFmt w:val="bullet"/>
      <w:lvlText w:val="•"/>
      <w:lvlJc w:val="left"/>
      <w:pPr>
        <w:ind w:left="3604" w:hanging="360"/>
      </w:pPr>
      <w:rPr>
        <w:rFonts w:hint="default"/>
      </w:rPr>
    </w:lvl>
    <w:lvl w:ilvl="5" w:tplc="C75CA6B4">
      <w:numFmt w:val="bullet"/>
      <w:lvlText w:val="•"/>
      <w:lvlJc w:val="left"/>
      <w:pPr>
        <w:ind w:left="4301" w:hanging="360"/>
      </w:pPr>
      <w:rPr>
        <w:rFonts w:hint="default"/>
      </w:rPr>
    </w:lvl>
    <w:lvl w:ilvl="6" w:tplc="E19474AE">
      <w:numFmt w:val="bullet"/>
      <w:lvlText w:val="•"/>
      <w:lvlJc w:val="left"/>
      <w:pPr>
        <w:ind w:left="4997" w:hanging="360"/>
      </w:pPr>
      <w:rPr>
        <w:rFonts w:hint="default"/>
      </w:rPr>
    </w:lvl>
    <w:lvl w:ilvl="7" w:tplc="D6E6CC52">
      <w:numFmt w:val="bullet"/>
      <w:lvlText w:val="•"/>
      <w:lvlJc w:val="left"/>
      <w:pPr>
        <w:ind w:left="5693" w:hanging="360"/>
      </w:pPr>
      <w:rPr>
        <w:rFonts w:hint="default"/>
      </w:rPr>
    </w:lvl>
    <w:lvl w:ilvl="8" w:tplc="1786DCCC">
      <w:numFmt w:val="bullet"/>
      <w:lvlText w:val="•"/>
      <w:lvlJc w:val="left"/>
      <w:pPr>
        <w:ind w:left="6389" w:hanging="360"/>
      </w:pPr>
      <w:rPr>
        <w:rFonts w:hint="default"/>
      </w:rPr>
    </w:lvl>
  </w:abstractNum>
  <w:abstractNum w:abstractNumId="27" w15:restartNumberingAfterBreak="0">
    <w:nsid w:val="2466262B"/>
    <w:multiLevelType w:val="hybridMultilevel"/>
    <w:tmpl w:val="1002707A"/>
    <w:lvl w:ilvl="0" w:tplc="8646AD0A">
      <w:numFmt w:val="bullet"/>
      <w:lvlText w:val=""/>
      <w:lvlJc w:val="left"/>
      <w:pPr>
        <w:ind w:left="467" w:hanging="360"/>
      </w:pPr>
      <w:rPr>
        <w:rFonts w:ascii="Symbol" w:eastAsia="Symbol" w:hAnsi="Symbol" w:cs="Symbol" w:hint="default"/>
        <w:w w:val="99"/>
        <w:sz w:val="20"/>
        <w:szCs w:val="20"/>
      </w:rPr>
    </w:lvl>
    <w:lvl w:ilvl="1" w:tplc="EC783B24">
      <w:numFmt w:val="bullet"/>
      <w:lvlText w:val="•"/>
      <w:lvlJc w:val="left"/>
      <w:pPr>
        <w:ind w:left="1153" w:hanging="360"/>
      </w:pPr>
      <w:rPr>
        <w:rFonts w:hint="default"/>
      </w:rPr>
    </w:lvl>
    <w:lvl w:ilvl="2" w:tplc="1DA8098C">
      <w:numFmt w:val="bullet"/>
      <w:lvlText w:val="•"/>
      <w:lvlJc w:val="left"/>
      <w:pPr>
        <w:ind w:left="1847" w:hanging="360"/>
      </w:pPr>
      <w:rPr>
        <w:rFonts w:hint="default"/>
      </w:rPr>
    </w:lvl>
    <w:lvl w:ilvl="3" w:tplc="9FC02C32">
      <w:numFmt w:val="bullet"/>
      <w:lvlText w:val="•"/>
      <w:lvlJc w:val="left"/>
      <w:pPr>
        <w:ind w:left="2541" w:hanging="360"/>
      </w:pPr>
      <w:rPr>
        <w:rFonts w:hint="default"/>
      </w:rPr>
    </w:lvl>
    <w:lvl w:ilvl="4" w:tplc="0122DC68">
      <w:numFmt w:val="bullet"/>
      <w:lvlText w:val="•"/>
      <w:lvlJc w:val="left"/>
      <w:pPr>
        <w:ind w:left="3235" w:hanging="360"/>
      </w:pPr>
      <w:rPr>
        <w:rFonts w:hint="default"/>
      </w:rPr>
    </w:lvl>
    <w:lvl w:ilvl="5" w:tplc="3CE81F46">
      <w:numFmt w:val="bullet"/>
      <w:lvlText w:val="•"/>
      <w:lvlJc w:val="left"/>
      <w:pPr>
        <w:ind w:left="3929" w:hanging="360"/>
      </w:pPr>
      <w:rPr>
        <w:rFonts w:hint="default"/>
      </w:rPr>
    </w:lvl>
    <w:lvl w:ilvl="6" w:tplc="3A869324">
      <w:numFmt w:val="bullet"/>
      <w:lvlText w:val="•"/>
      <w:lvlJc w:val="left"/>
      <w:pPr>
        <w:ind w:left="4622" w:hanging="360"/>
      </w:pPr>
      <w:rPr>
        <w:rFonts w:hint="default"/>
      </w:rPr>
    </w:lvl>
    <w:lvl w:ilvl="7" w:tplc="362CA326">
      <w:numFmt w:val="bullet"/>
      <w:lvlText w:val="•"/>
      <w:lvlJc w:val="left"/>
      <w:pPr>
        <w:ind w:left="5316" w:hanging="360"/>
      </w:pPr>
      <w:rPr>
        <w:rFonts w:hint="default"/>
      </w:rPr>
    </w:lvl>
    <w:lvl w:ilvl="8" w:tplc="7ED2CBDA">
      <w:numFmt w:val="bullet"/>
      <w:lvlText w:val="•"/>
      <w:lvlJc w:val="left"/>
      <w:pPr>
        <w:ind w:left="6010" w:hanging="360"/>
      </w:pPr>
      <w:rPr>
        <w:rFonts w:hint="default"/>
      </w:rPr>
    </w:lvl>
  </w:abstractNum>
  <w:abstractNum w:abstractNumId="28" w15:restartNumberingAfterBreak="0">
    <w:nsid w:val="25445CD6"/>
    <w:multiLevelType w:val="hybridMultilevel"/>
    <w:tmpl w:val="9522A13C"/>
    <w:lvl w:ilvl="0" w:tplc="F2EAB456">
      <w:numFmt w:val="bullet"/>
      <w:lvlText w:val=""/>
      <w:lvlJc w:val="left"/>
      <w:pPr>
        <w:ind w:left="827" w:hanging="360"/>
      </w:pPr>
      <w:rPr>
        <w:rFonts w:ascii="Symbol" w:eastAsia="Symbol" w:hAnsi="Symbol" w:cs="Symbol" w:hint="default"/>
        <w:w w:val="99"/>
        <w:sz w:val="20"/>
        <w:szCs w:val="20"/>
      </w:rPr>
    </w:lvl>
    <w:lvl w:ilvl="1" w:tplc="B6E87092">
      <w:numFmt w:val="bullet"/>
      <w:lvlText w:val=""/>
      <w:lvlJc w:val="left"/>
      <w:pPr>
        <w:ind w:left="1188" w:hanging="361"/>
      </w:pPr>
      <w:rPr>
        <w:rFonts w:ascii="Symbol" w:eastAsia="Symbol" w:hAnsi="Symbol" w:cs="Symbol" w:hint="default"/>
        <w:w w:val="99"/>
        <w:sz w:val="20"/>
        <w:szCs w:val="20"/>
      </w:rPr>
    </w:lvl>
    <w:lvl w:ilvl="2" w:tplc="1382E3DE">
      <w:numFmt w:val="bullet"/>
      <w:lvlText w:val="•"/>
      <w:lvlJc w:val="left"/>
      <w:pPr>
        <w:ind w:left="1913" w:hanging="361"/>
      </w:pPr>
      <w:rPr>
        <w:rFonts w:hint="default"/>
      </w:rPr>
    </w:lvl>
    <w:lvl w:ilvl="3" w:tplc="695EC956">
      <w:numFmt w:val="bullet"/>
      <w:lvlText w:val="•"/>
      <w:lvlJc w:val="left"/>
      <w:pPr>
        <w:ind w:left="2647" w:hanging="361"/>
      </w:pPr>
      <w:rPr>
        <w:rFonts w:hint="default"/>
      </w:rPr>
    </w:lvl>
    <w:lvl w:ilvl="4" w:tplc="64B617C4">
      <w:numFmt w:val="bullet"/>
      <w:lvlText w:val="•"/>
      <w:lvlJc w:val="left"/>
      <w:pPr>
        <w:ind w:left="3380" w:hanging="361"/>
      </w:pPr>
      <w:rPr>
        <w:rFonts w:hint="default"/>
      </w:rPr>
    </w:lvl>
    <w:lvl w:ilvl="5" w:tplc="43D0D124">
      <w:numFmt w:val="bullet"/>
      <w:lvlText w:val="•"/>
      <w:lvlJc w:val="left"/>
      <w:pPr>
        <w:ind w:left="4114" w:hanging="361"/>
      </w:pPr>
      <w:rPr>
        <w:rFonts w:hint="default"/>
      </w:rPr>
    </w:lvl>
    <w:lvl w:ilvl="6" w:tplc="10366B28">
      <w:numFmt w:val="bullet"/>
      <w:lvlText w:val="•"/>
      <w:lvlJc w:val="left"/>
      <w:pPr>
        <w:ind w:left="4847" w:hanging="361"/>
      </w:pPr>
      <w:rPr>
        <w:rFonts w:hint="default"/>
      </w:rPr>
    </w:lvl>
    <w:lvl w:ilvl="7" w:tplc="37563A40">
      <w:numFmt w:val="bullet"/>
      <w:lvlText w:val="•"/>
      <w:lvlJc w:val="left"/>
      <w:pPr>
        <w:ind w:left="5581" w:hanging="361"/>
      </w:pPr>
      <w:rPr>
        <w:rFonts w:hint="default"/>
      </w:rPr>
    </w:lvl>
    <w:lvl w:ilvl="8" w:tplc="F92A434C">
      <w:numFmt w:val="bullet"/>
      <w:lvlText w:val="•"/>
      <w:lvlJc w:val="left"/>
      <w:pPr>
        <w:ind w:left="6314" w:hanging="361"/>
      </w:pPr>
      <w:rPr>
        <w:rFonts w:hint="default"/>
      </w:rPr>
    </w:lvl>
  </w:abstractNum>
  <w:abstractNum w:abstractNumId="29" w15:restartNumberingAfterBreak="0">
    <w:nsid w:val="255578B5"/>
    <w:multiLevelType w:val="hybridMultilevel"/>
    <w:tmpl w:val="F722901A"/>
    <w:lvl w:ilvl="0" w:tplc="9780A6C8">
      <w:numFmt w:val="bullet"/>
      <w:lvlText w:val=""/>
      <w:lvlJc w:val="left"/>
      <w:pPr>
        <w:ind w:left="828" w:hanging="360"/>
      </w:pPr>
      <w:rPr>
        <w:rFonts w:ascii="Symbol" w:eastAsia="Symbol" w:hAnsi="Symbol" w:cs="Symbol" w:hint="default"/>
        <w:w w:val="99"/>
        <w:sz w:val="20"/>
        <w:szCs w:val="20"/>
      </w:rPr>
    </w:lvl>
    <w:lvl w:ilvl="1" w:tplc="F6E40D32">
      <w:numFmt w:val="bullet"/>
      <w:lvlText w:val="•"/>
      <w:lvlJc w:val="left"/>
      <w:pPr>
        <w:ind w:left="1473" w:hanging="360"/>
      </w:pPr>
      <w:rPr>
        <w:rFonts w:hint="default"/>
      </w:rPr>
    </w:lvl>
    <w:lvl w:ilvl="2" w:tplc="AFCE0592">
      <w:numFmt w:val="bullet"/>
      <w:lvlText w:val="•"/>
      <w:lvlJc w:val="left"/>
      <w:pPr>
        <w:ind w:left="2127" w:hanging="360"/>
      </w:pPr>
      <w:rPr>
        <w:rFonts w:hint="default"/>
      </w:rPr>
    </w:lvl>
    <w:lvl w:ilvl="3" w:tplc="F7D0A928">
      <w:numFmt w:val="bullet"/>
      <w:lvlText w:val="•"/>
      <w:lvlJc w:val="left"/>
      <w:pPr>
        <w:ind w:left="2781" w:hanging="360"/>
      </w:pPr>
      <w:rPr>
        <w:rFonts w:hint="default"/>
      </w:rPr>
    </w:lvl>
    <w:lvl w:ilvl="4" w:tplc="DB48DE12">
      <w:numFmt w:val="bullet"/>
      <w:lvlText w:val="•"/>
      <w:lvlJc w:val="left"/>
      <w:pPr>
        <w:ind w:left="3434" w:hanging="360"/>
      </w:pPr>
      <w:rPr>
        <w:rFonts w:hint="default"/>
      </w:rPr>
    </w:lvl>
    <w:lvl w:ilvl="5" w:tplc="F276275A">
      <w:numFmt w:val="bullet"/>
      <w:lvlText w:val="•"/>
      <w:lvlJc w:val="left"/>
      <w:pPr>
        <w:ind w:left="4088" w:hanging="360"/>
      </w:pPr>
      <w:rPr>
        <w:rFonts w:hint="default"/>
      </w:rPr>
    </w:lvl>
    <w:lvl w:ilvl="6" w:tplc="30DCC8F2">
      <w:numFmt w:val="bullet"/>
      <w:lvlText w:val="•"/>
      <w:lvlJc w:val="left"/>
      <w:pPr>
        <w:ind w:left="4742" w:hanging="360"/>
      </w:pPr>
      <w:rPr>
        <w:rFonts w:hint="default"/>
      </w:rPr>
    </w:lvl>
    <w:lvl w:ilvl="7" w:tplc="8ABCBEFE">
      <w:numFmt w:val="bullet"/>
      <w:lvlText w:val="•"/>
      <w:lvlJc w:val="left"/>
      <w:pPr>
        <w:ind w:left="5395" w:hanging="360"/>
      </w:pPr>
      <w:rPr>
        <w:rFonts w:hint="default"/>
      </w:rPr>
    </w:lvl>
    <w:lvl w:ilvl="8" w:tplc="B05E9DF2">
      <w:numFmt w:val="bullet"/>
      <w:lvlText w:val="•"/>
      <w:lvlJc w:val="left"/>
      <w:pPr>
        <w:ind w:left="6049" w:hanging="360"/>
      </w:pPr>
      <w:rPr>
        <w:rFonts w:hint="default"/>
      </w:rPr>
    </w:lvl>
  </w:abstractNum>
  <w:abstractNum w:abstractNumId="30" w15:restartNumberingAfterBreak="0">
    <w:nsid w:val="28446039"/>
    <w:multiLevelType w:val="hybridMultilevel"/>
    <w:tmpl w:val="8AA45ED4"/>
    <w:lvl w:ilvl="0" w:tplc="646015A0">
      <w:numFmt w:val="bullet"/>
      <w:lvlText w:val=""/>
      <w:lvlJc w:val="left"/>
      <w:pPr>
        <w:ind w:left="467" w:hanging="360"/>
      </w:pPr>
      <w:rPr>
        <w:rFonts w:ascii="Symbol" w:eastAsia="Symbol" w:hAnsi="Symbol" w:cs="Symbol" w:hint="default"/>
        <w:w w:val="99"/>
        <w:sz w:val="20"/>
        <w:szCs w:val="20"/>
      </w:rPr>
    </w:lvl>
    <w:lvl w:ilvl="1" w:tplc="FF9CC6FC">
      <w:numFmt w:val="bullet"/>
      <w:lvlText w:val="•"/>
      <w:lvlJc w:val="left"/>
      <w:pPr>
        <w:ind w:left="1157" w:hanging="360"/>
      </w:pPr>
      <w:rPr>
        <w:rFonts w:hint="default"/>
      </w:rPr>
    </w:lvl>
    <w:lvl w:ilvl="2" w:tplc="30AE0476">
      <w:numFmt w:val="bullet"/>
      <w:lvlText w:val="•"/>
      <w:lvlJc w:val="left"/>
      <w:pPr>
        <w:ind w:left="1855" w:hanging="360"/>
      </w:pPr>
      <w:rPr>
        <w:rFonts w:hint="default"/>
      </w:rPr>
    </w:lvl>
    <w:lvl w:ilvl="3" w:tplc="97BA3BA2">
      <w:numFmt w:val="bullet"/>
      <w:lvlText w:val="•"/>
      <w:lvlJc w:val="left"/>
      <w:pPr>
        <w:ind w:left="2553" w:hanging="360"/>
      </w:pPr>
      <w:rPr>
        <w:rFonts w:hint="default"/>
      </w:rPr>
    </w:lvl>
    <w:lvl w:ilvl="4" w:tplc="FF9A49EA">
      <w:numFmt w:val="bullet"/>
      <w:lvlText w:val="•"/>
      <w:lvlJc w:val="left"/>
      <w:pPr>
        <w:ind w:left="3250" w:hanging="360"/>
      </w:pPr>
      <w:rPr>
        <w:rFonts w:hint="default"/>
      </w:rPr>
    </w:lvl>
    <w:lvl w:ilvl="5" w:tplc="2D94D122">
      <w:numFmt w:val="bullet"/>
      <w:lvlText w:val="•"/>
      <w:lvlJc w:val="left"/>
      <w:pPr>
        <w:ind w:left="3948" w:hanging="360"/>
      </w:pPr>
      <w:rPr>
        <w:rFonts w:hint="default"/>
      </w:rPr>
    </w:lvl>
    <w:lvl w:ilvl="6" w:tplc="7FAEA3A2">
      <w:numFmt w:val="bullet"/>
      <w:lvlText w:val="•"/>
      <w:lvlJc w:val="left"/>
      <w:pPr>
        <w:ind w:left="4646" w:hanging="360"/>
      </w:pPr>
      <w:rPr>
        <w:rFonts w:hint="default"/>
      </w:rPr>
    </w:lvl>
    <w:lvl w:ilvl="7" w:tplc="13F27876">
      <w:numFmt w:val="bullet"/>
      <w:lvlText w:val="•"/>
      <w:lvlJc w:val="left"/>
      <w:pPr>
        <w:ind w:left="5343" w:hanging="360"/>
      </w:pPr>
      <w:rPr>
        <w:rFonts w:hint="default"/>
      </w:rPr>
    </w:lvl>
    <w:lvl w:ilvl="8" w:tplc="A5B23C12">
      <w:numFmt w:val="bullet"/>
      <w:lvlText w:val="•"/>
      <w:lvlJc w:val="left"/>
      <w:pPr>
        <w:ind w:left="6041" w:hanging="360"/>
      </w:pPr>
      <w:rPr>
        <w:rFonts w:hint="default"/>
      </w:rPr>
    </w:lvl>
  </w:abstractNum>
  <w:abstractNum w:abstractNumId="31" w15:restartNumberingAfterBreak="0">
    <w:nsid w:val="2BFE6541"/>
    <w:multiLevelType w:val="hybridMultilevel"/>
    <w:tmpl w:val="655ABA8E"/>
    <w:lvl w:ilvl="0" w:tplc="5784E178">
      <w:numFmt w:val="bullet"/>
      <w:lvlText w:val=""/>
      <w:lvlJc w:val="left"/>
      <w:pPr>
        <w:ind w:left="828" w:hanging="360"/>
      </w:pPr>
      <w:rPr>
        <w:rFonts w:ascii="Symbol" w:eastAsia="Symbol" w:hAnsi="Symbol" w:cs="Symbol" w:hint="default"/>
        <w:w w:val="99"/>
        <w:sz w:val="20"/>
        <w:szCs w:val="20"/>
      </w:rPr>
    </w:lvl>
    <w:lvl w:ilvl="1" w:tplc="5C9E8A26">
      <w:numFmt w:val="bullet"/>
      <w:lvlText w:val="•"/>
      <w:lvlJc w:val="left"/>
      <w:pPr>
        <w:ind w:left="1451" w:hanging="360"/>
      </w:pPr>
      <w:rPr>
        <w:rFonts w:hint="default"/>
      </w:rPr>
    </w:lvl>
    <w:lvl w:ilvl="2" w:tplc="334EC47A">
      <w:numFmt w:val="bullet"/>
      <w:lvlText w:val="•"/>
      <w:lvlJc w:val="left"/>
      <w:pPr>
        <w:ind w:left="2082" w:hanging="360"/>
      </w:pPr>
      <w:rPr>
        <w:rFonts w:hint="default"/>
      </w:rPr>
    </w:lvl>
    <w:lvl w:ilvl="3" w:tplc="37308DAE">
      <w:numFmt w:val="bullet"/>
      <w:lvlText w:val="•"/>
      <w:lvlJc w:val="left"/>
      <w:pPr>
        <w:ind w:left="2714" w:hanging="360"/>
      </w:pPr>
      <w:rPr>
        <w:rFonts w:hint="default"/>
      </w:rPr>
    </w:lvl>
    <w:lvl w:ilvl="4" w:tplc="CB6A2608">
      <w:numFmt w:val="bullet"/>
      <w:lvlText w:val="•"/>
      <w:lvlJc w:val="left"/>
      <w:pPr>
        <w:ind w:left="3345" w:hanging="360"/>
      </w:pPr>
      <w:rPr>
        <w:rFonts w:hint="default"/>
      </w:rPr>
    </w:lvl>
    <w:lvl w:ilvl="5" w:tplc="50BE1E7A">
      <w:numFmt w:val="bullet"/>
      <w:lvlText w:val="•"/>
      <w:lvlJc w:val="left"/>
      <w:pPr>
        <w:ind w:left="3977" w:hanging="360"/>
      </w:pPr>
      <w:rPr>
        <w:rFonts w:hint="default"/>
      </w:rPr>
    </w:lvl>
    <w:lvl w:ilvl="6" w:tplc="843424F2">
      <w:numFmt w:val="bullet"/>
      <w:lvlText w:val="•"/>
      <w:lvlJc w:val="left"/>
      <w:pPr>
        <w:ind w:left="4608" w:hanging="360"/>
      </w:pPr>
      <w:rPr>
        <w:rFonts w:hint="default"/>
      </w:rPr>
    </w:lvl>
    <w:lvl w:ilvl="7" w:tplc="A5CE5F92">
      <w:numFmt w:val="bullet"/>
      <w:lvlText w:val="•"/>
      <w:lvlJc w:val="left"/>
      <w:pPr>
        <w:ind w:left="5239" w:hanging="360"/>
      </w:pPr>
      <w:rPr>
        <w:rFonts w:hint="default"/>
      </w:rPr>
    </w:lvl>
    <w:lvl w:ilvl="8" w:tplc="D8B882FC">
      <w:numFmt w:val="bullet"/>
      <w:lvlText w:val="•"/>
      <w:lvlJc w:val="left"/>
      <w:pPr>
        <w:ind w:left="5871" w:hanging="360"/>
      </w:pPr>
      <w:rPr>
        <w:rFonts w:hint="default"/>
      </w:rPr>
    </w:lvl>
  </w:abstractNum>
  <w:abstractNum w:abstractNumId="32" w15:restartNumberingAfterBreak="0">
    <w:nsid w:val="2E2573E8"/>
    <w:multiLevelType w:val="hybridMultilevel"/>
    <w:tmpl w:val="A7526AC2"/>
    <w:lvl w:ilvl="0" w:tplc="0254C796">
      <w:numFmt w:val="bullet"/>
      <w:lvlText w:val=""/>
      <w:lvlJc w:val="left"/>
      <w:pPr>
        <w:ind w:left="468" w:hanging="361"/>
      </w:pPr>
      <w:rPr>
        <w:rFonts w:ascii="Symbol" w:eastAsia="Symbol" w:hAnsi="Symbol" w:cs="Symbol" w:hint="default"/>
        <w:w w:val="99"/>
        <w:sz w:val="20"/>
        <w:szCs w:val="20"/>
      </w:rPr>
    </w:lvl>
    <w:lvl w:ilvl="1" w:tplc="7452DEF4">
      <w:numFmt w:val="bullet"/>
      <w:lvlText w:val="•"/>
      <w:lvlJc w:val="left"/>
      <w:pPr>
        <w:ind w:left="1127" w:hanging="361"/>
      </w:pPr>
      <w:rPr>
        <w:rFonts w:hint="default"/>
      </w:rPr>
    </w:lvl>
    <w:lvl w:ilvl="2" w:tplc="D80271C0">
      <w:numFmt w:val="bullet"/>
      <w:lvlText w:val="•"/>
      <w:lvlJc w:val="left"/>
      <w:pPr>
        <w:ind w:left="1794" w:hanging="361"/>
      </w:pPr>
      <w:rPr>
        <w:rFonts w:hint="default"/>
      </w:rPr>
    </w:lvl>
    <w:lvl w:ilvl="3" w:tplc="57446194">
      <w:numFmt w:val="bullet"/>
      <w:lvlText w:val="•"/>
      <w:lvlJc w:val="left"/>
      <w:pPr>
        <w:ind w:left="2462" w:hanging="361"/>
      </w:pPr>
      <w:rPr>
        <w:rFonts w:hint="default"/>
      </w:rPr>
    </w:lvl>
    <w:lvl w:ilvl="4" w:tplc="D2383CC0">
      <w:numFmt w:val="bullet"/>
      <w:lvlText w:val="•"/>
      <w:lvlJc w:val="left"/>
      <w:pPr>
        <w:ind w:left="3129" w:hanging="361"/>
      </w:pPr>
      <w:rPr>
        <w:rFonts w:hint="default"/>
      </w:rPr>
    </w:lvl>
    <w:lvl w:ilvl="5" w:tplc="DC183622">
      <w:numFmt w:val="bullet"/>
      <w:lvlText w:val="•"/>
      <w:lvlJc w:val="left"/>
      <w:pPr>
        <w:ind w:left="3797" w:hanging="361"/>
      </w:pPr>
      <w:rPr>
        <w:rFonts w:hint="default"/>
      </w:rPr>
    </w:lvl>
    <w:lvl w:ilvl="6" w:tplc="0252445C">
      <w:numFmt w:val="bullet"/>
      <w:lvlText w:val="•"/>
      <w:lvlJc w:val="left"/>
      <w:pPr>
        <w:ind w:left="4464" w:hanging="361"/>
      </w:pPr>
      <w:rPr>
        <w:rFonts w:hint="default"/>
      </w:rPr>
    </w:lvl>
    <w:lvl w:ilvl="7" w:tplc="CBCCC908">
      <w:numFmt w:val="bullet"/>
      <w:lvlText w:val="•"/>
      <w:lvlJc w:val="left"/>
      <w:pPr>
        <w:ind w:left="5131" w:hanging="361"/>
      </w:pPr>
      <w:rPr>
        <w:rFonts w:hint="default"/>
      </w:rPr>
    </w:lvl>
    <w:lvl w:ilvl="8" w:tplc="CEA2CEEC">
      <w:numFmt w:val="bullet"/>
      <w:lvlText w:val="•"/>
      <w:lvlJc w:val="left"/>
      <w:pPr>
        <w:ind w:left="5799" w:hanging="361"/>
      </w:pPr>
      <w:rPr>
        <w:rFonts w:hint="default"/>
      </w:rPr>
    </w:lvl>
  </w:abstractNum>
  <w:abstractNum w:abstractNumId="33" w15:restartNumberingAfterBreak="0">
    <w:nsid w:val="2EB16AFF"/>
    <w:multiLevelType w:val="hybridMultilevel"/>
    <w:tmpl w:val="04D480C4"/>
    <w:lvl w:ilvl="0" w:tplc="7408D688">
      <w:start w:val="215"/>
      <w:numFmt w:val="decimal"/>
      <w:lvlText w:val="%1"/>
      <w:lvlJc w:val="left"/>
      <w:pPr>
        <w:ind w:left="412" w:hanging="312"/>
        <w:jc w:val="left"/>
      </w:pPr>
      <w:rPr>
        <w:rFonts w:ascii="Arial" w:eastAsia="Arial" w:hAnsi="Arial" w:cs="Arial" w:hint="default"/>
        <w:spacing w:val="-1"/>
        <w:w w:val="100"/>
        <w:sz w:val="16"/>
        <w:szCs w:val="16"/>
      </w:rPr>
    </w:lvl>
    <w:lvl w:ilvl="1" w:tplc="C714FA6C">
      <w:numFmt w:val="bullet"/>
      <w:lvlText w:val="•"/>
      <w:lvlJc w:val="left"/>
      <w:pPr>
        <w:ind w:left="1336" w:hanging="312"/>
      </w:pPr>
      <w:rPr>
        <w:rFonts w:hint="default"/>
      </w:rPr>
    </w:lvl>
    <w:lvl w:ilvl="2" w:tplc="89B0AA78">
      <w:numFmt w:val="bullet"/>
      <w:lvlText w:val="•"/>
      <w:lvlJc w:val="left"/>
      <w:pPr>
        <w:ind w:left="2252" w:hanging="312"/>
      </w:pPr>
      <w:rPr>
        <w:rFonts w:hint="default"/>
      </w:rPr>
    </w:lvl>
    <w:lvl w:ilvl="3" w:tplc="526EDED0">
      <w:numFmt w:val="bullet"/>
      <w:lvlText w:val="•"/>
      <w:lvlJc w:val="left"/>
      <w:pPr>
        <w:ind w:left="3168" w:hanging="312"/>
      </w:pPr>
      <w:rPr>
        <w:rFonts w:hint="default"/>
      </w:rPr>
    </w:lvl>
    <w:lvl w:ilvl="4" w:tplc="8230F03A">
      <w:numFmt w:val="bullet"/>
      <w:lvlText w:val="•"/>
      <w:lvlJc w:val="left"/>
      <w:pPr>
        <w:ind w:left="4084" w:hanging="312"/>
      </w:pPr>
      <w:rPr>
        <w:rFonts w:hint="default"/>
      </w:rPr>
    </w:lvl>
    <w:lvl w:ilvl="5" w:tplc="851C25D0">
      <w:numFmt w:val="bullet"/>
      <w:lvlText w:val="•"/>
      <w:lvlJc w:val="left"/>
      <w:pPr>
        <w:ind w:left="5000" w:hanging="312"/>
      </w:pPr>
      <w:rPr>
        <w:rFonts w:hint="default"/>
      </w:rPr>
    </w:lvl>
    <w:lvl w:ilvl="6" w:tplc="26560BFC">
      <w:numFmt w:val="bullet"/>
      <w:lvlText w:val="•"/>
      <w:lvlJc w:val="left"/>
      <w:pPr>
        <w:ind w:left="5916" w:hanging="312"/>
      </w:pPr>
      <w:rPr>
        <w:rFonts w:hint="default"/>
      </w:rPr>
    </w:lvl>
    <w:lvl w:ilvl="7" w:tplc="45A65E12">
      <w:numFmt w:val="bullet"/>
      <w:lvlText w:val="•"/>
      <w:lvlJc w:val="left"/>
      <w:pPr>
        <w:ind w:left="6832" w:hanging="312"/>
      </w:pPr>
      <w:rPr>
        <w:rFonts w:hint="default"/>
      </w:rPr>
    </w:lvl>
    <w:lvl w:ilvl="8" w:tplc="7612131E">
      <w:numFmt w:val="bullet"/>
      <w:lvlText w:val="•"/>
      <w:lvlJc w:val="left"/>
      <w:pPr>
        <w:ind w:left="7748" w:hanging="312"/>
      </w:pPr>
      <w:rPr>
        <w:rFonts w:hint="default"/>
      </w:rPr>
    </w:lvl>
  </w:abstractNum>
  <w:abstractNum w:abstractNumId="34" w15:restartNumberingAfterBreak="0">
    <w:nsid w:val="2F591D10"/>
    <w:multiLevelType w:val="hybridMultilevel"/>
    <w:tmpl w:val="2C3C7A8C"/>
    <w:lvl w:ilvl="0" w:tplc="C50632E0">
      <w:numFmt w:val="bullet"/>
      <w:lvlText w:val=""/>
      <w:lvlJc w:val="left"/>
      <w:pPr>
        <w:ind w:left="827" w:hanging="360"/>
      </w:pPr>
      <w:rPr>
        <w:rFonts w:ascii="Symbol" w:eastAsia="Symbol" w:hAnsi="Symbol" w:cs="Symbol" w:hint="default"/>
        <w:w w:val="99"/>
        <w:sz w:val="20"/>
        <w:szCs w:val="20"/>
      </w:rPr>
    </w:lvl>
    <w:lvl w:ilvl="1" w:tplc="286AF588">
      <w:numFmt w:val="bullet"/>
      <w:lvlText w:val="•"/>
      <w:lvlJc w:val="left"/>
      <w:pPr>
        <w:ind w:left="1672" w:hanging="360"/>
      </w:pPr>
      <w:rPr>
        <w:rFonts w:hint="default"/>
      </w:rPr>
    </w:lvl>
    <w:lvl w:ilvl="2" w:tplc="0240BA5E">
      <w:numFmt w:val="bullet"/>
      <w:lvlText w:val="•"/>
      <w:lvlJc w:val="left"/>
      <w:pPr>
        <w:ind w:left="2524" w:hanging="360"/>
      </w:pPr>
      <w:rPr>
        <w:rFonts w:hint="default"/>
      </w:rPr>
    </w:lvl>
    <w:lvl w:ilvl="3" w:tplc="1756C722">
      <w:numFmt w:val="bullet"/>
      <w:lvlText w:val="•"/>
      <w:lvlJc w:val="left"/>
      <w:pPr>
        <w:ind w:left="3376" w:hanging="360"/>
      </w:pPr>
      <w:rPr>
        <w:rFonts w:hint="default"/>
      </w:rPr>
    </w:lvl>
    <w:lvl w:ilvl="4" w:tplc="EBB89C26">
      <w:numFmt w:val="bullet"/>
      <w:lvlText w:val="•"/>
      <w:lvlJc w:val="left"/>
      <w:pPr>
        <w:ind w:left="4228" w:hanging="360"/>
      </w:pPr>
      <w:rPr>
        <w:rFonts w:hint="default"/>
      </w:rPr>
    </w:lvl>
    <w:lvl w:ilvl="5" w:tplc="085E53FC">
      <w:numFmt w:val="bullet"/>
      <w:lvlText w:val="•"/>
      <w:lvlJc w:val="left"/>
      <w:pPr>
        <w:ind w:left="5080" w:hanging="360"/>
      </w:pPr>
      <w:rPr>
        <w:rFonts w:hint="default"/>
      </w:rPr>
    </w:lvl>
    <w:lvl w:ilvl="6" w:tplc="45FE766C">
      <w:numFmt w:val="bullet"/>
      <w:lvlText w:val="•"/>
      <w:lvlJc w:val="left"/>
      <w:pPr>
        <w:ind w:left="5932" w:hanging="360"/>
      </w:pPr>
      <w:rPr>
        <w:rFonts w:hint="default"/>
      </w:rPr>
    </w:lvl>
    <w:lvl w:ilvl="7" w:tplc="AF40CFF4">
      <w:numFmt w:val="bullet"/>
      <w:lvlText w:val="•"/>
      <w:lvlJc w:val="left"/>
      <w:pPr>
        <w:ind w:left="6784" w:hanging="360"/>
      </w:pPr>
      <w:rPr>
        <w:rFonts w:hint="default"/>
      </w:rPr>
    </w:lvl>
    <w:lvl w:ilvl="8" w:tplc="675ED822">
      <w:numFmt w:val="bullet"/>
      <w:lvlText w:val="•"/>
      <w:lvlJc w:val="left"/>
      <w:pPr>
        <w:ind w:left="7636" w:hanging="360"/>
      </w:pPr>
      <w:rPr>
        <w:rFonts w:hint="default"/>
      </w:rPr>
    </w:lvl>
  </w:abstractNum>
  <w:abstractNum w:abstractNumId="35" w15:restartNumberingAfterBreak="0">
    <w:nsid w:val="2FD830A9"/>
    <w:multiLevelType w:val="hybridMultilevel"/>
    <w:tmpl w:val="DB6E8F18"/>
    <w:lvl w:ilvl="0" w:tplc="ED4C0A76">
      <w:start w:val="1"/>
      <w:numFmt w:val="decimal"/>
      <w:lvlText w:val="%1."/>
      <w:lvlJc w:val="left"/>
      <w:pPr>
        <w:ind w:left="933" w:hanging="360"/>
        <w:jc w:val="left"/>
      </w:pPr>
      <w:rPr>
        <w:rFonts w:ascii="Arial" w:eastAsia="Arial" w:hAnsi="Arial" w:cs="Arial" w:hint="default"/>
        <w:spacing w:val="-1"/>
        <w:w w:val="99"/>
        <w:sz w:val="20"/>
        <w:szCs w:val="20"/>
      </w:rPr>
    </w:lvl>
    <w:lvl w:ilvl="1" w:tplc="BE94ABA4">
      <w:numFmt w:val="bullet"/>
      <w:lvlText w:val="•"/>
      <w:lvlJc w:val="left"/>
      <w:pPr>
        <w:ind w:left="1804" w:hanging="360"/>
      </w:pPr>
      <w:rPr>
        <w:rFonts w:hint="default"/>
      </w:rPr>
    </w:lvl>
    <w:lvl w:ilvl="2" w:tplc="5BA4FED0">
      <w:numFmt w:val="bullet"/>
      <w:lvlText w:val="•"/>
      <w:lvlJc w:val="left"/>
      <w:pPr>
        <w:ind w:left="2668" w:hanging="360"/>
      </w:pPr>
      <w:rPr>
        <w:rFonts w:hint="default"/>
      </w:rPr>
    </w:lvl>
    <w:lvl w:ilvl="3" w:tplc="1980BA56">
      <w:numFmt w:val="bullet"/>
      <w:lvlText w:val="•"/>
      <w:lvlJc w:val="left"/>
      <w:pPr>
        <w:ind w:left="3532" w:hanging="360"/>
      </w:pPr>
      <w:rPr>
        <w:rFonts w:hint="default"/>
      </w:rPr>
    </w:lvl>
    <w:lvl w:ilvl="4" w:tplc="05CCE474">
      <w:numFmt w:val="bullet"/>
      <w:lvlText w:val="•"/>
      <w:lvlJc w:val="left"/>
      <w:pPr>
        <w:ind w:left="4396" w:hanging="360"/>
      </w:pPr>
      <w:rPr>
        <w:rFonts w:hint="default"/>
      </w:rPr>
    </w:lvl>
    <w:lvl w:ilvl="5" w:tplc="B6C2E348">
      <w:numFmt w:val="bullet"/>
      <w:lvlText w:val="•"/>
      <w:lvlJc w:val="left"/>
      <w:pPr>
        <w:ind w:left="5260" w:hanging="360"/>
      </w:pPr>
      <w:rPr>
        <w:rFonts w:hint="default"/>
      </w:rPr>
    </w:lvl>
    <w:lvl w:ilvl="6" w:tplc="FBEC25E4">
      <w:numFmt w:val="bullet"/>
      <w:lvlText w:val="•"/>
      <w:lvlJc w:val="left"/>
      <w:pPr>
        <w:ind w:left="6124" w:hanging="360"/>
      </w:pPr>
      <w:rPr>
        <w:rFonts w:hint="default"/>
      </w:rPr>
    </w:lvl>
    <w:lvl w:ilvl="7" w:tplc="15B89F26">
      <w:numFmt w:val="bullet"/>
      <w:lvlText w:val="•"/>
      <w:lvlJc w:val="left"/>
      <w:pPr>
        <w:ind w:left="6988" w:hanging="360"/>
      </w:pPr>
      <w:rPr>
        <w:rFonts w:hint="default"/>
      </w:rPr>
    </w:lvl>
    <w:lvl w:ilvl="8" w:tplc="F4226A50">
      <w:numFmt w:val="bullet"/>
      <w:lvlText w:val="•"/>
      <w:lvlJc w:val="left"/>
      <w:pPr>
        <w:ind w:left="7852" w:hanging="360"/>
      </w:pPr>
      <w:rPr>
        <w:rFonts w:hint="default"/>
      </w:rPr>
    </w:lvl>
  </w:abstractNum>
  <w:abstractNum w:abstractNumId="36" w15:restartNumberingAfterBreak="0">
    <w:nsid w:val="33463EEB"/>
    <w:multiLevelType w:val="hybridMultilevel"/>
    <w:tmpl w:val="14E88576"/>
    <w:lvl w:ilvl="0" w:tplc="801065FE">
      <w:start w:val="1"/>
      <w:numFmt w:val="lowerLetter"/>
      <w:lvlText w:val="%1)"/>
      <w:lvlJc w:val="left"/>
      <w:pPr>
        <w:ind w:left="1548" w:hanging="721"/>
        <w:jc w:val="left"/>
      </w:pPr>
      <w:rPr>
        <w:rFonts w:ascii="Arial" w:eastAsia="Arial" w:hAnsi="Arial" w:cs="Arial" w:hint="default"/>
        <w:spacing w:val="-1"/>
        <w:w w:val="99"/>
        <w:sz w:val="20"/>
        <w:szCs w:val="20"/>
      </w:rPr>
    </w:lvl>
    <w:lvl w:ilvl="1" w:tplc="391A2698">
      <w:numFmt w:val="bullet"/>
      <w:lvlText w:val="•"/>
      <w:lvlJc w:val="left"/>
      <w:pPr>
        <w:ind w:left="2164" w:hanging="721"/>
      </w:pPr>
      <w:rPr>
        <w:rFonts w:hint="default"/>
      </w:rPr>
    </w:lvl>
    <w:lvl w:ilvl="2" w:tplc="0EB80DB0">
      <w:numFmt w:val="bullet"/>
      <w:lvlText w:val="•"/>
      <w:lvlJc w:val="left"/>
      <w:pPr>
        <w:ind w:left="2788" w:hanging="721"/>
      </w:pPr>
      <w:rPr>
        <w:rFonts w:hint="default"/>
      </w:rPr>
    </w:lvl>
    <w:lvl w:ilvl="3" w:tplc="5A865120">
      <w:numFmt w:val="bullet"/>
      <w:lvlText w:val="•"/>
      <w:lvlJc w:val="left"/>
      <w:pPr>
        <w:ind w:left="3412" w:hanging="721"/>
      </w:pPr>
      <w:rPr>
        <w:rFonts w:hint="default"/>
      </w:rPr>
    </w:lvl>
    <w:lvl w:ilvl="4" w:tplc="BB9E2BB2">
      <w:numFmt w:val="bullet"/>
      <w:lvlText w:val="•"/>
      <w:lvlJc w:val="left"/>
      <w:pPr>
        <w:ind w:left="4036" w:hanging="721"/>
      </w:pPr>
      <w:rPr>
        <w:rFonts w:hint="default"/>
      </w:rPr>
    </w:lvl>
    <w:lvl w:ilvl="5" w:tplc="B098268A">
      <w:numFmt w:val="bullet"/>
      <w:lvlText w:val="•"/>
      <w:lvlJc w:val="left"/>
      <w:pPr>
        <w:ind w:left="4661" w:hanging="721"/>
      </w:pPr>
      <w:rPr>
        <w:rFonts w:hint="default"/>
      </w:rPr>
    </w:lvl>
    <w:lvl w:ilvl="6" w:tplc="E8ACD078">
      <w:numFmt w:val="bullet"/>
      <w:lvlText w:val="•"/>
      <w:lvlJc w:val="left"/>
      <w:pPr>
        <w:ind w:left="5285" w:hanging="721"/>
      </w:pPr>
      <w:rPr>
        <w:rFonts w:hint="default"/>
      </w:rPr>
    </w:lvl>
    <w:lvl w:ilvl="7" w:tplc="334AF94A">
      <w:numFmt w:val="bullet"/>
      <w:lvlText w:val="•"/>
      <w:lvlJc w:val="left"/>
      <w:pPr>
        <w:ind w:left="5909" w:hanging="721"/>
      </w:pPr>
      <w:rPr>
        <w:rFonts w:hint="default"/>
      </w:rPr>
    </w:lvl>
    <w:lvl w:ilvl="8" w:tplc="25D847D6">
      <w:numFmt w:val="bullet"/>
      <w:lvlText w:val="•"/>
      <w:lvlJc w:val="left"/>
      <w:pPr>
        <w:ind w:left="6533" w:hanging="721"/>
      </w:pPr>
      <w:rPr>
        <w:rFonts w:hint="default"/>
      </w:rPr>
    </w:lvl>
  </w:abstractNum>
  <w:abstractNum w:abstractNumId="37" w15:restartNumberingAfterBreak="0">
    <w:nsid w:val="33DA7E94"/>
    <w:multiLevelType w:val="hybridMultilevel"/>
    <w:tmpl w:val="6BDE7A94"/>
    <w:lvl w:ilvl="0" w:tplc="1B24B33C">
      <w:numFmt w:val="bullet"/>
      <w:lvlText w:val=""/>
      <w:lvlJc w:val="left"/>
      <w:pPr>
        <w:ind w:left="828" w:hanging="361"/>
      </w:pPr>
      <w:rPr>
        <w:rFonts w:ascii="Symbol" w:eastAsia="Symbol" w:hAnsi="Symbol" w:cs="Symbol" w:hint="default"/>
        <w:w w:val="99"/>
        <w:sz w:val="20"/>
        <w:szCs w:val="20"/>
      </w:rPr>
    </w:lvl>
    <w:lvl w:ilvl="1" w:tplc="75C0A3B8">
      <w:numFmt w:val="bullet"/>
      <w:lvlText w:val="•"/>
      <w:lvlJc w:val="left"/>
      <w:pPr>
        <w:ind w:left="1477" w:hanging="361"/>
      </w:pPr>
      <w:rPr>
        <w:rFonts w:hint="default"/>
      </w:rPr>
    </w:lvl>
    <w:lvl w:ilvl="2" w:tplc="6E78783C">
      <w:numFmt w:val="bullet"/>
      <w:lvlText w:val="•"/>
      <w:lvlJc w:val="left"/>
      <w:pPr>
        <w:ind w:left="2135" w:hanging="361"/>
      </w:pPr>
      <w:rPr>
        <w:rFonts w:hint="default"/>
      </w:rPr>
    </w:lvl>
    <w:lvl w:ilvl="3" w:tplc="F3CEEFF2">
      <w:numFmt w:val="bullet"/>
      <w:lvlText w:val="•"/>
      <w:lvlJc w:val="left"/>
      <w:pPr>
        <w:ind w:left="2793" w:hanging="361"/>
      </w:pPr>
      <w:rPr>
        <w:rFonts w:hint="default"/>
      </w:rPr>
    </w:lvl>
    <w:lvl w:ilvl="4" w:tplc="9B965514">
      <w:numFmt w:val="bullet"/>
      <w:lvlText w:val="•"/>
      <w:lvlJc w:val="left"/>
      <w:pPr>
        <w:ind w:left="3451" w:hanging="361"/>
      </w:pPr>
      <w:rPr>
        <w:rFonts w:hint="default"/>
      </w:rPr>
    </w:lvl>
    <w:lvl w:ilvl="5" w:tplc="6B261C6E">
      <w:numFmt w:val="bullet"/>
      <w:lvlText w:val="•"/>
      <w:lvlJc w:val="left"/>
      <w:pPr>
        <w:ind w:left="4109" w:hanging="361"/>
      </w:pPr>
      <w:rPr>
        <w:rFonts w:hint="default"/>
      </w:rPr>
    </w:lvl>
    <w:lvl w:ilvl="6" w:tplc="2F9827F4">
      <w:numFmt w:val="bullet"/>
      <w:lvlText w:val="•"/>
      <w:lvlJc w:val="left"/>
      <w:pPr>
        <w:ind w:left="4766" w:hanging="361"/>
      </w:pPr>
      <w:rPr>
        <w:rFonts w:hint="default"/>
      </w:rPr>
    </w:lvl>
    <w:lvl w:ilvl="7" w:tplc="028C2C16">
      <w:numFmt w:val="bullet"/>
      <w:lvlText w:val="•"/>
      <w:lvlJc w:val="left"/>
      <w:pPr>
        <w:ind w:left="5424" w:hanging="361"/>
      </w:pPr>
      <w:rPr>
        <w:rFonts w:hint="default"/>
      </w:rPr>
    </w:lvl>
    <w:lvl w:ilvl="8" w:tplc="C3A8B8C8">
      <w:numFmt w:val="bullet"/>
      <w:lvlText w:val="•"/>
      <w:lvlJc w:val="left"/>
      <w:pPr>
        <w:ind w:left="6082" w:hanging="361"/>
      </w:pPr>
      <w:rPr>
        <w:rFonts w:hint="default"/>
      </w:rPr>
    </w:lvl>
  </w:abstractNum>
  <w:abstractNum w:abstractNumId="38" w15:restartNumberingAfterBreak="0">
    <w:nsid w:val="347818A8"/>
    <w:multiLevelType w:val="hybridMultilevel"/>
    <w:tmpl w:val="2346A8F0"/>
    <w:lvl w:ilvl="0" w:tplc="70A033D8">
      <w:numFmt w:val="bullet"/>
      <w:lvlText w:val="•"/>
      <w:lvlJc w:val="left"/>
      <w:pPr>
        <w:ind w:left="827" w:hanging="720"/>
      </w:pPr>
      <w:rPr>
        <w:rFonts w:ascii="Arial" w:eastAsia="Arial" w:hAnsi="Arial" w:cs="Arial" w:hint="default"/>
        <w:w w:val="99"/>
        <w:sz w:val="20"/>
        <w:szCs w:val="20"/>
      </w:rPr>
    </w:lvl>
    <w:lvl w:ilvl="1" w:tplc="2D94F6C4">
      <w:numFmt w:val="bullet"/>
      <w:lvlText w:val="•"/>
      <w:lvlJc w:val="left"/>
      <w:pPr>
        <w:ind w:left="1672" w:hanging="720"/>
      </w:pPr>
      <w:rPr>
        <w:rFonts w:hint="default"/>
      </w:rPr>
    </w:lvl>
    <w:lvl w:ilvl="2" w:tplc="8462097E">
      <w:numFmt w:val="bullet"/>
      <w:lvlText w:val="•"/>
      <w:lvlJc w:val="left"/>
      <w:pPr>
        <w:ind w:left="2524" w:hanging="720"/>
      </w:pPr>
      <w:rPr>
        <w:rFonts w:hint="default"/>
      </w:rPr>
    </w:lvl>
    <w:lvl w:ilvl="3" w:tplc="8774EF50">
      <w:numFmt w:val="bullet"/>
      <w:lvlText w:val="•"/>
      <w:lvlJc w:val="left"/>
      <w:pPr>
        <w:ind w:left="3376" w:hanging="720"/>
      </w:pPr>
      <w:rPr>
        <w:rFonts w:hint="default"/>
      </w:rPr>
    </w:lvl>
    <w:lvl w:ilvl="4" w:tplc="5AB6637E">
      <w:numFmt w:val="bullet"/>
      <w:lvlText w:val="•"/>
      <w:lvlJc w:val="left"/>
      <w:pPr>
        <w:ind w:left="4229" w:hanging="720"/>
      </w:pPr>
      <w:rPr>
        <w:rFonts w:hint="default"/>
      </w:rPr>
    </w:lvl>
    <w:lvl w:ilvl="5" w:tplc="7408EED4">
      <w:numFmt w:val="bullet"/>
      <w:lvlText w:val="•"/>
      <w:lvlJc w:val="left"/>
      <w:pPr>
        <w:ind w:left="5081" w:hanging="720"/>
      </w:pPr>
      <w:rPr>
        <w:rFonts w:hint="default"/>
      </w:rPr>
    </w:lvl>
    <w:lvl w:ilvl="6" w:tplc="D8ACDBD6">
      <w:numFmt w:val="bullet"/>
      <w:lvlText w:val="•"/>
      <w:lvlJc w:val="left"/>
      <w:pPr>
        <w:ind w:left="5933" w:hanging="720"/>
      </w:pPr>
      <w:rPr>
        <w:rFonts w:hint="default"/>
      </w:rPr>
    </w:lvl>
    <w:lvl w:ilvl="7" w:tplc="2B04B89E">
      <w:numFmt w:val="bullet"/>
      <w:lvlText w:val="•"/>
      <w:lvlJc w:val="left"/>
      <w:pPr>
        <w:ind w:left="6786" w:hanging="720"/>
      </w:pPr>
      <w:rPr>
        <w:rFonts w:hint="default"/>
      </w:rPr>
    </w:lvl>
    <w:lvl w:ilvl="8" w:tplc="34365524">
      <w:numFmt w:val="bullet"/>
      <w:lvlText w:val="•"/>
      <w:lvlJc w:val="left"/>
      <w:pPr>
        <w:ind w:left="7638" w:hanging="720"/>
      </w:pPr>
      <w:rPr>
        <w:rFonts w:hint="default"/>
      </w:rPr>
    </w:lvl>
  </w:abstractNum>
  <w:abstractNum w:abstractNumId="39" w15:restartNumberingAfterBreak="0">
    <w:nsid w:val="35E266F0"/>
    <w:multiLevelType w:val="hybridMultilevel"/>
    <w:tmpl w:val="8BE45362"/>
    <w:lvl w:ilvl="0" w:tplc="6B480D66">
      <w:numFmt w:val="bullet"/>
      <w:lvlText w:val=""/>
      <w:lvlJc w:val="left"/>
      <w:pPr>
        <w:ind w:left="468" w:hanging="360"/>
      </w:pPr>
      <w:rPr>
        <w:rFonts w:ascii="Symbol" w:eastAsia="Symbol" w:hAnsi="Symbol" w:cs="Symbol" w:hint="default"/>
        <w:w w:val="99"/>
        <w:sz w:val="20"/>
        <w:szCs w:val="20"/>
      </w:rPr>
    </w:lvl>
    <w:lvl w:ilvl="1" w:tplc="6BFAF300">
      <w:numFmt w:val="bullet"/>
      <w:lvlText w:val="•"/>
      <w:lvlJc w:val="left"/>
      <w:pPr>
        <w:ind w:left="1171" w:hanging="360"/>
      </w:pPr>
      <w:rPr>
        <w:rFonts w:hint="default"/>
      </w:rPr>
    </w:lvl>
    <w:lvl w:ilvl="2" w:tplc="F17A8538">
      <w:numFmt w:val="bullet"/>
      <w:lvlText w:val="•"/>
      <w:lvlJc w:val="left"/>
      <w:pPr>
        <w:ind w:left="1883" w:hanging="360"/>
      </w:pPr>
      <w:rPr>
        <w:rFonts w:hint="default"/>
      </w:rPr>
    </w:lvl>
    <w:lvl w:ilvl="3" w:tplc="3418E96C">
      <w:numFmt w:val="bullet"/>
      <w:lvlText w:val="•"/>
      <w:lvlJc w:val="left"/>
      <w:pPr>
        <w:ind w:left="2594" w:hanging="360"/>
      </w:pPr>
      <w:rPr>
        <w:rFonts w:hint="default"/>
      </w:rPr>
    </w:lvl>
    <w:lvl w:ilvl="4" w:tplc="989079DC">
      <w:numFmt w:val="bullet"/>
      <w:lvlText w:val="•"/>
      <w:lvlJc w:val="left"/>
      <w:pPr>
        <w:ind w:left="3306" w:hanging="360"/>
      </w:pPr>
      <w:rPr>
        <w:rFonts w:hint="default"/>
      </w:rPr>
    </w:lvl>
    <w:lvl w:ilvl="5" w:tplc="90D4A35C">
      <w:numFmt w:val="bullet"/>
      <w:lvlText w:val="•"/>
      <w:lvlJc w:val="left"/>
      <w:pPr>
        <w:ind w:left="4017" w:hanging="360"/>
      </w:pPr>
      <w:rPr>
        <w:rFonts w:hint="default"/>
      </w:rPr>
    </w:lvl>
    <w:lvl w:ilvl="6" w:tplc="8DDE02D6">
      <w:numFmt w:val="bullet"/>
      <w:lvlText w:val="•"/>
      <w:lvlJc w:val="left"/>
      <w:pPr>
        <w:ind w:left="4729" w:hanging="360"/>
      </w:pPr>
      <w:rPr>
        <w:rFonts w:hint="default"/>
      </w:rPr>
    </w:lvl>
    <w:lvl w:ilvl="7" w:tplc="1B3E9F78">
      <w:numFmt w:val="bullet"/>
      <w:lvlText w:val="•"/>
      <w:lvlJc w:val="left"/>
      <w:pPr>
        <w:ind w:left="5440" w:hanging="360"/>
      </w:pPr>
      <w:rPr>
        <w:rFonts w:hint="default"/>
      </w:rPr>
    </w:lvl>
    <w:lvl w:ilvl="8" w:tplc="664E156C">
      <w:numFmt w:val="bullet"/>
      <w:lvlText w:val="•"/>
      <w:lvlJc w:val="left"/>
      <w:pPr>
        <w:ind w:left="6152" w:hanging="360"/>
      </w:pPr>
      <w:rPr>
        <w:rFonts w:hint="default"/>
      </w:rPr>
    </w:lvl>
  </w:abstractNum>
  <w:abstractNum w:abstractNumId="40" w15:restartNumberingAfterBreak="0">
    <w:nsid w:val="35EC4E7A"/>
    <w:multiLevelType w:val="hybridMultilevel"/>
    <w:tmpl w:val="E6CEFB84"/>
    <w:lvl w:ilvl="0" w:tplc="A878868E">
      <w:numFmt w:val="bullet"/>
      <w:lvlText w:val=""/>
      <w:lvlJc w:val="left"/>
      <w:pPr>
        <w:ind w:left="468" w:hanging="361"/>
      </w:pPr>
      <w:rPr>
        <w:rFonts w:ascii="Symbol" w:eastAsia="Symbol" w:hAnsi="Symbol" w:cs="Symbol" w:hint="default"/>
        <w:w w:val="99"/>
        <w:sz w:val="20"/>
        <w:szCs w:val="20"/>
      </w:rPr>
    </w:lvl>
    <w:lvl w:ilvl="1" w:tplc="922E9538">
      <w:numFmt w:val="bullet"/>
      <w:lvlText w:val="•"/>
      <w:lvlJc w:val="left"/>
      <w:pPr>
        <w:ind w:left="1149" w:hanging="361"/>
      </w:pPr>
      <w:rPr>
        <w:rFonts w:hint="default"/>
      </w:rPr>
    </w:lvl>
    <w:lvl w:ilvl="2" w:tplc="FEB060B8">
      <w:numFmt w:val="bullet"/>
      <w:lvlText w:val="•"/>
      <w:lvlJc w:val="left"/>
      <w:pPr>
        <w:ind w:left="1839" w:hanging="361"/>
      </w:pPr>
      <w:rPr>
        <w:rFonts w:hint="default"/>
      </w:rPr>
    </w:lvl>
    <w:lvl w:ilvl="3" w:tplc="EB06F20C">
      <w:numFmt w:val="bullet"/>
      <w:lvlText w:val="•"/>
      <w:lvlJc w:val="left"/>
      <w:pPr>
        <w:ind w:left="2529" w:hanging="361"/>
      </w:pPr>
      <w:rPr>
        <w:rFonts w:hint="default"/>
      </w:rPr>
    </w:lvl>
    <w:lvl w:ilvl="4" w:tplc="3716A1D4">
      <w:numFmt w:val="bullet"/>
      <w:lvlText w:val="•"/>
      <w:lvlJc w:val="left"/>
      <w:pPr>
        <w:ind w:left="3218" w:hanging="361"/>
      </w:pPr>
      <w:rPr>
        <w:rFonts w:hint="default"/>
      </w:rPr>
    </w:lvl>
    <w:lvl w:ilvl="5" w:tplc="CAEC721E">
      <w:numFmt w:val="bullet"/>
      <w:lvlText w:val="•"/>
      <w:lvlJc w:val="left"/>
      <w:pPr>
        <w:ind w:left="3908" w:hanging="361"/>
      </w:pPr>
      <w:rPr>
        <w:rFonts w:hint="default"/>
      </w:rPr>
    </w:lvl>
    <w:lvl w:ilvl="6" w:tplc="74BE108A">
      <w:numFmt w:val="bullet"/>
      <w:lvlText w:val="•"/>
      <w:lvlJc w:val="left"/>
      <w:pPr>
        <w:ind w:left="4598" w:hanging="361"/>
      </w:pPr>
      <w:rPr>
        <w:rFonts w:hint="default"/>
      </w:rPr>
    </w:lvl>
    <w:lvl w:ilvl="7" w:tplc="CBD65610">
      <w:numFmt w:val="bullet"/>
      <w:lvlText w:val="•"/>
      <w:lvlJc w:val="left"/>
      <w:pPr>
        <w:ind w:left="5287" w:hanging="361"/>
      </w:pPr>
      <w:rPr>
        <w:rFonts w:hint="default"/>
      </w:rPr>
    </w:lvl>
    <w:lvl w:ilvl="8" w:tplc="37CE426E">
      <w:numFmt w:val="bullet"/>
      <w:lvlText w:val="•"/>
      <w:lvlJc w:val="left"/>
      <w:pPr>
        <w:ind w:left="5977" w:hanging="361"/>
      </w:pPr>
      <w:rPr>
        <w:rFonts w:hint="default"/>
      </w:rPr>
    </w:lvl>
  </w:abstractNum>
  <w:abstractNum w:abstractNumId="41" w15:restartNumberingAfterBreak="0">
    <w:nsid w:val="37C301DE"/>
    <w:multiLevelType w:val="hybridMultilevel"/>
    <w:tmpl w:val="C2C22A0A"/>
    <w:lvl w:ilvl="0" w:tplc="3FCCFFA4">
      <w:numFmt w:val="bullet"/>
      <w:lvlText w:val=""/>
      <w:lvlJc w:val="left"/>
      <w:pPr>
        <w:ind w:left="828" w:hanging="360"/>
      </w:pPr>
      <w:rPr>
        <w:rFonts w:ascii="Symbol" w:eastAsia="Symbol" w:hAnsi="Symbol" w:cs="Symbol" w:hint="default"/>
        <w:w w:val="99"/>
        <w:sz w:val="20"/>
        <w:szCs w:val="20"/>
      </w:rPr>
    </w:lvl>
    <w:lvl w:ilvl="1" w:tplc="CD2A3C68">
      <w:numFmt w:val="bullet"/>
      <w:lvlText w:val="•"/>
      <w:lvlJc w:val="left"/>
      <w:pPr>
        <w:ind w:left="1468" w:hanging="360"/>
      </w:pPr>
      <w:rPr>
        <w:rFonts w:hint="default"/>
      </w:rPr>
    </w:lvl>
    <w:lvl w:ilvl="2" w:tplc="E18425D8">
      <w:numFmt w:val="bullet"/>
      <w:lvlText w:val="•"/>
      <w:lvlJc w:val="left"/>
      <w:pPr>
        <w:ind w:left="2117" w:hanging="360"/>
      </w:pPr>
      <w:rPr>
        <w:rFonts w:hint="default"/>
      </w:rPr>
    </w:lvl>
    <w:lvl w:ilvl="3" w:tplc="1EDE6D56">
      <w:numFmt w:val="bullet"/>
      <w:lvlText w:val="•"/>
      <w:lvlJc w:val="left"/>
      <w:pPr>
        <w:ind w:left="2766" w:hanging="360"/>
      </w:pPr>
      <w:rPr>
        <w:rFonts w:hint="default"/>
      </w:rPr>
    </w:lvl>
    <w:lvl w:ilvl="4" w:tplc="F03CD846">
      <w:numFmt w:val="bullet"/>
      <w:lvlText w:val="•"/>
      <w:lvlJc w:val="left"/>
      <w:pPr>
        <w:ind w:left="3414" w:hanging="360"/>
      </w:pPr>
      <w:rPr>
        <w:rFonts w:hint="default"/>
      </w:rPr>
    </w:lvl>
    <w:lvl w:ilvl="5" w:tplc="AAE0D228">
      <w:numFmt w:val="bullet"/>
      <w:lvlText w:val="•"/>
      <w:lvlJc w:val="left"/>
      <w:pPr>
        <w:ind w:left="4063" w:hanging="360"/>
      </w:pPr>
      <w:rPr>
        <w:rFonts w:hint="default"/>
      </w:rPr>
    </w:lvl>
    <w:lvl w:ilvl="6" w:tplc="053AEA14">
      <w:numFmt w:val="bullet"/>
      <w:lvlText w:val="•"/>
      <w:lvlJc w:val="left"/>
      <w:pPr>
        <w:ind w:left="4712" w:hanging="360"/>
      </w:pPr>
      <w:rPr>
        <w:rFonts w:hint="default"/>
      </w:rPr>
    </w:lvl>
    <w:lvl w:ilvl="7" w:tplc="B750ED92">
      <w:numFmt w:val="bullet"/>
      <w:lvlText w:val="•"/>
      <w:lvlJc w:val="left"/>
      <w:pPr>
        <w:ind w:left="5360" w:hanging="360"/>
      </w:pPr>
      <w:rPr>
        <w:rFonts w:hint="default"/>
      </w:rPr>
    </w:lvl>
    <w:lvl w:ilvl="8" w:tplc="7EE0C062">
      <w:numFmt w:val="bullet"/>
      <w:lvlText w:val="•"/>
      <w:lvlJc w:val="left"/>
      <w:pPr>
        <w:ind w:left="6009" w:hanging="360"/>
      </w:pPr>
      <w:rPr>
        <w:rFonts w:hint="default"/>
      </w:rPr>
    </w:lvl>
  </w:abstractNum>
  <w:abstractNum w:abstractNumId="42" w15:restartNumberingAfterBreak="0">
    <w:nsid w:val="3AAC05A0"/>
    <w:multiLevelType w:val="hybridMultilevel"/>
    <w:tmpl w:val="0846BC8E"/>
    <w:lvl w:ilvl="0" w:tplc="3216D114">
      <w:numFmt w:val="bullet"/>
      <w:lvlText w:val=""/>
      <w:lvlJc w:val="left"/>
      <w:pPr>
        <w:ind w:left="828" w:hanging="360"/>
      </w:pPr>
      <w:rPr>
        <w:rFonts w:ascii="Symbol" w:eastAsia="Symbol" w:hAnsi="Symbol" w:cs="Symbol" w:hint="default"/>
        <w:w w:val="99"/>
        <w:sz w:val="20"/>
        <w:szCs w:val="20"/>
      </w:rPr>
    </w:lvl>
    <w:lvl w:ilvl="1" w:tplc="69BE18D0">
      <w:numFmt w:val="bullet"/>
      <w:lvlText w:val="•"/>
      <w:lvlJc w:val="left"/>
      <w:pPr>
        <w:ind w:left="1443" w:hanging="360"/>
      </w:pPr>
      <w:rPr>
        <w:rFonts w:hint="default"/>
      </w:rPr>
    </w:lvl>
    <w:lvl w:ilvl="2" w:tplc="53289E46">
      <w:numFmt w:val="bullet"/>
      <w:lvlText w:val="•"/>
      <w:lvlJc w:val="left"/>
      <w:pPr>
        <w:ind w:left="2067" w:hanging="360"/>
      </w:pPr>
      <w:rPr>
        <w:rFonts w:hint="default"/>
      </w:rPr>
    </w:lvl>
    <w:lvl w:ilvl="3" w:tplc="4A90FAA4">
      <w:numFmt w:val="bullet"/>
      <w:lvlText w:val="•"/>
      <w:lvlJc w:val="left"/>
      <w:pPr>
        <w:ind w:left="2690" w:hanging="360"/>
      </w:pPr>
      <w:rPr>
        <w:rFonts w:hint="default"/>
      </w:rPr>
    </w:lvl>
    <w:lvl w:ilvl="4" w:tplc="05A87466">
      <w:numFmt w:val="bullet"/>
      <w:lvlText w:val="•"/>
      <w:lvlJc w:val="left"/>
      <w:pPr>
        <w:ind w:left="3314" w:hanging="360"/>
      </w:pPr>
      <w:rPr>
        <w:rFonts w:hint="default"/>
      </w:rPr>
    </w:lvl>
    <w:lvl w:ilvl="5" w:tplc="D6446BD0">
      <w:numFmt w:val="bullet"/>
      <w:lvlText w:val="•"/>
      <w:lvlJc w:val="left"/>
      <w:pPr>
        <w:ind w:left="3937" w:hanging="360"/>
      </w:pPr>
      <w:rPr>
        <w:rFonts w:hint="default"/>
      </w:rPr>
    </w:lvl>
    <w:lvl w:ilvl="6" w:tplc="7BA83F58">
      <w:numFmt w:val="bullet"/>
      <w:lvlText w:val="•"/>
      <w:lvlJc w:val="left"/>
      <w:pPr>
        <w:ind w:left="4561" w:hanging="360"/>
      </w:pPr>
      <w:rPr>
        <w:rFonts w:hint="default"/>
      </w:rPr>
    </w:lvl>
    <w:lvl w:ilvl="7" w:tplc="777E94BE">
      <w:numFmt w:val="bullet"/>
      <w:lvlText w:val="•"/>
      <w:lvlJc w:val="left"/>
      <w:pPr>
        <w:ind w:left="5184" w:hanging="360"/>
      </w:pPr>
      <w:rPr>
        <w:rFonts w:hint="default"/>
      </w:rPr>
    </w:lvl>
    <w:lvl w:ilvl="8" w:tplc="C122D446">
      <w:numFmt w:val="bullet"/>
      <w:lvlText w:val="•"/>
      <w:lvlJc w:val="left"/>
      <w:pPr>
        <w:ind w:left="5808" w:hanging="360"/>
      </w:pPr>
      <w:rPr>
        <w:rFonts w:hint="default"/>
      </w:rPr>
    </w:lvl>
  </w:abstractNum>
  <w:abstractNum w:abstractNumId="43" w15:restartNumberingAfterBreak="0">
    <w:nsid w:val="3C83386D"/>
    <w:multiLevelType w:val="hybridMultilevel"/>
    <w:tmpl w:val="E35016E0"/>
    <w:lvl w:ilvl="0" w:tplc="15883F36">
      <w:numFmt w:val="bullet"/>
      <w:lvlText w:val=""/>
      <w:lvlJc w:val="left"/>
      <w:pPr>
        <w:ind w:left="933" w:hanging="360"/>
      </w:pPr>
      <w:rPr>
        <w:rFonts w:ascii="Symbol" w:eastAsia="Symbol" w:hAnsi="Symbol" w:cs="Symbol" w:hint="default"/>
        <w:w w:val="99"/>
        <w:sz w:val="20"/>
        <w:szCs w:val="20"/>
      </w:rPr>
    </w:lvl>
    <w:lvl w:ilvl="1" w:tplc="8BDAC2C6">
      <w:numFmt w:val="bullet"/>
      <w:lvlText w:val="•"/>
      <w:lvlJc w:val="left"/>
      <w:pPr>
        <w:ind w:left="1804" w:hanging="360"/>
      </w:pPr>
      <w:rPr>
        <w:rFonts w:hint="default"/>
      </w:rPr>
    </w:lvl>
    <w:lvl w:ilvl="2" w:tplc="C85C1164">
      <w:numFmt w:val="bullet"/>
      <w:lvlText w:val="•"/>
      <w:lvlJc w:val="left"/>
      <w:pPr>
        <w:ind w:left="2668" w:hanging="360"/>
      </w:pPr>
      <w:rPr>
        <w:rFonts w:hint="default"/>
      </w:rPr>
    </w:lvl>
    <w:lvl w:ilvl="3" w:tplc="65969272">
      <w:numFmt w:val="bullet"/>
      <w:lvlText w:val="•"/>
      <w:lvlJc w:val="left"/>
      <w:pPr>
        <w:ind w:left="3532" w:hanging="360"/>
      </w:pPr>
      <w:rPr>
        <w:rFonts w:hint="default"/>
      </w:rPr>
    </w:lvl>
    <w:lvl w:ilvl="4" w:tplc="89A60E86">
      <w:numFmt w:val="bullet"/>
      <w:lvlText w:val="•"/>
      <w:lvlJc w:val="left"/>
      <w:pPr>
        <w:ind w:left="4396" w:hanging="360"/>
      </w:pPr>
      <w:rPr>
        <w:rFonts w:hint="default"/>
      </w:rPr>
    </w:lvl>
    <w:lvl w:ilvl="5" w:tplc="A586AF2A">
      <w:numFmt w:val="bullet"/>
      <w:lvlText w:val="•"/>
      <w:lvlJc w:val="left"/>
      <w:pPr>
        <w:ind w:left="5260" w:hanging="360"/>
      </w:pPr>
      <w:rPr>
        <w:rFonts w:hint="default"/>
      </w:rPr>
    </w:lvl>
    <w:lvl w:ilvl="6" w:tplc="4CB4F180">
      <w:numFmt w:val="bullet"/>
      <w:lvlText w:val="•"/>
      <w:lvlJc w:val="left"/>
      <w:pPr>
        <w:ind w:left="6124" w:hanging="360"/>
      </w:pPr>
      <w:rPr>
        <w:rFonts w:hint="default"/>
      </w:rPr>
    </w:lvl>
    <w:lvl w:ilvl="7" w:tplc="5B702BB0">
      <w:numFmt w:val="bullet"/>
      <w:lvlText w:val="•"/>
      <w:lvlJc w:val="left"/>
      <w:pPr>
        <w:ind w:left="6988" w:hanging="360"/>
      </w:pPr>
      <w:rPr>
        <w:rFonts w:hint="default"/>
      </w:rPr>
    </w:lvl>
    <w:lvl w:ilvl="8" w:tplc="8BE09522">
      <w:numFmt w:val="bullet"/>
      <w:lvlText w:val="•"/>
      <w:lvlJc w:val="left"/>
      <w:pPr>
        <w:ind w:left="7852" w:hanging="360"/>
      </w:pPr>
      <w:rPr>
        <w:rFonts w:hint="default"/>
      </w:rPr>
    </w:lvl>
  </w:abstractNum>
  <w:abstractNum w:abstractNumId="44" w15:restartNumberingAfterBreak="0">
    <w:nsid w:val="3EA200DD"/>
    <w:multiLevelType w:val="hybridMultilevel"/>
    <w:tmpl w:val="836E7910"/>
    <w:lvl w:ilvl="0" w:tplc="FC285884">
      <w:start w:val="3"/>
      <w:numFmt w:val="decimal"/>
      <w:lvlText w:val="%1."/>
      <w:lvlJc w:val="left"/>
      <w:pPr>
        <w:ind w:left="107" w:hanging="221"/>
        <w:jc w:val="left"/>
      </w:pPr>
      <w:rPr>
        <w:rFonts w:ascii="Arial" w:eastAsia="Arial" w:hAnsi="Arial" w:cs="Arial" w:hint="default"/>
        <w:b/>
        <w:bCs/>
        <w:w w:val="99"/>
        <w:sz w:val="20"/>
        <w:szCs w:val="20"/>
      </w:rPr>
    </w:lvl>
    <w:lvl w:ilvl="1" w:tplc="52C2520E">
      <w:numFmt w:val="bullet"/>
      <w:lvlText w:val=""/>
      <w:lvlJc w:val="left"/>
      <w:pPr>
        <w:ind w:left="828" w:hanging="360"/>
      </w:pPr>
      <w:rPr>
        <w:rFonts w:ascii="Symbol" w:eastAsia="Symbol" w:hAnsi="Symbol" w:cs="Symbol" w:hint="default"/>
        <w:w w:val="99"/>
        <w:sz w:val="20"/>
        <w:szCs w:val="20"/>
      </w:rPr>
    </w:lvl>
    <w:lvl w:ilvl="2" w:tplc="67C6AD8A">
      <w:numFmt w:val="bullet"/>
      <w:lvlText w:val="•"/>
      <w:lvlJc w:val="left"/>
      <w:pPr>
        <w:ind w:left="1546" w:hanging="360"/>
      </w:pPr>
      <w:rPr>
        <w:rFonts w:hint="default"/>
      </w:rPr>
    </w:lvl>
    <w:lvl w:ilvl="3" w:tplc="02A8534A">
      <w:numFmt w:val="bullet"/>
      <w:lvlText w:val="•"/>
      <w:lvlJc w:val="left"/>
      <w:pPr>
        <w:ind w:left="2272" w:hanging="360"/>
      </w:pPr>
      <w:rPr>
        <w:rFonts w:hint="default"/>
      </w:rPr>
    </w:lvl>
    <w:lvl w:ilvl="4" w:tplc="D00C0AB2">
      <w:numFmt w:val="bullet"/>
      <w:lvlText w:val="•"/>
      <w:lvlJc w:val="left"/>
      <w:pPr>
        <w:ind w:left="2999" w:hanging="360"/>
      </w:pPr>
      <w:rPr>
        <w:rFonts w:hint="default"/>
      </w:rPr>
    </w:lvl>
    <w:lvl w:ilvl="5" w:tplc="B0D0B0E4">
      <w:numFmt w:val="bullet"/>
      <w:lvlText w:val="•"/>
      <w:lvlJc w:val="left"/>
      <w:pPr>
        <w:ind w:left="3725" w:hanging="360"/>
      </w:pPr>
      <w:rPr>
        <w:rFonts w:hint="default"/>
      </w:rPr>
    </w:lvl>
    <w:lvl w:ilvl="6" w:tplc="BEF091BE">
      <w:numFmt w:val="bullet"/>
      <w:lvlText w:val="•"/>
      <w:lvlJc w:val="left"/>
      <w:pPr>
        <w:ind w:left="4451" w:hanging="360"/>
      </w:pPr>
      <w:rPr>
        <w:rFonts w:hint="default"/>
      </w:rPr>
    </w:lvl>
    <w:lvl w:ilvl="7" w:tplc="8BEA2658">
      <w:numFmt w:val="bullet"/>
      <w:lvlText w:val="•"/>
      <w:lvlJc w:val="left"/>
      <w:pPr>
        <w:ind w:left="5178" w:hanging="360"/>
      </w:pPr>
      <w:rPr>
        <w:rFonts w:hint="default"/>
      </w:rPr>
    </w:lvl>
    <w:lvl w:ilvl="8" w:tplc="4052D522">
      <w:numFmt w:val="bullet"/>
      <w:lvlText w:val="•"/>
      <w:lvlJc w:val="left"/>
      <w:pPr>
        <w:ind w:left="5904" w:hanging="360"/>
      </w:pPr>
      <w:rPr>
        <w:rFonts w:hint="default"/>
      </w:rPr>
    </w:lvl>
  </w:abstractNum>
  <w:abstractNum w:abstractNumId="45" w15:restartNumberingAfterBreak="0">
    <w:nsid w:val="3EDC3BF1"/>
    <w:multiLevelType w:val="hybridMultilevel"/>
    <w:tmpl w:val="9DD232D6"/>
    <w:lvl w:ilvl="0" w:tplc="C9AE8C72">
      <w:numFmt w:val="bullet"/>
      <w:lvlText w:val=""/>
      <w:lvlJc w:val="left"/>
      <w:pPr>
        <w:ind w:left="827" w:hanging="360"/>
      </w:pPr>
      <w:rPr>
        <w:rFonts w:ascii="Symbol" w:eastAsia="Symbol" w:hAnsi="Symbol" w:cs="Symbol" w:hint="default"/>
        <w:w w:val="99"/>
        <w:sz w:val="20"/>
        <w:szCs w:val="20"/>
      </w:rPr>
    </w:lvl>
    <w:lvl w:ilvl="1" w:tplc="55868118">
      <w:numFmt w:val="bullet"/>
      <w:lvlText w:val="•"/>
      <w:lvlJc w:val="left"/>
      <w:pPr>
        <w:ind w:left="1672" w:hanging="360"/>
      </w:pPr>
      <w:rPr>
        <w:rFonts w:hint="default"/>
      </w:rPr>
    </w:lvl>
    <w:lvl w:ilvl="2" w:tplc="E9BEC55A">
      <w:numFmt w:val="bullet"/>
      <w:lvlText w:val="•"/>
      <w:lvlJc w:val="left"/>
      <w:pPr>
        <w:ind w:left="2524" w:hanging="360"/>
      </w:pPr>
      <w:rPr>
        <w:rFonts w:hint="default"/>
      </w:rPr>
    </w:lvl>
    <w:lvl w:ilvl="3" w:tplc="966885AC">
      <w:numFmt w:val="bullet"/>
      <w:lvlText w:val="•"/>
      <w:lvlJc w:val="left"/>
      <w:pPr>
        <w:ind w:left="3376" w:hanging="360"/>
      </w:pPr>
      <w:rPr>
        <w:rFonts w:hint="default"/>
      </w:rPr>
    </w:lvl>
    <w:lvl w:ilvl="4" w:tplc="7B1A2470">
      <w:numFmt w:val="bullet"/>
      <w:lvlText w:val="•"/>
      <w:lvlJc w:val="left"/>
      <w:pPr>
        <w:ind w:left="4228" w:hanging="360"/>
      </w:pPr>
      <w:rPr>
        <w:rFonts w:hint="default"/>
      </w:rPr>
    </w:lvl>
    <w:lvl w:ilvl="5" w:tplc="47E0B82E">
      <w:numFmt w:val="bullet"/>
      <w:lvlText w:val="•"/>
      <w:lvlJc w:val="left"/>
      <w:pPr>
        <w:ind w:left="5081" w:hanging="360"/>
      </w:pPr>
      <w:rPr>
        <w:rFonts w:hint="default"/>
      </w:rPr>
    </w:lvl>
    <w:lvl w:ilvl="6" w:tplc="493AC3A8">
      <w:numFmt w:val="bullet"/>
      <w:lvlText w:val="•"/>
      <w:lvlJc w:val="left"/>
      <w:pPr>
        <w:ind w:left="5933" w:hanging="360"/>
      </w:pPr>
      <w:rPr>
        <w:rFonts w:hint="default"/>
      </w:rPr>
    </w:lvl>
    <w:lvl w:ilvl="7" w:tplc="B986C6DC">
      <w:numFmt w:val="bullet"/>
      <w:lvlText w:val="•"/>
      <w:lvlJc w:val="left"/>
      <w:pPr>
        <w:ind w:left="6785" w:hanging="360"/>
      </w:pPr>
      <w:rPr>
        <w:rFonts w:hint="default"/>
      </w:rPr>
    </w:lvl>
    <w:lvl w:ilvl="8" w:tplc="63B201AC">
      <w:numFmt w:val="bullet"/>
      <w:lvlText w:val="•"/>
      <w:lvlJc w:val="left"/>
      <w:pPr>
        <w:ind w:left="7637" w:hanging="360"/>
      </w:pPr>
      <w:rPr>
        <w:rFonts w:hint="default"/>
      </w:rPr>
    </w:lvl>
  </w:abstractNum>
  <w:abstractNum w:abstractNumId="46" w15:restartNumberingAfterBreak="0">
    <w:nsid w:val="402347B2"/>
    <w:multiLevelType w:val="hybridMultilevel"/>
    <w:tmpl w:val="912A895E"/>
    <w:lvl w:ilvl="0" w:tplc="5B4A9B7C">
      <w:start w:val="206"/>
      <w:numFmt w:val="decimal"/>
      <w:lvlText w:val="%1"/>
      <w:lvlJc w:val="left"/>
      <w:pPr>
        <w:ind w:left="100" w:hanging="312"/>
        <w:jc w:val="left"/>
      </w:pPr>
      <w:rPr>
        <w:rFonts w:ascii="Arial" w:eastAsia="Arial" w:hAnsi="Arial" w:cs="Arial" w:hint="default"/>
        <w:spacing w:val="-1"/>
        <w:w w:val="100"/>
        <w:sz w:val="16"/>
        <w:szCs w:val="16"/>
      </w:rPr>
    </w:lvl>
    <w:lvl w:ilvl="1" w:tplc="91305188">
      <w:numFmt w:val="bullet"/>
      <w:lvlText w:val="•"/>
      <w:lvlJc w:val="left"/>
      <w:pPr>
        <w:ind w:left="1048" w:hanging="312"/>
      </w:pPr>
      <w:rPr>
        <w:rFonts w:hint="default"/>
      </w:rPr>
    </w:lvl>
    <w:lvl w:ilvl="2" w:tplc="34762428">
      <w:numFmt w:val="bullet"/>
      <w:lvlText w:val="•"/>
      <w:lvlJc w:val="left"/>
      <w:pPr>
        <w:ind w:left="1996" w:hanging="312"/>
      </w:pPr>
      <w:rPr>
        <w:rFonts w:hint="default"/>
      </w:rPr>
    </w:lvl>
    <w:lvl w:ilvl="3" w:tplc="7114997C">
      <w:numFmt w:val="bullet"/>
      <w:lvlText w:val="•"/>
      <w:lvlJc w:val="left"/>
      <w:pPr>
        <w:ind w:left="2944" w:hanging="312"/>
      </w:pPr>
      <w:rPr>
        <w:rFonts w:hint="default"/>
      </w:rPr>
    </w:lvl>
    <w:lvl w:ilvl="4" w:tplc="B0B8170A">
      <w:numFmt w:val="bullet"/>
      <w:lvlText w:val="•"/>
      <w:lvlJc w:val="left"/>
      <w:pPr>
        <w:ind w:left="3892" w:hanging="312"/>
      </w:pPr>
      <w:rPr>
        <w:rFonts w:hint="default"/>
      </w:rPr>
    </w:lvl>
    <w:lvl w:ilvl="5" w:tplc="5830A21C">
      <w:numFmt w:val="bullet"/>
      <w:lvlText w:val="•"/>
      <w:lvlJc w:val="left"/>
      <w:pPr>
        <w:ind w:left="4840" w:hanging="312"/>
      </w:pPr>
      <w:rPr>
        <w:rFonts w:hint="default"/>
      </w:rPr>
    </w:lvl>
    <w:lvl w:ilvl="6" w:tplc="B8309FC0">
      <w:numFmt w:val="bullet"/>
      <w:lvlText w:val="•"/>
      <w:lvlJc w:val="left"/>
      <w:pPr>
        <w:ind w:left="5788" w:hanging="312"/>
      </w:pPr>
      <w:rPr>
        <w:rFonts w:hint="default"/>
      </w:rPr>
    </w:lvl>
    <w:lvl w:ilvl="7" w:tplc="1540845C">
      <w:numFmt w:val="bullet"/>
      <w:lvlText w:val="•"/>
      <w:lvlJc w:val="left"/>
      <w:pPr>
        <w:ind w:left="6736" w:hanging="312"/>
      </w:pPr>
      <w:rPr>
        <w:rFonts w:hint="default"/>
      </w:rPr>
    </w:lvl>
    <w:lvl w:ilvl="8" w:tplc="506460BA">
      <w:numFmt w:val="bullet"/>
      <w:lvlText w:val="•"/>
      <w:lvlJc w:val="left"/>
      <w:pPr>
        <w:ind w:left="7684" w:hanging="312"/>
      </w:pPr>
      <w:rPr>
        <w:rFonts w:hint="default"/>
      </w:rPr>
    </w:lvl>
  </w:abstractNum>
  <w:abstractNum w:abstractNumId="47" w15:restartNumberingAfterBreak="0">
    <w:nsid w:val="413F4F95"/>
    <w:multiLevelType w:val="hybridMultilevel"/>
    <w:tmpl w:val="9CEEEA6E"/>
    <w:lvl w:ilvl="0" w:tplc="453A4F84">
      <w:start w:val="210"/>
      <w:numFmt w:val="decimal"/>
      <w:lvlText w:val="%1"/>
      <w:lvlJc w:val="left"/>
      <w:pPr>
        <w:ind w:left="100" w:hanging="312"/>
        <w:jc w:val="left"/>
      </w:pPr>
      <w:rPr>
        <w:rFonts w:ascii="Arial" w:eastAsia="Arial" w:hAnsi="Arial" w:cs="Arial" w:hint="default"/>
        <w:spacing w:val="-1"/>
        <w:w w:val="100"/>
        <w:sz w:val="16"/>
        <w:szCs w:val="16"/>
      </w:rPr>
    </w:lvl>
    <w:lvl w:ilvl="1" w:tplc="E52A03E8">
      <w:numFmt w:val="bullet"/>
      <w:lvlText w:val=""/>
      <w:lvlJc w:val="left"/>
      <w:pPr>
        <w:ind w:left="820" w:hanging="360"/>
      </w:pPr>
      <w:rPr>
        <w:rFonts w:ascii="Symbol" w:eastAsia="Symbol" w:hAnsi="Symbol" w:cs="Symbol" w:hint="default"/>
        <w:w w:val="99"/>
        <w:sz w:val="20"/>
        <w:szCs w:val="20"/>
      </w:rPr>
    </w:lvl>
    <w:lvl w:ilvl="2" w:tplc="25B017B4">
      <w:numFmt w:val="bullet"/>
      <w:lvlText w:val="•"/>
      <w:lvlJc w:val="left"/>
      <w:pPr>
        <w:ind w:left="1793" w:hanging="360"/>
      </w:pPr>
      <w:rPr>
        <w:rFonts w:hint="default"/>
      </w:rPr>
    </w:lvl>
    <w:lvl w:ilvl="3" w:tplc="CDB2E362">
      <w:numFmt w:val="bullet"/>
      <w:lvlText w:val="•"/>
      <w:lvlJc w:val="left"/>
      <w:pPr>
        <w:ind w:left="2766" w:hanging="360"/>
      </w:pPr>
      <w:rPr>
        <w:rFonts w:hint="default"/>
      </w:rPr>
    </w:lvl>
    <w:lvl w:ilvl="4" w:tplc="CA0A9284">
      <w:numFmt w:val="bullet"/>
      <w:lvlText w:val="•"/>
      <w:lvlJc w:val="left"/>
      <w:pPr>
        <w:ind w:left="3740" w:hanging="360"/>
      </w:pPr>
      <w:rPr>
        <w:rFonts w:hint="default"/>
      </w:rPr>
    </w:lvl>
    <w:lvl w:ilvl="5" w:tplc="61F46B28">
      <w:numFmt w:val="bullet"/>
      <w:lvlText w:val="•"/>
      <w:lvlJc w:val="left"/>
      <w:pPr>
        <w:ind w:left="4713" w:hanging="360"/>
      </w:pPr>
      <w:rPr>
        <w:rFonts w:hint="default"/>
      </w:rPr>
    </w:lvl>
    <w:lvl w:ilvl="6" w:tplc="7DC0D60C">
      <w:numFmt w:val="bullet"/>
      <w:lvlText w:val="•"/>
      <w:lvlJc w:val="left"/>
      <w:pPr>
        <w:ind w:left="5686" w:hanging="360"/>
      </w:pPr>
      <w:rPr>
        <w:rFonts w:hint="default"/>
      </w:rPr>
    </w:lvl>
    <w:lvl w:ilvl="7" w:tplc="467C6B26">
      <w:numFmt w:val="bullet"/>
      <w:lvlText w:val="•"/>
      <w:lvlJc w:val="left"/>
      <w:pPr>
        <w:ind w:left="6660" w:hanging="360"/>
      </w:pPr>
      <w:rPr>
        <w:rFonts w:hint="default"/>
      </w:rPr>
    </w:lvl>
    <w:lvl w:ilvl="8" w:tplc="F9D6375E">
      <w:numFmt w:val="bullet"/>
      <w:lvlText w:val="•"/>
      <w:lvlJc w:val="left"/>
      <w:pPr>
        <w:ind w:left="7633" w:hanging="360"/>
      </w:pPr>
      <w:rPr>
        <w:rFonts w:hint="default"/>
      </w:rPr>
    </w:lvl>
  </w:abstractNum>
  <w:abstractNum w:abstractNumId="48" w15:restartNumberingAfterBreak="0">
    <w:nsid w:val="437D5AC3"/>
    <w:multiLevelType w:val="hybridMultilevel"/>
    <w:tmpl w:val="51F0F3CE"/>
    <w:lvl w:ilvl="0" w:tplc="BE9AAB42">
      <w:numFmt w:val="bullet"/>
      <w:lvlText w:val=""/>
      <w:lvlJc w:val="left"/>
      <w:pPr>
        <w:ind w:left="467" w:hanging="360"/>
      </w:pPr>
      <w:rPr>
        <w:rFonts w:ascii="Symbol" w:eastAsia="Symbol" w:hAnsi="Symbol" w:cs="Symbol" w:hint="default"/>
        <w:w w:val="99"/>
        <w:sz w:val="20"/>
        <w:szCs w:val="20"/>
      </w:rPr>
    </w:lvl>
    <w:lvl w:ilvl="1" w:tplc="799A987E">
      <w:numFmt w:val="bullet"/>
      <w:lvlText w:val="•"/>
      <w:lvlJc w:val="left"/>
      <w:pPr>
        <w:ind w:left="1153" w:hanging="360"/>
      </w:pPr>
      <w:rPr>
        <w:rFonts w:hint="default"/>
      </w:rPr>
    </w:lvl>
    <w:lvl w:ilvl="2" w:tplc="AE42B548">
      <w:numFmt w:val="bullet"/>
      <w:lvlText w:val="•"/>
      <w:lvlJc w:val="left"/>
      <w:pPr>
        <w:ind w:left="1847" w:hanging="360"/>
      </w:pPr>
      <w:rPr>
        <w:rFonts w:hint="default"/>
      </w:rPr>
    </w:lvl>
    <w:lvl w:ilvl="3" w:tplc="0B0AFA84">
      <w:numFmt w:val="bullet"/>
      <w:lvlText w:val="•"/>
      <w:lvlJc w:val="left"/>
      <w:pPr>
        <w:ind w:left="2541" w:hanging="360"/>
      </w:pPr>
      <w:rPr>
        <w:rFonts w:hint="default"/>
      </w:rPr>
    </w:lvl>
    <w:lvl w:ilvl="4" w:tplc="5F606C6A">
      <w:numFmt w:val="bullet"/>
      <w:lvlText w:val="•"/>
      <w:lvlJc w:val="left"/>
      <w:pPr>
        <w:ind w:left="3235" w:hanging="360"/>
      </w:pPr>
      <w:rPr>
        <w:rFonts w:hint="default"/>
      </w:rPr>
    </w:lvl>
    <w:lvl w:ilvl="5" w:tplc="B7E4516E">
      <w:numFmt w:val="bullet"/>
      <w:lvlText w:val="•"/>
      <w:lvlJc w:val="left"/>
      <w:pPr>
        <w:ind w:left="3929" w:hanging="360"/>
      </w:pPr>
      <w:rPr>
        <w:rFonts w:hint="default"/>
      </w:rPr>
    </w:lvl>
    <w:lvl w:ilvl="6" w:tplc="50A0A24A">
      <w:numFmt w:val="bullet"/>
      <w:lvlText w:val="•"/>
      <w:lvlJc w:val="left"/>
      <w:pPr>
        <w:ind w:left="4622" w:hanging="360"/>
      </w:pPr>
      <w:rPr>
        <w:rFonts w:hint="default"/>
      </w:rPr>
    </w:lvl>
    <w:lvl w:ilvl="7" w:tplc="78E2D87C">
      <w:numFmt w:val="bullet"/>
      <w:lvlText w:val="•"/>
      <w:lvlJc w:val="left"/>
      <w:pPr>
        <w:ind w:left="5316" w:hanging="360"/>
      </w:pPr>
      <w:rPr>
        <w:rFonts w:hint="default"/>
      </w:rPr>
    </w:lvl>
    <w:lvl w:ilvl="8" w:tplc="9A0C3E9C">
      <w:numFmt w:val="bullet"/>
      <w:lvlText w:val="•"/>
      <w:lvlJc w:val="left"/>
      <w:pPr>
        <w:ind w:left="6010" w:hanging="360"/>
      </w:pPr>
      <w:rPr>
        <w:rFonts w:hint="default"/>
      </w:rPr>
    </w:lvl>
  </w:abstractNum>
  <w:abstractNum w:abstractNumId="49" w15:restartNumberingAfterBreak="0">
    <w:nsid w:val="470A0088"/>
    <w:multiLevelType w:val="hybridMultilevel"/>
    <w:tmpl w:val="165C3BA2"/>
    <w:lvl w:ilvl="0" w:tplc="20D6F5AC">
      <w:numFmt w:val="bullet"/>
      <w:lvlText w:val=""/>
      <w:lvlJc w:val="left"/>
      <w:pPr>
        <w:ind w:left="468" w:hanging="360"/>
      </w:pPr>
      <w:rPr>
        <w:rFonts w:ascii="Symbol" w:eastAsia="Symbol" w:hAnsi="Symbol" w:cs="Symbol" w:hint="default"/>
        <w:w w:val="99"/>
        <w:sz w:val="20"/>
        <w:szCs w:val="20"/>
      </w:rPr>
    </w:lvl>
    <w:lvl w:ilvl="1" w:tplc="8BA80F9A">
      <w:numFmt w:val="bullet"/>
      <w:lvlText w:val="•"/>
      <w:lvlJc w:val="left"/>
      <w:pPr>
        <w:ind w:left="1171" w:hanging="360"/>
      </w:pPr>
      <w:rPr>
        <w:rFonts w:hint="default"/>
      </w:rPr>
    </w:lvl>
    <w:lvl w:ilvl="2" w:tplc="DDE2C356">
      <w:numFmt w:val="bullet"/>
      <w:lvlText w:val="•"/>
      <w:lvlJc w:val="left"/>
      <w:pPr>
        <w:ind w:left="1883" w:hanging="360"/>
      </w:pPr>
      <w:rPr>
        <w:rFonts w:hint="default"/>
      </w:rPr>
    </w:lvl>
    <w:lvl w:ilvl="3" w:tplc="5686CC1E">
      <w:numFmt w:val="bullet"/>
      <w:lvlText w:val="•"/>
      <w:lvlJc w:val="left"/>
      <w:pPr>
        <w:ind w:left="2594" w:hanging="360"/>
      </w:pPr>
      <w:rPr>
        <w:rFonts w:hint="default"/>
      </w:rPr>
    </w:lvl>
    <w:lvl w:ilvl="4" w:tplc="0EC86AAE">
      <w:numFmt w:val="bullet"/>
      <w:lvlText w:val="•"/>
      <w:lvlJc w:val="left"/>
      <w:pPr>
        <w:ind w:left="3306" w:hanging="360"/>
      </w:pPr>
      <w:rPr>
        <w:rFonts w:hint="default"/>
      </w:rPr>
    </w:lvl>
    <w:lvl w:ilvl="5" w:tplc="32042EF6">
      <w:numFmt w:val="bullet"/>
      <w:lvlText w:val="•"/>
      <w:lvlJc w:val="left"/>
      <w:pPr>
        <w:ind w:left="4017" w:hanging="360"/>
      </w:pPr>
      <w:rPr>
        <w:rFonts w:hint="default"/>
      </w:rPr>
    </w:lvl>
    <w:lvl w:ilvl="6" w:tplc="146CB4AA">
      <w:numFmt w:val="bullet"/>
      <w:lvlText w:val="•"/>
      <w:lvlJc w:val="left"/>
      <w:pPr>
        <w:ind w:left="4729" w:hanging="360"/>
      </w:pPr>
      <w:rPr>
        <w:rFonts w:hint="default"/>
      </w:rPr>
    </w:lvl>
    <w:lvl w:ilvl="7" w:tplc="7FF0B8E0">
      <w:numFmt w:val="bullet"/>
      <w:lvlText w:val="•"/>
      <w:lvlJc w:val="left"/>
      <w:pPr>
        <w:ind w:left="5440" w:hanging="360"/>
      </w:pPr>
      <w:rPr>
        <w:rFonts w:hint="default"/>
      </w:rPr>
    </w:lvl>
    <w:lvl w:ilvl="8" w:tplc="DFFC40BA">
      <w:numFmt w:val="bullet"/>
      <w:lvlText w:val="•"/>
      <w:lvlJc w:val="left"/>
      <w:pPr>
        <w:ind w:left="6152" w:hanging="360"/>
      </w:pPr>
      <w:rPr>
        <w:rFonts w:hint="default"/>
      </w:rPr>
    </w:lvl>
  </w:abstractNum>
  <w:abstractNum w:abstractNumId="50" w15:restartNumberingAfterBreak="0">
    <w:nsid w:val="498A7B0F"/>
    <w:multiLevelType w:val="hybridMultilevel"/>
    <w:tmpl w:val="7E6C8852"/>
    <w:lvl w:ilvl="0" w:tplc="31923D10">
      <w:numFmt w:val="bullet"/>
      <w:lvlText w:val=""/>
      <w:lvlJc w:val="left"/>
      <w:pPr>
        <w:ind w:left="1186" w:hanging="360"/>
      </w:pPr>
      <w:rPr>
        <w:rFonts w:ascii="Symbol" w:eastAsia="Symbol" w:hAnsi="Symbol" w:cs="Symbol" w:hint="default"/>
        <w:w w:val="99"/>
        <w:sz w:val="20"/>
        <w:szCs w:val="20"/>
      </w:rPr>
    </w:lvl>
    <w:lvl w:ilvl="1" w:tplc="E1BA40D4">
      <w:numFmt w:val="bullet"/>
      <w:lvlText w:val="•"/>
      <w:lvlJc w:val="left"/>
      <w:pPr>
        <w:ind w:left="1771" w:hanging="360"/>
      </w:pPr>
      <w:rPr>
        <w:rFonts w:hint="default"/>
      </w:rPr>
    </w:lvl>
    <w:lvl w:ilvl="2" w:tplc="8AD4596A">
      <w:numFmt w:val="bullet"/>
      <w:lvlText w:val="•"/>
      <w:lvlJc w:val="left"/>
      <w:pPr>
        <w:ind w:left="2363" w:hanging="360"/>
      </w:pPr>
      <w:rPr>
        <w:rFonts w:hint="default"/>
      </w:rPr>
    </w:lvl>
    <w:lvl w:ilvl="3" w:tplc="B4A83320">
      <w:numFmt w:val="bullet"/>
      <w:lvlText w:val="•"/>
      <w:lvlJc w:val="left"/>
      <w:pPr>
        <w:ind w:left="2954" w:hanging="360"/>
      </w:pPr>
      <w:rPr>
        <w:rFonts w:hint="default"/>
      </w:rPr>
    </w:lvl>
    <w:lvl w:ilvl="4" w:tplc="C0E23744">
      <w:numFmt w:val="bullet"/>
      <w:lvlText w:val="•"/>
      <w:lvlJc w:val="left"/>
      <w:pPr>
        <w:ind w:left="3546" w:hanging="360"/>
      </w:pPr>
      <w:rPr>
        <w:rFonts w:hint="default"/>
      </w:rPr>
    </w:lvl>
    <w:lvl w:ilvl="5" w:tplc="82CA1EFC">
      <w:numFmt w:val="bullet"/>
      <w:lvlText w:val="•"/>
      <w:lvlJc w:val="left"/>
      <w:pPr>
        <w:ind w:left="4137" w:hanging="360"/>
      </w:pPr>
      <w:rPr>
        <w:rFonts w:hint="default"/>
      </w:rPr>
    </w:lvl>
    <w:lvl w:ilvl="6" w:tplc="F986117C">
      <w:numFmt w:val="bullet"/>
      <w:lvlText w:val="•"/>
      <w:lvlJc w:val="left"/>
      <w:pPr>
        <w:ind w:left="4729" w:hanging="360"/>
      </w:pPr>
      <w:rPr>
        <w:rFonts w:hint="default"/>
      </w:rPr>
    </w:lvl>
    <w:lvl w:ilvl="7" w:tplc="0D828142">
      <w:numFmt w:val="bullet"/>
      <w:lvlText w:val="•"/>
      <w:lvlJc w:val="left"/>
      <w:pPr>
        <w:ind w:left="5320" w:hanging="360"/>
      </w:pPr>
      <w:rPr>
        <w:rFonts w:hint="default"/>
      </w:rPr>
    </w:lvl>
    <w:lvl w:ilvl="8" w:tplc="2EC23370">
      <w:numFmt w:val="bullet"/>
      <w:lvlText w:val="•"/>
      <w:lvlJc w:val="left"/>
      <w:pPr>
        <w:ind w:left="5912" w:hanging="360"/>
      </w:pPr>
      <w:rPr>
        <w:rFonts w:hint="default"/>
      </w:rPr>
    </w:lvl>
  </w:abstractNum>
  <w:abstractNum w:abstractNumId="51" w15:restartNumberingAfterBreak="0">
    <w:nsid w:val="4AB4306B"/>
    <w:multiLevelType w:val="hybridMultilevel"/>
    <w:tmpl w:val="59A8E000"/>
    <w:lvl w:ilvl="0" w:tplc="14489286">
      <w:numFmt w:val="bullet"/>
      <w:lvlText w:val=""/>
      <w:lvlJc w:val="left"/>
      <w:pPr>
        <w:ind w:left="827" w:hanging="360"/>
      </w:pPr>
      <w:rPr>
        <w:rFonts w:ascii="Symbol" w:eastAsia="Symbol" w:hAnsi="Symbol" w:cs="Symbol" w:hint="default"/>
        <w:w w:val="99"/>
        <w:sz w:val="20"/>
        <w:szCs w:val="20"/>
      </w:rPr>
    </w:lvl>
    <w:lvl w:ilvl="1" w:tplc="9BEC553E">
      <w:numFmt w:val="bullet"/>
      <w:lvlText w:val="•"/>
      <w:lvlJc w:val="left"/>
      <w:pPr>
        <w:ind w:left="1672" w:hanging="360"/>
      </w:pPr>
      <w:rPr>
        <w:rFonts w:hint="default"/>
      </w:rPr>
    </w:lvl>
    <w:lvl w:ilvl="2" w:tplc="C194DF22">
      <w:numFmt w:val="bullet"/>
      <w:lvlText w:val="•"/>
      <w:lvlJc w:val="left"/>
      <w:pPr>
        <w:ind w:left="2524" w:hanging="360"/>
      </w:pPr>
      <w:rPr>
        <w:rFonts w:hint="default"/>
      </w:rPr>
    </w:lvl>
    <w:lvl w:ilvl="3" w:tplc="D3501A00">
      <w:numFmt w:val="bullet"/>
      <w:lvlText w:val="•"/>
      <w:lvlJc w:val="left"/>
      <w:pPr>
        <w:ind w:left="3376" w:hanging="360"/>
      </w:pPr>
      <w:rPr>
        <w:rFonts w:hint="default"/>
      </w:rPr>
    </w:lvl>
    <w:lvl w:ilvl="4" w:tplc="BFBE8324">
      <w:numFmt w:val="bullet"/>
      <w:lvlText w:val="•"/>
      <w:lvlJc w:val="left"/>
      <w:pPr>
        <w:ind w:left="4228" w:hanging="360"/>
      </w:pPr>
      <w:rPr>
        <w:rFonts w:hint="default"/>
      </w:rPr>
    </w:lvl>
    <w:lvl w:ilvl="5" w:tplc="987C67E2">
      <w:numFmt w:val="bullet"/>
      <w:lvlText w:val="•"/>
      <w:lvlJc w:val="left"/>
      <w:pPr>
        <w:ind w:left="5081" w:hanging="360"/>
      </w:pPr>
      <w:rPr>
        <w:rFonts w:hint="default"/>
      </w:rPr>
    </w:lvl>
    <w:lvl w:ilvl="6" w:tplc="E3EEC024">
      <w:numFmt w:val="bullet"/>
      <w:lvlText w:val="•"/>
      <w:lvlJc w:val="left"/>
      <w:pPr>
        <w:ind w:left="5933" w:hanging="360"/>
      </w:pPr>
      <w:rPr>
        <w:rFonts w:hint="default"/>
      </w:rPr>
    </w:lvl>
    <w:lvl w:ilvl="7" w:tplc="D80A97AE">
      <w:numFmt w:val="bullet"/>
      <w:lvlText w:val="•"/>
      <w:lvlJc w:val="left"/>
      <w:pPr>
        <w:ind w:left="6785" w:hanging="360"/>
      </w:pPr>
      <w:rPr>
        <w:rFonts w:hint="default"/>
      </w:rPr>
    </w:lvl>
    <w:lvl w:ilvl="8" w:tplc="540E2E94">
      <w:numFmt w:val="bullet"/>
      <w:lvlText w:val="•"/>
      <w:lvlJc w:val="left"/>
      <w:pPr>
        <w:ind w:left="7637" w:hanging="360"/>
      </w:pPr>
      <w:rPr>
        <w:rFonts w:hint="default"/>
      </w:rPr>
    </w:lvl>
  </w:abstractNum>
  <w:abstractNum w:abstractNumId="52" w15:restartNumberingAfterBreak="0">
    <w:nsid w:val="5202596F"/>
    <w:multiLevelType w:val="hybridMultilevel"/>
    <w:tmpl w:val="75C461F0"/>
    <w:lvl w:ilvl="0" w:tplc="8DF68224">
      <w:numFmt w:val="bullet"/>
      <w:lvlText w:val=""/>
      <w:lvlJc w:val="left"/>
      <w:pPr>
        <w:ind w:left="468" w:hanging="361"/>
      </w:pPr>
      <w:rPr>
        <w:rFonts w:ascii="Symbol" w:eastAsia="Symbol" w:hAnsi="Symbol" w:cs="Symbol" w:hint="default"/>
        <w:w w:val="99"/>
        <w:sz w:val="20"/>
        <w:szCs w:val="20"/>
      </w:rPr>
    </w:lvl>
    <w:lvl w:ilvl="1" w:tplc="3F7E2B78">
      <w:numFmt w:val="bullet"/>
      <w:lvlText w:val="•"/>
      <w:lvlJc w:val="left"/>
      <w:pPr>
        <w:ind w:left="1149" w:hanging="361"/>
      </w:pPr>
      <w:rPr>
        <w:rFonts w:hint="default"/>
      </w:rPr>
    </w:lvl>
    <w:lvl w:ilvl="2" w:tplc="0E1A47D6">
      <w:numFmt w:val="bullet"/>
      <w:lvlText w:val="•"/>
      <w:lvlJc w:val="left"/>
      <w:pPr>
        <w:ind w:left="1839" w:hanging="361"/>
      </w:pPr>
      <w:rPr>
        <w:rFonts w:hint="default"/>
      </w:rPr>
    </w:lvl>
    <w:lvl w:ilvl="3" w:tplc="6C14B1DE">
      <w:numFmt w:val="bullet"/>
      <w:lvlText w:val="•"/>
      <w:lvlJc w:val="left"/>
      <w:pPr>
        <w:ind w:left="2529" w:hanging="361"/>
      </w:pPr>
      <w:rPr>
        <w:rFonts w:hint="default"/>
      </w:rPr>
    </w:lvl>
    <w:lvl w:ilvl="4" w:tplc="120A5C72">
      <w:numFmt w:val="bullet"/>
      <w:lvlText w:val="•"/>
      <w:lvlJc w:val="left"/>
      <w:pPr>
        <w:ind w:left="3218" w:hanging="361"/>
      </w:pPr>
      <w:rPr>
        <w:rFonts w:hint="default"/>
      </w:rPr>
    </w:lvl>
    <w:lvl w:ilvl="5" w:tplc="1F460966">
      <w:numFmt w:val="bullet"/>
      <w:lvlText w:val="•"/>
      <w:lvlJc w:val="left"/>
      <w:pPr>
        <w:ind w:left="3908" w:hanging="361"/>
      </w:pPr>
      <w:rPr>
        <w:rFonts w:hint="default"/>
      </w:rPr>
    </w:lvl>
    <w:lvl w:ilvl="6" w:tplc="06DED580">
      <w:numFmt w:val="bullet"/>
      <w:lvlText w:val="•"/>
      <w:lvlJc w:val="left"/>
      <w:pPr>
        <w:ind w:left="4598" w:hanging="361"/>
      </w:pPr>
      <w:rPr>
        <w:rFonts w:hint="default"/>
      </w:rPr>
    </w:lvl>
    <w:lvl w:ilvl="7" w:tplc="4890257A">
      <w:numFmt w:val="bullet"/>
      <w:lvlText w:val="•"/>
      <w:lvlJc w:val="left"/>
      <w:pPr>
        <w:ind w:left="5287" w:hanging="361"/>
      </w:pPr>
      <w:rPr>
        <w:rFonts w:hint="default"/>
      </w:rPr>
    </w:lvl>
    <w:lvl w:ilvl="8" w:tplc="2766D060">
      <w:numFmt w:val="bullet"/>
      <w:lvlText w:val="•"/>
      <w:lvlJc w:val="left"/>
      <w:pPr>
        <w:ind w:left="5977" w:hanging="361"/>
      </w:pPr>
      <w:rPr>
        <w:rFonts w:hint="default"/>
      </w:rPr>
    </w:lvl>
  </w:abstractNum>
  <w:abstractNum w:abstractNumId="53" w15:restartNumberingAfterBreak="0">
    <w:nsid w:val="52264085"/>
    <w:multiLevelType w:val="hybridMultilevel"/>
    <w:tmpl w:val="EC94AFC2"/>
    <w:lvl w:ilvl="0" w:tplc="1952AF28">
      <w:numFmt w:val="bullet"/>
      <w:lvlText w:val=""/>
      <w:lvlJc w:val="left"/>
      <w:pPr>
        <w:ind w:left="827" w:hanging="360"/>
      </w:pPr>
      <w:rPr>
        <w:rFonts w:ascii="Symbol" w:eastAsia="Symbol" w:hAnsi="Symbol" w:cs="Symbol" w:hint="default"/>
        <w:w w:val="99"/>
        <w:sz w:val="20"/>
        <w:szCs w:val="20"/>
      </w:rPr>
    </w:lvl>
    <w:lvl w:ilvl="1" w:tplc="393E7994">
      <w:numFmt w:val="bullet"/>
      <w:lvlText w:val="•"/>
      <w:lvlJc w:val="left"/>
      <w:pPr>
        <w:ind w:left="1672" w:hanging="360"/>
      </w:pPr>
      <w:rPr>
        <w:rFonts w:hint="default"/>
      </w:rPr>
    </w:lvl>
    <w:lvl w:ilvl="2" w:tplc="C50E2126">
      <w:numFmt w:val="bullet"/>
      <w:lvlText w:val="•"/>
      <w:lvlJc w:val="left"/>
      <w:pPr>
        <w:ind w:left="2524" w:hanging="360"/>
      </w:pPr>
      <w:rPr>
        <w:rFonts w:hint="default"/>
      </w:rPr>
    </w:lvl>
    <w:lvl w:ilvl="3" w:tplc="36DE2B64">
      <w:numFmt w:val="bullet"/>
      <w:lvlText w:val="•"/>
      <w:lvlJc w:val="left"/>
      <w:pPr>
        <w:ind w:left="3376" w:hanging="360"/>
      </w:pPr>
      <w:rPr>
        <w:rFonts w:hint="default"/>
      </w:rPr>
    </w:lvl>
    <w:lvl w:ilvl="4" w:tplc="20302D3A">
      <w:numFmt w:val="bullet"/>
      <w:lvlText w:val="•"/>
      <w:lvlJc w:val="left"/>
      <w:pPr>
        <w:ind w:left="4228" w:hanging="360"/>
      </w:pPr>
      <w:rPr>
        <w:rFonts w:hint="default"/>
      </w:rPr>
    </w:lvl>
    <w:lvl w:ilvl="5" w:tplc="8D5C9C40">
      <w:numFmt w:val="bullet"/>
      <w:lvlText w:val="•"/>
      <w:lvlJc w:val="left"/>
      <w:pPr>
        <w:ind w:left="5081" w:hanging="360"/>
      </w:pPr>
      <w:rPr>
        <w:rFonts w:hint="default"/>
      </w:rPr>
    </w:lvl>
    <w:lvl w:ilvl="6" w:tplc="DBFAAA4E">
      <w:numFmt w:val="bullet"/>
      <w:lvlText w:val="•"/>
      <w:lvlJc w:val="left"/>
      <w:pPr>
        <w:ind w:left="5933" w:hanging="360"/>
      </w:pPr>
      <w:rPr>
        <w:rFonts w:hint="default"/>
      </w:rPr>
    </w:lvl>
    <w:lvl w:ilvl="7" w:tplc="2828D1EA">
      <w:numFmt w:val="bullet"/>
      <w:lvlText w:val="•"/>
      <w:lvlJc w:val="left"/>
      <w:pPr>
        <w:ind w:left="6785" w:hanging="360"/>
      </w:pPr>
      <w:rPr>
        <w:rFonts w:hint="default"/>
      </w:rPr>
    </w:lvl>
    <w:lvl w:ilvl="8" w:tplc="ABFC5FFC">
      <w:numFmt w:val="bullet"/>
      <w:lvlText w:val="•"/>
      <w:lvlJc w:val="left"/>
      <w:pPr>
        <w:ind w:left="7637" w:hanging="360"/>
      </w:pPr>
      <w:rPr>
        <w:rFonts w:hint="default"/>
      </w:rPr>
    </w:lvl>
  </w:abstractNum>
  <w:abstractNum w:abstractNumId="54" w15:restartNumberingAfterBreak="0">
    <w:nsid w:val="54840257"/>
    <w:multiLevelType w:val="hybridMultilevel"/>
    <w:tmpl w:val="01240746"/>
    <w:lvl w:ilvl="0" w:tplc="86060B38">
      <w:numFmt w:val="bullet"/>
      <w:lvlText w:val=""/>
      <w:lvlJc w:val="left"/>
      <w:pPr>
        <w:ind w:left="828" w:hanging="360"/>
      </w:pPr>
      <w:rPr>
        <w:rFonts w:ascii="Symbol" w:eastAsia="Symbol" w:hAnsi="Symbol" w:cs="Symbol" w:hint="default"/>
        <w:w w:val="99"/>
        <w:sz w:val="20"/>
        <w:szCs w:val="20"/>
      </w:rPr>
    </w:lvl>
    <w:lvl w:ilvl="1" w:tplc="BD702CFE">
      <w:numFmt w:val="bullet"/>
      <w:lvlText w:val="•"/>
      <w:lvlJc w:val="left"/>
      <w:pPr>
        <w:ind w:left="1451" w:hanging="360"/>
      </w:pPr>
      <w:rPr>
        <w:rFonts w:hint="default"/>
      </w:rPr>
    </w:lvl>
    <w:lvl w:ilvl="2" w:tplc="954CF656">
      <w:numFmt w:val="bullet"/>
      <w:lvlText w:val="•"/>
      <w:lvlJc w:val="left"/>
      <w:pPr>
        <w:ind w:left="2082" w:hanging="360"/>
      </w:pPr>
      <w:rPr>
        <w:rFonts w:hint="default"/>
      </w:rPr>
    </w:lvl>
    <w:lvl w:ilvl="3" w:tplc="E536E5E6">
      <w:numFmt w:val="bullet"/>
      <w:lvlText w:val="•"/>
      <w:lvlJc w:val="left"/>
      <w:pPr>
        <w:ind w:left="2714" w:hanging="360"/>
      </w:pPr>
      <w:rPr>
        <w:rFonts w:hint="default"/>
      </w:rPr>
    </w:lvl>
    <w:lvl w:ilvl="4" w:tplc="3E2ED9E4">
      <w:numFmt w:val="bullet"/>
      <w:lvlText w:val="•"/>
      <w:lvlJc w:val="left"/>
      <w:pPr>
        <w:ind w:left="3345" w:hanging="360"/>
      </w:pPr>
      <w:rPr>
        <w:rFonts w:hint="default"/>
      </w:rPr>
    </w:lvl>
    <w:lvl w:ilvl="5" w:tplc="AF782520">
      <w:numFmt w:val="bullet"/>
      <w:lvlText w:val="•"/>
      <w:lvlJc w:val="left"/>
      <w:pPr>
        <w:ind w:left="3977" w:hanging="360"/>
      </w:pPr>
      <w:rPr>
        <w:rFonts w:hint="default"/>
      </w:rPr>
    </w:lvl>
    <w:lvl w:ilvl="6" w:tplc="86AC06F2">
      <w:numFmt w:val="bullet"/>
      <w:lvlText w:val="•"/>
      <w:lvlJc w:val="left"/>
      <w:pPr>
        <w:ind w:left="4608" w:hanging="360"/>
      </w:pPr>
      <w:rPr>
        <w:rFonts w:hint="default"/>
      </w:rPr>
    </w:lvl>
    <w:lvl w:ilvl="7" w:tplc="DD42D232">
      <w:numFmt w:val="bullet"/>
      <w:lvlText w:val="•"/>
      <w:lvlJc w:val="left"/>
      <w:pPr>
        <w:ind w:left="5239" w:hanging="360"/>
      </w:pPr>
      <w:rPr>
        <w:rFonts w:hint="default"/>
      </w:rPr>
    </w:lvl>
    <w:lvl w:ilvl="8" w:tplc="3DF2E428">
      <w:numFmt w:val="bullet"/>
      <w:lvlText w:val="•"/>
      <w:lvlJc w:val="left"/>
      <w:pPr>
        <w:ind w:left="5871" w:hanging="360"/>
      </w:pPr>
      <w:rPr>
        <w:rFonts w:hint="default"/>
      </w:rPr>
    </w:lvl>
  </w:abstractNum>
  <w:abstractNum w:abstractNumId="55" w15:restartNumberingAfterBreak="0">
    <w:nsid w:val="55196DD0"/>
    <w:multiLevelType w:val="hybridMultilevel"/>
    <w:tmpl w:val="2F183112"/>
    <w:lvl w:ilvl="0" w:tplc="FCE2EDF6">
      <w:numFmt w:val="bullet"/>
      <w:lvlText w:val=""/>
      <w:lvlJc w:val="left"/>
      <w:pPr>
        <w:ind w:left="827" w:hanging="360"/>
      </w:pPr>
      <w:rPr>
        <w:rFonts w:ascii="Symbol" w:eastAsia="Symbol" w:hAnsi="Symbol" w:cs="Symbol" w:hint="default"/>
        <w:w w:val="99"/>
        <w:sz w:val="20"/>
        <w:szCs w:val="20"/>
      </w:rPr>
    </w:lvl>
    <w:lvl w:ilvl="1" w:tplc="AA12072E">
      <w:numFmt w:val="bullet"/>
      <w:lvlText w:val="•"/>
      <w:lvlJc w:val="left"/>
      <w:pPr>
        <w:ind w:left="1672" w:hanging="360"/>
      </w:pPr>
      <w:rPr>
        <w:rFonts w:hint="default"/>
      </w:rPr>
    </w:lvl>
    <w:lvl w:ilvl="2" w:tplc="C8B0BDAC">
      <w:numFmt w:val="bullet"/>
      <w:lvlText w:val="•"/>
      <w:lvlJc w:val="left"/>
      <w:pPr>
        <w:ind w:left="2524" w:hanging="360"/>
      </w:pPr>
      <w:rPr>
        <w:rFonts w:hint="default"/>
      </w:rPr>
    </w:lvl>
    <w:lvl w:ilvl="3" w:tplc="E0EC75AC">
      <w:numFmt w:val="bullet"/>
      <w:lvlText w:val="•"/>
      <w:lvlJc w:val="left"/>
      <w:pPr>
        <w:ind w:left="3376" w:hanging="360"/>
      </w:pPr>
      <w:rPr>
        <w:rFonts w:hint="default"/>
      </w:rPr>
    </w:lvl>
    <w:lvl w:ilvl="4" w:tplc="E7A680D4">
      <w:numFmt w:val="bullet"/>
      <w:lvlText w:val="•"/>
      <w:lvlJc w:val="left"/>
      <w:pPr>
        <w:ind w:left="4228" w:hanging="360"/>
      </w:pPr>
      <w:rPr>
        <w:rFonts w:hint="default"/>
      </w:rPr>
    </w:lvl>
    <w:lvl w:ilvl="5" w:tplc="BEEE31A6">
      <w:numFmt w:val="bullet"/>
      <w:lvlText w:val="•"/>
      <w:lvlJc w:val="left"/>
      <w:pPr>
        <w:ind w:left="5081" w:hanging="360"/>
      </w:pPr>
      <w:rPr>
        <w:rFonts w:hint="default"/>
      </w:rPr>
    </w:lvl>
    <w:lvl w:ilvl="6" w:tplc="F9386BF8">
      <w:numFmt w:val="bullet"/>
      <w:lvlText w:val="•"/>
      <w:lvlJc w:val="left"/>
      <w:pPr>
        <w:ind w:left="5933" w:hanging="360"/>
      </w:pPr>
      <w:rPr>
        <w:rFonts w:hint="default"/>
      </w:rPr>
    </w:lvl>
    <w:lvl w:ilvl="7" w:tplc="A31E27A6">
      <w:numFmt w:val="bullet"/>
      <w:lvlText w:val="•"/>
      <w:lvlJc w:val="left"/>
      <w:pPr>
        <w:ind w:left="6785" w:hanging="360"/>
      </w:pPr>
      <w:rPr>
        <w:rFonts w:hint="default"/>
      </w:rPr>
    </w:lvl>
    <w:lvl w:ilvl="8" w:tplc="57B8C4BA">
      <w:numFmt w:val="bullet"/>
      <w:lvlText w:val="•"/>
      <w:lvlJc w:val="left"/>
      <w:pPr>
        <w:ind w:left="7637" w:hanging="360"/>
      </w:pPr>
      <w:rPr>
        <w:rFonts w:hint="default"/>
      </w:rPr>
    </w:lvl>
  </w:abstractNum>
  <w:abstractNum w:abstractNumId="56" w15:restartNumberingAfterBreak="0">
    <w:nsid w:val="55A906E1"/>
    <w:multiLevelType w:val="hybridMultilevel"/>
    <w:tmpl w:val="49D26458"/>
    <w:lvl w:ilvl="0" w:tplc="0F103E08">
      <w:numFmt w:val="bullet"/>
      <w:lvlText w:val=""/>
      <w:lvlJc w:val="left"/>
      <w:pPr>
        <w:ind w:left="933" w:hanging="360"/>
      </w:pPr>
      <w:rPr>
        <w:rFonts w:ascii="Symbol" w:eastAsia="Symbol" w:hAnsi="Symbol" w:cs="Symbol" w:hint="default"/>
        <w:w w:val="99"/>
        <w:position w:val="1"/>
        <w:sz w:val="20"/>
        <w:szCs w:val="20"/>
      </w:rPr>
    </w:lvl>
    <w:lvl w:ilvl="1" w:tplc="4176D100">
      <w:numFmt w:val="bullet"/>
      <w:lvlText w:val="•"/>
      <w:lvlJc w:val="left"/>
      <w:pPr>
        <w:ind w:left="1804" w:hanging="360"/>
      </w:pPr>
      <w:rPr>
        <w:rFonts w:hint="default"/>
      </w:rPr>
    </w:lvl>
    <w:lvl w:ilvl="2" w:tplc="74101610">
      <w:numFmt w:val="bullet"/>
      <w:lvlText w:val="•"/>
      <w:lvlJc w:val="left"/>
      <w:pPr>
        <w:ind w:left="2668" w:hanging="360"/>
      </w:pPr>
      <w:rPr>
        <w:rFonts w:hint="default"/>
      </w:rPr>
    </w:lvl>
    <w:lvl w:ilvl="3" w:tplc="B1BA9E42">
      <w:numFmt w:val="bullet"/>
      <w:lvlText w:val="•"/>
      <w:lvlJc w:val="left"/>
      <w:pPr>
        <w:ind w:left="3532" w:hanging="360"/>
      </w:pPr>
      <w:rPr>
        <w:rFonts w:hint="default"/>
      </w:rPr>
    </w:lvl>
    <w:lvl w:ilvl="4" w:tplc="E4DA0FCA">
      <w:numFmt w:val="bullet"/>
      <w:lvlText w:val="•"/>
      <w:lvlJc w:val="left"/>
      <w:pPr>
        <w:ind w:left="4396" w:hanging="360"/>
      </w:pPr>
      <w:rPr>
        <w:rFonts w:hint="default"/>
      </w:rPr>
    </w:lvl>
    <w:lvl w:ilvl="5" w:tplc="1BA4A3B0">
      <w:numFmt w:val="bullet"/>
      <w:lvlText w:val="•"/>
      <w:lvlJc w:val="left"/>
      <w:pPr>
        <w:ind w:left="5260" w:hanging="360"/>
      </w:pPr>
      <w:rPr>
        <w:rFonts w:hint="default"/>
      </w:rPr>
    </w:lvl>
    <w:lvl w:ilvl="6" w:tplc="358C8208">
      <w:numFmt w:val="bullet"/>
      <w:lvlText w:val="•"/>
      <w:lvlJc w:val="left"/>
      <w:pPr>
        <w:ind w:left="6124" w:hanging="360"/>
      </w:pPr>
      <w:rPr>
        <w:rFonts w:hint="default"/>
      </w:rPr>
    </w:lvl>
    <w:lvl w:ilvl="7" w:tplc="D1F2F1D4">
      <w:numFmt w:val="bullet"/>
      <w:lvlText w:val="•"/>
      <w:lvlJc w:val="left"/>
      <w:pPr>
        <w:ind w:left="6988" w:hanging="360"/>
      </w:pPr>
      <w:rPr>
        <w:rFonts w:hint="default"/>
      </w:rPr>
    </w:lvl>
    <w:lvl w:ilvl="8" w:tplc="F824FE96">
      <w:numFmt w:val="bullet"/>
      <w:lvlText w:val="•"/>
      <w:lvlJc w:val="left"/>
      <w:pPr>
        <w:ind w:left="7852" w:hanging="360"/>
      </w:pPr>
      <w:rPr>
        <w:rFonts w:hint="default"/>
      </w:rPr>
    </w:lvl>
  </w:abstractNum>
  <w:abstractNum w:abstractNumId="57" w15:restartNumberingAfterBreak="0">
    <w:nsid w:val="56151F01"/>
    <w:multiLevelType w:val="hybridMultilevel"/>
    <w:tmpl w:val="224E87AA"/>
    <w:lvl w:ilvl="0" w:tplc="EDDA85A4">
      <w:numFmt w:val="bullet"/>
      <w:lvlText w:val=""/>
      <w:lvlJc w:val="left"/>
      <w:pPr>
        <w:ind w:left="828" w:hanging="360"/>
      </w:pPr>
      <w:rPr>
        <w:rFonts w:ascii="Symbol" w:eastAsia="Symbol" w:hAnsi="Symbol" w:cs="Symbol" w:hint="default"/>
        <w:w w:val="99"/>
        <w:sz w:val="20"/>
        <w:szCs w:val="20"/>
      </w:rPr>
    </w:lvl>
    <w:lvl w:ilvl="1" w:tplc="56A8C0B2">
      <w:numFmt w:val="bullet"/>
      <w:lvlText w:val="•"/>
      <w:lvlJc w:val="left"/>
      <w:pPr>
        <w:ind w:left="1451" w:hanging="360"/>
      </w:pPr>
      <w:rPr>
        <w:rFonts w:hint="default"/>
      </w:rPr>
    </w:lvl>
    <w:lvl w:ilvl="2" w:tplc="EAA086A0">
      <w:numFmt w:val="bullet"/>
      <w:lvlText w:val="•"/>
      <w:lvlJc w:val="left"/>
      <w:pPr>
        <w:ind w:left="2082" w:hanging="360"/>
      </w:pPr>
      <w:rPr>
        <w:rFonts w:hint="default"/>
      </w:rPr>
    </w:lvl>
    <w:lvl w:ilvl="3" w:tplc="3ED6EB8A">
      <w:numFmt w:val="bullet"/>
      <w:lvlText w:val="•"/>
      <w:lvlJc w:val="left"/>
      <w:pPr>
        <w:ind w:left="2714" w:hanging="360"/>
      </w:pPr>
      <w:rPr>
        <w:rFonts w:hint="default"/>
      </w:rPr>
    </w:lvl>
    <w:lvl w:ilvl="4" w:tplc="A5F09210">
      <w:numFmt w:val="bullet"/>
      <w:lvlText w:val="•"/>
      <w:lvlJc w:val="left"/>
      <w:pPr>
        <w:ind w:left="3345" w:hanging="360"/>
      </w:pPr>
      <w:rPr>
        <w:rFonts w:hint="default"/>
      </w:rPr>
    </w:lvl>
    <w:lvl w:ilvl="5" w:tplc="1B96B49C">
      <w:numFmt w:val="bullet"/>
      <w:lvlText w:val="•"/>
      <w:lvlJc w:val="left"/>
      <w:pPr>
        <w:ind w:left="3977" w:hanging="360"/>
      </w:pPr>
      <w:rPr>
        <w:rFonts w:hint="default"/>
      </w:rPr>
    </w:lvl>
    <w:lvl w:ilvl="6" w:tplc="62A0FDCE">
      <w:numFmt w:val="bullet"/>
      <w:lvlText w:val="•"/>
      <w:lvlJc w:val="left"/>
      <w:pPr>
        <w:ind w:left="4608" w:hanging="360"/>
      </w:pPr>
      <w:rPr>
        <w:rFonts w:hint="default"/>
      </w:rPr>
    </w:lvl>
    <w:lvl w:ilvl="7" w:tplc="6B02A5F6">
      <w:numFmt w:val="bullet"/>
      <w:lvlText w:val="•"/>
      <w:lvlJc w:val="left"/>
      <w:pPr>
        <w:ind w:left="5239" w:hanging="360"/>
      </w:pPr>
      <w:rPr>
        <w:rFonts w:hint="default"/>
      </w:rPr>
    </w:lvl>
    <w:lvl w:ilvl="8" w:tplc="447CE062">
      <w:numFmt w:val="bullet"/>
      <w:lvlText w:val="•"/>
      <w:lvlJc w:val="left"/>
      <w:pPr>
        <w:ind w:left="5871" w:hanging="360"/>
      </w:pPr>
      <w:rPr>
        <w:rFonts w:hint="default"/>
      </w:rPr>
    </w:lvl>
  </w:abstractNum>
  <w:abstractNum w:abstractNumId="58" w15:restartNumberingAfterBreak="0">
    <w:nsid w:val="56444484"/>
    <w:multiLevelType w:val="hybridMultilevel"/>
    <w:tmpl w:val="682E1EC8"/>
    <w:lvl w:ilvl="0" w:tplc="28246174">
      <w:numFmt w:val="bullet"/>
      <w:lvlText w:val=""/>
      <w:lvlJc w:val="left"/>
      <w:pPr>
        <w:ind w:left="466" w:hanging="361"/>
      </w:pPr>
      <w:rPr>
        <w:rFonts w:ascii="Symbol" w:eastAsia="Symbol" w:hAnsi="Symbol" w:cs="Symbol" w:hint="default"/>
        <w:w w:val="99"/>
        <w:sz w:val="20"/>
        <w:szCs w:val="20"/>
      </w:rPr>
    </w:lvl>
    <w:lvl w:ilvl="1" w:tplc="FCF04DD2">
      <w:numFmt w:val="bullet"/>
      <w:lvlText w:val="•"/>
      <w:lvlJc w:val="left"/>
      <w:pPr>
        <w:ind w:left="1123" w:hanging="361"/>
      </w:pPr>
      <w:rPr>
        <w:rFonts w:hint="default"/>
      </w:rPr>
    </w:lvl>
    <w:lvl w:ilvl="2" w:tplc="E01AF572">
      <w:numFmt w:val="bullet"/>
      <w:lvlText w:val="•"/>
      <w:lvlJc w:val="left"/>
      <w:pPr>
        <w:ind w:left="1787" w:hanging="361"/>
      </w:pPr>
      <w:rPr>
        <w:rFonts w:hint="default"/>
      </w:rPr>
    </w:lvl>
    <w:lvl w:ilvl="3" w:tplc="DC041FB2">
      <w:numFmt w:val="bullet"/>
      <w:lvlText w:val="•"/>
      <w:lvlJc w:val="left"/>
      <w:pPr>
        <w:ind w:left="2450" w:hanging="361"/>
      </w:pPr>
      <w:rPr>
        <w:rFonts w:hint="default"/>
      </w:rPr>
    </w:lvl>
    <w:lvl w:ilvl="4" w:tplc="617C2B92">
      <w:numFmt w:val="bullet"/>
      <w:lvlText w:val="•"/>
      <w:lvlJc w:val="left"/>
      <w:pPr>
        <w:ind w:left="3114" w:hanging="361"/>
      </w:pPr>
      <w:rPr>
        <w:rFonts w:hint="default"/>
      </w:rPr>
    </w:lvl>
    <w:lvl w:ilvl="5" w:tplc="F41A4084">
      <w:numFmt w:val="bullet"/>
      <w:lvlText w:val="•"/>
      <w:lvlJc w:val="left"/>
      <w:pPr>
        <w:ind w:left="3777" w:hanging="361"/>
      </w:pPr>
      <w:rPr>
        <w:rFonts w:hint="default"/>
      </w:rPr>
    </w:lvl>
    <w:lvl w:ilvl="6" w:tplc="91E2040E">
      <w:numFmt w:val="bullet"/>
      <w:lvlText w:val="•"/>
      <w:lvlJc w:val="left"/>
      <w:pPr>
        <w:ind w:left="4441" w:hanging="361"/>
      </w:pPr>
      <w:rPr>
        <w:rFonts w:hint="default"/>
      </w:rPr>
    </w:lvl>
    <w:lvl w:ilvl="7" w:tplc="D0EEEA48">
      <w:numFmt w:val="bullet"/>
      <w:lvlText w:val="•"/>
      <w:lvlJc w:val="left"/>
      <w:pPr>
        <w:ind w:left="5104" w:hanging="361"/>
      </w:pPr>
      <w:rPr>
        <w:rFonts w:hint="default"/>
      </w:rPr>
    </w:lvl>
    <w:lvl w:ilvl="8" w:tplc="7CEAB7B6">
      <w:numFmt w:val="bullet"/>
      <w:lvlText w:val="•"/>
      <w:lvlJc w:val="left"/>
      <w:pPr>
        <w:ind w:left="5768" w:hanging="361"/>
      </w:pPr>
      <w:rPr>
        <w:rFonts w:hint="default"/>
      </w:rPr>
    </w:lvl>
  </w:abstractNum>
  <w:abstractNum w:abstractNumId="59" w15:restartNumberingAfterBreak="0">
    <w:nsid w:val="58EC1A47"/>
    <w:multiLevelType w:val="hybridMultilevel"/>
    <w:tmpl w:val="979E01D0"/>
    <w:lvl w:ilvl="0" w:tplc="CC5092AE">
      <w:start w:val="198"/>
      <w:numFmt w:val="decimal"/>
      <w:lvlText w:val="%1"/>
      <w:lvlJc w:val="left"/>
      <w:pPr>
        <w:ind w:left="100" w:hanging="312"/>
        <w:jc w:val="left"/>
      </w:pPr>
      <w:rPr>
        <w:rFonts w:ascii="Arial" w:eastAsia="Arial" w:hAnsi="Arial" w:cs="Arial" w:hint="default"/>
        <w:spacing w:val="-1"/>
        <w:w w:val="100"/>
        <w:sz w:val="16"/>
        <w:szCs w:val="16"/>
      </w:rPr>
    </w:lvl>
    <w:lvl w:ilvl="1" w:tplc="ABEE54EA">
      <w:start w:val="1"/>
      <w:numFmt w:val="decimal"/>
      <w:lvlText w:val="%2."/>
      <w:lvlJc w:val="left"/>
      <w:pPr>
        <w:ind w:left="933" w:hanging="360"/>
        <w:jc w:val="left"/>
      </w:pPr>
      <w:rPr>
        <w:rFonts w:ascii="Arial" w:eastAsia="Arial" w:hAnsi="Arial" w:cs="Arial" w:hint="default"/>
        <w:spacing w:val="-1"/>
        <w:w w:val="99"/>
        <w:sz w:val="20"/>
        <w:szCs w:val="20"/>
      </w:rPr>
    </w:lvl>
    <w:lvl w:ilvl="2" w:tplc="02F4A5C6">
      <w:numFmt w:val="bullet"/>
      <w:lvlText w:val="•"/>
      <w:lvlJc w:val="left"/>
      <w:pPr>
        <w:ind w:left="1900" w:hanging="360"/>
      </w:pPr>
      <w:rPr>
        <w:rFonts w:hint="default"/>
      </w:rPr>
    </w:lvl>
    <w:lvl w:ilvl="3" w:tplc="28967972">
      <w:numFmt w:val="bullet"/>
      <w:lvlText w:val="•"/>
      <w:lvlJc w:val="left"/>
      <w:pPr>
        <w:ind w:left="2860" w:hanging="360"/>
      </w:pPr>
      <w:rPr>
        <w:rFonts w:hint="default"/>
      </w:rPr>
    </w:lvl>
    <w:lvl w:ilvl="4" w:tplc="A616109A">
      <w:numFmt w:val="bullet"/>
      <w:lvlText w:val="•"/>
      <w:lvlJc w:val="left"/>
      <w:pPr>
        <w:ind w:left="3820" w:hanging="360"/>
      </w:pPr>
      <w:rPr>
        <w:rFonts w:hint="default"/>
      </w:rPr>
    </w:lvl>
    <w:lvl w:ilvl="5" w:tplc="23607EBE">
      <w:numFmt w:val="bullet"/>
      <w:lvlText w:val="•"/>
      <w:lvlJc w:val="left"/>
      <w:pPr>
        <w:ind w:left="4780" w:hanging="360"/>
      </w:pPr>
      <w:rPr>
        <w:rFonts w:hint="default"/>
      </w:rPr>
    </w:lvl>
    <w:lvl w:ilvl="6" w:tplc="C94E57B2">
      <w:numFmt w:val="bullet"/>
      <w:lvlText w:val="•"/>
      <w:lvlJc w:val="left"/>
      <w:pPr>
        <w:ind w:left="5740" w:hanging="360"/>
      </w:pPr>
      <w:rPr>
        <w:rFonts w:hint="default"/>
      </w:rPr>
    </w:lvl>
    <w:lvl w:ilvl="7" w:tplc="B3B0129E">
      <w:numFmt w:val="bullet"/>
      <w:lvlText w:val="•"/>
      <w:lvlJc w:val="left"/>
      <w:pPr>
        <w:ind w:left="6700" w:hanging="360"/>
      </w:pPr>
      <w:rPr>
        <w:rFonts w:hint="default"/>
      </w:rPr>
    </w:lvl>
    <w:lvl w:ilvl="8" w:tplc="BBFC64C0">
      <w:numFmt w:val="bullet"/>
      <w:lvlText w:val="•"/>
      <w:lvlJc w:val="left"/>
      <w:pPr>
        <w:ind w:left="7660" w:hanging="360"/>
      </w:pPr>
      <w:rPr>
        <w:rFonts w:hint="default"/>
      </w:rPr>
    </w:lvl>
  </w:abstractNum>
  <w:abstractNum w:abstractNumId="60" w15:restartNumberingAfterBreak="0">
    <w:nsid w:val="5D0D736A"/>
    <w:multiLevelType w:val="hybridMultilevel"/>
    <w:tmpl w:val="FCBC6290"/>
    <w:lvl w:ilvl="0" w:tplc="BA606C92">
      <w:numFmt w:val="bullet"/>
      <w:lvlText w:val=""/>
      <w:lvlJc w:val="left"/>
      <w:pPr>
        <w:ind w:left="467" w:hanging="360"/>
      </w:pPr>
      <w:rPr>
        <w:rFonts w:ascii="Symbol" w:eastAsia="Symbol" w:hAnsi="Symbol" w:cs="Symbol" w:hint="default"/>
        <w:w w:val="99"/>
        <w:sz w:val="20"/>
        <w:szCs w:val="20"/>
      </w:rPr>
    </w:lvl>
    <w:lvl w:ilvl="1" w:tplc="7A523D46">
      <w:numFmt w:val="bullet"/>
      <w:lvlText w:val="•"/>
      <w:lvlJc w:val="left"/>
      <w:pPr>
        <w:ind w:left="1151" w:hanging="360"/>
      </w:pPr>
      <w:rPr>
        <w:rFonts w:hint="default"/>
      </w:rPr>
    </w:lvl>
    <w:lvl w:ilvl="2" w:tplc="0914AE8A">
      <w:numFmt w:val="bullet"/>
      <w:lvlText w:val="•"/>
      <w:lvlJc w:val="left"/>
      <w:pPr>
        <w:ind w:left="1843" w:hanging="360"/>
      </w:pPr>
      <w:rPr>
        <w:rFonts w:hint="default"/>
      </w:rPr>
    </w:lvl>
    <w:lvl w:ilvl="3" w:tplc="58AC256A">
      <w:numFmt w:val="bullet"/>
      <w:lvlText w:val="•"/>
      <w:lvlJc w:val="left"/>
      <w:pPr>
        <w:ind w:left="2535" w:hanging="360"/>
      </w:pPr>
      <w:rPr>
        <w:rFonts w:hint="default"/>
      </w:rPr>
    </w:lvl>
    <w:lvl w:ilvl="4" w:tplc="DEBED004">
      <w:numFmt w:val="bullet"/>
      <w:lvlText w:val="•"/>
      <w:lvlJc w:val="left"/>
      <w:pPr>
        <w:ind w:left="3227" w:hanging="360"/>
      </w:pPr>
      <w:rPr>
        <w:rFonts w:hint="default"/>
      </w:rPr>
    </w:lvl>
    <w:lvl w:ilvl="5" w:tplc="B9E039DE">
      <w:numFmt w:val="bullet"/>
      <w:lvlText w:val="•"/>
      <w:lvlJc w:val="left"/>
      <w:pPr>
        <w:ind w:left="3919" w:hanging="360"/>
      </w:pPr>
      <w:rPr>
        <w:rFonts w:hint="default"/>
      </w:rPr>
    </w:lvl>
    <w:lvl w:ilvl="6" w:tplc="7C762224">
      <w:numFmt w:val="bullet"/>
      <w:lvlText w:val="•"/>
      <w:lvlJc w:val="left"/>
      <w:pPr>
        <w:ind w:left="4611" w:hanging="360"/>
      </w:pPr>
      <w:rPr>
        <w:rFonts w:hint="default"/>
      </w:rPr>
    </w:lvl>
    <w:lvl w:ilvl="7" w:tplc="2B8CEAD4">
      <w:numFmt w:val="bullet"/>
      <w:lvlText w:val="•"/>
      <w:lvlJc w:val="left"/>
      <w:pPr>
        <w:ind w:left="5303" w:hanging="360"/>
      </w:pPr>
      <w:rPr>
        <w:rFonts w:hint="default"/>
      </w:rPr>
    </w:lvl>
    <w:lvl w:ilvl="8" w:tplc="61625EE0">
      <w:numFmt w:val="bullet"/>
      <w:lvlText w:val="•"/>
      <w:lvlJc w:val="left"/>
      <w:pPr>
        <w:ind w:left="5995" w:hanging="360"/>
      </w:pPr>
      <w:rPr>
        <w:rFonts w:hint="default"/>
      </w:rPr>
    </w:lvl>
  </w:abstractNum>
  <w:abstractNum w:abstractNumId="61" w15:restartNumberingAfterBreak="0">
    <w:nsid w:val="5F407349"/>
    <w:multiLevelType w:val="hybridMultilevel"/>
    <w:tmpl w:val="2D3CB000"/>
    <w:lvl w:ilvl="0" w:tplc="A1A26830">
      <w:numFmt w:val="bullet"/>
      <w:lvlText w:val=""/>
      <w:lvlJc w:val="left"/>
      <w:pPr>
        <w:ind w:left="828" w:hanging="360"/>
      </w:pPr>
      <w:rPr>
        <w:rFonts w:ascii="Symbol" w:eastAsia="Symbol" w:hAnsi="Symbol" w:cs="Symbol" w:hint="default"/>
        <w:w w:val="99"/>
        <w:sz w:val="20"/>
        <w:szCs w:val="20"/>
      </w:rPr>
    </w:lvl>
    <w:lvl w:ilvl="1" w:tplc="6E74C062">
      <w:numFmt w:val="bullet"/>
      <w:lvlText w:val="•"/>
      <w:lvlJc w:val="left"/>
      <w:pPr>
        <w:ind w:left="1468" w:hanging="360"/>
      </w:pPr>
      <w:rPr>
        <w:rFonts w:hint="default"/>
      </w:rPr>
    </w:lvl>
    <w:lvl w:ilvl="2" w:tplc="EC3EB672">
      <w:numFmt w:val="bullet"/>
      <w:lvlText w:val="•"/>
      <w:lvlJc w:val="left"/>
      <w:pPr>
        <w:ind w:left="2117" w:hanging="360"/>
      </w:pPr>
      <w:rPr>
        <w:rFonts w:hint="default"/>
      </w:rPr>
    </w:lvl>
    <w:lvl w:ilvl="3" w:tplc="DB7CC20A">
      <w:numFmt w:val="bullet"/>
      <w:lvlText w:val="•"/>
      <w:lvlJc w:val="left"/>
      <w:pPr>
        <w:ind w:left="2766" w:hanging="360"/>
      </w:pPr>
      <w:rPr>
        <w:rFonts w:hint="default"/>
      </w:rPr>
    </w:lvl>
    <w:lvl w:ilvl="4" w:tplc="B29CA146">
      <w:numFmt w:val="bullet"/>
      <w:lvlText w:val="•"/>
      <w:lvlJc w:val="left"/>
      <w:pPr>
        <w:ind w:left="3414" w:hanging="360"/>
      </w:pPr>
      <w:rPr>
        <w:rFonts w:hint="default"/>
      </w:rPr>
    </w:lvl>
    <w:lvl w:ilvl="5" w:tplc="A8DA38DA">
      <w:numFmt w:val="bullet"/>
      <w:lvlText w:val="•"/>
      <w:lvlJc w:val="left"/>
      <w:pPr>
        <w:ind w:left="4063" w:hanging="360"/>
      </w:pPr>
      <w:rPr>
        <w:rFonts w:hint="default"/>
      </w:rPr>
    </w:lvl>
    <w:lvl w:ilvl="6" w:tplc="6122EDC0">
      <w:numFmt w:val="bullet"/>
      <w:lvlText w:val="•"/>
      <w:lvlJc w:val="left"/>
      <w:pPr>
        <w:ind w:left="4712" w:hanging="360"/>
      </w:pPr>
      <w:rPr>
        <w:rFonts w:hint="default"/>
      </w:rPr>
    </w:lvl>
    <w:lvl w:ilvl="7" w:tplc="6584D196">
      <w:numFmt w:val="bullet"/>
      <w:lvlText w:val="•"/>
      <w:lvlJc w:val="left"/>
      <w:pPr>
        <w:ind w:left="5360" w:hanging="360"/>
      </w:pPr>
      <w:rPr>
        <w:rFonts w:hint="default"/>
      </w:rPr>
    </w:lvl>
    <w:lvl w:ilvl="8" w:tplc="F878B692">
      <w:numFmt w:val="bullet"/>
      <w:lvlText w:val="•"/>
      <w:lvlJc w:val="left"/>
      <w:pPr>
        <w:ind w:left="6009" w:hanging="360"/>
      </w:pPr>
      <w:rPr>
        <w:rFonts w:hint="default"/>
      </w:rPr>
    </w:lvl>
  </w:abstractNum>
  <w:abstractNum w:abstractNumId="62" w15:restartNumberingAfterBreak="0">
    <w:nsid w:val="606E1725"/>
    <w:multiLevelType w:val="hybridMultilevel"/>
    <w:tmpl w:val="1F58FA90"/>
    <w:lvl w:ilvl="0" w:tplc="1C44CCB0">
      <w:numFmt w:val="bullet"/>
      <w:lvlText w:val=""/>
      <w:lvlJc w:val="left"/>
      <w:pPr>
        <w:ind w:left="460" w:hanging="360"/>
      </w:pPr>
      <w:rPr>
        <w:rFonts w:ascii="Symbol" w:eastAsia="Symbol" w:hAnsi="Symbol" w:cs="Symbol" w:hint="default"/>
        <w:color w:val="006FC0"/>
        <w:w w:val="99"/>
        <w:sz w:val="20"/>
        <w:szCs w:val="20"/>
      </w:rPr>
    </w:lvl>
    <w:lvl w:ilvl="1" w:tplc="1D42E090">
      <w:numFmt w:val="bullet"/>
      <w:lvlText w:val="o"/>
      <w:lvlJc w:val="left"/>
      <w:pPr>
        <w:ind w:left="1540" w:hanging="360"/>
      </w:pPr>
      <w:rPr>
        <w:rFonts w:ascii="Courier New" w:eastAsia="Courier New" w:hAnsi="Courier New" w:cs="Courier New" w:hint="default"/>
        <w:w w:val="99"/>
        <w:sz w:val="20"/>
        <w:szCs w:val="20"/>
      </w:rPr>
    </w:lvl>
    <w:lvl w:ilvl="2" w:tplc="B41C26F6">
      <w:numFmt w:val="bullet"/>
      <w:lvlText w:val="•"/>
      <w:lvlJc w:val="left"/>
      <w:pPr>
        <w:ind w:left="2433" w:hanging="360"/>
      </w:pPr>
      <w:rPr>
        <w:rFonts w:hint="default"/>
      </w:rPr>
    </w:lvl>
    <w:lvl w:ilvl="3" w:tplc="1D549BA0">
      <w:numFmt w:val="bullet"/>
      <w:lvlText w:val="•"/>
      <w:lvlJc w:val="left"/>
      <w:pPr>
        <w:ind w:left="3326" w:hanging="360"/>
      </w:pPr>
      <w:rPr>
        <w:rFonts w:hint="default"/>
      </w:rPr>
    </w:lvl>
    <w:lvl w:ilvl="4" w:tplc="D29AD4BA">
      <w:numFmt w:val="bullet"/>
      <w:lvlText w:val="•"/>
      <w:lvlJc w:val="left"/>
      <w:pPr>
        <w:ind w:left="4220" w:hanging="360"/>
      </w:pPr>
      <w:rPr>
        <w:rFonts w:hint="default"/>
      </w:rPr>
    </w:lvl>
    <w:lvl w:ilvl="5" w:tplc="9CEA249C">
      <w:numFmt w:val="bullet"/>
      <w:lvlText w:val="•"/>
      <w:lvlJc w:val="left"/>
      <w:pPr>
        <w:ind w:left="5113" w:hanging="360"/>
      </w:pPr>
      <w:rPr>
        <w:rFonts w:hint="default"/>
      </w:rPr>
    </w:lvl>
    <w:lvl w:ilvl="6" w:tplc="DB06EE1A">
      <w:numFmt w:val="bullet"/>
      <w:lvlText w:val="•"/>
      <w:lvlJc w:val="left"/>
      <w:pPr>
        <w:ind w:left="6006" w:hanging="360"/>
      </w:pPr>
      <w:rPr>
        <w:rFonts w:hint="default"/>
      </w:rPr>
    </w:lvl>
    <w:lvl w:ilvl="7" w:tplc="F07C4AE4">
      <w:numFmt w:val="bullet"/>
      <w:lvlText w:val="•"/>
      <w:lvlJc w:val="left"/>
      <w:pPr>
        <w:ind w:left="6900" w:hanging="360"/>
      </w:pPr>
      <w:rPr>
        <w:rFonts w:hint="default"/>
      </w:rPr>
    </w:lvl>
    <w:lvl w:ilvl="8" w:tplc="91804082">
      <w:numFmt w:val="bullet"/>
      <w:lvlText w:val="•"/>
      <w:lvlJc w:val="left"/>
      <w:pPr>
        <w:ind w:left="7793" w:hanging="360"/>
      </w:pPr>
      <w:rPr>
        <w:rFonts w:hint="default"/>
      </w:rPr>
    </w:lvl>
  </w:abstractNum>
  <w:abstractNum w:abstractNumId="63" w15:restartNumberingAfterBreak="0">
    <w:nsid w:val="60DE6CEE"/>
    <w:multiLevelType w:val="hybridMultilevel"/>
    <w:tmpl w:val="476E9BB0"/>
    <w:lvl w:ilvl="0" w:tplc="26F4B970">
      <w:numFmt w:val="bullet"/>
      <w:lvlText w:val="-"/>
      <w:lvlJc w:val="left"/>
      <w:pPr>
        <w:ind w:left="827" w:hanging="360"/>
      </w:pPr>
      <w:rPr>
        <w:rFonts w:ascii="Calibri" w:eastAsia="Calibri" w:hAnsi="Calibri" w:cs="Calibri" w:hint="default"/>
        <w:w w:val="99"/>
        <w:sz w:val="20"/>
        <w:szCs w:val="20"/>
      </w:rPr>
    </w:lvl>
    <w:lvl w:ilvl="1" w:tplc="A23EB12A">
      <w:numFmt w:val="bullet"/>
      <w:lvlText w:val="•"/>
      <w:lvlJc w:val="left"/>
      <w:pPr>
        <w:ind w:left="1672" w:hanging="360"/>
      </w:pPr>
      <w:rPr>
        <w:rFonts w:hint="default"/>
      </w:rPr>
    </w:lvl>
    <w:lvl w:ilvl="2" w:tplc="281049DE">
      <w:numFmt w:val="bullet"/>
      <w:lvlText w:val="•"/>
      <w:lvlJc w:val="left"/>
      <w:pPr>
        <w:ind w:left="2524" w:hanging="360"/>
      </w:pPr>
      <w:rPr>
        <w:rFonts w:hint="default"/>
      </w:rPr>
    </w:lvl>
    <w:lvl w:ilvl="3" w:tplc="6016B370">
      <w:numFmt w:val="bullet"/>
      <w:lvlText w:val="•"/>
      <w:lvlJc w:val="left"/>
      <w:pPr>
        <w:ind w:left="3376" w:hanging="360"/>
      </w:pPr>
      <w:rPr>
        <w:rFonts w:hint="default"/>
      </w:rPr>
    </w:lvl>
    <w:lvl w:ilvl="4" w:tplc="851C010A">
      <w:numFmt w:val="bullet"/>
      <w:lvlText w:val="•"/>
      <w:lvlJc w:val="left"/>
      <w:pPr>
        <w:ind w:left="4228" w:hanging="360"/>
      </w:pPr>
      <w:rPr>
        <w:rFonts w:hint="default"/>
      </w:rPr>
    </w:lvl>
    <w:lvl w:ilvl="5" w:tplc="2BE0B75A">
      <w:numFmt w:val="bullet"/>
      <w:lvlText w:val="•"/>
      <w:lvlJc w:val="left"/>
      <w:pPr>
        <w:ind w:left="5081" w:hanging="360"/>
      </w:pPr>
      <w:rPr>
        <w:rFonts w:hint="default"/>
      </w:rPr>
    </w:lvl>
    <w:lvl w:ilvl="6" w:tplc="87369D36">
      <w:numFmt w:val="bullet"/>
      <w:lvlText w:val="•"/>
      <w:lvlJc w:val="left"/>
      <w:pPr>
        <w:ind w:left="5933" w:hanging="360"/>
      </w:pPr>
      <w:rPr>
        <w:rFonts w:hint="default"/>
      </w:rPr>
    </w:lvl>
    <w:lvl w:ilvl="7" w:tplc="8FB8EE28">
      <w:numFmt w:val="bullet"/>
      <w:lvlText w:val="•"/>
      <w:lvlJc w:val="left"/>
      <w:pPr>
        <w:ind w:left="6785" w:hanging="360"/>
      </w:pPr>
      <w:rPr>
        <w:rFonts w:hint="default"/>
      </w:rPr>
    </w:lvl>
    <w:lvl w:ilvl="8" w:tplc="3A3428F4">
      <w:numFmt w:val="bullet"/>
      <w:lvlText w:val="•"/>
      <w:lvlJc w:val="left"/>
      <w:pPr>
        <w:ind w:left="7637" w:hanging="360"/>
      </w:pPr>
      <w:rPr>
        <w:rFonts w:hint="default"/>
      </w:rPr>
    </w:lvl>
  </w:abstractNum>
  <w:abstractNum w:abstractNumId="64" w15:restartNumberingAfterBreak="0">
    <w:nsid w:val="63B01CE8"/>
    <w:multiLevelType w:val="hybridMultilevel"/>
    <w:tmpl w:val="56683D28"/>
    <w:lvl w:ilvl="0" w:tplc="927412CE">
      <w:numFmt w:val="bullet"/>
      <w:lvlText w:val=""/>
      <w:lvlJc w:val="left"/>
      <w:pPr>
        <w:ind w:left="828" w:hanging="361"/>
      </w:pPr>
      <w:rPr>
        <w:rFonts w:ascii="Symbol" w:eastAsia="Symbol" w:hAnsi="Symbol" w:cs="Symbol" w:hint="default"/>
        <w:w w:val="99"/>
        <w:sz w:val="20"/>
        <w:szCs w:val="20"/>
      </w:rPr>
    </w:lvl>
    <w:lvl w:ilvl="1" w:tplc="EBC0BA4E">
      <w:numFmt w:val="bullet"/>
      <w:lvlText w:val="•"/>
      <w:lvlJc w:val="left"/>
      <w:pPr>
        <w:ind w:left="1475" w:hanging="361"/>
      </w:pPr>
      <w:rPr>
        <w:rFonts w:hint="default"/>
      </w:rPr>
    </w:lvl>
    <w:lvl w:ilvl="2" w:tplc="F3862244">
      <w:numFmt w:val="bullet"/>
      <w:lvlText w:val="•"/>
      <w:lvlJc w:val="left"/>
      <w:pPr>
        <w:ind w:left="2131" w:hanging="361"/>
      </w:pPr>
      <w:rPr>
        <w:rFonts w:hint="default"/>
      </w:rPr>
    </w:lvl>
    <w:lvl w:ilvl="3" w:tplc="11D8F02A">
      <w:numFmt w:val="bullet"/>
      <w:lvlText w:val="•"/>
      <w:lvlJc w:val="left"/>
      <w:pPr>
        <w:ind w:left="2787" w:hanging="361"/>
      </w:pPr>
      <w:rPr>
        <w:rFonts w:hint="default"/>
      </w:rPr>
    </w:lvl>
    <w:lvl w:ilvl="4" w:tplc="16424890">
      <w:numFmt w:val="bullet"/>
      <w:lvlText w:val="•"/>
      <w:lvlJc w:val="left"/>
      <w:pPr>
        <w:ind w:left="3443" w:hanging="361"/>
      </w:pPr>
      <w:rPr>
        <w:rFonts w:hint="default"/>
      </w:rPr>
    </w:lvl>
    <w:lvl w:ilvl="5" w:tplc="1C100CE2">
      <w:numFmt w:val="bullet"/>
      <w:lvlText w:val="•"/>
      <w:lvlJc w:val="left"/>
      <w:pPr>
        <w:ind w:left="4099" w:hanging="361"/>
      </w:pPr>
      <w:rPr>
        <w:rFonts w:hint="default"/>
      </w:rPr>
    </w:lvl>
    <w:lvl w:ilvl="6" w:tplc="7C1EFB28">
      <w:numFmt w:val="bullet"/>
      <w:lvlText w:val="•"/>
      <w:lvlJc w:val="left"/>
      <w:pPr>
        <w:ind w:left="4755" w:hanging="361"/>
      </w:pPr>
      <w:rPr>
        <w:rFonts w:hint="default"/>
      </w:rPr>
    </w:lvl>
    <w:lvl w:ilvl="7" w:tplc="C6566DA0">
      <w:numFmt w:val="bullet"/>
      <w:lvlText w:val="•"/>
      <w:lvlJc w:val="left"/>
      <w:pPr>
        <w:ind w:left="5411" w:hanging="361"/>
      </w:pPr>
      <w:rPr>
        <w:rFonts w:hint="default"/>
      </w:rPr>
    </w:lvl>
    <w:lvl w:ilvl="8" w:tplc="130AADBC">
      <w:numFmt w:val="bullet"/>
      <w:lvlText w:val="•"/>
      <w:lvlJc w:val="left"/>
      <w:pPr>
        <w:ind w:left="6067" w:hanging="361"/>
      </w:pPr>
      <w:rPr>
        <w:rFonts w:hint="default"/>
      </w:rPr>
    </w:lvl>
  </w:abstractNum>
  <w:abstractNum w:abstractNumId="65" w15:restartNumberingAfterBreak="0">
    <w:nsid w:val="65C7445B"/>
    <w:multiLevelType w:val="hybridMultilevel"/>
    <w:tmpl w:val="24CAE5C6"/>
    <w:lvl w:ilvl="0" w:tplc="6526C0F8">
      <w:numFmt w:val="bullet"/>
      <w:lvlText w:val=""/>
      <w:lvlJc w:val="left"/>
      <w:pPr>
        <w:ind w:left="827" w:hanging="360"/>
      </w:pPr>
      <w:rPr>
        <w:rFonts w:ascii="Symbol" w:eastAsia="Symbol" w:hAnsi="Symbol" w:cs="Symbol" w:hint="default"/>
        <w:w w:val="99"/>
        <w:sz w:val="20"/>
        <w:szCs w:val="20"/>
      </w:rPr>
    </w:lvl>
    <w:lvl w:ilvl="1" w:tplc="8204308C">
      <w:numFmt w:val="bullet"/>
      <w:lvlText w:val="o"/>
      <w:lvlJc w:val="left"/>
      <w:pPr>
        <w:ind w:left="1548" w:hanging="360"/>
      </w:pPr>
      <w:rPr>
        <w:rFonts w:ascii="Courier New" w:eastAsia="Courier New" w:hAnsi="Courier New" w:cs="Courier New" w:hint="default"/>
        <w:w w:val="99"/>
        <w:sz w:val="20"/>
        <w:szCs w:val="20"/>
      </w:rPr>
    </w:lvl>
    <w:lvl w:ilvl="2" w:tplc="FAF676E2">
      <w:numFmt w:val="bullet"/>
      <w:lvlText w:val="•"/>
      <w:lvlJc w:val="left"/>
      <w:pPr>
        <w:ind w:left="2233" w:hanging="360"/>
      </w:pPr>
      <w:rPr>
        <w:rFonts w:hint="default"/>
      </w:rPr>
    </w:lvl>
    <w:lvl w:ilvl="3" w:tplc="5224B234">
      <w:numFmt w:val="bullet"/>
      <w:lvlText w:val="•"/>
      <w:lvlJc w:val="left"/>
      <w:pPr>
        <w:ind w:left="2927" w:hanging="360"/>
      </w:pPr>
      <w:rPr>
        <w:rFonts w:hint="default"/>
      </w:rPr>
    </w:lvl>
    <w:lvl w:ilvl="4" w:tplc="2A28B330">
      <w:numFmt w:val="bullet"/>
      <w:lvlText w:val="•"/>
      <w:lvlJc w:val="left"/>
      <w:pPr>
        <w:ind w:left="3620" w:hanging="360"/>
      </w:pPr>
      <w:rPr>
        <w:rFonts w:hint="default"/>
      </w:rPr>
    </w:lvl>
    <w:lvl w:ilvl="5" w:tplc="B9520A7E">
      <w:numFmt w:val="bullet"/>
      <w:lvlText w:val="•"/>
      <w:lvlJc w:val="left"/>
      <w:pPr>
        <w:ind w:left="4314" w:hanging="360"/>
      </w:pPr>
      <w:rPr>
        <w:rFonts w:hint="default"/>
      </w:rPr>
    </w:lvl>
    <w:lvl w:ilvl="6" w:tplc="03867CA8">
      <w:numFmt w:val="bullet"/>
      <w:lvlText w:val="•"/>
      <w:lvlJc w:val="left"/>
      <w:pPr>
        <w:ind w:left="5007" w:hanging="360"/>
      </w:pPr>
      <w:rPr>
        <w:rFonts w:hint="default"/>
      </w:rPr>
    </w:lvl>
    <w:lvl w:ilvl="7" w:tplc="D2E2E9D2">
      <w:numFmt w:val="bullet"/>
      <w:lvlText w:val="•"/>
      <w:lvlJc w:val="left"/>
      <w:pPr>
        <w:ind w:left="5701" w:hanging="360"/>
      </w:pPr>
      <w:rPr>
        <w:rFonts w:hint="default"/>
      </w:rPr>
    </w:lvl>
    <w:lvl w:ilvl="8" w:tplc="A43AB72A">
      <w:numFmt w:val="bullet"/>
      <w:lvlText w:val="•"/>
      <w:lvlJc w:val="left"/>
      <w:pPr>
        <w:ind w:left="6394" w:hanging="360"/>
      </w:pPr>
      <w:rPr>
        <w:rFonts w:hint="default"/>
      </w:rPr>
    </w:lvl>
  </w:abstractNum>
  <w:abstractNum w:abstractNumId="66" w15:restartNumberingAfterBreak="0">
    <w:nsid w:val="65C74913"/>
    <w:multiLevelType w:val="hybridMultilevel"/>
    <w:tmpl w:val="45567CAC"/>
    <w:lvl w:ilvl="0" w:tplc="7A42CD46">
      <w:numFmt w:val="bullet"/>
      <w:lvlText w:val=""/>
      <w:lvlJc w:val="left"/>
      <w:pPr>
        <w:ind w:left="468" w:hanging="361"/>
      </w:pPr>
      <w:rPr>
        <w:rFonts w:ascii="Symbol" w:eastAsia="Symbol" w:hAnsi="Symbol" w:cs="Symbol" w:hint="default"/>
        <w:w w:val="99"/>
        <w:sz w:val="20"/>
        <w:szCs w:val="20"/>
      </w:rPr>
    </w:lvl>
    <w:lvl w:ilvl="1" w:tplc="A4EED808">
      <w:numFmt w:val="bullet"/>
      <w:lvlText w:val="•"/>
      <w:lvlJc w:val="left"/>
      <w:pPr>
        <w:ind w:left="1127" w:hanging="361"/>
      </w:pPr>
      <w:rPr>
        <w:rFonts w:hint="default"/>
      </w:rPr>
    </w:lvl>
    <w:lvl w:ilvl="2" w:tplc="3C060A44">
      <w:numFmt w:val="bullet"/>
      <w:lvlText w:val="•"/>
      <w:lvlJc w:val="left"/>
      <w:pPr>
        <w:ind w:left="1794" w:hanging="361"/>
      </w:pPr>
      <w:rPr>
        <w:rFonts w:hint="default"/>
      </w:rPr>
    </w:lvl>
    <w:lvl w:ilvl="3" w:tplc="4C26D204">
      <w:numFmt w:val="bullet"/>
      <w:lvlText w:val="•"/>
      <w:lvlJc w:val="left"/>
      <w:pPr>
        <w:ind w:left="2462" w:hanging="361"/>
      </w:pPr>
      <w:rPr>
        <w:rFonts w:hint="default"/>
      </w:rPr>
    </w:lvl>
    <w:lvl w:ilvl="4" w:tplc="850828C6">
      <w:numFmt w:val="bullet"/>
      <w:lvlText w:val="•"/>
      <w:lvlJc w:val="left"/>
      <w:pPr>
        <w:ind w:left="3129" w:hanging="361"/>
      </w:pPr>
      <w:rPr>
        <w:rFonts w:hint="default"/>
      </w:rPr>
    </w:lvl>
    <w:lvl w:ilvl="5" w:tplc="B518F0AE">
      <w:numFmt w:val="bullet"/>
      <w:lvlText w:val="•"/>
      <w:lvlJc w:val="left"/>
      <w:pPr>
        <w:ind w:left="3797" w:hanging="361"/>
      </w:pPr>
      <w:rPr>
        <w:rFonts w:hint="default"/>
      </w:rPr>
    </w:lvl>
    <w:lvl w:ilvl="6" w:tplc="D50EF5EC">
      <w:numFmt w:val="bullet"/>
      <w:lvlText w:val="•"/>
      <w:lvlJc w:val="left"/>
      <w:pPr>
        <w:ind w:left="4464" w:hanging="361"/>
      </w:pPr>
      <w:rPr>
        <w:rFonts w:hint="default"/>
      </w:rPr>
    </w:lvl>
    <w:lvl w:ilvl="7" w:tplc="0C36DEE4">
      <w:numFmt w:val="bullet"/>
      <w:lvlText w:val="•"/>
      <w:lvlJc w:val="left"/>
      <w:pPr>
        <w:ind w:left="5131" w:hanging="361"/>
      </w:pPr>
      <w:rPr>
        <w:rFonts w:hint="default"/>
      </w:rPr>
    </w:lvl>
    <w:lvl w:ilvl="8" w:tplc="939C3CFE">
      <w:numFmt w:val="bullet"/>
      <w:lvlText w:val="•"/>
      <w:lvlJc w:val="left"/>
      <w:pPr>
        <w:ind w:left="5799" w:hanging="361"/>
      </w:pPr>
      <w:rPr>
        <w:rFonts w:hint="default"/>
      </w:rPr>
    </w:lvl>
  </w:abstractNum>
  <w:abstractNum w:abstractNumId="67" w15:restartNumberingAfterBreak="0">
    <w:nsid w:val="67CC37C0"/>
    <w:multiLevelType w:val="hybridMultilevel"/>
    <w:tmpl w:val="0D1C2646"/>
    <w:lvl w:ilvl="0" w:tplc="B010E65C">
      <w:numFmt w:val="bullet"/>
      <w:lvlText w:val=""/>
      <w:lvlJc w:val="left"/>
      <w:pPr>
        <w:ind w:left="827" w:hanging="360"/>
      </w:pPr>
      <w:rPr>
        <w:rFonts w:ascii="Symbol" w:eastAsia="Symbol" w:hAnsi="Symbol" w:cs="Symbol" w:hint="default"/>
        <w:w w:val="99"/>
        <w:sz w:val="20"/>
        <w:szCs w:val="20"/>
      </w:rPr>
    </w:lvl>
    <w:lvl w:ilvl="1" w:tplc="FAD8CABE">
      <w:numFmt w:val="bullet"/>
      <w:lvlText w:val="•"/>
      <w:lvlJc w:val="left"/>
      <w:pPr>
        <w:ind w:left="1672" w:hanging="360"/>
      </w:pPr>
      <w:rPr>
        <w:rFonts w:hint="default"/>
      </w:rPr>
    </w:lvl>
    <w:lvl w:ilvl="2" w:tplc="68026D18">
      <w:numFmt w:val="bullet"/>
      <w:lvlText w:val="•"/>
      <w:lvlJc w:val="left"/>
      <w:pPr>
        <w:ind w:left="2524" w:hanging="360"/>
      </w:pPr>
      <w:rPr>
        <w:rFonts w:hint="default"/>
      </w:rPr>
    </w:lvl>
    <w:lvl w:ilvl="3" w:tplc="B838CF8E">
      <w:numFmt w:val="bullet"/>
      <w:lvlText w:val="•"/>
      <w:lvlJc w:val="left"/>
      <w:pPr>
        <w:ind w:left="3376" w:hanging="360"/>
      </w:pPr>
      <w:rPr>
        <w:rFonts w:hint="default"/>
      </w:rPr>
    </w:lvl>
    <w:lvl w:ilvl="4" w:tplc="01464B0C">
      <w:numFmt w:val="bullet"/>
      <w:lvlText w:val="•"/>
      <w:lvlJc w:val="left"/>
      <w:pPr>
        <w:ind w:left="4228" w:hanging="360"/>
      </w:pPr>
      <w:rPr>
        <w:rFonts w:hint="default"/>
      </w:rPr>
    </w:lvl>
    <w:lvl w:ilvl="5" w:tplc="9A0C4440">
      <w:numFmt w:val="bullet"/>
      <w:lvlText w:val="•"/>
      <w:lvlJc w:val="left"/>
      <w:pPr>
        <w:ind w:left="5081" w:hanging="360"/>
      </w:pPr>
      <w:rPr>
        <w:rFonts w:hint="default"/>
      </w:rPr>
    </w:lvl>
    <w:lvl w:ilvl="6" w:tplc="D20CB774">
      <w:numFmt w:val="bullet"/>
      <w:lvlText w:val="•"/>
      <w:lvlJc w:val="left"/>
      <w:pPr>
        <w:ind w:left="5933" w:hanging="360"/>
      </w:pPr>
      <w:rPr>
        <w:rFonts w:hint="default"/>
      </w:rPr>
    </w:lvl>
    <w:lvl w:ilvl="7" w:tplc="61E63E16">
      <w:numFmt w:val="bullet"/>
      <w:lvlText w:val="•"/>
      <w:lvlJc w:val="left"/>
      <w:pPr>
        <w:ind w:left="6785" w:hanging="360"/>
      </w:pPr>
      <w:rPr>
        <w:rFonts w:hint="default"/>
      </w:rPr>
    </w:lvl>
    <w:lvl w:ilvl="8" w:tplc="44B6710E">
      <w:numFmt w:val="bullet"/>
      <w:lvlText w:val="•"/>
      <w:lvlJc w:val="left"/>
      <w:pPr>
        <w:ind w:left="7637" w:hanging="360"/>
      </w:pPr>
      <w:rPr>
        <w:rFonts w:hint="default"/>
      </w:rPr>
    </w:lvl>
  </w:abstractNum>
  <w:abstractNum w:abstractNumId="68" w15:restartNumberingAfterBreak="0">
    <w:nsid w:val="67FA252B"/>
    <w:multiLevelType w:val="hybridMultilevel"/>
    <w:tmpl w:val="48F66B58"/>
    <w:lvl w:ilvl="0" w:tplc="93800AD4">
      <w:numFmt w:val="bullet"/>
      <w:lvlText w:val=""/>
      <w:lvlJc w:val="left"/>
      <w:pPr>
        <w:ind w:left="828" w:hanging="360"/>
      </w:pPr>
      <w:rPr>
        <w:rFonts w:ascii="Symbol" w:eastAsia="Symbol" w:hAnsi="Symbol" w:cs="Symbol" w:hint="default"/>
        <w:w w:val="99"/>
        <w:sz w:val="20"/>
        <w:szCs w:val="20"/>
      </w:rPr>
    </w:lvl>
    <w:lvl w:ilvl="1" w:tplc="E3F6E3C4">
      <w:numFmt w:val="bullet"/>
      <w:lvlText w:val="•"/>
      <w:lvlJc w:val="left"/>
      <w:pPr>
        <w:ind w:left="1451" w:hanging="360"/>
      </w:pPr>
      <w:rPr>
        <w:rFonts w:hint="default"/>
      </w:rPr>
    </w:lvl>
    <w:lvl w:ilvl="2" w:tplc="5B346358">
      <w:numFmt w:val="bullet"/>
      <w:lvlText w:val="•"/>
      <w:lvlJc w:val="left"/>
      <w:pPr>
        <w:ind w:left="2082" w:hanging="360"/>
      </w:pPr>
      <w:rPr>
        <w:rFonts w:hint="default"/>
      </w:rPr>
    </w:lvl>
    <w:lvl w:ilvl="3" w:tplc="7CA09CCE">
      <w:numFmt w:val="bullet"/>
      <w:lvlText w:val="•"/>
      <w:lvlJc w:val="left"/>
      <w:pPr>
        <w:ind w:left="2714" w:hanging="360"/>
      </w:pPr>
      <w:rPr>
        <w:rFonts w:hint="default"/>
      </w:rPr>
    </w:lvl>
    <w:lvl w:ilvl="4" w:tplc="FC04BDBA">
      <w:numFmt w:val="bullet"/>
      <w:lvlText w:val="•"/>
      <w:lvlJc w:val="left"/>
      <w:pPr>
        <w:ind w:left="3345" w:hanging="360"/>
      </w:pPr>
      <w:rPr>
        <w:rFonts w:hint="default"/>
      </w:rPr>
    </w:lvl>
    <w:lvl w:ilvl="5" w:tplc="FC40E8DC">
      <w:numFmt w:val="bullet"/>
      <w:lvlText w:val="•"/>
      <w:lvlJc w:val="left"/>
      <w:pPr>
        <w:ind w:left="3977" w:hanging="360"/>
      </w:pPr>
      <w:rPr>
        <w:rFonts w:hint="default"/>
      </w:rPr>
    </w:lvl>
    <w:lvl w:ilvl="6" w:tplc="C9987942">
      <w:numFmt w:val="bullet"/>
      <w:lvlText w:val="•"/>
      <w:lvlJc w:val="left"/>
      <w:pPr>
        <w:ind w:left="4608" w:hanging="360"/>
      </w:pPr>
      <w:rPr>
        <w:rFonts w:hint="default"/>
      </w:rPr>
    </w:lvl>
    <w:lvl w:ilvl="7" w:tplc="7F8449C6">
      <w:numFmt w:val="bullet"/>
      <w:lvlText w:val="•"/>
      <w:lvlJc w:val="left"/>
      <w:pPr>
        <w:ind w:left="5239" w:hanging="360"/>
      </w:pPr>
      <w:rPr>
        <w:rFonts w:hint="default"/>
      </w:rPr>
    </w:lvl>
    <w:lvl w:ilvl="8" w:tplc="A4304FE2">
      <w:numFmt w:val="bullet"/>
      <w:lvlText w:val="•"/>
      <w:lvlJc w:val="left"/>
      <w:pPr>
        <w:ind w:left="5871" w:hanging="360"/>
      </w:pPr>
      <w:rPr>
        <w:rFonts w:hint="default"/>
      </w:rPr>
    </w:lvl>
  </w:abstractNum>
  <w:abstractNum w:abstractNumId="69" w15:restartNumberingAfterBreak="0">
    <w:nsid w:val="69301417"/>
    <w:multiLevelType w:val="hybridMultilevel"/>
    <w:tmpl w:val="E5B862C0"/>
    <w:lvl w:ilvl="0" w:tplc="E8CC7B34">
      <w:start w:val="1"/>
      <w:numFmt w:val="decimal"/>
      <w:lvlText w:val="%1."/>
      <w:lvlJc w:val="left"/>
      <w:pPr>
        <w:ind w:left="100" w:hanging="221"/>
        <w:jc w:val="left"/>
      </w:pPr>
      <w:rPr>
        <w:rFonts w:ascii="Arial" w:eastAsia="Arial" w:hAnsi="Arial" w:cs="Arial" w:hint="default"/>
        <w:w w:val="99"/>
        <w:sz w:val="20"/>
        <w:szCs w:val="20"/>
      </w:rPr>
    </w:lvl>
    <w:lvl w:ilvl="1" w:tplc="14C649BC">
      <w:numFmt w:val="bullet"/>
      <w:lvlText w:val="•"/>
      <w:lvlJc w:val="left"/>
      <w:pPr>
        <w:ind w:left="1048" w:hanging="221"/>
      </w:pPr>
      <w:rPr>
        <w:rFonts w:hint="default"/>
      </w:rPr>
    </w:lvl>
    <w:lvl w:ilvl="2" w:tplc="31D28FBA">
      <w:numFmt w:val="bullet"/>
      <w:lvlText w:val="•"/>
      <w:lvlJc w:val="left"/>
      <w:pPr>
        <w:ind w:left="1996" w:hanging="221"/>
      </w:pPr>
      <w:rPr>
        <w:rFonts w:hint="default"/>
      </w:rPr>
    </w:lvl>
    <w:lvl w:ilvl="3" w:tplc="34B44B9C">
      <w:numFmt w:val="bullet"/>
      <w:lvlText w:val="•"/>
      <w:lvlJc w:val="left"/>
      <w:pPr>
        <w:ind w:left="2944" w:hanging="221"/>
      </w:pPr>
      <w:rPr>
        <w:rFonts w:hint="default"/>
      </w:rPr>
    </w:lvl>
    <w:lvl w:ilvl="4" w:tplc="06F072E0">
      <w:numFmt w:val="bullet"/>
      <w:lvlText w:val="•"/>
      <w:lvlJc w:val="left"/>
      <w:pPr>
        <w:ind w:left="3892" w:hanging="221"/>
      </w:pPr>
      <w:rPr>
        <w:rFonts w:hint="default"/>
      </w:rPr>
    </w:lvl>
    <w:lvl w:ilvl="5" w:tplc="89367168">
      <w:numFmt w:val="bullet"/>
      <w:lvlText w:val="•"/>
      <w:lvlJc w:val="left"/>
      <w:pPr>
        <w:ind w:left="4840" w:hanging="221"/>
      </w:pPr>
      <w:rPr>
        <w:rFonts w:hint="default"/>
      </w:rPr>
    </w:lvl>
    <w:lvl w:ilvl="6" w:tplc="29D8BB08">
      <w:numFmt w:val="bullet"/>
      <w:lvlText w:val="•"/>
      <w:lvlJc w:val="left"/>
      <w:pPr>
        <w:ind w:left="5788" w:hanging="221"/>
      </w:pPr>
      <w:rPr>
        <w:rFonts w:hint="default"/>
      </w:rPr>
    </w:lvl>
    <w:lvl w:ilvl="7" w:tplc="9D1CB012">
      <w:numFmt w:val="bullet"/>
      <w:lvlText w:val="•"/>
      <w:lvlJc w:val="left"/>
      <w:pPr>
        <w:ind w:left="6736" w:hanging="221"/>
      </w:pPr>
      <w:rPr>
        <w:rFonts w:hint="default"/>
      </w:rPr>
    </w:lvl>
    <w:lvl w:ilvl="8" w:tplc="13D64A24">
      <w:numFmt w:val="bullet"/>
      <w:lvlText w:val="•"/>
      <w:lvlJc w:val="left"/>
      <w:pPr>
        <w:ind w:left="7684" w:hanging="221"/>
      </w:pPr>
      <w:rPr>
        <w:rFonts w:hint="default"/>
      </w:rPr>
    </w:lvl>
  </w:abstractNum>
  <w:abstractNum w:abstractNumId="70" w15:restartNumberingAfterBreak="0">
    <w:nsid w:val="6F387424"/>
    <w:multiLevelType w:val="hybridMultilevel"/>
    <w:tmpl w:val="CD108824"/>
    <w:lvl w:ilvl="0" w:tplc="55C60066">
      <w:start w:val="1"/>
      <w:numFmt w:val="decimal"/>
      <w:lvlText w:val="%1."/>
      <w:lvlJc w:val="left"/>
      <w:pPr>
        <w:ind w:left="107" w:hanging="221"/>
        <w:jc w:val="left"/>
      </w:pPr>
      <w:rPr>
        <w:rFonts w:ascii="Arial" w:eastAsia="Arial" w:hAnsi="Arial" w:cs="Arial" w:hint="default"/>
        <w:spacing w:val="-1"/>
        <w:w w:val="99"/>
        <w:sz w:val="20"/>
        <w:szCs w:val="20"/>
      </w:rPr>
    </w:lvl>
    <w:lvl w:ilvl="1" w:tplc="9CAE2F44">
      <w:numFmt w:val="bullet"/>
      <w:lvlText w:val=""/>
      <w:lvlJc w:val="left"/>
      <w:pPr>
        <w:ind w:left="828" w:hanging="360"/>
      </w:pPr>
      <w:rPr>
        <w:rFonts w:ascii="Symbol" w:eastAsia="Symbol" w:hAnsi="Symbol" w:cs="Symbol" w:hint="default"/>
        <w:w w:val="99"/>
        <w:position w:val="1"/>
        <w:sz w:val="20"/>
        <w:szCs w:val="20"/>
      </w:rPr>
    </w:lvl>
    <w:lvl w:ilvl="2" w:tplc="BEAE9724">
      <w:numFmt w:val="bullet"/>
      <w:lvlText w:val="•"/>
      <w:lvlJc w:val="left"/>
      <w:pPr>
        <w:ind w:left="1546" w:hanging="360"/>
      </w:pPr>
      <w:rPr>
        <w:rFonts w:hint="default"/>
      </w:rPr>
    </w:lvl>
    <w:lvl w:ilvl="3" w:tplc="E90AB8F0">
      <w:numFmt w:val="bullet"/>
      <w:lvlText w:val="•"/>
      <w:lvlJc w:val="left"/>
      <w:pPr>
        <w:ind w:left="2272" w:hanging="360"/>
      </w:pPr>
      <w:rPr>
        <w:rFonts w:hint="default"/>
      </w:rPr>
    </w:lvl>
    <w:lvl w:ilvl="4" w:tplc="7B1663DA">
      <w:numFmt w:val="bullet"/>
      <w:lvlText w:val="•"/>
      <w:lvlJc w:val="left"/>
      <w:pPr>
        <w:ind w:left="2999" w:hanging="360"/>
      </w:pPr>
      <w:rPr>
        <w:rFonts w:hint="default"/>
      </w:rPr>
    </w:lvl>
    <w:lvl w:ilvl="5" w:tplc="3190CC34">
      <w:numFmt w:val="bullet"/>
      <w:lvlText w:val="•"/>
      <w:lvlJc w:val="left"/>
      <w:pPr>
        <w:ind w:left="3725" w:hanging="360"/>
      </w:pPr>
      <w:rPr>
        <w:rFonts w:hint="default"/>
      </w:rPr>
    </w:lvl>
    <w:lvl w:ilvl="6" w:tplc="79448ABC">
      <w:numFmt w:val="bullet"/>
      <w:lvlText w:val="•"/>
      <w:lvlJc w:val="left"/>
      <w:pPr>
        <w:ind w:left="4451" w:hanging="360"/>
      </w:pPr>
      <w:rPr>
        <w:rFonts w:hint="default"/>
      </w:rPr>
    </w:lvl>
    <w:lvl w:ilvl="7" w:tplc="B09E1B8E">
      <w:numFmt w:val="bullet"/>
      <w:lvlText w:val="•"/>
      <w:lvlJc w:val="left"/>
      <w:pPr>
        <w:ind w:left="5178" w:hanging="360"/>
      </w:pPr>
      <w:rPr>
        <w:rFonts w:hint="default"/>
      </w:rPr>
    </w:lvl>
    <w:lvl w:ilvl="8" w:tplc="682E43D2">
      <w:numFmt w:val="bullet"/>
      <w:lvlText w:val="•"/>
      <w:lvlJc w:val="left"/>
      <w:pPr>
        <w:ind w:left="5904" w:hanging="360"/>
      </w:pPr>
      <w:rPr>
        <w:rFonts w:hint="default"/>
      </w:rPr>
    </w:lvl>
  </w:abstractNum>
  <w:abstractNum w:abstractNumId="71" w15:restartNumberingAfterBreak="0">
    <w:nsid w:val="70FF367B"/>
    <w:multiLevelType w:val="hybridMultilevel"/>
    <w:tmpl w:val="9586D240"/>
    <w:lvl w:ilvl="0" w:tplc="7BACEAFC">
      <w:numFmt w:val="bullet"/>
      <w:lvlText w:val=""/>
      <w:lvlJc w:val="left"/>
      <w:pPr>
        <w:ind w:left="827" w:hanging="360"/>
      </w:pPr>
      <w:rPr>
        <w:rFonts w:ascii="Symbol" w:eastAsia="Symbol" w:hAnsi="Symbol" w:cs="Symbol" w:hint="default"/>
        <w:w w:val="99"/>
        <w:sz w:val="20"/>
        <w:szCs w:val="20"/>
      </w:rPr>
    </w:lvl>
    <w:lvl w:ilvl="1" w:tplc="696842B8">
      <w:numFmt w:val="bullet"/>
      <w:lvlText w:val="•"/>
      <w:lvlJc w:val="left"/>
      <w:pPr>
        <w:ind w:left="1672" w:hanging="360"/>
      </w:pPr>
      <w:rPr>
        <w:rFonts w:hint="default"/>
      </w:rPr>
    </w:lvl>
    <w:lvl w:ilvl="2" w:tplc="FD8C8C8A">
      <w:numFmt w:val="bullet"/>
      <w:lvlText w:val="•"/>
      <w:lvlJc w:val="left"/>
      <w:pPr>
        <w:ind w:left="2524" w:hanging="360"/>
      </w:pPr>
      <w:rPr>
        <w:rFonts w:hint="default"/>
      </w:rPr>
    </w:lvl>
    <w:lvl w:ilvl="3" w:tplc="0A9C4B64">
      <w:numFmt w:val="bullet"/>
      <w:lvlText w:val="•"/>
      <w:lvlJc w:val="left"/>
      <w:pPr>
        <w:ind w:left="3376" w:hanging="360"/>
      </w:pPr>
      <w:rPr>
        <w:rFonts w:hint="default"/>
      </w:rPr>
    </w:lvl>
    <w:lvl w:ilvl="4" w:tplc="BBBC8C6C">
      <w:numFmt w:val="bullet"/>
      <w:lvlText w:val="•"/>
      <w:lvlJc w:val="left"/>
      <w:pPr>
        <w:ind w:left="4228" w:hanging="360"/>
      </w:pPr>
      <w:rPr>
        <w:rFonts w:hint="default"/>
      </w:rPr>
    </w:lvl>
    <w:lvl w:ilvl="5" w:tplc="A868227C">
      <w:numFmt w:val="bullet"/>
      <w:lvlText w:val="•"/>
      <w:lvlJc w:val="left"/>
      <w:pPr>
        <w:ind w:left="5081" w:hanging="360"/>
      </w:pPr>
      <w:rPr>
        <w:rFonts w:hint="default"/>
      </w:rPr>
    </w:lvl>
    <w:lvl w:ilvl="6" w:tplc="4E742D22">
      <w:numFmt w:val="bullet"/>
      <w:lvlText w:val="•"/>
      <w:lvlJc w:val="left"/>
      <w:pPr>
        <w:ind w:left="5933" w:hanging="360"/>
      </w:pPr>
      <w:rPr>
        <w:rFonts w:hint="default"/>
      </w:rPr>
    </w:lvl>
    <w:lvl w:ilvl="7" w:tplc="C32266E0">
      <w:numFmt w:val="bullet"/>
      <w:lvlText w:val="•"/>
      <w:lvlJc w:val="left"/>
      <w:pPr>
        <w:ind w:left="6785" w:hanging="360"/>
      </w:pPr>
      <w:rPr>
        <w:rFonts w:hint="default"/>
      </w:rPr>
    </w:lvl>
    <w:lvl w:ilvl="8" w:tplc="30BE6800">
      <w:numFmt w:val="bullet"/>
      <w:lvlText w:val="•"/>
      <w:lvlJc w:val="left"/>
      <w:pPr>
        <w:ind w:left="7637" w:hanging="360"/>
      </w:pPr>
      <w:rPr>
        <w:rFonts w:hint="default"/>
      </w:rPr>
    </w:lvl>
  </w:abstractNum>
  <w:abstractNum w:abstractNumId="72" w15:restartNumberingAfterBreak="0">
    <w:nsid w:val="75F03A9E"/>
    <w:multiLevelType w:val="hybridMultilevel"/>
    <w:tmpl w:val="E8AA5CC0"/>
    <w:lvl w:ilvl="0" w:tplc="8668A3E2">
      <w:numFmt w:val="bullet"/>
      <w:lvlText w:val=""/>
      <w:lvlJc w:val="left"/>
      <w:pPr>
        <w:ind w:left="827" w:hanging="360"/>
      </w:pPr>
      <w:rPr>
        <w:rFonts w:ascii="Symbol" w:eastAsia="Symbol" w:hAnsi="Symbol" w:cs="Symbol" w:hint="default"/>
        <w:w w:val="99"/>
        <w:sz w:val="20"/>
        <w:szCs w:val="20"/>
      </w:rPr>
    </w:lvl>
    <w:lvl w:ilvl="1" w:tplc="AEF44CC2">
      <w:numFmt w:val="bullet"/>
      <w:lvlText w:val="•"/>
      <w:lvlJc w:val="left"/>
      <w:pPr>
        <w:ind w:left="1672" w:hanging="360"/>
      </w:pPr>
      <w:rPr>
        <w:rFonts w:hint="default"/>
      </w:rPr>
    </w:lvl>
    <w:lvl w:ilvl="2" w:tplc="357C3454">
      <w:numFmt w:val="bullet"/>
      <w:lvlText w:val="•"/>
      <w:lvlJc w:val="left"/>
      <w:pPr>
        <w:ind w:left="2524" w:hanging="360"/>
      </w:pPr>
      <w:rPr>
        <w:rFonts w:hint="default"/>
      </w:rPr>
    </w:lvl>
    <w:lvl w:ilvl="3" w:tplc="EE18BC90">
      <w:numFmt w:val="bullet"/>
      <w:lvlText w:val="•"/>
      <w:lvlJc w:val="left"/>
      <w:pPr>
        <w:ind w:left="3376" w:hanging="360"/>
      </w:pPr>
      <w:rPr>
        <w:rFonts w:hint="default"/>
      </w:rPr>
    </w:lvl>
    <w:lvl w:ilvl="4" w:tplc="7B108F74">
      <w:numFmt w:val="bullet"/>
      <w:lvlText w:val="•"/>
      <w:lvlJc w:val="left"/>
      <w:pPr>
        <w:ind w:left="4228" w:hanging="360"/>
      </w:pPr>
      <w:rPr>
        <w:rFonts w:hint="default"/>
      </w:rPr>
    </w:lvl>
    <w:lvl w:ilvl="5" w:tplc="DD940B20">
      <w:numFmt w:val="bullet"/>
      <w:lvlText w:val="•"/>
      <w:lvlJc w:val="left"/>
      <w:pPr>
        <w:ind w:left="5081" w:hanging="360"/>
      </w:pPr>
      <w:rPr>
        <w:rFonts w:hint="default"/>
      </w:rPr>
    </w:lvl>
    <w:lvl w:ilvl="6" w:tplc="4BBCFAEA">
      <w:numFmt w:val="bullet"/>
      <w:lvlText w:val="•"/>
      <w:lvlJc w:val="left"/>
      <w:pPr>
        <w:ind w:left="5933" w:hanging="360"/>
      </w:pPr>
      <w:rPr>
        <w:rFonts w:hint="default"/>
      </w:rPr>
    </w:lvl>
    <w:lvl w:ilvl="7" w:tplc="A4944FCA">
      <w:numFmt w:val="bullet"/>
      <w:lvlText w:val="•"/>
      <w:lvlJc w:val="left"/>
      <w:pPr>
        <w:ind w:left="6785" w:hanging="360"/>
      </w:pPr>
      <w:rPr>
        <w:rFonts w:hint="default"/>
      </w:rPr>
    </w:lvl>
    <w:lvl w:ilvl="8" w:tplc="4E769E18">
      <w:numFmt w:val="bullet"/>
      <w:lvlText w:val="•"/>
      <w:lvlJc w:val="left"/>
      <w:pPr>
        <w:ind w:left="7637" w:hanging="360"/>
      </w:pPr>
      <w:rPr>
        <w:rFonts w:hint="default"/>
      </w:rPr>
    </w:lvl>
  </w:abstractNum>
  <w:abstractNum w:abstractNumId="73" w15:restartNumberingAfterBreak="0">
    <w:nsid w:val="764218AE"/>
    <w:multiLevelType w:val="hybridMultilevel"/>
    <w:tmpl w:val="F9FCC818"/>
    <w:lvl w:ilvl="0" w:tplc="B2F6F448">
      <w:numFmt w:val="bullet"/>
      <w:lvlText w:val=""/>
      <w:lvlJc w:val="left"/>
      <w:pPr>
        <w:ind w:left="468" w:hanging="361"/>
      </w:pPr>
      <w:rPr>
        <w:rFonts w:ascii="Symbol" w:eastAsia="Symbol" w:hAnsi="Symbol" w:cs="Symbol" w:hint="default"/>
        <w:w w:val="99"/>
        <w:sz w:val="20"/>
        <w:szCs w:val="20"/>
      </w:rPr>
    </w:lvl>
    <w:lvl w:ilvl="1" w:tplc="FDD8D4FA">
      <w:numFmt w:val="bullet"/>
      <w:lvlText w:val="•"/>
      <w:lvlJc w:val="left"/>
      <w:pPr>
        <w:ind w:left="1149" w:hanging="361"/>
      </w:pPr>
      <w:rPr>
        <w:rFonts w:hint="default"/>
      </w:rPr>
    </w:lvl>
    <w:lvl w:ilvl="2" w:tplc="F69EA9CE">
      <w:numFmt w:val="bullet"/>
      <w:lvlText w:val="•"/>
      <w:lvlJc w:val="left"/>
      <w:pPr>
        <w:ind w:left="1839" w:hanging="361"/>
      </w:pPr>
      <w:rPr>
        <w:rFonts w:hint="default"/>
      </w:rPr>
    </w:lvl>
    <w:lvl w:ilvl="3" w:tplc="BFEA0258">
      <w:numFmt w:val="bullet"/>
      <w:lvlText w:val="•"/>
      <w:lvlJc w:val="left"/>
      <w:pPr>
        <w:ind w:left="2529" w:hanging="361"/>
      </w:pPr>
      <w:rPr>
        <w:rFonts w:hint="default"/>
      </w:rPr>
    </w:lvl>
    <w:lvl w:ilvl="4" w:tplc="642ED3A8">
      <w:numFmt w:val="bullet"/>
      <w:lvlText w:val="•"/>
      <w:lvlJc w:val="left"/>
      <w:pPr>
        <w:ind w:left="3218" w:hanging="361"/>
      </w:pPr>
      <w:rPr>
        <w:rFonts w:hint="default"/>
      </w:rPr>
    </w:lvl>
    <w:lvl w:ilvl="5" w:tplc="4CA81CF4">
      <w:numFmt w:val="bullet"/>
      <w:lvlText w:val="•"/>
      <w:lvlJc w:val="left"/>
      <w:pPr>
        <w:ind w:left="3908" w:hanging="361"/>
      </w:pPr>
      <w:rPr>
        <w:rFonts w:hint="default"/>
      </w:rPr>
    </w:lvl>
    <w:lvl w:ilvl="6" w:tplc="3822D0DA">
      <w:numFmt w:val="bullet"/>
      <w:lvlText w:val="•"/>
      <w:lvlJc w:val="left"/>
      <w:pPr>
        <w:ind w:left="4598" w:hanging="361"/>
      </w:pPr>
      <w:rPr>
        <w:rFonts w:hint="default"/>
      </w:rPr>
    </w:lvl>
    <w:lvl w:ilvl="7" w:tplc="C71C0630">
      <w:numFmt w:val="bullet"/>
      <w:lvlText w:val="•"/>
      <w:lvlJc w:val="left"/>
      <w:pPr>
        <w:ind w:left="5287" w:hanging="361"/>
      </w:pPr>
      <w:rPr>
        <w:rFonts w:hint="default"/>
      </w:rPr>
    </w:lvl>
    <w:lvl w:ilvl="8" w:tplc="DBBC4B30">
      <w:numFmt w:val="bullet"/>
      <w:lvlText w:val="•"/>
      <w:lvlJc w:val="left"/>
      <w:pPr>
        <w:ind w:left="5977" w:hanging="361"/>
      </w:pPr>
      <w:rPr>
        <w:rFonts w:hint="default"/>
      </w:rPr>
    </w:lvl>
  </w:abstractNum>
  <w:abstractNum w:abstractNumId="74" w15:restartNumberingAfterBreak="0">
    <w:nsid w:val="773F76D4"/>
    <w:multiLevelType w:val="multilevel"/>
    <w:tmpl w:val="C0F8725E"/>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75" w15:restartNumberingAfterBreak="0">
    <w:nsid w:val="777178CD"/>
    <w:multiLevelType w:val="hybridMultilevel"/>
    <w:tmpl w:val="471E9B5C"/>
    <w:lvl w:ilvl="0" w:tplc="A282EE20">
      <w:numFmt w:val="bullet"/>
      <w:lvlText w:val=""/>
      <w:lvlJc w:val="left"/>
      <w:pPr>
        <w:ind w:left="467" w:hanging="360"/>
      </w:pPr>
      <w:rPr>
        <w:rFonts w:ascii="Symbol" w:eastAsia="Symbol" w:hAnsi="Symbol" w:cs="Symbol" w:hint="default"/>
        <w:w w:val="99"/>
        <w:sz w:val="20"/>
        <w:szCs w:val="20"/>
      </w:rPr>
    </w:lvl>
    <w:lvl w:ilvl="1" w:tplc="EFD45264">
      <w:numFmt w:val="bullet"/>
      <w:lvlText w:val="•"/>
      <w:lvlJc w:val="left"/>
      <w:pPr>
        <w:ind w:left="1191" w:hanging="360"/>
      </w:pPr>
      <w:rPr>
        <w:rFonts w:hint="default"/>
      </w:rPr>
    </w:lvl>
    <w:lvl w:ilvl="2" w:tplc="5F1AF060">
      <w:numFmt w:val="bullet"/>
      <w:lvlText w:val="•"/>
      <w:lvlJc w:val="left"/>
      <w:pPr>
        <w:ind w:left="1923" w:hanging="360"/>
      </w:pPr>
      <w:rPr>
        <w:rFonts w:hint="default"/>
      </w:rPr>
    </w:lvl>
    <w:lvl w:ilvl="3" w:tplc="384E70F4">
      <w:numFmt w:val="bullet"/>
      <w:lvlText w:val="•"/>
      <w:lvlJc w:val="left"/>
      <w:pPr>
        <w:ind w:left="2655" w:hanging="360"/>
      </w:pPr>
      <w:rPr>
        <w:rFonts w:hint="default"/>
      </w:rPr>
    </w:lvl>
    <w:lvl w:ilvl="4" w:tplc="B39CFA6E">
      <w:numFmt w:val="bullet"/>
      <w:lvlText w:val="•"/>
      <w:lvlJc w:val="left"/>
      <w:pPr>
        <w:ind w:left="3386" w:hanging="360"/>
      </w:pPr>
      <w:rPr>
        <w:rFonts w:hint="default"/>
      </w:rPr>
    </w:lvl>
    <w:lvl w:ilvl="5" w:tplc="DE1EBD62">
      <w:numFmt w:val="bullet"/>
      <w:lvlText w:val="•"/>
      <w:lvlJc w:val="left"/>
      <w:pPr>
        <w:ind w:left="4118" w:hanging="360"/>
      </w:pPr>
      <w:rPr>
        <w:rFonts w:hint="default"/>
      </w:rPr>
    </w:lvl>
    <w:lvl w:ilvl="6" w:tplc="0008710A">
      <w:numFmt w:val="bullet"/>
      <w:lvlText w:val="•"/>
      <w:lvlJc w:val="left"/>
      <w:pPr>
        <w:ind w:left="4850" w:hanging="360"/>
      </w:pPr>
      <w:rPr>
        <w:rFonts w:hint="default"/>
      </w:rPr>
    </w:lvl>
    <w:lvl w:ilvl="7" w:tplc="1A801EBC">
      <w:numFmt w:val="bullet"/>
      <w:lvlText w:val="•"/>
      <w:lvlJc w:val="left"/>
      <w:pPr>
        <w:ind w:left="5581" w:hanging="360"/>
      </w:pPr>
      <w:rPr>
        <w:rFonts w:hint="default"/>
      </w:rPr>
    </w:lvl>
    <w:lvl w:ilvl="8" w:tplc="9244C424">
      <w:numFmt w:val="bullet"/>
      <w:lvlText w:val="•"/>
      <w:lvlJc w:val="left"/>
      <w:pPr>
        <w:ind w:left="6313" w:hanging="360"/>
      </w:pPr>
      <w:rPr>
        <w:rFonts w:hint="default"/>
      </w:rPr>
    </w:lvl>
  </w:abstractNum>
  <w:abstractNum w:abstractNumId="76" w15:restartNumberingAfterBreak="0">
    <w:nsid w:val="798E1638"/>
    <w:multiLevelType w:val="hybridMultilevel"/>
    <w:tmpl w:val="26FE36BA"/>
    <w:lvl w:ilvl="0" w:tplc="E63060F0">
      <w:numFmt w:val="bullet"/>
      <w:lvlText w:val=""/>
      <w:lvlJc w:val="left"/>
      <w:pPr>
        <w:ind w:left="827" w:hanging="360"/>
      </w:pPr>
      <w:rPr>
        <w:rFonts w:ascii="Symbol" w:eastAsia="Symbol" w:hAnsi="Symbol" w:cs="Symbol" w:hint="default"/>
        <w:w w:val="99"/>
        <w:sz w:val="20"/>
        <w:szCs w:val="20"/>
      </w:rPr>
    </w:lvl>
    <w:lvl w:ilvl="1" w:tplc="665C6B9E">
      <w:numFmt w:val="bullet"/>
      <w:lvlText w:val="•"/>
      <w:lvlJc w:val="left"/>
      <w:pPr>
        <w:ind w:left="1672" w:hanging="360"/>
      </w:pPr>
      <w:rPr>
        <w:rFonts w:hint="default"/>
      </w:rPr>
    </w:lvl>
    <w:lvl w:ilvl="2" w:tplc="E2FC8FE2">
      <w:numFmt w:val="bullet"/>
      <w:lvlText w:val="•"/>
      <w:lvlJc w:val="left"/>
      <w:pPr>
        <w:ind w:left="2524" w:hanging="360"/>
      </w:pPr>
      <w:rPr>
        <w:rFonts w:hint="default"/>
      </w:rPr>
    </w:lvl>
    <w:lvl w:ilvl="3" w:tplc="4AAE606E">
      <w:numFmt w:val="bullet"/>
      <w:lvlText w:val="•"/>
      <w:lvlJc w:val="left"/>
      <w:pPr>
        <w:ind w:left="3376" w:hanging="360"/>
      </w:pPr>
      <w:rPr>
        <w:rFonts w:hint="default"/>
      </w:rPr>
    </w:lvl>
    <w:lvl w:ilvl="4" w:tplc="B824B38C">
      <w:numFmt w:val="bullet"/>
      <w:lvlText w:val="•"/>
      <w:lvlJc w:val="left"/>
      <w:pPr>
        <w:ind w:left="4228" w:hanging="360"/>
      </w:pPr>
      <w:rPr>
        <w:rFonts w:hint="default"/>
      </w:rPr>
    </w:lvl>
    <w:lvl w:ilvl="5" w:tplc="7E0C369C">
      <w:numFmt w:val="bullet"/>
      <w:lvlText w:val="•"/>
      <w:lvlJc w:val="left"/>
      <w:pPr>
        <w:ind w:left="5081" w:hanging="360"/>
      </w:pPr>
      <w:rPr>
        <w:rFonts w:hint="default"/>
      </w:rPr>
    </w:lvl>
    <w:lvl w:ilvl="6" w:tplc="467ED4FC">
      <w:numFmt w:val="bullet"/>
      <w:lvlText w:val="•"/>
      <w:lvlJc w:val="left"/>
      <w:pPr>
        <w:ind w:left="5933" w:hanging="360"/>
      </w:pPr>
      <w:rPr>
        <w:rFonts w:hint="default"/>
      </w:rPr>
    </w:lvl>
    <w:lvl w:ilvl="7" w:tplc="4C583E98">
      <w:numFmt w:val="bullet"/>
      <w:lvlText w:val="•"/>
      <w:lvlJc w:val="left"/>
      <w:pPr>
        <w:ind w:left="6785" w:hanging="360"/>
      </w:pPr>
      <w:rPr>
        <w:rFonts w:hint="default"/>
      </w:rPr>
    </w:lvl>
    <w:lvl w:ilvl="8" w:tplc="C0BA27D0">
      <w:numFmt w:val="bullet"/>
      <w:lvlText w:val="•"/>
      <w:lvlJc w:val="left"/>
      <w:pPr>
        <w:ind w:left="7637" w:hanging="360"/>
      </w:pPr>
      <w:rPr>
        <w:rFonts w:hint="default"/>
      </w:rPr>
    </w:lvl>
  </w:abstractNum>
  <w:abstractNum w:abstractNumId="77" w15:restartNumberingAfterBreak="0">
    <w:nsid w:val="7D945F95"/>
    <w:multiLevelType w:val="hybridMultilevel"/>
    <w:tmpl w:val="2678254C"/>
    <w:lvl w:ilvl="0" w:tplc="28FC9BD4">
      <w:start w:val="1"/>
      <w:numFmt w:val="upperLetter"/>
      <w:lvlText w:val="(%1)"/>
      <w:lvlJc w:val="left"/>
      <w:pPr>
        <w:ind w:left="1546" w:hanging="360"/>
        <w:jc w:val="left"/>
      </w:pPr>
      <w:rPr>
        <w:rFonts w:ascii="Arial" w:eastAsia="Arial" w:hAnsi="Arial" w:cs="Arial" w:hint="default"/>
        <w:spacing w:val="-1"/>
        <w:w w:val="99"/>
        <w:sz w:val="20"/>
        <w:szCs w:val="20"/>
      </w:rPr>
    </w:lvl>
    <w:lvl w:ilvl="1" w:tplc="C068003A">
      <w:numFmt w:val="bullet"/>
      <w:lvlText w:val="•"/>
      <w:lvlJc w:val="left"/>
      <w:pPr>
        <w:ind w:left="2095" w:hanging="360"/>
      </w:pPr>
      <w:rPr>
        <w:rFonts w:hint="default"/>
      </w:rPr>
    </w:lvl>
    <w:lvl w:ilvl="2" w:tplc="F68C1E64">
      <w:numFmt w:val="bullet"/>
      <w:lvlText w:val="•"/>
      <w:lvlJc w:val="left"/>
      <w:pPr>
        <w:ind w:left="2651" w:hanging="360"/>
      </w:pPr>
      <w:rPr>
        <w:rFonts w:hint="default"/>
      </w:rPr>
    </w:lvl>
    <w:lvl w:ilvl="3" w:tplc="5BC02FCC">
      <w:numFmt w:val="bullet"/>
      <w:lvlText w:val="•"/>
      <w:lvlJc w:val="left"/>
      <w:pPr>
        <w:ind w:left="3206" w:hanging="360"/>
      </w:pPr>
      <w:rPr>
        <w:rFonts w:hint="default"/>
      </w:rPr>
    </w:lvl>
    <w:lvl w:ilvl="4" w:tplc="1EBA210C">
      <w:numFmt w:val="bullet"/>
      <w:lvlText w:val="•"/>
      <w:lvlJc w:val="left"/>
      <w:pPr>
        <w:ind w:left="3762" w:hanging="360"/>
      </w:pPr>
      <w:rPr>
        <w:rFonts w:hint="default"/>
      </w:rPr>
    </w:lvl>
    <w:lvl w:ilvl="5" w:tplc="238E827E">
      <w:numFmt w:val="bullet"/>
      <w:lvlText w:val="•"/>
      <w:lvlJc w:val="left"/>
      <w:pPr>
        <w:ind w:left="4317" w:hanging="360"/>
      </w:pPr>
      <w:rPr>
        <w:rFonts w:hint="default"/>
      </w:rPr>
    </w:lvl>
    <w:lvl w:ilvl="6" w:tplc="B2DAF44E">
      <w:numFmt w:val="bullet"/>
      <w:lvlText w:val="•"/>
      <w:lvlJc w:val="left"/>
      <w:pPr>
        <w:ind w:left="4873" w:hanging="360"/>
      </w:pPr>
      <w:rPr>
        <w:rFonts w:hint="default"/>
      </w:rPr>
    </w:lvl>
    <w:lvl w:ilvl="7" w:tplc="0E72815E">
      <w:numFmt w:val="bullet"/>
      <w:lvlText w:val="•"/>
      <w:lvlJc w:val="left"/>
      <w:pPr>
        <w:ind w:left="5428" w:hanging="360"/>
      </w:pPr>
      <w:rPr>
        <w:rFonts w:hint="default"/>
      </w:rPr>
    </w:lvl>
    <w:lvl w:ilvl="8" w:tplc="631226EC">
      <w:numFmt w:val="bullet"/>
      <w:lvlText w:val="•"/>
      <w:lvlJc w:val="left"/>
      <w:pPr>
        <w:ind w:left="5984" w:hanging="360"/>
      </w:pPr>
      <w:rPr>
        <w:rFonts w:hint="default"/>
      </w:rPr>
    </w:lvl>
  </w:abstractNum>
  <w:abstractNum w:abstractNumId="78" w15:restartNumberingAfterBreak="0">
    <w:nsid w:val="7E097968"/>
    <w:multiLevelType w:val="hybridMultilevel"/>
    <w:tmpl w:val="E05EFE3E"/>
    <w:lvl w:ilvl="0" w:tplc="470852FA">
      <w:numFmt w:val="bullet"/>
      <w:lvlText w:val=""/>
      <w:lvlJc w:val="left"/>
      <w:pPr>
        <w:ind w:left="1188" w:hanging="360"/>
      </w:pPr>
      <w:rPr>
        <w:rFonts w:ascii="Symbol" w:eastAsia="Symbol" w:hAnsi="Symbol" w:cs="Symbol" w:hint="default"/>
        <w:w w:val="99"/>
        <w:sz w:val="20"/>
        <w:szCs w:val="20"/>
      </w:rPr>
    </w:lvl>
    <w:lvl w:ilvl="1" w:tplc="C05E61CC">
      <w:numFmt w:val="bullet"/>
      <w:lvlText w:val="•"/>
      <w:lvlJc w:val="left"/>
      <w:pPr>
        <w:ind w:left="1819" w:hanging="360"/>
      </w:pPr>
      <w:rPr>
        <w:rFonts w:hint="default"/>
      </w:rPr>
    </w:lvl>
    <w:lvl w:ilvl="2" w:tplc="63AE6D7E">
      <w:numFmt w:val="bullet"/>
      <w:lvlText w:val="•"/>
      <w:lvlJc w:val="left"/>
      <w:pPr>
        <w:ind w:left="2459" w:hanging="360"/>
      </w:pPr>
      <w:rPr>
        <w:rFonts w:hint="default"/>
      </w:rPr>
    </w:lvl>
    <w:lvl w:ilvl="3" w:tplc="0FB4CC94">
      <w:numFmt w:val="bullet"/>
      <w:lvlText w:val="•"/>
      <w:lvlJc w:val="left"/>
      <w:pPr>
        <w:ind w:left="3098" w:hanging="360"/>
      </w:pPr>
      <w:rPr>
        <w:rFonts w:hint="default"/>
      </w:rPr>
    </w:lvl>
    <w:lvl w:ilvl="4" w:tplc="FF34F56C">
      <w:numFmt w:val="bullet"/>
      <w:lvlText w:val="•"/>
      <w:lvlJc w:val="left"/>
      <w:pPr>
        <w:ind w:left="3738" w:hanging="360"/>
      </w:pPr>
      <w:rPr>
        <w:rFonts w:hint="default"/>
      </w:rPr>
    </w:lvl>
    <w:lvl w:ilvl="5" w:tplc="E58CE48A">
      <w:numFmt w:val="bullet"/>
      <w:lvlText w:val="•"/>
      <w:lvlJc w:val="left"/>
      <w:pPr>
        <w:ind w:left="4377" w:hanging="360"/>
      </w:pPr>
      <w:rPr>
        <w:rFonts w:hint="default"/>
      </w:rPr>
    </w:lvl>
    <w:lvl w:ilvl="6" w:tplc="41DADCC6">
      <w:numFmt w:val="bullet"/>
      <w:lvlText w:val="•"/>
      <w:lvlJc w:val="left"/>
      <w:pPr>
        <w:ind w:left="5017" w:hanging="360"/>
      </w:pPr>
      <w:rPr>
        <w:rFonts w:hint="default"/>
      </w:rPr>
    </w:lvl>
    <w:lvl w:ilvl="7" w:tplc="4744525A">
      <w:numFmt w:val="bullet"/>
      <w:lvlText w:val="•"/>
      <w:lvlJc w:val="left"/>
      <w:pPr>
        <w:ind w:left="5656" w:hanging="360"/>
      </w:pPr>
      <w:rPr>
        <w:rFonts w:hint="default"/>
      </w:rPr>
    </w:lvl>
    <w:lvl w:ilvl="8" w:tplc="A3FEB5BA">
      <w:numFmt w:val="bullet"/>
      <w:lvlText w:val="•"/>
      <w:lvlJc w:val="left"/>
      <w:pPr>
        <w:ind w:left="6296" w:hanging="360"/>
      </w:pPr>
      <w:rPr>
        <w:rFonts w:hint="default"/>
      </w:rPr>
    </w:lvl>
  </w:abstractNum>
  <w:num w:numId="1">
    <w:abstractNumId w:val="18"/>
  </w:num>
  <w:num w:numId="2">
    <w:abstractNumId w:val="16"/>
  </w:num>
  <w:num w:numId="3">
    <w:abstractNumId w:val="75"/>
  </w:num>
  <w:num w:numId="4">
    <w:abstractNumId w:val="19"/>
  </w:num>
  <w:num w:numId="5">
    <w:abstractNumId w:val="25"/>
  </w:num>
  <w:num w:numId="6">
    <w:abstractNumId w:val="15"/>
  </w:num>
  <w:num w:numId="7">
    <w:abstractNumId w:val="21"/>
  </w:num>
  <w:num w:numId="8">
    <w:abstractNumId w:val="4"/>
  </w:num>
  <w:num w:numId="9">
    <w:abstractNumId w:val="78"/>
  </w:num>
  <w:num w:numId="10">
    <w:abstractNumId w:val="17"/>
  </w:num>
  <w:num w:numId="11">
    <w:abstractNumId w:val="49"/>
  </w:num>
  <w:num w:numId="12">
    <w:abstractNumId w:val="39"/>
  </w:num>
  <w:num w:numId="13">
    <w:abstractNumId w:val="10"/>
  </w:num>
  <w:num w:numId="14">
    <w:abstractNumId w:val="5"/>
  </w:num>
  <w:num w:numId="15">
    <w:abstractNumId w:val="72"/>
  </w:num>
  <w:num w:numId="16">
    <w:abstractNumId w:val="51"/>
  </w:num>
  <w:num w:numId="17">
    <w:abstractNumId w:val="36"/>
  </w:num>
  <w:num w:numId="18">
    <w:abstractNumId w:val="26"/>
  </w:num>
  <w:num w:numId="19">
    <w:abstractNumId w:val="0"/>
  </w:num>
  <w:num w:numId="20">
    <w:abstractNumId w:val="28"/>
  </w:num>
  <w:num w:numId="21">
    <w:abstractNumId w:val="3"/>
  </w:num>
  <w:num w:numId="22">
    <w:abstractNumId w:val="65"/>
  </w:num>
  <w:num w:numId="23">
    <w:abstractNumId w:val="33"/>
  </w:num>
  <w:num w:numId="24">
    <w:abstractNumId w:val="64"/>
  </w:num>
  <w:num w:numId="25">
    <w:abstractNumId w:val="60"/>
  </w:num>
  <w:num w:numId="26">
    <w:abstractNumId w:val="23"/>
  </w:num>
  <w:num w:numId="27">
    <w:abstractNumId w:val="45"/>
  </w:num>
  <w:num w:numId="28">
    <w:abstractNumId w:val="37"/>
  </w:num>
  <w:num w:numId="29">
    <w:abstractNumId w:val="48"/>
  </w:num>
  <w:num w:numId="30">
    <w:abstractNumId w:val="27"/>
  </w:num>
  <w:num w:numId="31">
    <w:abstractNumId w:val="11"/>
  </w:num>
  <w:num w:numId="32">
    <w:abstractNumId w:val="30"/>
  </w:num>
  <w:num w:numId="33">
    <w:abstractNumId w:val="6"/>
  </w:num>
  <w:num w:numId="34">
    <w:abstractNumId w:val="38"/>
  </w:num>
  <w:num w:numId="35">
    <w:abstractNumId w:val="67"/>
  </w:num>
  <w:num w:numId="36">
    <w:abstractNumId w:val="61"/>
  </w:num>
  <w:num w:numId="37">
    <w:abstractNumId w:val="41"/>
  </w:num>
  <w:num w:numId="38">
    <w:abstractNumId w:val="9"/>
  </w:num>
  <w:num w:numId="39">
    <w:abstractNumId w:val="47"/>
  </w:num>
  <w:num w:numId="40">
    <w:abstractNumId w:val="31"/>
  </w:num>
  <w:num w:numId="41">
    <w:abstractNumId w:val="32"/>
  </w:num>
  <w:num w:numId="42">
    <w:abstractNumId w:val="55"/>
  </w:num>
  <w:num w:numId="43">
    <w:abstractNumId w:val="54"/>
  </w:num>
  <w:num w:numId="44">
    <w:abstractNumId w:val="46"/>
  </w:num>
  <w:num w:numId="45">
    <w:abstractNumId w:val="12"/>
  </w:num>
  <w:num w:numId="46">
    <w:abstractNumId w:val="57"/>
  </w:num>
  <w:num w:numId="47">
    <w:abstractNumId w:val="66"/>
  </w:num>
  <w:num w:numId="48">
    <w:abstractNumId w:val="14"/>
  </w:num>
  <w:num w:numId="49">
    <w:abstractNumId w:val="53"/>
  </w:num>
  <w:num w:numId="50">
    <w:abstractNumId w:val="68"/>
  </w:num>
  <w:num w:numId="51">
    <w:abstractNumId w:val="8"/>
  </w:num>
  <w:num w:numId="52">
    <w:abstractNumId w:val="22"/>
  </w:num>
  <w:num w:numId="53">
    <w:abstractNumId w:val="76"/>
  </w:num>
  <w:num w:numId="54">
    <w:abstractNumId w:val="63"/>
  </w:num>
  <w:num w:numId="55">
    <w:abstractNumId w:val="42"/>
  </w:num>
  <w:num w:numId="56">
    <w:abstractNumId w:val="20"/>
  </w:num>
  <w:num w:numId="57">
    <w:abstractNumId w:val="50"/>
  </w:num>
  <w:num w:numId="58">
    <w:abstractNumId w:val="58"/>
  </w:num>
  <w:num w:numId="59">
    <w:abstractNumId w:val="34"/>
  </w:num>
  <w:num w:numId="60">
    <w:abstractNumId w:val="7"/>
  </w:num>
  <w:num w:numId="61">
    <w:abstractNumId w:val="43"/>
  </w:num>
  <w:num w:numId="62">
    <w:abstractNumId w:val="56"/>
  </w:num>
  <w:num w:numId="63">
    <w:abstractNumId w:val="35"/>
  </w:num>
  <w:num w:numId="64">
    <w:abstractNumId w:val="77"/>
  </w:num>
  <w:num w:numId="65">
    <w:abstractNumId w:val="59"/>
  </w:num>
  <w:num w:numId="66">
    <w:abstractNumId w:val="52"/>
  </w:num>
  <w:num w:numId="67">
    <w:abstractNumId w:val="40"/>
  </w:num>
  <w:num w:numId="68">
    <w:abstractNumId w:val="73"/>
  </w:num>
  <w:num w:numId="69">
    <w:abstractNumId w:val="71"/>
  </w:num>
  <w:num w:numId="70">
    <w:abstractNumId w:val="24"/>
  </w:num>
  <w:num w:numId="71">
    <w:abstractNumId w:val="44"/>
  </w:num>
  <w:num w:numId="72">
    <w:abstractNumId w:val="2"/>
  </w:num>
  <w:num w:numId="73">
    <w:abstractNumId w:val="70"/>
  </w:num>
  <w:num w:numId="74">
    <w:abstractNumId w:val="29"/>
  </w:num>
  <w:num w:numId="75">
    <w:abstractNumId w:val="74"/>
  </w:num>
  <w:num w:numId="76">
    <w:abstractNumId w:val="1"/>
  </w:num>
  <w:num w:numId="77">
    <w:abstractNumId w:val="69"/>
  </w:num>
  <w:num w:numId="78">
    <w:abstractNumId w:val="62"/>
  </w:num>
  <w:num w:numId="79">
    <w:abstractNumId w:val="13"/>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AA"/>
    <w:rsid w:val="00082827"/>
    <w:rsid w:val="000A003C"/>
    <w:rsid w:val="000E5352"/>
    <w:rsid w:val="001D4295"/>
    <w:rsid w:val="002128D7"/>
    <w:rsid w:val="002A7E9A"/>
    <w:rsid w:val="00334E48"/>
    <w:rsid w:val="00375B33"/>
    <w:rsid w:val="00377DE6"/>
    <w:rsid w:val="00406BC4"/>
    <w:rsid w:val="0041696F"/>
    <w:rsid w:val="00416990"/>
    <w:rsid w:val="0045423E"/>
    <w:rsid w:val="00520D32"/>
    <w:rsid w:val="005B697F"/>
    <w:rsid w:val="005F38AA"/>
    <w:rsid w:val="00636A27"/>
    <w:rsid w:val="00652FB2"/>
    <w:rsid w:val="006F08B1"/>
    <w:rsid w:val="0071705D"/>
    <w:rsid w:val="00784A2B"/>
    <w:rsid w:val="007B4FA3"/>
    <w:rsid w:val="00907DD1"/>
    <w:rsid w:val="009649F8"/>
    <w:rsid w:val="009A6BB8"/>
    <w:rsid w:val="00AA1CF7"/>
    <w:rsid w:val="00AC57BC"/>
    <w:rsid w:val="00C16472"/>
    <w:rsid w:val="00CD5365"/>
    <w:rsid w:val="00D43B09"/>
    <w:rsid w:val="00D66F1B"/>
    <w:rsid w:val="00D75E45"/>
    <w:rsid w:val="00DC444A"/>
    <w:rsid w:val="00E62332"/>
    <w:rsid w:val="00E73B7E"/>
    <w:rsid w:val="00F30B66"/>
    <w:rsid w:val="00FB0065"/>
    <w:rsid w:val="00FC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66931"/>
  <w15:docId w15:val="{995A9C0F-9A95-4FB7-94EF-0EA15251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ＭＳ Ｐゴシック" w:hAnsi="Arial" w:cs="Arial"/>
    </w:rPr>
  </w:style>
  <w:style w:type="paragraph" w:styleId="1">
    <w:name w:val="heading 1"/>
    <w:basedOn w:val="a"/>
    <w:uiPriority w:val="9"/>
    <w:qFormat/>
    <w:pPr>
      <w:spacing w:before="80"/>
      <w:ind w:left="820" w:hanging="720"/>
      <w:outlineLvl w:val="0"/>
    </w:pPr>
    <w:rPr>
      <w:b/>
      <w:bCs/>
      <w:sz w:val="24"/>
      <w:szCs w:val="24"/>
    </w:rPr>
  </w:style>
  <w:style w:type="paragraph" w:styleId="2">
    <w:name w:val="heading 2"/>
    <w:basedOn w:val="a"/>
    <w:uiPriority w:val="9"/>
    <w:unhideWhenUsed/>
    <w:qFormat/>
    <w:pPr>
      <w:ind w:left="10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00" w:hanging="360"/>
    </w:pPr>
  </w:style>
  <w:style w:type="paragraph" w:customStyle="1" w:styleId="TableParagraph">
    <w:name w:val="Table Paragraph"/>
    <w:basedOn w:val="a"/>
    <w:uiPriority w:val="1"/>
    <w:qFormat/>
    <w:pPr>
      <w:spacing w:before="40"/>
      <w:ind w:left="107"/>
    </w:pPr>
  </w:style>
  <w:style w:type="paragraph" w:styleId="a5">
    <w:name w:val="header"/>
    <w:basedOn w:val="a"/>
    <w:link w:val="a6"/>
    <w:uiPriority w:val="99"/>
    <w:unhideWhenUsed/>
    <w:rsid w:val="0045423E"/>
    <w:pPr>
      <w:tabs>
        <w:tab w:val="center" w:pos="4252"/>
        <w:tab w:val="right" w:pos="8504"/>
      </w:tabs>
      <w:snapToGrid w:val="0"/>
    </w:pPr>
  </w:style>
  <w:style w:type="character" w:customStyle="1" w:styleId="a6">
    <w:name w:val="ヘッダー (文字)"/>
    <w:basedOn w:val="a0"/>
    <w:link w:val="a5"/>
    <w:uiPriority w:val="99"/>
    <w:rsid w:val="0045423E"/>
    <w:rPr>
      <w:rFonts w:ascii="Arial" w:eastAsia="ＭＳ Ｐゴシック" w:hAnsi="Arial" w:cs="Arial"/>
    </w:rPr>
  </w:style>
  <w:style w:type="paragraph" w:styleId="a7">
    <w:name w:val="footer"/>
    <w:basedOn w:val="a"/>
    <w:link w:val="a8"/>
    <w:uiPriority w:val="99"/>
    <w:unhideWhenUsed/>
    <w:rsid w:val="0045423E"/>
    <w:pPr>
      <w:tabs>
        <w:tab w:val="center" w:pos="4252"/>
        <w:tab w:val="right" w:pos="8504"/>
      </w:tabs>
      <w:snapToGrid w:val="0"/>
    </w:pPr>
  </w:style>
  <w:style w:type="character" w:customStyle="1" w:styleId="a8">
    <w:name w:val="フッター (文字)"/>
    <w:basedOn w:val="a0"/>
    <w:link w:val="a7"/>
    <w:uiPriority w:val="99"/>
    <w:rsid w:val="0045423E"/>
    <w:rPr>
      <w:rFonts w:ascii="Arial" w:eastAsia="ＭＳ Ｐゴシック" w:hAnsi="Arial" w:cs="Arial"/>
    </w:rPr>
  </w:style>
  <w:style w:type="paragraph" w:styleId="a9">
    <w:name w:val="Balloon Text"/>
    <w:basedOn w:val="a"/>
    <w:link w:val="aa"/>
    <w:uiPriority w:val="99"/>
    <w:semiHidden/>
    <w:unhideWhenUsed/>
    <w:rsid w:val="009649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49F8"/>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1696F"/>
    <w:pPr>
      <w:snapToGrid w:val="0"/>
    </w:pPr>
  </w:style>
  <w:style w:type="character" w:customStyle="1" w:styleId="ac">
    <w:name w:val="脚注文字列 (文字)"/>
    <w:basedOn w:val="a0"/>
    <w:link w:val="ab"/>
    <w:uiPriority w:val="99"/>
    <w:semiHidden/>
    <w:rsid w:val="0041696F"/>
    <w:rPr>
      <w:rFonts w:ascii="Arial" w:eastAsia="ＭＳ Ｐゴシック" w:hAnsi="Arial" w:cs="Arial"/>
    </w:rPr>
  </w:style>
  <w:style w:type="character" w:styleId="ad">
    <w:name w:val="footnote reference"/>
    <w:basedOn w:val="a0"/>
    <w:uiPriority w:val="99"/>
    <w:semiHidden/>
    <w:unhideWhenUsed/>
    <w:rsid w:val="0041696F"/>
    <w:rPr>
      <w:vertAlign w:val="superscript"/>
    </w:rPr>
  </w:style>
  <w:style w:type="character" w:styleId="ae">
    <w:name w:val="annotation reference"/>
    <w:basedOn w:val="a0"/>
    <w:uiPriority w:val="99"/>
    <w:semiHidden/>
    <w:unhideWhenUsed/>
    <w:rsid w:val="00082827"/>
    <w:rPr>
      <w:sz w:val="18"/>
      <w:szCs w:val="18"/>
    </w:rPr>
  </w:style>
  <w:style w:type="paragraph" w:styleId="af">
    <w:name w:val="annotation text"/>
    <w:basedOn w:val="a"/>
    <w:link w:val="af0"/>
    <w:uiPriority w:val="99"/>
    <w:semiHidden/>
    <w:unhideWhenUsed/>
    <w:rsid w:val="00082827"/>
  </w:style>
  <w:style w:type="character" w:customStyle="1" w:styleId="af0">
    <w:name w:val="コメント文字列 (文字)"/>
    <w:basedOn w:val="a0"/>
    <w:link w:val="af"/>
    <w:uiPriority w:val="99"/>
    <w:semiHidden/>
    <w:rsid w:val="00082827"/>
    <w:rPr>
      <w:rFonts w:ascii="Arial" w:eastAsia="ＭＳ Ｐゴシック" w:hAnsi="Arial" w:cs="Arial"/>
    </w:rPr>
  </w:style>
  <w:style w:type="paragraph" w:styleId="af1">
    <w:name w:val="annotation subject"/>
    <w:basedOn w:val="af"/>
    <w:next w:val="af"/>
    <w:link w:val="af2"/>
    <w:uiPriority w:val="99"/>
    <w:semiHidden/>
    <w:unhideWhenUsed/>
    <w:rsid w:val="00082827"/>
    <w:rPr>
      <w:b/>
      <w:bCs/>
    </w:rPr>
  </w:style>
  <w:style w:type="character" w:customStyle="1" w:styleId="af2">
    <w:name w:val="コメント内容 (文字)"/>
    <w:basedOn w:val="af0"/>
    <w:link w:val="af1"/>
    <w:uiPriority w:val="99"/>
    <w:semiHidden/>
    <w:rsid w:val="00082827"/>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PDF/?uri=CELEX%3A32011D0278&amp;amp;from=EN" TargetMode="External"/><Relationship Id="rId18" Type="http://schemas.openxmlformats.org/officeDocument/2006/relationships/hyperlink" Target="https://ec.europa.eu/growth/content/competitiveness-european-cement-and-lime-sectors_en" TargetMode="External"/><Relationship Id="rId26" Type="http://schemas.openxmlformats.org/officeDocument/2006/relationships/hyperlink" Target="https://dechema.de/dechema_media/Downloads/Positionspapiere/Technology_study_Low_carbon_energy_and_feedstock_for_the_European_chemical_industry-p-20002750.pdf" TargetMode="External"/><Relationship Id="rId39" Type="http://schemas.openxmlformats.org/officeDocument/2006/relationships/hyperlink" Target="http://eippcb.jrc.ec.europa.eu/reference/BREF/CAK_BREF_102014.pdf" TargetMode="External"/><Relationship Id="rId21" Type="http://schemas.openxmlformats.org/officeDocument/2006/relationships/hyperlink" Target="https://aluminium-stewardship.org/asi-standards/asi-performance-standard/" TargetMode="External"/><Relationship Id="rId34" Type="http://schemas.openxmlformats.org/officeDocument/2006/relationships/hyperlink" Target="https://dechema.de/dechema_media/Downloads/Positionspapiere/Technology_study_Low_carbon_energy_and_feedstock_for_the_European_chemical_industry-p-20002750.pdf" TargetMode="External"/><Relationship Id="rId42" Type="http://schemas.openxmlformats.org/officeDocument/2006/relationships/hyperlink" Target="http://eippcb.jrc.ec.europa.eu/reference/BREF/lvic-s_bref_0907.pdf" TargetMode="External"/><Relationship Id="rId47" Type="http://schemas.openxmlformats.org/officeDocument/2006/relationships/hyperlink" Target="http://eippcb.jrc.ec.europa.eu/reference/BREF/CAK_BREF_102014.pdf" TargetMode="External"/><Relationship Id="rId50" Type="http://schemas.openxmlformats.org/officeDocument/2006/relationships/comments" Target="comments.xml"/><Relationship Id="rId55" Type="http://schemas.openxmlformats.org/officeDocument/2006/relationships/hyperlink" Target="https://eur-lex.europa.eu/legal-content/EN/TXT/PDF/?uri=CELEX%3A32011D0278&amp;amp;from=EN" TargetMode="External"/><Relationship Id="rId63" Type="http://schemas.openxmlformats.org/officeDocument/2006/relationships/hyperlink" Target="http://eippcb.jrc.ec.europa.eu/reference/BREF/lvic-s_bref_0907.pdf" TargetMode="External"/><Relationship Id="rId68" Type="http://schemas.openxmlformats.org/officeDocument/2006/relationships/hyperlink" Target="https://ec.europa.eu/clima/sites/clima/files/ets/allowances/docs/gd9_sector_specific_guidance_en.pdf" TargetMode="External"/><Relationship Id="rId76" Type="http://schemas.openxmlformats.org/officeDocument/2006/relationships/hyperlink" Target="https://dechema.de/dechema_media/Downloads/Positionspapiere/Technology_study_Low_carbon_energy_and_feedstock_for_the_European_chemical_industry-p-20002750.pdf" TargetMode="External"/><Relationship Id="rId7" Type="http://schemas.openxmlformats.org/officeDocument/2006/relationships/endnotes" Target="endnotes.xml"/><Relationship Id="rId71" Type="http://schemas.openxmlformats.org/officeDocument/2006/relationships/hyperlink" Target="http://eippcb.jrc.ec.europa.eu/reference/BREF/lvic_aaf.pdf" TargetMode="External"/><Relationship Id="rId2" Type="http://schemas.openxmlformats.org/officeDocument/2006/relationships/numbering" Target="numbering.xml"/><Relationship Id="rId16" Type="http://schemas.openxmlformats.org/officeDocument/2006/relationships/hyperlink" Target="https://webstore.iea.org/technology-roadmap-low-carbon-transition-in-the-cement-industry" TargetMode="External"/><Relationship Id="rId29" Type="http://schemas.openxmlformats.org/officeDocument/2006/relationships/hyperlink" Target="http://www.energy-transitions.org/sites/default/files/ETC_MissionPossible_FullReport.pdf" TargetMode="External"/><Relationship Id="rId11" Type="http://schemas.openxmlformats.org/officeDocument/2006/relationships/hyperlink" Target="http://www.europeanwaterlabel.eu/" TargetMode="External"/><Relationship Id="rId24" Type="http://schemas.openxmlformats.org/officeDocument/2006/relationships/hyperlink" Target="https://eur-lex.europa.eu/legal-content/EN/TXT/?uri=uriserv%3AOJ.L_.2016.174.01.0032.01.ENG" TargetMode="External"/><Relationship Id="rId32" Type="http://schemas.openxmlformats.org/officeDocument/2006/relationships/hyperlink" Target="http://www.certifhy.eu/" TargetMode="External"/><Relationship Id="rId37" Type="http://schemas.openxmlformats.org/officeDocument/2006/relationships/hyperlink" Target="https://epub.wupperinst.org/frontdoor/deliver/index/docId/6478/file/6478_Lechtenboehmer.pdf" TargetMode="External"/><Relationship Id="rId40" Type="http://schemas.openxmlformats.org/officeDocument/2006/relationships/hyperlink" Target="https://eur-lex.europa.eu/legal-content/EN/TXT/PDF/?uri=CELEX%3A32011D0278&amp;amp;from=EN" TargetMode="External"/><Relationship Id="rId45" Type="http://schemas.openxmlformats.org/officeDocument/2006/relationships/hyperlink" Target="https://eur-lex.europa.eu/legal-content/EN/TXT/PDF/?uri=CELEX%3A02003L0087-20180408&amp;amp;qid=1547917622180&amp;amp;from=EN" TargetMode="External"/><Relationship Id="rId53" Type="http://schemas.openxmlformats.org/officeDocument/2006/relationships/hyperlink" Target="http://publications.jrc.ec.europa.eu/repository/bitstream/JRC105767/kj-na-28471-enn.pdf" TargetMode="External"/><Relationship Id="rId58" Type="http://schemas.openxmlformats.org/officeDocument/2006/relationships/hyperlink" Target="https://ec.europa.eu/jrc/en/publication/eur-scientific-and-technical-research-reports/best-available-techniques-bat-reference-document-production-large-volume-organic-chemicals" TargetMode="External"/><Relationship Id="rId66" Type="http://schemas.openxmlformats.org/officeDocument/2006/relationships/hyperlink" Target="http://eippcb.jrc.ec.europa.eu/reference/BREF/REF_BREF_2015.pdf" TargetMode="External"/><Relationship Id="rId74" Type="http://schemas.openxmlformats.org/officeDocument/2006/relationships/hyperlink" Target="http://publications.jrc.ec.europa.eu/repository/bitstream/JRC105767/kj-na-28471-enn.pdf" TargetMode="External"/><Relationship Id="rId79" Type="http://schemas.openxmlformats.org/officeDocument/2006/relationships/hyperlink" Target="http://publications.jrc.ec.europa.eu/repository/bitstream/JRC105767/kj-na-28471-enn.pdf" TargetMode="External"/><Relationship Id="rId5" Type="http://schemas.openxmlformats.org/officeDocument/2006/relationships/webSettings" Target="webSettings.xml"/><Relationship Id="rId61" Type="http://schemas.openxmlformats.org/officeDocument/2006/relationships/hyperlink" Target="https://ec.europa.eu/jrc/en/science-update/future-bio-based-chemicals-eu-bioeconomy" TargetMode="External"/><Relationship Id="rId82" Type="http://schemas.openxmlformats.org/officeDocument/2006/relationships/theme" Target="theme/theme1.xml"/><Relationship Id="rId10" Type="http://schemas.openxmlformats.org/officeDocument/2006/relationships/hyperlink" Target="http://www.europeanwaterlabel.eu/" TargetMode="External"/><Relationship Id="rId19" Type="http://schemas.openxmlformats.org/officeDocument/2006/relationships/hyperlink" Target="http://www.world-aluminium.org/statistics/primary-aluminium-smelting-power-consumption/" TargetMode="External"/><Relationship Id="rId31" Type="http://schemas.openxmlformats.org/officeDocument/2006/relationships/hyperlink" Target="https://ec.europa.eu/clima/sites/clima/files/docs/pages/com_2018_733_analysis_in_support_en_0.pdf" TargetMode="External"/><Relationship Id="rId44" Type="http://schemas.openxmlformats.org/officeDocument/2006/relationships/hyperlink" Target="https://eur-lex.europa.eu/legal-content/EN/TXT/PDF/?uri=CELEX%3A02003L0087-20180408&amp;amp;qid=1547917622180&amp;amp;from=EN" TargetMode="External"/><Relationship Id="rId52" Type="http://schemas.microsoft.com/office/2016/09/relationships/commentsIds" Target="commentsIds.xml"/><Relationship Id="rId60" Type="http://schemas.openxmlformats.org/officeDocument/2006/relationships/hyperlink" Target="https://eur-lex.europa.eu/legal-content/EN/TXT/PDF/?uri=CELEX%3A02003L0087-20180408&amp;amp;qid=1547917622180&amp;amp;from=EN" TargetMode="External"/><Relationship Id="rId65" Type="http://schemas.openxmlformats.org/officeDocument/2006/relationships/hyperlink" Target="http://eippcb.jrc.ec.europa.eu/reference/BREF/esb_bref_0706.pdf" TargetMode="External"/><Relationship Id="rId73" Type="http://schemas.openxmlformats.org/officeDocument/2006/relationships/hyperlink" Target="https://eur-lex.europa.eu/legal-content/EN/TXT/PDF/?uri=CELEX%3A02003L0087-20180408&amp;amp;qid=1547917622180&amp;amp;from=EN" TargetMode="External"/><Relationship Id="rId78" Type="http://schemas.openxmlformats.org/officeDocument/2006/relationships/hyperlink" Target="https://ec.europa.eu/clima/sites/clima/files/docs/pages/com_2018_733_analysis_in_support_en_0.pdf" TargetMode="Externa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c.europa.eu/info/publications/sustainable-finance-teg-taxonomy_en" TargetMode="External"/><Relationship Id="rId14" Type="http://schemas.openxmlformats.org/officeDocument/2006/relationships/hyperlink" Target="https://eur-lex.europa.eu/legal-content/EN/TXT/PDF/?uri=CELEX%3A32011D0278&amp;amp;from=EN" TargetMode="External"/><Relationship Id="rId22" Type="http://schemas.openxmlformats.org/officeDocument/2006/relationships/hyperlink" Target="http://www.world-aluminium.org/statistics/primary-aluminium-smelting-energy-intensity/" TargetMode="External"/><Relationship Id="rId27" Type="http://schemas.openxmlformats.org/officeDocument/2006/relationships/hyperlink" Target="https://dechema.de/dechema_media/Downloads/Positionspapiere/Technology_study_Low_carbon_energy_and_feedstock_for_the_European_chemical_industry-p-20002750.pdf" TargetMode="External"/><Relationship Id="rId30" Type="http://schemas.openxmlformats.org/officeDocument/2006/relationships/hyperlink" Target="http://publications.jrc.ec.europa.eu/repository/bitstream/JRC105767/kj-na-28471-enn.pdf" TargetMode="External"/><Relationship Id="rId35" Type="http://schemas.openxmlformats.org/officeDocument/2006/relationships/hyperlink" Target="http://www.eurochlor.org/wp-content/uploads/2019/04/12-electrolysis_production_costs.pdf" TargetMode="External"/><Relationship Id="rId43" Type="http://schemas.openxmlformats.org/officeDocument/2006/relationships/hyperlink" Target="http://eippcb.jrc.ec.europa.eu/reference/BREF/CAK_BREF_102014.pdf" TargetMode="External"/><Relationship Id="rId48" Type="http://schemas.openxmlformats.org/officeDocument/2006/relationships/hyperlink" Target="https://eur-lex.europa.eu/legal-content/EN/TXT/PDF/?uri=CELEX%3A02003L0087-20180408&amp;amp;qid=1547917622180&amp;amp;from=EN" TargetMode="External"/><Relationship Id="rId56" Type="http://schemas.openxmlformats.org/officeDocument/2006/relationships/hyperlink" Target="https://ec.europa.eu/clima/sites/clima/files/ets/allowances/docs/gd9_sector_specific_guidance_en.pdf" TargetMode="External"/><Relationship Id="rId64" Type="http://schemas.openxmlformats.org/officeDocument/2006/relationships/hyperlink" Target="http://eippcb.jrc.ec.europa.eu/reference/BREF/CWW_Bref_2016_published.pdf" TargetMode="External"/><Relationship Id="rId69" Type="http://schemas.openxmlformats.org/officeDocument/2006/relationships/hyperlink" Target="https://ec.europa.eu/clima/sites/clima/files/ets/allowances/docs/gd9_sector_specific_guidance_en.pdf" TargetMode="External"/><Relationship Id="rId77" Type="http://schemas.openxmlformats.org/officeDocument/2006/relationships/hyperlink" Target="https://ec.europa.eu/clima/sites/clima/files/docs/pages/com_2018_733_analysis_in_support_en_0.pdf" TargetMode="External"/><Relationship Id="rId8" Type="http://schemas.openxmlformats.org/officeDocument/2006/relationships/footer" Target="footer1.xml"/><Relationship Id="rId51" Type="http://schemas.microsoft.com/office/2011/relationships/commentsExtended" Target="commentsExtended.xml"/><Relationship Id="rId72" Type="http://schemas.openxmlformats.org/officeDocument/2006/relationships/hyperlink" Target="https://eur-lex.europa.eu/legal-content/EN/TXT/PDF/?uri=CELEX%3A02003L0087-20180408&amp;amp;qid=1547917622180&amp;amp;from=E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uropeanwaterlabel.eu/" TargetMode="External"/><Relationship Id="rId17" Type="http://schemas.openxmlformats.org/officeDocument/2006/relationships/hyperlink" Target="https://docs.wbcsd.org/2017/06/CSI_ECRA_Technology_Papers_2017.pdf" TargetMode="External"/><Relationship Id="rId25" Type="http://schemas.openxmlformats.org/officeDocument/2006/relationships/hyperlink" Target="http://publications.jrc.ec.europa.eu/repository/bitstream/JRC105767/kj-na-28471-enn.pdf" TargetMode="External"/><Relationship Id="rId33" Type="http://schemas.openxmlformats.org/officeDocument/2006/relationships/hyperlink" Target="https://dechema.de/dechema_media/Downloads/Positionspapiere/Technology_study_Low_carbon_energy_and_feedstock_for_the_European_chemical_industry-p-20002750.pdf" TargetMode="External"/><Relationship Id="rId38" Type="http://schemas.openxmlformats.org/officeDocument/2006/relationships/hyperlink" Target="http://publications.jrc.ec.europa.eu/repository/bitstream/JRC105767/kj-na-28471-enn.pdf" TargetMode="External"/><Relationship Id="rId46" Type="http://schemas.openxmlformats.org/officeDocument/2006/relationships/hyperlink" Target="http://eippcb.jrc.ec.europa.eu/reference/BREF/lvic-s_bref_0907.pdf" TargetMode="External"/><Relationship Id="rId59" Type="http://schemas.openxmlformats.org/officeDocument/2006/relationships/hyperlink" Target="https://eur-lex.europa.eu/legal-content/EN/TXT/PDF/?uri=CELEX%3A02003L0087-20180408&amp;amp;qid=1547917622180&amp;amp;from=EN" TargetMode="External"/><Relationship Id="rId67" Type="http://schemas.openxmlformats.org/officeDocument/2006/relationships/hyperlink" Target="http://eippcb.jrc.ec.europa.eu/reference/BREF/WI/WI_BREF_FD_Black_Watermark.pdf" TargetMode="External"/><Relationship Id="rId20" Type="http://schemas.openxmlformats.org/officeDocument/2006/relationships/hyperlink" Target="https://aluminium-stewardship.org/asi-standards/asi-performance-standard/" TargetMode="External"/><Relationship Id="rId41" Type="http://schemas.openxmlformats.org/officeDocument/2006/relationships/hyperlink" Target="https://ec.europa.eu/clima/sites/clima/files/ets/allowances/docs/gd9_sector_specific_guidance_en.pdf" TargetMode="External"/><Relationship Id="rId54" Type="http://schemas.openxmlformats.org/officeDocument/2006/relationships/hyperlink" Target="http://publications.jrc.ec.europa.eu/repository/bitstream/JRC105767/kj-na-28471-enn.pdf" TargetMode="External"/><Relationship Id="rId62" Type="http://schemas.openxmlformats.org/officeDocument/2006/relationships/hyperlink" Target="http://eippcb.jrc.ec.europa.eu/reference/BREF/WT/JRC113018_WT_Bref.pdf" TargetMode="External"/><Relationship Id="rId70" Type="http://schemas.openxmlformats.org/officeDocument/2006/relationships/hyperlink" Target="https://eur-lex.europa.eu/legal-content/EN/TXT/PDF/?uri=CELEX%3A32011D0278&amp;amp;from=EN" TargetMode="External"/><Relationship Id="rId75" Type="http://schemas.openxmlformats.org/officeDocument/2006/relationships/hyperlink" Target="https://dechema.de/dechema_media/Downloads/Positionspapiere/Technology_study_Low_carbon_energy_and_feedstock_for_the_European_chemical_industry-p-2000275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store.iea.org/technology-roadmap-low-carbon-transition-in-the-cement-industry" TargetMode="External"/><Relationship Id="rId23" Type="http://schemas.openxmlformats.org/officeDocument/2006/relationships/hyperlink" Target="http://www.world-aluminium.org/statistics/primary-aluminium-smelting-energy-intensity/" TargetMode="External"/><Relationship Id="rId28" Type="http://schemas.openxmlformats.org/officeDocument/2006/relationships/hyperlink" Target="https://ec.europa.eu/clima/sites/clima/files/docs/pages/com_2018_733_analysis_in_support_en_0.pdf" TargetMode="External"/><Relationship Id="rId36" Type="http://schemas.openxmlformats.org/officeDocument/2006/relationships/hyperlink" Target="https://eur-lex.europa.eu/LexUriServ/LexUriServ.do?uri=OJ%3AC%3A2012%3A387%3A0005%3A0013%3AEN%3APDF" TargetMode="External"/><Relationship Id="rId49" Type="http://schemas.openxmlformats.org/officeDocument/2006/relationships/hyperlink" Target="https://eur-lex.europa.eu/legal-content/EN/TXT/PDF/?uri=CELEX%3A02003L0087-20180408&amp;amp;qid=1547917622180&amp;amp;from=EN" TargetMode="External"/><Relationship Id="rId57" Type="http://schemas.openxmlformats.org/officeDocument/2006/relationships/hyperlink" Target="https://ec.europa.eu/jrc/en/publication/eur-scientific-and-technical-research-reports/best-available-techniques-bat-reference-document-production-large-volume-organic-chem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2AF0-C6F9-47CC-96E5-B27F10FB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7915</Words>
  <Characters>45116</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cp:lastPrinted>2020-08-06T06:03:00Z</cp:lastPrinted>
  <dcterms:created xsi:type="dcterms:W3CDTF">2021-01-28T02:21:00Z</dcterms:created>
  <dcterms:modified xsi:type="dcterms:W3CDTF">2021-01-28T02:21:00Z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2020-08-06T00:00:00Z</vt:filetime>
  </property>
</Properties>
</file>