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AE949" w14:textId="77777777" w:rsidR="00410BDF" w:rsidRDefault="00CF7372">
      <w:pPr>
        <w:pStyle w:val="a4"/>
        <w:numPr>
          <w:ilvl w:val="0"/>
          <w:numId w:val="37"/>
        </w:numPr>
        <w:tabs>
          <w:tab w:val="left" w:pos="820"/>
          <w:tab w:val="left" w:pos="821"/>
        </w:tabs>
        <w:spacing w:before="79"/>
        <w:rPr>
          <w:b/>
          <w:sz w:val="28"/>
        </w:rPr>
      </w:pPr>
      <w:proofErr w:type="spellStart"/>
      <w:r>
        <w:rPr>
          <w:b/>
          <w:color w:val="087ADA"/>
          <w:sz w:val="28"/>
        </w:rPr>
        <w:t>農業</w:t>
      </w:r>
      <w:proofErr w:type="spellEnd"/>
    </w:p>
    <w:p w14:paraId="38744D0B" w14:textId="77777777" w:rsidR="00410BDF" w:rsidRDefault="00410BDF">
      <w:pPr>
        <w:pStyle w:val="a3"/>
        <w:spacing w:before="1"/>
        <w:rPr>
          <w:b/>
          <w:sz w:val="25"/>
        </w:rPr>
      </w:pPr>
    </w:p>
    <w:p w14:paraId="60BC6953" w14:textId="6B15FE06" w:rsidR="00410BDF" w:rsidRDefault="00CF7372">
      <w:pPr>
        <w:pStyle w:val="2"/>
        <w:ind w:left="100"/>
        <w:rPr>
          <w:lang w:eastAsia="ja-JP"/>
        </w:rPr>
      </w:pPr>
      <w:r>
        <w:rPr>
          <w:lang w:eastAsia="ja-JP"/>
        </w:rPr>
        <w:t>なぜ農業が</w:t>
      </w:r>
      <w:r w:rsidR="00B83F9B">
        <w:rPr>
          <w:lang w:eastAsia="ja-JP"/>
        </w:rPr>
        <w:t>タクソノミー</w:t>
      </w:r>
      <w:r>
        <w:rPr>
          <w:lang w:eastAsia="ja-JP"/>
        </w:rPr>
        <w:t>で扱われるのか</w:t>
      </w:r>
      <w:r w:rsidR="002207F8">
        <w:rPr>
          <w:rFonts w:hint="eastAsia"/>
          <w:lang w:eastAsia="ja-JP"/>
        </w:rPr>
        <w:t xml:space="preserve">　</w:t>
      </w:r>
    </w:p>
    <w:p w14:paraId="3721762F" w14:textId="77777777" w:rsidR="00410BDF" w:rsidRDefault="00410BDF">
      <w:pPr>
        <w:pStyle w:val="a3"/>
        <w:spacing w:before="9"/>
        <w:rPr>
          <w:b/>
          <w:sz w:val="23"/>
          <w:lang w:eastAsia="ja-JP"/>
        </w:rPr>
      </w:pPr>
    </w:p>
    <w:p w14:paraId="19BFCB88" w14:textId="558835D8" w:rsidR="00410BDF" w:rsidRDefault="00CF7372">
      <w:pPr>
        <w:pStyle w:val="a3"/>
        <w:spacing w:line="276" w:lineRule="auto"/>
        <w:ind w:left="100" w:right="109"/>
        <w:rPr>
          <w:lang w:eastAsia="ja-JP"/>
        </w:rPr>
      </w:pPr>
      <w:r>
        <w:rPr>
          <w:lang w:eastAsia="ja-JP"/>
        </w:rPr>
        <w:t>農業とは、食品、飼料、繊維、燃料、その他の製品を生産・加工するための自然環境、植物、動物の管理である。 セクターとして、気候変動、持続可能な開発、食料安全保障において中心的な役割を果たしている。 2050年までに、世界の人口は100億人に増加し、食料需要は50%増加すると予測されている。 しかし、現在でも、食料サプライチェーンは世界の温室効果ガス(GHG)排出量の19～29%を占めており、その大部分はほとんどのサプライチェーン</w:t>
      </w:r>
      <w:r w:rsidR="00B83F9B">
        <w:rPr>
          <w:rFonts w:hint="eastAsia"/>
          <w:lang w:eastAsia="ja-JP"/>
        </w:rPr>
        <w:t>について</w:t>
      </w:r>
      <w:r>
        <w:rPr>
          <w:lang w:eastAsia="ja-JP"/>
        </w:rPr>
        <w:t>農</w:t>
      </w:r>
      <w:r w:rsidR="00CF5486">
        <w:rPr>
          <w:rFonts w:hint="eastAsia"/>
          <w:lang w:eastAsia="ja-JP"/>
        </w:rPr>
        <w:t>場</w:t>
      </w:r>
      <w:r>
        <w:rPr>
          <w:lang w:eastAsia="ja-JP"/>
        </w:rPr>
        <w:t>レベル(80～90%)で発生している。 EUでは、GHG排出量の10%が農業に起因して</w:t>
      </w:r>
      <w:r w:rsidR="005F0270">
        <w:rPr>
          <w:rFonts w:hint="eastAsia"/>
          <w:lang w:eastAsia="ja-JP"/>
        </w:rPr>
        <w:t>おり、</w:t>
      </w:r>
      <w:r>
        <w:rPr>
          <w:lang w:eastAsia="ja-JP"/>
        </w:rPr>
        <w:t>124</w:t>
      </w:r>
      <w:r w:rsidR="00B83F9B">
        <w:rPr>
          <w:rFonts w:hint="eastAsia"/>
          <w:lang w:eastAsia="ja-JP"/>
        </w:rPr>
        <w:t>これ</w:t>
      </w:r>
      <w:r>
        <w:rPr>
          <w:lang w:eastAsia="ja-JP"/>
        </w:rPr>
        <w:t>だけでも、大きな気候変動緩和の機会を提供している。 しかし、農業は、気候変動緩和</w:t>
      </w:r>
      <w:r w:rsidR="005F0270">
        <w:rPr>
          <w:rFonts w:hint="eastAsia"/>
          <w:lang w:eastAsia="ja-JP"/>
        </w:rPr>
        <w:t>について</w:t>
      </w:r>
      <w:r>
        <w:rPr>
          <w:lang w:eastAsia="ja-JP"/>
        </w:rPr>
        <w:t>GHG</w:t>
      </w:r>
      <w:r w:rsidR="005F0270">
        <w:rPr>
          <w:lang w:eastAsia="ja-JP"/>
        </w:rPr>
        <w:t>排出</w:t>
      </w:r>
      <w:r>
        <w:rPr>
          <w:lang w:eastAsia="ja-JP"/>
        </w:rPr>
        <w:t>源と吸収源の両方として作用する可能性があるため、</w:t>
      </w:r>
      <w:r w:rsidR="00B83F9B">
        <w:rPr>
          <w:rFonts w:hint="eastAsia"/>
          <w:lang w:eastAsia="ja-JP"/>
        </w:rPr>
        <w:t>取り組み方が</w:t>
      </w:r>
      <w:r>
        <w:rPr>
          <w:lang w:eastAsia="ja-JP"/>
        </w:rPr>
        <w:t>他の部門とは異なって</w:t>
      </w:r>
      <w:r w:rsidR="00B83F9B">
        <w:rPr>
          <w:rFonts w:hint="eastAsia"/>
          <w:lang w:eastAsia="ja-JP"/>
        </w:rPr>
        <w:t>く</w:t>
      </w:r>
      <w:r>
        <w:rPr>
          <w:lang w:eastAsia="ja-JP"/>
        </w:rPr>
        <w:t xml:space="preserve">る。 土壌炭素とバイオマス(樹木、低木、草原)もまた、主要な炭素プールとして重要である。 </w:t>
      </w:r>
      <w:r w:rsidR="005F0270">
        <w:rPr>
          <w:lang w:eastAsia="ja-JP"/>
        </w:rPr>
        <w:t>この理由から、農業は排出の観点</w:t>
      </w:r>
      <w:r w:rsidR="005F0270">
        <w:rPr>
          <w:rFonts w:hint="eastAsia"/>
          <w:lang w:eastAsia="ja-JP"/>
        </w:rPr>
        <w:t>で</w:t>
      </w:r>
      <w:r>
        <w:rPr>
          <w:lang w:eastAsia="ja-JP"/>
        </w:rPr>
        <w:t xml:space="preserve">正味のプラス部門となる可能性がある。 </w:t>
      </w:r>
      <w:r w:rsidR="005F0270">
        <w:rPr>
          <w:lang w:eastAsia="ja-JP"/>
        </w:rPr>
        <w:t>同時に</w:t>
      </w:r>
      <w:r>
        <w:rPr>
          <w:lang w:eastAsia="ja-JP"/>
        </w:rPr>
        <w:t>農業</w:t>
      </w:r>
      <w:r w:rsidR="005F0270">
        <w:rPr>
          <w:rFonts w:hint="eastAsia"/>
          <w:lang w:eastAsia="ja-JP"/>
        </w:rPr>
        <w:t>はその</w:t>
      </w:r>
      <w:r w:rsidR="005F0270">
        <w:rPr>
          <w:lang w:eastAsia="ja-JP"/>
        </w:rPr>
        <w:t>生産性</w:t>
      </w:r>
      <w:r w:rsidR="005F0270">
        <w:rPr>
          <w:rFonts w:hint="eastAsia"/>
          <w:lang w:eastAsia="ja-JP"/>
        </w:rPr>
        <w:t>において</w:t>
      </w:r>
      <w:r>
        <w:rPr>
          <w:lang w:eastAsia="ja-JP"/>
        </w:rPr>
        <w:t>気候変動(熱ストレス、干ばつ、洪水、季節性及び極端な気象現象の変化を含むが、これらに限定されない)に対して脆弱であり</w:t>
      </w:r>
      <w:r w:rsidR="00B83F9B">
        <w:rPr>
          <w:rFonts w:hint="eastAsia"/>
          <w:lang w:eastAsia="ja-JP"/>
        </w:rPr>
        <w:t>ながら</w:t>
      </w:r>
      <w:r>
        <w:rPr>
          <w:lang w:eastAsia="ja-JP"/>
        </w:rPr>
        <w:t>、世界中の数十億の世帯に生態系サービスと</w:t>
      </w:r>
      <w:r w:rsidR="00B83F9B">
        <w:rPr>
          <w:rFonts w:hint="eastAsia"/>
          <w:lang w:eastAsia="ja-JP"/>
        </w:rPr>
        <w:t>金銭的</w:t>
      </w:r>
      <w:r>
        <w:rPr>
          <w:lang w:eastAsia="ja-JP"/>
        </w:rPr>
        <w:t>所得を提供することによって</w:t>
      </w:r>
      <w:r w:rsidR="00B83F9B">
        <w:rPr>
          <w:rFonts w:hint="eastAsia"/>
          <w:lang w:eastAsia="ja-JP"/>
        </w:rPr>
        <w:t>、気候変動への</w:t>
      </w:r>
      <w:r>
        <w:rPr>
          <w:lang w:eastAsia="ja-JP"/>
        </w:rPr>
        <w:t>適応と回復力を</w:t>
      </w:r>
      <w:r w:rsidR="00B83F9B">
        <w:rPr>
          <w:rFonts w:hint="eastAsia"/>
          <w:lang w:eastAsia="ja-JP"/>
        </w:rPr>
        <w:t>もたらしているのである</w:t>
      </w:r>
      <w:r>
        <w:rPr>
          <w:lang w:eastAsia="ja-JP"/>
        </w:rPr>
        <w:t>。</w:t>
      </w:r>
    </w:p>
    <w:p w14:paraId="6DEFEDCE" w14:textId="77777777" w:rsidR="00410BDF" w:rsidRDefault="00410BDF">
      <w:pPr>
        <w:pStyle w:val="a3"/>
        <w:rPr>
          <w:sz w:val="21"/>
          <w:lang w:eastAsia="ja-JP"/>
        </w:rPr>
      </w:pPr>
    </w:p>
    <w:p w14:paraId="2882EA07" w14:textId="77777777" w:rsidR="00410BDF" w:rsidRDefault="00CF7372">
      <w:pPr>
        <w:pStyle w:val="2"/>
        <w:ind w:left="100"/>
        <w:rPr>
          <w:lang w:eastAsia="ja-JP"/>
        </w:rPr>
      </w:pPr>
      <w:r>
        <w:rPr>
          <w:lang w:eastAsia="ja-JP"/>
        </w:rPr>
        <w:t>対象</w:t>
      </w:r>
    </w:p>
    <w:p w14:paraId="4158E17D" w14:textId="77777777" w:rsidR="00410BDF" w:rsidRDefault="00410BDF">
      <w:pPr>
        <w:pStyle w:val="a3"/>
        <w:spacing w:before="9"/>
        <w:rPr>
          <w:b/>
          <w:sz w:val="23"/>
          <w:lang w:eastAsia="ja-JP"/>
        </w:rPr>
      </w:pPr>
    </w:p>
    <w:p w14:paraId="09CF552D" w14:textId="6A3DA9EC" w:rsidR="00410BDF" w:rsidRDefault="00CF7372">
      <w:pPr>
        <w:pStyle w:val="a3"/>
        <w:spacing w:before="1"/>
        <w:ind w:left="100"/>
        <w:rPr>
          <w:lang w:eastAsia="ja-JP"/>
        </w:rPr>
      </w:pPr>
      <w:r>
        <w:rPr>
          <w:lang w:eastAsia="ja-JP"/>
        </w:rPr>
        <w:t>以下の経済活動は、</w:t>
      </w:r>
      <w:r w:rsidR="00B83F9B">
        <w:rPr>
          <w:lang w:eastAsia="ja-JP"/>
        </w:rPr>
        <w:t>タクソノミー</w:t>
      </w:r>
      <w:r>
        <w:rPr>
          <w:lang w:eastAsia="ja-JP"/>
        </w:rPr>
        <w:t>で明示的に扱われている。</w:t>
      </w:r>
    </w:p>
    <w:p w14:paraId="72034DE0" w14:textId="77777777" w:rsidR="00410BDF" w:rsidRDefault="00CF7372">
      <w:pPr>
        <w:pStyle w:val="a4"/>
        <w:numPr>
          <w:ilvl w:val="1"/>
          <w:numId w:val="37"/>
        </w:numPr>
        <w:tabs>
          <w:tab w:val="left" w:pos="820"/>
          <w:tab w:val="left" w:pos="821"/>
        </w:tabs>
        <w:spacing w:before="116" w:line="271" w:lineRule="auto"/>
        <w:ind w:right="334"/>
        <w:rPr>
          <w:sz w:val="20"/>
        </w:rPr>
      </w:pPr>
      <w:r>
        <w:rPr>
          <w:sz w:val="20"/>
          <w:lang w:eastAsia="ja-JP"/>
        </w:rPr>
        <w:t>非多年生植物の栽培(穀物、米、マメ科作物及び油糧種子、野菜、メロン、根及び塊茎、さとうきび及び繊維作物を含む。</w:t>
      </w:r>
      <w:r>
        <w:rPr>
          <w:sz w:val="20"/>
        </w:rPr>
        <w:t>)</w:t>
      </w:r>
    </w:p>
    <w:p w14:paraId="03CF82DD" w14:textId="77777777" w:rsidR="00410BDF" w:rsidRDefault="00CF7372">
      <w:pPr>
        <w:pStyle w:val="a4"/>
        <w:numPr>
          <w:ilvl w:val="1"/>
          <w:numId w:val="37"/>
        </w:numPr>
        <w:tabs>
          <w:tab w:val="left" w:pos="820"/>
          <w:tab w:val="left" w:pos="821"/>
        </w:tabs>
        <w:spacing w:before="85" w:line="273" w:lineRule="auto"/>
        <w:ind w:right="158"/>
        <w:rPr>
          <w:sz w:val="20"/>
          <w:lang w:eastAsia="ja-JP"/>
        </w:rPr>
      </w:pPr>
      <w:r>
        <w:rPr>
          <w:sz w:val="20"/>
          <w:lang w:eastAsia="ja-JP"/>
        </w:rPr>
        <w:t>多年生植物の栽培:ブドウ、熱帯果実及び亜熱帯果実、かんきつ類果実、石果類果実、その他の樹木及びブッシュの果実及びナッツ、油脂果実、飲料作物、香辛料、芳香料並びに麻薬及び薬用作物、牧草粕を含む。</w:t>
      </w:r>
    </w:p>
    <w:p w14:paraId="4ADC0EC2" w14:textId="77777777" w:rsidR="00410BDF" w:rsidRDefault="00CF7372">
      <w:pPr>
        <w:pStyle w:val="a4"/>
        <w:numPr>
          <w:ilvl w:val="1"/>
          <w:numId w:val="37"/>
        </w:numPr>
        <w:tabs>
          <w:tab w:val="left" w:pos="820"/>
          <w:tab w:val="left" w:pos="821"/>
        </w:tabs>
        <w:spacing w:before="85" w:line="271" w:lineRule="auto"/>
        <w:ind w:right="306"/>
        <w:rPr>
          <w:sz w:val="20"/>
          <w:lang w:eastAsia="ja-JP"/>
        </w:rPr>
      </w:pPr>
      <w:r>
        <w:rPr>
          <w:sz w:val="20"/>
          <w:lang w:eastAsia="ja-JP"/>
        </w:rPr>
        <w:t>動物生産:乳牛、その他の牛およびバッファロー、ヒツジ、ヤギ、豚および家禽を含む。また、それらの廃棄物(肥料)および関連する草地または牧草地の管理を含む。</w:t>
      </w:r>
    </w:p>
    <w:p w14:paraId="772F0456" w14:textId="2A582101" w:rsidR="00410BDF" w:rsidRDefault="00CF7372">
      <w:pPr>
        <w:pStyle w:val="a3"/>
        <w:spacing w:before="124" w:line="276" w:lineRule="auto"/>
        <w:ind w:left="100" w:right="164"/>
        <w:rPr>
          <w:lang w:eastAsia="ja-JP"/>
        </w:rPr>
      </w:pPr>
      <w:r>
        <w:rPr>
          <w:lang w:eastAsia="ja-JP"/>
        </w:rPr>
        <w:t>加えて、上記の活動の組み合わせが農場の所有地で実施される混合農業</w:t>
      </w:r>
      <w:r w:rsidR="005F0270">
        <w:rPr>
          <w:rFonts w:hint="eastAsia"/>
          <w:lang w:eastAsia="ja-JP"/>
        </w:rPr>
        <w:t>の場合</w:t>
      </w:r>
      <w:r>
        <w:rPr>
          <w:lang w:eastAsia="ja-JP"/>
        </w:rPr>
        <w:t>は、これらの3つの活動</w:t>
      </w:r>
      <w:r w:rsidR="005F0270">
        <w:rPr>
          <w:rFonts w:hint="eastAsia"/>
          <w:lang w:eastAsia="ja-JP"/>
        </w:rPr>
        <w:t>についての閾</w:t>
      </w:r>
      <w:r>
        <w:rPr>
          <w:lang w:eastAsia="ja-JP"/>
        </w:rPr>
        <w:t xml:space="preserve">値と基準の適用を通して対処することができる。 </w:t>
      </w:r>
      <w:r w:rsidR="00B83F9B">
        <w:rPr>
          <w:lang w:eastAsia="ja-JP"/>
        </w:rPr>
        <w:t>タクソノミー</w:t>
      </w:r>
      <w:r>
        <w:rPr>
          <w:lang w:eastAsia="ja-JP"/>
        </w:rPr>
        <w:t>の</w:t>
      </w:r>
      <w:r w:rsidR="00B83F9B">
        <w:rPr>
          <w:rFonts w:hint="eastAsia"/>
          <w:lang w:eastAsia="ja-JP"/>
        </w:rPr>
        <w:t>対象として</w:t>
      </w:r>
      <w:r>
        <w:rPr>
          <w:lang w:eastAsia="ja-JP"/>
        </w:rPr>
        <w:t>、混合</w:t>
      </w:r>
      <w:r w:rsidR="00B83F9B">
        <w:rPr>
          <w:rFonts w:hint="eastAsia"/>
          <w:lang w:eastAsia="ja-JP"/>
        </w:rPr>
        <w:t>農業</w:t>
      </w:r>
      <w:r>
        <w:rPr>
          <w:lang w:eastAsia="ja-JP"/>
        </w:rPr>
        <w:t>は家畜と作物生産の両方を伴う</w:t>
      </w:r>
      <w:r w:rsidR="005F0270">
        <w:rPr>
          <w:rFonts w:hint="eastAsia"/>
          <w:lang w:eastAsia="ja-JP"/>
        </w:rPr>
        <w:t>さまざまな</w:t>
      </w:r>
      <w:r>
        <w:rPr>
          <w:lang w:eastAsia="ja-JP"/>
        </w:rPr>
        <w:t>営農</w:t>
      </w:r>
      <w:r w:rsidR="00B83F9B">
        <w:rPr>
          <w:rFonts w:hint="eastAsia"/>
          <w:lang w:eastAsia="ja-JP"/>
        </w:rPr>
        <w:t>形態</w:t>
      </w:r>
      <w:r>
        <w:rPr>
          <w:lang w:eastAsia="ja-JP"/>
        </w:rPr>
        <w:t>を含む。 混合農業で栽培された作物は、家畜に飼料を与えるために、または換金作物として別売するため</w:t>
      </w:r>
      <w:r w:rsidR="005F0270">
        <w:rPr>
          <w:rFonts w:hint="eastAsia"/>
          <w:lang w:eastAsia="ja-JP"/>
        </w:rPr>
        <w:t>に供す</w:t>
      </w:r>
      <w:r>
        <w:rPr>
          <w:lang w:eastAsia="ja-JP"/>
        </w:rPr>
        <w:t>ることができる。 混合農業経営を評価する際には、多年生作物(例えば、ブドウ園や果樹園が含まれる場合)または</w:t>
      </w:r>
      <w:r w:rsidR="005F0270">
        <w:rPr>
          <w:rFonts w:hint="eastAsia"/>
          <w:lang w:eastAsia="ja-JP"/>
        </w:rPr>
        <w:t>非</w:t>
      </w:r>
      <w:r>
        <w:rPr>
          <w:lang w:eastAsia="ja-JP"/>
        </w:rPr>
        <w:t>多年生作物(例えば、農場が穀物を栽培する場合)の栽培基準を用いて、作物栽培地の生産をスクリーニングすべきである。 家畜生産は、動物生産基準に従って評価されるべきである。 作物と家畜の再集積は、資源効率の向上と合成投入材への依存の低下をもたらし、それによって気候と環境を改善することに注意することが重要である。</w:t>
      </w:r>
    </w:p>
    <w:p w14:paraId="61C64B9B" w14:textId="77777777" w:rsidR="00410BDF" w:rsidRDefault="00410BDF">
      <w:pPr>
        <w:pStyle w:val="a3"/>
        <w:rPr>
          <w:lang w:eastAsia="ja-JP"/>
        </w:rPr>
      </w:pPr>
    </w:p>
    <w:p w14:paraId="0F4F5699" w14:textId="77777777" w:rsidR="00410BDF" w:rsidRDefault="00410BDF">
      <w:pPr>
        <w:pStyle w:val="a3"/>
        <w:rPr>
          <w:lang w:eastAsia="ja-JP"/>
        </w:rPr>
      </w:pPr>
    </w:p>
    <w:p w14:paraId="71B9E486" w14:textId="77777777" w:rsidR="00410BDF" w:rsidRDefault="00196192">
      <w:pPr>
        <w:pStyle w:val="a3"/>
        <w:rPr>
          <w:sz w:val="26"/>
          <w:lang w:eastAsia="ja-JP"/>
        </w:rPr>
      </w:pPr>
      <w:r>
        <w:rPr>
          <w:noProof/>
          <w:lang w:val="en-US" w:eastAsia="ja-JP"/>
        </w:rPr>
        <mc:AlternateContent>
          <mc:Choice Requires="wps">
            <w:drawing>
              <wp:anchor distT="0" distB="0" distL="0" distR="0" simplePos="0" relativeHeight="251655680" behindDoc="1" locked="0" layoutInCell="1" allowOverlap="1" wp14:anchorId="738A0F39" wp14:editId="1276E171">
                <wp:simplePos x="0" y="0"/>
                <wp:positionH relativeFrom="page">
                  <wp:posOffset>914400</wp:posOffset>
                </wp:positionH>
                <wp:positionV relativeFrom="paragraph">
                  <wp:posOffset>218440</wp:posOffset>
                </wp:positionV>
                <wp:extent cx="1829435" cy="0"/>
                <wp:effectExtent l="9525" t="5080" r="8890" b="13970"/>
                <wp:wrapTopAndBottom/>
                <wp:docPr id="13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F11BF" id="Line 126"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pt" to="216.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UnIAIAAEU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" strokeweight=".48pt">
                <w10:wrap type="topAndBottom" anchorx="page"/>
              </v:line>
            </w:pict>
          </mc:Fallback>
        </mc:AlternateContent>
      </w:r>
    </w:p>
    <w:p w14:paraId="0380EAAF" w14:textId="77777777" w:rsidR="00410BDF" w:rsidRDefault="00410BDF">
      <w:pPr>
        <w:pStyle w:val="a3"/>
        <w:spacing w:before="8"/>
        <w:rPr>
          <w:sz w:val="16"/>
          <w:lang w:eastAsia="ja-JP"/>
        </w:rPr>
      </w:pPr>
    </w:p>
    <w:p w14:paraId="03B7F4C0" w14:textId="77777777" w:rsidR="00410BDF" w:rsidRDefault="00410BDF">
      <w:pPr>
        <w:pStyle w:val="a3"/>
        <w:spacing w:before="5"/>
        <w:rPr>
          <w:sz w:val="8"/>
          <w:lang w:eastAsia="ja-JP"/>
        </w:rPr>
      </w:pPr>
    </w:p>
    <w:p w14:paraId="43350D91" w14:textId="77777777" w:rsidR="00410BDF" w:rsidRDefault="00CF7372">
      <w:pPr>
        <w:spacing w:before="1"/>
        <w:ind w:left="100"/>
        <w:rPr>
          <w:sz w:val="10"/>
          <w:lang w:eastAsia="ja-JP"/>
        </w:rPr>
      </w:pPr>
      <w:r>
        <w:rPr>
          <w:sz w:val="10"/>
          <w:lang w:eastAsia="ja-JP"/>
        </w:rPr>
        <w:t>2015年124人</w:t>
      </w:r>
    </w:p>
    <w:p w14:paraId="655646C5" w14:textId="77777777" w:rsidR="00410BDF" w:rsidRDefault="00410BDF">
      <w:pPr>
        <w:pStyle w:val="a3"/>
        <w:rPr>
          <w:sz w:val="10"/>
          <w:lang w:eastAsia="ja-JP"/>
        </w:rPr>
      </w:pPr>
    </w:p>
    <w:p w14:paraId="39E5DE44" w14:textId="77777777" w:rsidR="00410BDF" w:rsidRDefault="00410BDF">
      <w:pPr>
        <w:pStyle w:val="a3"/>
        <w:rPr>
          <w:sz w:val="10"/>
          <w:lang w:eastAsia="ja-JP"/>
        </w:rPr>
      </w:pPr>
    </w:p>
    <w:p w14:paraId="428CA35B" w14:textId="77777777" w:rsidR="00410BDF" w:rsidRDefault="00D50B86">
      <w:pPr>
        <w:spacing w:before="83"/>
        <w:ind w:left="100" w:right="3603"/>
        <w:rPr>
          <w:sz w:val="16"/>
          <w:lang w:eastAsia="ja-JP"/>
        </w:rPr>
      </w:pPr>
      <w:hyperlink r:id="rId7">
        <w:r w:rsidR="00CF7372">
          <w:rPr>
            <w:color w:val="00AFEF"/>
            <w:sz w:val="16"/>
            <w:u w:val="single" w:color="00AFEF"/>
            <w:lang w:eastAsia="ja-JP"/>
          </w:rPr>
          <w:t xml:space="preserve">https://www.ec.europa.eu/eurostat/statistics-explained/index.php?title=アーカイブ:Agri </w:t>
        </w:r>
        <w:r w:rsidR="00CF7372">
          <w:rPr>
            <w:color w:val="00AFEF"/>
            <w:sz w:val="16"/>
            <w:u w:val="single" w:color="00AFEF"/>
            <w:lang w:eastAsia="ja-JP"/>
          </w:rPr>
          <w:lastRenderedPageBreak/>
          <w:t>環境指標_温室効果ガス排出量</w:t>
        </w:r>
      </w:hyperlink>
      <w:hyperlink r:id="rId8"/>
    </w:p>
    <w:p w14:paraId="2863ACEE" w14:textId="77777777" w:rsidR="00410BDF" w:rsidRDefault="00410BDF">
      <w:pPr>
        <w:rPr>
          <w:sz w:val="16"/>
          <w:lang w:eastAsia="ja-JP"/>
        </w:rPr>
        <w:sectPr w:rsidR="00410BDF">
          <w:footerReference w:type="default" r:id="rId9"/>
          <w:type w:val="continuous"/>
          <w:pgSz w:w="12240" w:h="15840"/>
          <w:pgMar w:top="1360" w:right="1320" w:bottom="1200" w:left="1340" w:header="720" w:footer="1020" w:gutter="0"/>
          <w:pgNumType w:start="102"/>
          <w:cols w:space="720"/>
        </w:sectPr>
      </w:pPr>
    </w:p>
    <w:p w14:paraId="12EDFC42" w14:textId="031F6453" w:rsidR="00410BDF" w:rsidRDefault="00CF7372">
      <w:pPr>
        <w:pStyle w:val="a3"/>
        <w:spacing w:before="79" w:line="276" w:lineRule="auto"/>
        <w:ind w:left="100" w:right="109"/>
        <w:rPr>
          <w:lang w:eastAsia="ja-JP"/>
        </w:rPr>
      </w:pPr>
      <w:r>
        <w:rPr>
          <w:lang w:eastAsia="ja-JP"/>
        </w:rPr>
        <w:lastRenderedPageBreak/>
        <w:t>一方、既存の農地の生産性向上に伴い、混合農業が農業の非耕地/</w:t>
      </w:r>
      <w:r w:rsidR="00790520">
        <w:rPr>
          <w:rFonts w:hint="eastAsia"/>
          <w:lang w:eastAsia="ja-JP"/>
        </w:rPr>
        <w:t>他用途地</w:t>
      </w:r>
      <w:r>
        <w:rPr>
          <w:lang w:eastAsia="ja-JP"/>
        </w:rPr>
        <w:t>への拡大圧力を減少させる。 作物と家畜の生産の再統合は、多くの状況において有益で実行可能な体系的変化であるが、それ</w:t>
      </w:r>
      <w:r w:rsidR="00790520">
        <w:rPr>
          <w:rFonts w:hint="eastAsia"/>
          <w:lang w:eastAsia="ja-JP"/>
        </w:rPr>
        <w:t>が</w:t>
      </w:r>
      <w:r w:rsidR="00B83F9B">
        <w:rPr>
          <w:lang w:eastAsia="ja-JP"/>
        </w:rPr>
        <w:t>タクソノミー</w:t>
      </w:r>
      <w:r>
        <w:rPr>
          <w:lang w:eastAsia="ja-JP"/>
        </w:rPr>
        <w:t>の必須要件</w:t>
      </w:r>
      <w:r w:rsidR="00790520">
        <w:rPr>
          <w:rFonts w:hint="eastAsia"/>
          <w:lang w:eastAsia="ja-JP"/>
        </w:rPr>
        <w:t>というわけ</w:t>
      </w:r>
      <w:r>
        <w:rPr>
          <w:lang w:eastAsia="ja-JP"/>
        </w:rPr>
        <w:t>ではない。</w:t>
      </w:r>
    </w:p>
    <w:p w14:paraId="4EF322A1" w14:textId="77777777" w:rsidR="00410BDF" w:rsidRDefault="00410BDF">
      <w:pPr>
        <w:pStyle w:val="a3"/>
        <w:rPr>
          <w:sz w:val="21"/>
          <w:lang w:eastAsia="ja-JP"/>
        </w:rPr>
      </w:pPr>
    </w:p>
    <w:p w14:paraId="60844C3C" w14:textId="651173CE" w:rsidR="00410BDF" w:rsidRDefault="00CF7372">
      <w:pPr>
        <w:pStyle w:val="2"/>
        <w:ind w:left="100"/>
        <w:rPr>
          <w:lang w:eastAsia="ja-JP"/>
        </w:rPr>
      </w:pPr>
      <w:r>
        <w:rPr>
          <w:lang w:eastAsia="ja-JP"/>
        </w:rPr>
        <w:t>基準と</w:t>
      </w:r>
      <w:r w:rsidR="005F0270">
        <w:rPr>
          <w:rFonts w:hint="eastAsia"/>
          <w:lang w:eastAsia="ja-JP"/>
        </w:rPr>
        <w:t>閾</w:t>
      </w:r>
      <w:r>
        <w:rPr>
          <w:lang w:eastAsia="ja-JP"/>
        </w:rPr>
        <w:t>値の設定</w:t>
      </w:r>
    </w:p>
    <w:p w14:paraId="4E6D7A27" w14:textId="77777777" w:rsidR="00410BDF" w:rsidRDefault="00410BDF">
      <w:pPr>
        <w:pStyle w:val="a3"/>
        <w:spacing w:before="9"/>
        <w:rPr>
          <w:b/>
          <w:sz w:val="23"/>
          <w:lang w:eastAsia="ja-JP"/>
        </w:rPr>
      </w:pPr>
    </w:p>
    <w:p w14:paraId="58F41AA2" w14:textId="3FFE0583" w:rsidR="00410BDF" w:rsidRDefault="00CF7372">
      <w:pPr>
        <w:pStyle w:val="a3"/>
        <w:spacing w:line="276" w:lineRule="auto"/>
        <w:ind w:left="100" w:right="109"/>
        <w:rPr>
          <w:lang w:eastAsia="ja-JP"/>
        </w:rPr>
      </w:pPr>
      <w:r>
        <w:rPr>
          <w:lang w:eastAsia="ja-JP"/>
        </w:rPr>
        <w:t>上述したように、農業はGHG排出源と吸収源の両方として作用することができる。 しかし、農業活動のすべての事例、またはすべての農場、特に自然に特化した農場、および/または炭素貯蔵能力</w:t>
      </w:r>
      <w:r w:rsidR="00790520">
        <w:rPr>
          <w:rFonts w:hint="eastAsia"/>
          <w:lang w:eastAsia="ja-JP"/>
        </w:rPr>
        <w:t>が低い</w:t>
      </w:r>
      <w:r>
        <w:rPr>
          <w:lang w:eastAsia="ja-JP"/>
        </w:rPr>
        <w:t>農場では、正味の負の排出量に達することは不可能であろう。 したがって、</w:t>
      </w:r>
      <w:r w:rsidR="00B83F9B">
        <w:rPr>
          <w:lang w:eastAsia="ja-JP"/>
        </w:rPr>
        <w:t>タクソノミー</w:t>
      </w:r>
      <w:r>
        <w:rPr>
          <w:lang w:eastAsia="ja-JP"/>
        </w:rPr>
        <w:t>は、活動または農業レベルでの正味のマイナスの排出量の実証を要求していないが、代わりに、農業活動が緩和に実質的な貢献をもたらすと認識されるためには、以下の3つの基準をすべて満たさなければならないことを要求している。</w:t>
      </w:r>
    </w:p>
    <w:p w14:paraId="27AEAB58" w14:textId="77777777" w:rsidR="00410BDF" w:rsidRDefault="00410BDF">
      <w:pPr>
        <w:pStyle w:val="a3"/>
        <w:spacing w:before="10"/>
        <w:rPr>
          <w:lang w:eastAsia="ja-JP"/>
        </w:rPr>
      </w:pPr>
    </w:p>
    <w:p w14:paraId="72F0176C" w14:textId="77777777" w:rsidR="00410BDF" w:rsidRDefault="00CF7372">
      <w:pPr>
        <w:pStyle w:val="a4"/>
        <w:numPr>
          <w:ilvl w:val="0"/>
          <w:numId w:val="1"/>
        </w:numPr>
        <w:tabs>
          <w:tab w:val="left" w:pos="821"/>
        </w:tabs>
        <w:rPr>
          <w:sz w:val="20"/>
          <w:lang w:eastAsia="ja-JP"/>
        </w:rPr>
      </w:pPr>
      <w:r>
        <w:rPr>
          <w:sz w:val="20"/>
          <w:lang w:eastAsia="ja-JP"/>
        </w:rPr>
        <w:t>進行中の土地および動物の管理からの排出</w:t>
      </w:r>
      <w:r w:rsidR="00790520">
        <w:rPr>
          <w:rFonts w:hint="eastAsia"/>
          <w:sz w:val="20"/>
          <w:lang w:eastAsia="ja-JP"/>
        </w:rPr>
        <w:t>を</w:t>
      </w:r>
      <w:r>
        <w:rPr>
          <w:sz w:val="20"/>
          <w:lang w:eastAsia="ja-JP"/>
        </w:rPr>
        <w:t>削減</w:t>
      </w:r>
      <w:r w:rsidR="00790520">
        <w:rPr>
          <w:rFonts w:hint="eastAsia"/>
          <w:sz w:val="20"/>
          <w:lang w:eastAsia="ja-JP"/>
        </w:rPr>
        <w:t>すること</w:t>
      </w:r>
      <w:r>
        <w:rPr>
          <w:sz w:val="20"/>
          <w:lang w:eastAsia="ja-JP"/>
        </w:rPr>
        <w:t>。</w:t>
      </w:r>
    </w:p>
    <w:p w14:paraId="7FBF7CDF" w14:textId="77777777" w:rsidR="00410BDF" w:rsidRDefault="00CF7372">
      <w:pPr>
        <w:pStyle w:val="a4"/>
        <w:numPr>
          <w:ilvl w:val="0"/>
          <w:numId w:val="1"/>
        </w:numPr>
        <w:tabs>
          <w:tab w:val="left" w:pos="821"/>
        </w:tabs>
        <w:spacing w:before="116" w:line="276" w:lineRule="auto"/>
        <w:ind w:right="574"/>
        <w:rPr>
          <w:sz w:val="20"/>
          <w:lang w:eastAsia="ja-JP"/>
        </w:rPr>
      </w:pPr>
      <w:r>
        <w:rPr>
          <w:sz w:val="20"/>
          <w:lang w:eastAsia="ja-JP"/>
        </w:rPr>
        <w:t>飽和レベルの限界まで、継続的な土地および動物の管理を通して、大気からの炭素の除去と地上および地下のバイオマスへの貯留を増加させる</w:t>
      </w:r>
      <w:r w:rsidR="00790520">
        <w:rPr>
          <w:rFonts w:hint="eastAsia"/>
          <w:sz w:val="20"/>
          <w:lang w:eastAsia="ja-JP"/>
        </w:rPr>
        <w:t>こと</w:t>
      </w:r>
      <w:r>
        <w:rPr>
          <w:sz w:val="20"/>
          <w:lang w:eastAsia="ja-JP"/>
        </w:rPr>
        <w:t>。</w:t>
      </w:r>
    </w:p>
    <w:p w14:paraId="702673EA" w14:textId="52819B4F" w:rsidR="00410BDF" w:rsidRDefault="00CF7372">
      <w:pPr>
        <w:pStyle w:val="a4"/>
        <w:numPr>
          <w:ilvl w:val="0"/>
          <w:numId w:val="1"/>
        </w:numPr>
        <w:tabs>
          <w:tab w:val="left" w:pos="821"/>
        </w:tabs>
        <w:spacing w:before="78" w:line="278" w:lineRule="auto"/>
        <w:ind w:right="188"/>
        <w:rPr>
          <w:sz w:val="20"/>
          <w:lang w:eastAsia="ja-JP"/>
        </w:rPr>
      </w:pPr>
      <w:r>
        <w:rPr>
          <w:sz w:val="20"/>
          <w:lang w:eastAsia="ja-JP"/>
        </w:rPr>
        <w:t>農業活動</w:t>
      </w:r>
      <w:r w:rsidR="00790520">
        <w:rPr>
          <w:rFonts w:hint="eastAsia"/>
          <w:sz w:val="20"/>
          <w:lang w:eastAsia="ja-JP"/>
        </w:rPr>
        <w:t>が</w:t>
      </w:r>
      <w:r>
        <w:rPr>
          <w:sz w:val="20"/>
          <w:lang w:eastAsia="ja-JP"/>
        </w:rPr>
        <w:t>、以前</w:t>
      </w:r>
      <w:r w:rsidR="00790520">
        <w:rPr>
          <w:rFonts w:hint="eastAsia"/>
          <w:sz w:val="20"/>
          <w:lang w:eastAsia="ja-JP"/>
        </w:rPr>
        <w:t>から</w:t>
      </w:r>
      <w:r>
        <w:rPr>
          <w:sz w:val="20"/>
          <w:lang w:eastAsia="ja-JP"/>
        </w:rPr>
        <w:t>「炭素貯蔵が高い」と考えられていた土地では行われない</w:t>
      </w:r>
      <w:r w:rsidR="00790520">
        <w:rPr>
          <w:rFonts w:hint="eastAsia"/>
          <w:sz w:val="20"/>
          <w:lang w:eastAsia="ja-JP"/>
        </w:rPr>
        <w:t>こと</w:t>
      </w:r>
      <w:r>
        <w:rPr>
          <w:sz w:val="20"/>
          <w:lang w:eastAsia="ja-JP"/>
        </w:rPr>
        <w:t>。</w:t>
      </w:r>
    </w:p>
    <w:p w14:paraId="0E39D06C" w14:textId="77777777" w:rsidR="00410BDF" w:rsidRDefault="00CF7372">
      <w:pPr>
        <w:pStyle w:val="a3"/>
        <w:spacing w:before="117" w:line="276" w:lineRule="auto"/>
        <w:ind w:left="100"/>
        <w:rPr>
          <w:lang w:eastAsia="ja-JP"/>
        </w:rPr>
      </w:pPr>
      <w:r>
        <w:rPr>
          <w:lang w:eastAsia="ja-JP"/>
        </w:rPr>
        <w:t>EUレベルまたは世界レベルで農業部門の</w:t>
      </w:r>
      <w:commentRangeStart w:id="0"/>
      <w:r>
        <w:rPr>
          <w:lang w:eastAsia="ja-JP"/>
        </w:rPr>
        <w:t>排出予算</w:t>
      </w:r>
      <w:commentRangeEnd w:id="0"/>
      <w:r w:rsidR="005F0270">
        <w:rPr>
          <w:rStyle w:val="a7"/>
        </w:rPr>
        <w:commentReference w:id="0"/>
      </w:r>
      <w:r>
        <w:rPr>
          <w:lang w:eastAsia="ja-JP"/>
        </w:rPr>
        <w:t>や隔離目標がないことに加えて、最良のパフォーマンス基準を設定するための</w:t>
      </w:r>
      <w:commentRangeStart w:id="1"/>
      <w:r>
        <w:rPr>
          <w:lang w:eastAsia="ja-JP"/>
        </w:rPr>
        <w:t>深い</w:t>
      </w:r>
      <w:commentRangeEnd w:id="1"/>
      <w:r w:rsidR="00B064E2">
        <w:rPr>
          <w:rStyle w:val="a7"/>
        </w:rPr>
        <w:commentReference w:id="1"/>
      </w:r>
      <w:r>
        <w:rPr>
          <w:lang w:eastAsia="ja-JP"/>
        </w:rPr>
        <w:t>GHG報告データセットがないため、基準1または基準2のいずれについても、強固なGHG絶対閾値を設定することはできなかった。</w:t>
      </w:r>
    </w:p>
    <w:p w14:paraId="5AFD6ED0" w14:textId="51300B00" w:rsidR="00410BDF" w:rsidRDefault="00CF7372">
      <w:pPr>
        <w:pStyle w:val="a3"/>
        <w:spacing w:line="276" w:lineRule="auto"/>
        <w:ind w:left="100" w:right="206"/>
        <w:jc w:val="both"/>
        <w:rPr>
          <w:lang w:eastAsia="ja-JP"/>
        </w:rPr>
      </w:pPr>
      <w:r>
        <w:rPr>
          <w:lang w:eastAsia="ja-JP"/>
        </w:rPr>
        <w:t>さらに、農業部門全体(生産システム、作物または家畜の種類、農場規模、環境および生物物理学的条件など)</w:t>
      </w:r>
      <w:r w:rsidR="00790520">
        <w:rPr>
          <w:rFonts w:hint="eastAsia"/>
          <w:lang w:eastAsia="ja-JP"/>
        </w:rPr>
        <w:t>におけるバラツキ</w:t>
      </w:r>
      <w:r>
        <w:rPr>
          <w:lang w:eastAsia="ja-JP"/>
        </w:rPr>
        <w:t>が高いことを考えると、そうすることは不適切であると考えられた。</w:t>
      </w:r>
    </w:p>
    <w:p w14:paraId="47910884" w14:textId="77777777" w:rsidR="00410BDF" w:rsidRDefault="00410BDF">
      <w:pPr>
        <w:pStyle w:val="a3"/>
        <w:spacing w:before="10"/>
        <w:rPr>
          <w:lang w:eastAsia="ja-JP"/>
        </w:rPr>
      </w:pPr>
    </w:p>
    <w:p w14:paraId="22007976" w14:textId="472479D0" w:rsidR="00410BDF" w:rsidRDefault="00CF7372">
      <w:pPr>
        <w:pStyle w:val="a3"/>
        <w:spacing w:line="276" w:lineRule="auto"/>
        <w:ind w:left="100" w:right="130"/>
        <w:rPr>
          <w:lang w:eastAsia="ja-JP"/>
        </w:rPr>
      </w:pPr>
      <w:r>
        <w:rPr>
          <w:lang w:eastAsia="ja-JP"/>
        </w:rPr>
        <w:t>しかし、「自営農場の</w:t>
      </w:r>
      <w:commentRangeStart w:id="2"/>
      <w:r w:rsidR="00E77D13">
        <w:rPr>
          <w:rFonts w:hint="eastAsia"/>
          <w:lang w:eastAsia="ja-JP"/>
        </w:rPr>
        <w:t>現状転覆</w:t>
      </w:r>
      <w:commentRangeEnd w:id="2"/>
      <w:r w:rsidR="00B064E2">
        <w:rPr>
          <w:rStyle w:val="a7"/>
        </w:rPr>
        <w:commentReference w:id="2"/>
      </w:r>
      <w:r>
        <w:rPr>
          <w:lang w:eastAsia="ja-JP"/>
        </w:rPr>
        <w:t>」</w:t>
      </w:r>
      <w:r w:rsidR="00E77D13">
        <w:rPr>
          <w:rFonts w:hint="eastAsia"/>
          <w:lang w:eastAsia="ja-JP"/>
        </w:rPr>
        <w:t>を見据えて</w:t>
      </w:r>
      <w:r>
        <w:rPr>
          <w:lang w:eastAsia="ja-JP"/>
        </w:rPr>
        <w:t>相対的なGHG改善を必要とすることは、高い不均一性という文脈の中で</w:t>
      </w:r>
      <w:r w:rsidR="00E77D13">
        <w:rPr>
          <w:rFonts w:hint="eastAsia"/>
          <w:lang w:eastAsia="ja-JP"/>
        </w:rPr>
        <w:t>も</w:t>
      </w:r>
      <w:r>
        <w:rPr>
          <w:lang w:eastAsia="ja-JP"/>
        </w:rPr>
        <w:t>実行可能である。 基準1では、時間の経過とともに農業部門全体で必要とされる排出削減の研究を用いて、</w:t>
      </w:r>
      <w:r w:rsidR="00E77D13">
        <w:rPr>
          <w:rFonts w:hint="eastAsia"/>
          <w:lang w:eastAsia="ja-JP"/>
        </w:rPr>
        <w:t>現状を覆す</w:t>
      </w:r>
      <w:r>
        <w:rPr>
          <w:lang w:eastAsia="ja-JP"/>
        </w:rPr>
        <w:t>排出削減目標のパーセンテージとしての排出削減目標が設定されている。 基準2では、炭素貯蔵ポテンシャルは土地区画によって大きく変動するが、炭素隔離は農業部門が利用できる緩和ポテンシャルが大きいことを認識し、単純に20年間にわたって炭素貯蔵を増加させるという、より単純な要件が設定された。これは、この場合、継続的な炭素の喪失を防ぎ、隔離を増加させることが、実質的な貢献をするために実行可能である</w:t>
      </w:r>
      <w:r w:rsidR="00E77D13">
        <w:rPr>
          <w:rFonts w:hint="eastAsia"/>
          <w:lang w:eastAsia="ja-JP"/>
        </w:rPr>
        <w:t>との</w:t>
      </w:r>
      <w:r>
        <w:rPr>
          <w:lang w:eastAsia="ja-JP"/>
        </w:rPr>
        <w:t>認識</w:t>
      </w:r>
      <w:r w:rsidR="00E77D13">
        <w:rPr>
          <w:rFonts w:hint="eastAsia"/>
          <w:lang w:eastAsia="ja-JP"/>
        </w:rPr>
        <w:t>に基づい</w:t>
      </w:r>
      <w:r>
        <w:rPr>
          <w:lang w:eastAsia="ja-JP"/>
        </w:rPr>
        <w:t>ている。 しかし、排出削減経路に関する研究の数は限られ</w:t>
      </w:r>
      <w:r w:rsidR="00B064E2">
        <w:rPr>
          <w:rFonts w:hint="eastAsia"/>
          <w:lang w:eastAsia="ja-JP"/>
        </w:rPr>
        <w:t>て</w:t>
      </w:r>
      <w:r w:rsidR="00E77D13">
        <w:rPr>
          <w:rFonts w:hint="eastAsia"/>
          <w:lang w:eastAsia="ja-JP"/>
        </w:rPr>
        <w:t>いる</w:t>
      </w:r>
      <w:r>
        <w:rPr>
          <w:lang w:eastAsia="ja-JP"/>
        </w:rPr>
        <w:t>ため、基準は、2050年の</w:t>
      </w:r>
      <w:r w:rsidR="00597918">
        <w:rPr>
          <w:lang w:eastAsia="ja-JP"/>
        </w:rPr>
        <w:t>正味ゼロ</w:t>
      </w:r>
      <w:r>
        <w:rPr>
          <w:lang w:eastAsia="ja-JP"/>
        </w:rPr>
        <w:t>経済に貢献する</w:t>
      </w:r>
      <w:r w:rsidR="00E77D13">
        <w:rPr>
          <w:rFonts w:hint="eastAsia"/>
          <w:lang w:eastAsia="ja-JP"/>
        </w:rPr>
        <w:t>目的で</w:t>
      </w:r>
      <w:r>
        <w:rPr>
          <w:lang w:eastAsia="ja-JP"/>
        </w:rPr>
        <w:t>農業部門</w:t>
      </w:r>
      <w:r w:rsidR="00E77D13">
        <w:rPr>
          <w:rFonts w:hint="eastAsia"/>
          <w:lang w:eastAsia="ja-JP"/>
        </w:rPr>
        <w:t>において</w:t>
      </w:r>
      <w:r>
        <w:rPr>
          <w:lang w:eastAsia="ja-JP"/>
        </w:rPr>
        <w:t>必要とされる正確な移行</w:t>
      </w:r>
      <w:r w:rsidR="00E77D13">
        <w:rPr>
          <w:rFonts w:hint="eastAsia"/>
          <w:lang w:eastAsia="ja-JP"/>
        </w:rPr>
        <w:t>のための指標</w:t>
      </w:r>
      <w:r>
        <w:rPr>
          <w:lang w:eastAsia="ja-JP"/>
        </w:rPr>
        <w:t>をより明確にすること</w:t>
      </w:r>
      <w:r w:rsidR="00E77D13">
        <w:rPr>
          <w:rFonts w:hint="eastAsia"/>
          <w:lang w:eastAsia="ja-JP"/>
        </w:rPr>
        <w:t>が希求されている</w:t>
      </w:r>
      <w:r>
        <w:rPr>
          <w:lang w:eastAsia="ja-JP"/>
        </w:rPr>
        <w:t>ことに留意されたい。</w:t>
      </w:r>
    </w:p>
    <w:p w14:paraId="07405E9D" w14:textId="77777777" w:rsidR="00410BDF" w:rsidRDefault="00410BDF">
      <w:pPr>
        <w:pStyle w:val="a3"/>
        <w:spacing w:before="10"/>
        <w:rPr>
          <w:lang w:eastAsia="ja-JP"/>
        </w:rPr>
      </w:pPr>
    </w:p>
    <w:p w14:paraId="4B7A7018" w14:textId="69D67007" w:rsidR="00410BDF" w:rsidRDefault="00CF7372">
      <w:pPr>
        <w:pStyle w:val="a3"/>
        <w:spacing w:line="276" w:lineRule="auto"/>
        <w:ind w:left="100" w:right="188"/>
        <w:rPr>
          <w:lang w:eastAsia="ja-JP"/>
        </w:rPr>
      </w:pPr>
      <w:r>
        <w:rPr>
          <w:lang w:eastAsia="ja-JP"/>
        </w:rPr>
        <w:t>さらに、相対的なGHG改善目標はかなり</w:t>
      </w:r>
      <w:r w:rsidR="00E77D13">
        <w:rPr>
          <w:rFonts w:hint="eastAsia"/>
          <w:lang w:eastAsia="ja-JP"/>
        </w:rPr>
        <w:t>ざっくりしたもの</w:t>
      </w:r>
      <w:r>
        <w:rPr>
          <w:lang w:eastAsia="ja-JP"/>
        </w:rPr>
        <w:t>であり、</w:t>
      </w:r>
      <w:r w:rsidR="00E77D13">
        <w:rPr>
          <w:rFonts w:hint="eastAsia"/>
          <w:lang w:eastAsia="ja-JP"/>
        </w:rPr>
        <w:t>本来は</w:t>
      </w:r>
      <w:r>
        <w:rPr>
          <w:lang w:eastAsia="ja-JP"/>
        </w:rPr>
        <w:t>まだ普及していない農</w:t>
      </w:r>
      <w:r w:rsidR="00E77D13">
        <w:rPr>
          <w:rFonts w:hint="eastAsia"/>
          <w:lang w:eastAsia="ja-JP"/>
        </w:rPr>
        <w:t>場</w:t>
      </w:r>
      <w:r>
        <w:rPr>
          <w:lang w:eastAsia="ja-JP"/>
        </w:rPr>
        <w:t>レベルのGHG算定を必要とすること</w:t>
      </w:r>
      <w:r w:rsidR="00E77D13">
        <w:rPr>
          <w:rFonts w:hint="eastAsia"/>
          <w:lang w:eastAsia="ja-JP"/>
        </w:rPr>
        <w:t>から</w:t>
      </w:r>
      <w:r>
        <w:rPr>
          <w:lang w:eastAsia="ja-JP"/>
        </w:rPr>
        <w:t>、追加的な代替アプローチ</w:t>
      </w:r>
      <w:r w:rsidR="009C69C5">
        <w:rPr>
          <w:rFonts w:hint="eastAsia"/>
          <w:lang w:eastAsia="ja-JP"/>
        </w:rPr>
        <w:t>も</w:t>
      </w:r>
      <w:r>
        <w:rPr>
          <w:lang w:eastAsia="ja-JP"/>
        </w:rPr>
        <w:t>提案されている。 すなわち、特定の一連の土地の展開の実証、および、適切であれば、生産地域全体にわたる動物管理慣行の実証</w:t>
      </w:r>
      <w:r w:rsidR="009C69C5">
        <w:rPr>
          <w:rFonts w:hint="eastAsia"/>
          <w:lang w:eastAsia="ja-JP"/>
        </w:rPr>
        <w:t>を連結することである</w:t>
      </w:r>
      <w:r>
        <w:rPr>
          <w:lang w:eastAsia="ja-JP"/>
        </w:rPr>
        <w:t>。 科学文献のレビューから、</w:t>
      </w:r>
      <w:r w:rsidR="009C69C5" w:rsidRPr="009C69C5">
        <w:rPr>
          <w:rFonts w:hint="eastAsia"/>
          <w:lang w:eastAsia="ja-JP"/>
        </w:rPr>
        <w:t>幅広い生物物理学的条件および農業条件にわたって</w:t>
      </w:r>
      <w:r>
        <w:rPr>
          <w:lang w:eastAsia="ja-JP"/>
        </w:rPr>
        <w:t>比較的確実性の高い実質的な緩和をもたらすため、</w:t>
      </w:r>
      <w:r w:rsidR="009C69C5" w:rsidRPr="009C69C5">
        <w:rPr>
          <w:rFonts w:hint="eastAsia"/>
          <w:lang w:eastAsia="ja-JP"/>
        </w:rPr>
        <w:t>これらの手法</w:t>
      </w:r>
      <w:r w:rsidR="009C69C5">
        <w:rPr>
          <w:rFonts w:hint="eastAsia"/>
          <w:lang w:eastAsia="ja-JP"/>
        </w:rPr>
        <w:t>が</w:t>
      </w:r>
      <w:r>
        <w:rPr>
          <w:lang w:eastAsia="ja-JP"/>
        </w:rPr>
        <w:t>選択されている</w:t>
      </w:r>
      <w:r w:rsidR="009C69C5">
        <w:rPr>
          <w:rFonts w:hint="eastAsia"/>
          <w:lang w:eastAsia="ja-JP"/>
        </w:rPr>
        <w:t>。</w:t>
      </w:r>
    </w:p>
    <w:p w14:paraId="332B385D" w14:textId="77777777" w:rsidR="00410BDF" w:rsidRDefault="00196192">
      <w:pPr>
        <w:pStyle w:val="a3"/>
        <w:spacing w:before="7"/>
        <w:rPr>
          <w:sz w:val="25"/>
          <w:lang w:eastAsia="ja-JP"/>
        </w:rPr>
      </w:pPr>
      <w:r>
        <w:rPr>
          <w:noProof/>
          <w:lang w:val="en-US" w:eastAsia="ja-JP"/>
        </w:rPr>
        <mc:AlternateContent>
          <mc:Choice Requires="wps">
            <w:drawing>
              <wp:anchor distT="0" distB="0" distL="0" distR="0" simplePos="0" relativeHeight="251656704" behindDoc="1" locked="0" layoutInCell="1" allowOverlap="1" wp14:anchorId="75B35688" wp14:editId="7C0B9F3B">
                <wp:simplePos x="0" y="0"/>
                <wp:positionH relativeFrom="page">
                  <wp:posOffset>914400</wp:posOffset>
                </wp:positionH>
                <wp:positionV relativeFrom="paragraph">
                  <wp:posOffset>215265</wp:posOffset>
                </wp:positionV>
                <wp:extent cx="1829435" cy="0"/>
                <wp:effectExtent l="9525" t="11430" r="8890" b="7620"/>
                <wp:wrapTopAndBottom/>
                <wp:docPr id="13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AE32" id="Line 125" o:spid="_x0000_s1026"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5pt" to="216.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eU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" strokeweight=".16936mm">
                <w10:wrap type="topAndBottom" anchorx="page"/>
              </v:line>
            </w:pict>
          </mc:Fallback>
        </mc:AlternateContent>
      </w:r>
    </w:p>
    <w:p w14:paraId="1C1E13FD" w14:textId="77777777" w:rsidR="00410BDF" w:rsidRDefault="00410BDF">
      <w:pPr>
        <w:pStyle w:val="a3"/>
        <w:spacing w:before="10"/>
        <w:rPr>
          <w:sz w:val="16"/>
          <w:lang w:eastAsia="ja-JP"/>
        </w:rPr>
      </w:pPr>
    </w:p>
    <w:p w14:paraId="48F1A055" w14:textId="77777777" w:rsidR="00410BDF" w:rsidRDefault="00CF7372">
      <w:pPr>
        <w:spacing w:before="98"/>
        <w:ind w:left="100"/>
        <w:rPr>
          <w:sz w:val="16"/>
          <w:lang w:eastAsia="ja-JP"/>
        </w:rPr>
      </w:pPr>
      <w:r>
        <w:rPr>
          <w:position w:val="6"/>
          <w:sz w:val="10"/>
          <w:lang w:eastAsia="ja-JP"/>
        </w:rPr>
        <w:t>125 https://ec.europa.eu/eip/agriculture/sites/agri-eip/files/fg16_mixed_farming_final-report_2017_en.pdf</w:t>
      </w:r>
      <w:r w:rsidR="00D50B86">
        <w:fldChar w:fldCharType="begin"/>
      </w:r>
      <w:r w:rsidR="00D50B86">
        <w:rPr>
          <w:lang w:eastAsia="ja-JP"/>
        </w:rPr>
        <w:instrText xml:space="preserve"> HYPERLINK "https://ec.europa.eu/eip/agriculture/sites/agri-eip/files/fg16_mixed_farming_final-report_2017_en.pdf" \h </w:instrText>
      </w:r>
      <w:r w:rsidR="00D50B86">
        <w:fldChar w:fldCharType="separate"/>
      </w:r>
      <w:r w:rsidR="00D50B86">
        <w:fldChar w:fldCharType="end"/>
      </w:r>
    </w:p>
    <w:p w14:paraId="78A0CB65" w14:textId="77777777" w:rsidR="00410BDF" w:rsidRDefault="00410BDF">
      <w:pPr>
        <w:rPr>
          <w:sz w:val="16"/>
          <w:lang w:eastAsia="ja-JP"/>
        </w:rPr>
        <w:sectPr w:rsidR="00410BDF">
          <w:pgSz w:w="12240" w:h="15840"/>
          <w:pgMar w:top="1360" w:right="1320" w:bottom="1200" w:left="1340" w:header="0" w:footer="1020" w:gutter="0"/>
          <w:cols w:space="720"/>
        </w:sectPr>
      </w:pPr>
    </w:p>
    <w:p w14:paraId="4BA7DED2" w14:textId="6C725605" w:rsidR="00410BDF" w:rsidRDefault="00CF7372">
      <w:pPr>
        <w:pStyle w:val="a3"/>
        <w:spacing w:before="79" w:line="276" w:lineRule="auto"/>
        <w:ind w:left="100" w:right="255"/>
        <w:rPr>
          <w:lang w:eastAsia="ja-JP"/>
        </w:rPr>
      </w:pPr>
      <w:r>
        <w:rPr>
          <w:lang w:eastAsia="ja-JP"/>
        </w:rPr>
        <w:lastRenderedPageBreak/>
        <w:t>従って、これらは広く適用可能であり、農業者に対してより直接的に感染しやすいアプローチを提供</w:t>
      </w:r>
      <w:r w:rsidR="009C69C5">
        <w:rPr>
          <w:rFonts w:hint="eastAsia"/>
          <w:lang w:eastAsia="ja-JP"/>
        </w:rPr>
        <w:t>することが期待され</w:t>
      </w:r>
      <w:r>
        <w:rPr>
          <w:lang w:eastAsia="ja-JP"/>
        </w:rPr>
        <w:t>、</w:t>
      </w:r>
      <w:r w:rsidR="009C69C5">
        <w:rPr>
          <w:rFonts w:hint="eastAsia"/>
          <w:lang w:eastAsia="ja-JP"/>
        </w:rPr>
        <w:t>世界中の</w:t>
      </w:r>
      <w:r>
        <w:rPr>
          <w:lang w:eastAsia="ja-JP"/>
        </w:rPr>
        <w:t>小規模および大規模農家を含む主要な利害関係者</w:t>
      </w:r>
      <w:r w:rsidR="009C69C5">
        <w:rPr>
          <w:rFonts w:hint="eastAsia"/>
          <w:lang w:eastAsia="ja-JP"/>
        </w:rPr>
        <w:t>を巻き込んだ</w:t>
      </w:r>
      <w:r>
        <w:rPr>
          <w:lang w:eastAsia="ja-JP"/>
        </w:rPr>
        <w:t>試験から</w:t>
      </w:r>
      <w:r w:rsidR="009C69C5">
        <w:rPr>
          <w:rFonts w:hint="eastAsia"/>
          <w:lang w:eastAsia="ja-JP"/>
        </w:rPr>
        <w:t>裨益すると考えられる</w:t>
      </w:r>
      <w:r>
        <w:rPr>
          <w:lang w:eastAsia="ja-JP"/>
        </w:rPr>
        <w:t>。 もちろん、科学的知識の新たな進歩を統合するためには、この一覧表を定期的に見直す必要がある。</w:t>
      </w:r>
    </w:p>
    <w:p w14:paraId="021C0552" w14:textId="77777777" w:rsidR="00410BDF" w:rsidRDefault="00410BDF">
      <w:pPr>
        <w:pStyle w:val="a3"/>
        <w:rPr>
          <w:sz w:val="21"/>
          <w:lang w:eastAsia="ja-JP"/>
        </w:rPr>
      </w:pPr>
    </w:p>
    <w:p w14:paraId="0804C4E7" w14:textId="036D5C9E" w:rsidR="00410BDF" w:rsidRDefault="00B064E2">
      <w:pPr>
        <w:pStyle w:val="a3"/>
        <w:spacing w:line="276" w:lineRule="auto"/>
        <w:ind w:left="100" w:right="255"/>
        <w:rPr>
          <w:lang w:eastAsia="ja-JP"/>
        </w:rPr>
      </w:pPr>
      <w:r>
        <w:rPr>
          <w:rFonts w:hint="eastAsia"/>
          <w:lang w:eastAsia="ja-JP"/>
        </w:rPr>
        <w:t>最奥に使いやすく</w:t>
      </w:r>
      <w:r w:rsidR="00CF7372">
        <w:rPr>
          <w:lang w:eastAsia="ja-JP"/>
        </w:rPr>
        <w:t>するために、利用者</w:t>
      </w:r>
      <w:r w:rsidR="009C69C5">
        <w:rPr>
          <w:rFonts w:hint="eastAsia"/>
          <w:lang w:eastAsia="ja-JP"/>
        </w:rPr>
        <w:t>に</w:t>
      </w:r>
      <w:r w:rsidR="00CF7372">
        <w:rPr>
          <w:lang w:eastAsia="ja-JP"/>
        </w:rPr>
        <w:t>は、i) 排出削減と隔離の増加を直接的に、あるいは代替的に</w:t>
      </w:r>
      <w:r w:rsidR="009C69C5">
        <w:rPr>
          <w:rFonts w:hint="eastAsia"/>
          <w:lang w:eastAsia="ja-JP"/>
        </w:rPr>
        <w:t>実証する</w:t>
      </w:r>
      <w:r w:rsidR="00CF7372">
        <w:rPr>
          <w:lang w:eastAsia="ja-JP"/>
        </w:rPr>
        <w:t>、ii) 緩和に実質的な貢献を表すとみなされた特定の一連の行為の</w:t>
      </w:r>
      <w:r w:rsidR="009C69C5">
        <w:rPr>
          <w:rFonts w:hint="eastAsia"/>
          <w:lang w:eastAsia="ja-JP"/>
        </w:rPr>
        <w:t>組合せを</w:t>
      </w:r>
      <w:r w:rsidR="00CF7372">
        <w:rPr>
          <w:lang w:eastAsia="ja-JP"/>
        </w:rPr>
        <w:t>実証する</w:t>
      </w:r>
      <w:r w:rsidR="009C69C5">
        <w:rPr>
          <w:rFonts w:hint="eastAsia"/>
          <w:lang w:eastAsia="ja-JP"/>
        </w:rPr>
        <w:t>、のいずれかを自由に選択する</w:t>
      </w:r>
      <w:r w:rsidR="00CF7372">
        <w:rPr>
          <w:lang w:eastAsia="ja-JP"/>
        </w:rPr>
        <w:t>ことが</w:t>
      </w:r>
      <w:r w:rsidR="009C69C5">
        <w:rPr>
          <w:rFonts w:hint="eastAsia"/>
          <w:lang w:eastAsia="ja-JP"/>
        </w:rPr>
        <w:t>任されている</w:t>
      </w:r>
      <w:r w:rsidR="00CF7372">
        <w:rPr>
          <w:lang w:eastAsia="ja-JP"/>
        </w:rPr>
        <w:t>。 どちらのアプローチをとるにせよ、基準および閾値の継続的な遵守を実証するために、3年間の監査が必要である。 これは、排出削減と炭素貯蔵が起こりうる複数年の時間枠に対処し、炭素貯蔵の永続性に対するリスクを認識するためである。 これらの基準(審査され承認された既存の基準、認証スキーム、炭素クレジットスキームなど)を遵守するための代理指標のプールを確立することは、基準の理解と開示を大いに促進するであろう。</w:t>
      </w:r>
    </w:p>
    <w:p w14:paraId="3A02888B" w14:textId="77777777" w:rsidR="00410BDF" w:rsidRDefault="00410BDF">
      <w:pPr>
        <w:pStyle w:val="a3"/>
        <w:spacing w:before="11"/>
        <w:rPr>
          <w:lang w:eastAsia="ja-JP"/>
        </w:rPr>
      </w:pPr>
    </w:p>
    <w:p w14:paraId="0E3D16EE" w14:textId="77777777" w:rsidR="00410BDF" w:rsidRDefault="00CF7372">
      <w:pPr>
        <w:pStyle w:val="2"/>
        <w:spacing w:line="276" w:lineRule="auto"/>
        <w:ind w:left="100"/>
        <w:rPr>
          <w:lang w:eastAsia="ja-JP"/>
        </w:rPr>
      </w:pPr>
      <w:r>
        <w:rPr>
          <w:lang w:eastAsia="ja-JP"/>
        </w:rPr>
        <w:t>他の部門において実質的な緩和を可能にする農業生産の可能性を認識する</w:t>
      </w:r>
    </w:p>
    <w:p w14:paraId="58A555DE" w14:textId="77777777" w:rsidR="00410BDF" w:rsidRDefault="00410BDF">
      <w:pPr>
        <w:pStyle w:val="a3"/>
        <w:spacing w:before="9"/>
        <w:rPr>
          <w:b/>
          <w:lang w:eastAsia="ja-JP"/>
        </w:rPr>
      </w:pPr>
    </w:p>
    <w:p w14:paraId="59DC0255" w14:textId="77777777" w:rsidR="00410BDF" w:rsidRDefault="00CF7372">
      <w:pPr>
        <w:pStyle w:val="a3"/>
        <w:spacing w:line="276" w:lineRule="auto"/>
        <w:ind w:left="100" w:right="109"/>
        <w:rPr>
          <w:lang w:eastAsia="ja-JP"/>
        </w:rPr>
      </w:pPr>
      <w:r>
        <w:rPr>
          <w:lang w:eastAsia="ja-JP"/>
        </w:rPr>
        <w:t>農業は、食料や飼料を供給するだけでなく、繊維、産業用バイオベースの材料、建設・包装、バイオエネルギーなどのバイオ経済の原料として利用できる可能性があり(そしてますます)、バイオマスを供給する可能性があることに留意されたい。 バイオマテリアルは、食品や飼料製品よりも長いライフサイクルを有する可能性があるため、炭素の長期的な除去と隔離に寄与する可能性がある。</w:t>
      </w:r>
    </w:p>
    <w:p w14:paraId="68526B2A" w14:textId="77777777" w:rsidR="00410BDF" w:rsidRDefault="00CF7372">
      <w:pPr>
        <w:pStyle w:val="a3"/>
        <w:spacing w:line="276" w:lineRule="auto"/>
        <w:ind w:left="100" w:right="288"/>
        <w:rPr>
          <w:lang w:eastAsia="ja-JP"/>
        </w:rPr>
      </w:pPr>
      <w:r>
        <w:rPr>
          <w:lang w:eastAsia="ja-JP"/>
        </w:rPr>
        <w:t>バイオエネルギーは、化石燃料の燃焼からの排出に取って代わる可能性がある。 したがって、農業生産は他の経済活動を通じて緩和を可能にすることができる。</w:t>
      </w:r>
    </w:p>
    <w:p w14:paraId="3CE626DD" w14:textId="77777777" w:rsidR="00410BDF" w:rsidRDefault="00410BDF">
      <w:pPr>
        <w:pStyle w:val="a3"/>
        <w:spacing w:before="9"/>
        <w:rPr>
          <w:lang w:eastAsia="ja-JP"/>
        </w:rPr>
      </w:pPr>
    </w:p>
    <w:p w14:paraId="646DC8BF" w14:textId="1AECCDAF" w:rsidR="00410BDF" w:rsidRDefault="00CF7372">
      <w:pPr>
        <w:pStyle w:val="a3"/>
        <w:spacing w:line="276" w:lineRule="auto"/>
        <w:ind w:left="100" w:right="109"/>
        <w:rPr>
          <w:lang w:eastAsia="ja-JP"/>
        </w:rPr>
      </w:pPr>
      <w:r>
        <w:rPr>
          <w:lang w:eastAsia="ja-JP"/>
        </w:rPr>
        <w:t>ここで提示する基準は、これらの作物と資源の最終用途にかかわらず、これらの作物と資源の生産方法で実現可能な実質的な緩和に焦点を当てている。</w:t>
      </w:r>
      <w:r>
        <w:rPr>
          <w:color w:val="212121"/>
          <w:lang w:eastAsia="ja-JP"/>
        </w:rPr>
        <w:t xml:space="preserve"> それらは、農産物がバイオエコノミーを介して緩和に寄与できる貢献</w:t>
      </w:r>
      <w:r w:rsidR="00104915">
        <w:rPr>
          <w:rFonts w:hint="eastAsia"/>
          <w:color w:val="212121"/>
          <w:lang w:eastAsia="ja-JP"/>
        </w:rPr>
        <w:t>について</w:t>
      </w:r>
      <w:r>
        <w:rPr>
          <w:color w:val="212121"/>
          <w:lang w:eastAsia="ja-JP"/>
        </w:rPr>
        <w:t>考慮</w:t>
      </w:r>
      <w:r w:rsidR="00104915">
        <w:rPr>
          <w:rFonts w:hint="eastAsia"/>
          <w:color w:val="212121"/>
          <w:lang w:eastAsia="ja-JP"/>
        </w:rPr>
        <w:t>して</w:t>
      </w:r>
      <w:r>
        <w:rPr>
          <w:color w:val="212121"/>
          <w:lang w:eastAsia="ja-JP"/>
        </w:rPr>
        <w:t>いない。バイオ経済の一部である川下の経済活動に</w:t>
      </w:r>
      <w:r w:rsidR="00104915">
        <w:rPr>
          <w:rFonts w:hint="eastAsia"/>
          <w:color w:val="212121"/>
          <w:lang w:eastAsia="ja-JP"/>
        </w:rPr>
        <w:t>つ</w:t>
      </w:r>
      <w:r>
        <w:rPr>
          <w:color w:val="212121"/>
          <w:lang w:eastAsia="ja-JP"/>
        </w:rPr>
        <w:t>いて</w:t>
      </w:r>
      <w:r w:rsidR="00104915">
        <w:rPr>
          <w:rFonts w:hint="eastAsia"/>
          <w:color w:val="212121"/>
          <w:lang w:eastAsia="ja-JP"/>
        </w:rPr>
        <w:t>は</w:t>
      </w:r>
      <w:r>
        <w:rPr>
          <w:color w:val="212121"/>
          <w:lang w:eastAsia="ja-JP"/>
        </w:rPr>
        <w:t>、潜在的に相当な貢献が可能である</w:t>
      </w:r>
      <w:r w:rsidR="00104915">
        <w:rPr>
          <w:rFonts w:hint="eastAsia"/>
          <w:color w:val="212121"/>
          <w:lang w:eastAsia="ja-JP"/>
        </w:rPr>
        <w:t>と考えられることから</w:t>
      </w:r>
      <w:r>
        <w:rPr>
          <w:color w:val="212121"/>
          <w:lang w:eastAsia="ja-JP"/>
        </w:rPr>
        <w:t>、(一部の)農業生産者または生産者にとって、これらの条件または代替基準が適切であるかどうか、またどのような状況下で適切であるか</w:t>
      </w:r>
      <w:r w:rsidR="00104915">
        <w:rPr>
          <w:rFonts w:hint="eastAsia"/>
          <w:color w:val="212121"/>
          <w:lang w:eastAsia="ja-JP"/>
        </w:rPr>
        <w:t>、プラットフォームはこの点について</w:t>
      </w:r>
      <w:r>
        <w:rPr>
          <w:color w:val="212121"/>
          <w:lang w:eastAsia="ja-JP"/>
        </w:rPr>
        <w:t>さら</w:t>
      </w:r>
      <w:r w:rsidR="00104915">
        <w:rPr>
          <w:rFonts w:hint="eastAsia"/>
          <w:color w:val="212121"/>
          <w:lang w:eastAsia="ja-JP"/>
        </w:rPr>
        <w:t>なる</w:t>
      </w:r>
      <w:r>
        <w:rPr>
          <w:color w:val="212121"/>
          <w:lang w:eastAsia="ja-JP"/>
        </w:rPr>
        <w:t>検討</w:t>
      </w:r>
      <w:r w:rsidR="00104915">
        <w:rPr>
          <w:rFonts w:hint="eastAsia"/>
          <w:color w:val="212121"/>
          <w:lang w:eastAsia="ja-JP"/>
        </w:rPr>
        <w:t>を加え</w:t>
      </w:r>
      <w:r>
        <w:rPr>
          <w:color w:val="212121"/>
          <w:lang w:eastAsia="ja-JP"/>
        </w:rPr>
        <w:t>るよう求められる。</w:t>
      </w:r>
    </w:p>
    <w:p w14:paraId="62BB26C5" w14:textId="77777777" w:rsidR="00410BDF" w:rsidRDefault="00410BDF">
      <w:pPr>
        <w:pStyle w:val="a3"/>
        <w:spacing w:before="10"/>
        <w:rPr>
          <w:lang w:eastAsia="ja-JP"/>
        </w:rPr>
      </w:pPr>
    </w:p>
    <w:p w14:paraId="40CB362C" w14:textId="77777777" w:rsidR="00410BDF" w:rsidRDefault="00CF7372">
      <w:pPr>
        <w:pStyle w:val="2"/>
        <w:ind w:left="100"/>
        <w:rPr>
          <w:lang w:eastAsia="ja-JP"/>
        </w:rPr>
      </w:pPr>
      <w:r>
        <w:rPr>
          <w:lang w:eastAsia="ja-JP"/>
        </w:rPr>
        <w:t>規制との整合性</w:t>
      </w:r>
    </w:p>
    <w:p w14:paraId="4EEA1152" w14:textId="77777777" w:rsidR="00410BDF" w:rsidRDefault="00410BDF">
      <w:pPr>
        <w:pStyle w:val="a3"/>
        <w:spacing w:before="1"/>
        <w:rPr>
          <w:b/>
          <w:sz w:val="24"/>
          <w:lang w:eastAsia="ja-JP"/>
        </w:rPr>
      </w:pPr>
    </w:p>
    <w:p w14:paraId="04A760BE" w14:textId="099B70D8" w:rsidR="00410BDF" w:rsidRDefault="00196192">
      <w:pPr>
        <w:pStyle w:val="a3"/>
        <w:spacing w:line="276" w:lineRule="auto"/>
        <w:ind w:left="100" w:right="140"/>
        <w:rPr>
          <w:lang w:eastAsia="ja-JP"/>
        </w:rPr>
      </w:pPr>
      <w:r>
        <w:rPr>
          <w:noProof/>
          <w:lang w:val="en-US" w:eastAsia="ja-JP"/>
        </w:rPr>
        <mc:AlternateContent>
          <mc:Choice Requires="wps">
            <w:drawing>
              <wp:anchor distT="0" distB="0" distL="114300" distR="114300" simplePos="0" relativeHeight="251640320" behindDoc="1" locked="0" layoutInCell="1" allowOverlap="1" wp14:anchorId="64E89623" wp14:editId="49D4B8B9">
                <wp:simplePos x="0" y="0"/>
                <wp:positionH relativeFrom="page">
                  <wp:posOffset>2212975</wp:posOffset>
                </wp:positionH>
                <wp:positionV relativeFrom="paragraph">
                  <wp:posOffset>589915</wp:posOffset>
                </wp:positionV>
                <wp:extent cx="34925" cy="6350"/>
                <wp:effectExtent l="3175" t="1270" r="0" b="1905"/>
                <wp:wrapNone/>
                <wp:docPr id="13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F978" id="Rectangle 124" o:spid="_x0000_s1026" style="position:absolute;left:0;text-align:left;margin-left:174.25pt;margin-top:46.45pt;width:2.75pt;height:.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HdwIAAPs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" fillcolor="black" stroked="f">
                <w10:wrap anchorx="page"/>
              </v:rect>
            </w:pict>
          </mc:Fallback>
        </mc:AlternateContent>
      </w:r>
      <w:r w:rsidR="00CF7372">
        <w:rPr>
          <w:lang w:eastAsia="ja-JP"/>
        </w:rPr>
        <w:t>明確化のために、再生可能エネルギー指令(RED II)は、バイオエネルギーを生産するために使用される原料の生産に関する多くの持続可能性要件を含んで</w:t>
      </w:r>
      <w:r w:rsidR="00104915">
        <w:rPr>
          <w:rFonts w:hint="eastAsia"/>
          <w:lang w:eastAsia="ja-JP"/>
        </w:rPr>
        <w:t>いるが</w:t>
      </w:r>
      <w:r w:rsidR="00CF7372">
        <w:rPr>
          <w:lang w:eastAsia="ja-JP"/>
        </w:rPr>
        <w:t>、これらの農業基準は、様々なサプライチェーンのための食料、バイオエネルギー及びバイオマテリアルの生産のために農業生産者全体に適用できる要件と整合的である。</w:t>
      </w:r>
    </w:p>
    <w:p w14:paraId="2437065B" w14:textId="77777777" w:rsidR="00410BDF" w:rsidRDefault="00410BDF">
      <w:pPr>
        <w:pStyle w:val="a3"/>
        <w:spacing w:before="8"/>
        <w:rPr>
          <w:sz w:val="12"/>
          <w:lang w:eastAsia="ja-JP"/>
        </w:rPr>
      </w:pPr>
    </w:p>
    <w:p w14:paraId="6DFBA6C6" w14:textId="38DAFF72" w:rsidR="00410BDF" w:rsidRDefault="00CF7372">
      <w:pPr>
        <w:pStyle w:val="a3"/>
        <w:spacing w:before="93" w:line="276" w:lineRule="auto"/>
        <w:ind w:left="100" w:right="556"/>
        <w:rPr>
          <w:lang w:eastAsia="ja-JP"/>
        </w:rPr>
      </w:pPr>
      <w:r>
        <w:rPr>
          <w:lang w:eastAsia="ja-JP"/>
        </w:rPr>
        <w:t>これらの基準はまた、コモン・農業政策(CAP)のクロスコンプライアンス措置、特にCOM(2018)392の附属書IIIに基づく2020年以降のCAPに関する現在の提案</w:t>
      </w:r>
      <w:r w:rsidR="00104915">
        <w:rPr>
          <w:rFonts w:hint="eastAsia"/>
          <w:lang w:eastAsia="ja-JP"/>
        </w:rPr>
        <w:t>をふまえて</w:t>
      </w:r>
      <w:r>
        <w:rPr>
          <w:lang w:eastAsia="ja-JP"/>
        </w:rPr>
        <w:t>構築すること</w:t>
      </w:r>
      <w:r w:rsidR="00104915">
        <w:rPr>
          <w:rFonts w:hint="eastAsia"/>
          <w:lang w:eastAsia="ja-JP"/>
        </w:rPr>
        <w:t>が</w:t>
      </w:r>
      <w:r>
        <w:rPr>
          <w:lang w:eastAsia="ja-JP"/>
        </w:rPr>
        <w:t>期待</w:t>
      </w:r>
      <w:r w:rsidR="00104915">
        <w:rPr>
          <w:rFonts w:hint="eastAsia"/>
          <w:lang w:eastAsia="ja-JP"/>
        </w:rPr>
        <w:t>され</w:t>
      </w:r>
      <w:r>
        <w:rPr>
          <w:lang w:eastAsia="ja-JP"/>
        </w:rPr>
        <w:t>る。</w:t>
      </w:r>
      <w:r w:rsidR="00104915" w:rsidRPr="00104915">
        <w:rPr>
          <w:lang w:eastAsia="ja-JP"/>
        </w:rPr>
        <w:t>126</w:t>
      </w:r>
    </w:p>
    <w:p w14:paraId="6A39F256" w14:textId="77777777" w:rsidR="00410BDF" w:rsidRDefault="00410BDF">
      <w:pPr>
        <w:pStyle w:val="a3"/>
        <w:rPr>
          <w:lang w:eastAsia="ja-JP"/>
        </w:rPr>
      </w:pPr>
    </w:p>
    <w:p w14:paraId="4C12C98C" w14:textId="77777777" w:rsidR="00410BDF" w:rsidRDefault="00410BDF">
      <w:pPr>
        <w:pStyle w:val="a3"/>
        <w:rPr>
          <w:lang w:eastAsia="ja-JP"/>
        </w:rPr>
      </w:pPr>
    </w:p>
    <w:p w14:paraId="07CAE6D1" w14:textId="77777777" w:rsidR="00410BDF" w:rsidRDefault="00410BDF">
      <w:pPr>
        <w:pStyle w:val="a3"/>
        <w:rPr>
          <w:lang w:eastAsia="ja-JP"/>
        </w:rPr>
      </w:pPr>
    </w:p>
    <w:p w14:paraId="0E058312" w14:textId="77777777" w:rsidR="00410BDF" w:rsidRDefault="00196192">
      <w:pPr>
        <w:pStyle w:val="a3"/>
        <w:spacing w:before="3"/>
        <w:rPr>
          <w:sz w:val="17"/>
          <w:lang w:eastAsia="ja-JP"/>
        </w:rPr>
      </w:pPr>
      <w:r>
        <w:rPr>
          <w:noProof/>
          <w:lang w:val="en-US" w:eastAsia="ja-JP"/>
        </w:rPr>
        <mc:AlternateContent>
          <mc:Choice Requires="wps">
            <w:drawing>
              <wp:anchor distT="0" distB="0" distL="0" distR="0" simplePos="0" relativeHeight="251657728" behindDoc="1" locked="0" layoutInCell="1" allowOverlap="1" wp14:anchorId="00BF5C4A" wp14:editId="48443682">
                <wp:simplePos x="0" y="0"/>
                <wp:positionH relativeFrom="page">
                  <wp:posOffset>914400</wp:posOffset>
                </wp:positionH>
                <wp:positionV relativeFrom="paragraph">
                  <wp:posOffset>153670</wp:posOffset>
                </wp:positionV>
                <wp:extent cx="1829435" cy="0"/>
                <wp:effectExtent l="9525" t="6350" r="8890" b="12700"/>
                <wp:wrapTopAndBottom/>
                <wp:docPr id="12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2276F" id="Line 123"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21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9eiIAIAAEU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" strokeweight=".16936mm">
                <w10:wrap type="topAndBottom" anchorx="page"/>
              </v:line>
            </w:pict>
          </mc:Fallback>
        </mc:AlternateContent>
      </w:r>
    </w:p>
    <w:p w14:paraId="04820449" w14:textId="77777777" w:rsidR="00410BDF" w:rsidRDefault="00410BDF">
      <w:pPr>
        <w:pStyle w:val="a3"/>
        <w:spacing w:before="10"/>
        <w:rPr>
          <w:sz w:val="16"/>
          <w:lang w:eastAsia="ja-JP"/>
        </w:rPr>
      </w:pPr>
    </w:p>
    <w:p w14:paraId="0AEB2795" w14:textId="77777777" w:rsidR="00410BDF" w:rsidRDefault="00CF7372">
      <w:pPr>
        <w:spacing w:before="98"/>
        <w:ind w:left="100"/>
        <w:rPr>
          <w:sz w:val="16"/>
          <w:lang w:eastAsia="ja-JP"/>
        </w:rPr>
      </w:pPr>
      <w:r>
        <w:rPr>
          <w:position w:val="6"/>
          <w:sz w:val="10"/>
          <w:lang w:eastAsia="ja-JP"/>
        </w:rPr>
        <w:t>126 https://eur-lex.europa.eu/resource.html?uri=cellar:aa85fa9a-65a0-11e8-ab9c-01aa75ed71a1.0003.02/DOC_2&amp;format=PDF</w:t>
      </w:r>
    </w:p>
    <w:p w14:paraId="7A5A4868" w14:textId="77777777" w:rsidR="00410BDF" w:rsidRDefault="00410BDF">
      <w:pPr>
        <w:rPr>
          <w:sz w:val="16"/>
          <w:lang w:eastAsia="ja-JP"/>
        </w:rPr>
        <w:sectPr w:rsidR="00410BDF">
          <w:footerReference w:type="default" r:id="rId13"/>
          <w:pgSz w:w="12240" w:h="15840"/>
          <w:pgMar w:top="1360" w:right="1320" w:bottom="1200" w:left="1340" w:header="0" w:footer="1020" w:gutter="0"/>
          <w:pgNumType w:start="104"/>
          <w:cols w:space="720"/>
        </w:sectPr>
      </w:pPr>
    </w:p>
    <w:p w14:paraId="7498B058" w14:textId="77777777" w:rsidR="00410BDF" w:rsidRDefault="00410BDF">
      <w:pPr>
        <w:pStyle w:val="a3"/>
        <w:rPr>
          <w:lang w:eastAsia="ja-JP"/>
        </w:rPr>
      </w:pPr>
    </w:p>
    <w:p w14:paraId="20B215D5" w14:textId="77777777" w:rsidR="00410BDF" w:rsidRDefault="00410BDF">
      <w:pPr>
        <w:pStyle w:val="a3"/>
        <w:spacing w:before="7"/>
        <w:rPr>
          <w:sz w:val="18"/>
          <w:lang w:eastAsia="ja-JP"/>
        </w:rPr>
      </w:pPr>
    </w:p>
    <w:p w14:paraId="6AFC5B93" w14:textId="5DD4E619" w:rsidR="00410BDF" w:rsidRDefault="00CF7372">
      <w:pPr>
        <w:pStyle w:val="a3"/>
        <w:spacing w:line="276" w:lineRule="auto"/>
        <w:ind w:left="100" w:right="210"/>
        <w:rPr>
          <w:lang w:eastAsia="ja-JP"/>
        </w:rPr>
      </w:pPr>
      <w:r>
        <w:rPr>
          <w:lang w:eastAsia="ja-JP"/>
        </w:rPr>
        <w:t>一般原則として、作業部会は、特に「重大な損害を与えない」基準が条件要件、すなわち農業者がCAP補助金の対象となるために満たさなければならない基準と整合的であることを保証することを目的としてきた。 「実質的な貢献」の基準は、これらの要件を超えている。なぜなら、これは、実質的な貢献として数えるために必要な影響の大きさを満たすために</w:t>
      </w:r>
      <w:commentRangeStart w:id="3"/>
      <w:r>
        <w:rPr>
          <w:lang w:eastAsia="ja-JP"/>
        </w:rPr>
        <w:t>必要であると感じられた</w:t>
      </w:r>
      <w:commentRangeEnd w:id="3"/>
      <w:r w:rsidR="00B064E2">
        <w:rPr>
          <w:rStyle w:val="a7"/>
        </w:rPr>
        <w:commentReference w:id="3"/>
      </w:r>
      <w:r>
        <w:rPr>
          <w:lang w:eastAsia="ja-JP"/>
        </w:rPr>
        <w:t>からである。 作業部会は、これらの基準を可能な限り「将来の証明」</w:t>
      </w:r>
      <w:r w:rsidR="004371B0">
        <w:rPr>
          <w:rFonts w:hint="eastAsia"/>
          <w:lang w:eastAsia="ja-JP"/>
        </w:rPr>
        <w:t>と</w:t>
      </w:r>
      <w:r>
        <w:rPr>
          <w:lang w:eastAsia="ja-JP"/>
        </w:rPr>
        <w:t>するため</w:t>
      </w:r>
      <w:r w:rsidR="004371B0">
        <w:rPr>
          <w:rFonts w:hint="eastAsia"/>
          <w:lang w:eastAsia="ja-JP"/>
        </w:rPr>
        <w:t>、</w:t>
      </w:r>
      <w:r>
        <w:rPr>
          <w:lang w:eastAsia="ja-JP"/>
        </w:rPr>
        <w:t>現行のCAPではなく、2020年以降のCAPに焦点を当てた。 これらの基準を2020年以降のCAPと相互参照するための努力がなされているが、2020年以降のCAPが現時点では採択されていない</w:t>
      </w:r>
      <w:r w:rsidR="004371B0">
        <w:rPr>
          <w:rFonts w:hint="eastAsia"/>
          <w:lang w:eastAsia="ja-JP"/>
        </w:rPr>
        <w:t>。ゆえに</w:t>
      </w:r>
      <w:r>
        <w:rPr>
          <w:lang w:eastAsia="ja-JP"/>
        </w:rPr>
        <w:t>委員会及びその後の持続可能な金融プラットフォーム(以下「プラットフォーム」という)</w:t>
      </w:r>
      <w:r w:rsidR="00B064E2">
        <w:rPr>
          <w:rFonts w:hint="eastAsia"/>
          <w:lang w:eastAsia="ja-JP"/>
        </w:rPr>
        <w:t>に対しては</w:t>
      </w:r>
      <w:r>
        <w:rPr>
          <w:lang w:eastAsia="ja-JP"/>
        </w:rPr>
        <w:t>、2020年以降のCAPの規定を最終的に見直し、それに基づいてこれらの基準に何らかの変更を加える必要があるかどうかを検討するよう要請</w:t>
      </w:r>
      <w:r w:rsidR="00B064E2">
        <w:rPr>
          <w:rFonts w:hint="eastAsia"/>
          <w:lang w:eastAsia="ja-JP"/>
        </w:rPr>
        <w:t>す</w:t>
      </w:r>
      <w:r w:rsidR="004371B0">
        <w:rPr>
          <w:rFonts w:hint="eastAsia"/>
          <w:lang w:eastAsia="ja-JP"/>
        </w:rPr>
        <w:t>る</w:t>
      </w:r>
      <w:r>
        <w:rPr>
          <w:lang w:eastAsia="ja-JP"/>
        </w:rPr>
        <w:t>。</w:t>
      </w:r>
    </w:p>
    <w:p w14:paraId="6E521661" w14:textId="77777777" w:rsidR="00410BDF" w:rsidRDefault="00410BDF">
      <w:pPr>
        <w:pStyle w:val="a3"/>
        <w:spacing w:before="10"/>
        <w:rPr>
          <w:lang w:eastAsia="ja-JP"/>
        </w:rPr>
      </w:pPr>
    </w:p>
    <w:p w14:paraId="5E316A5E" w14:textId="77777777" w:rsidR="00410BDF" w:rsidRDefault="00CF7372">
      <w:pPr>
        <w:pStyle w:val="2"/>
        <w:ind w:left="100"/>
        <w:rPr>
          <w:lang w:eastAsia="ja-JP"/>
        </w:rPr>
      </w:pPr>
      <w:r>
        <w:rPr>
          <w:lang w:eastAsia="ja-JP"/>
        </w:rPr>
        <w:t>農業生産における相乗効果と潜在的な共同便益への対処</w:t>
      </w:r>
    </w:p>
    <w:p w14:paraId="28CA7DFA" w14:textId="77777777" w:rsidR="00410BDF" w:rsidRDefault="00410BDF">
      <w:pPr>
        <w:pStyle w:val="a3"/>
        <w:spacing w:before="10"/>
        <w:rPr>
          <w:b/>
          <w:sz w:val="23"/>
          <w:lang w:eastAsia="ja-JP"/>
        </w:rPr>
      </w:pPr>
    </w:p>
    <w:p w14:paraId="7B4FB3E3" w14:textId="4B8C3CBA" w:rsidR="00410BDF" w:rsidRDefault="00CF7372">
      <w:pPr>
        <w:pStyle w:val="a3"/>
        <w:spacing w:line="276" w:lineRule="auto"/>
        <w:ind w:left="100" w:right="109"/>
        <w:rPr>
          <w:lang w:eastAsia="ja-JP"/>
        </w:rPr>
      </w:pPr>
      <w:r>
        <w:rPr>
          <w:lang w:eastAsia="ja-JP"/>
        </w:rPr>
        <w:t>土地管理決定の相互に関連した性質と、土壌、水、生物多様性および炭素循環への影響は、</w:t>
      </w:r>
      <w:r w:rsidR="00B83F9B">
        <w:rPr>
          <w:lang w:eastAsia="ja-JP"/>
        </w:rPr>
        <w:t>タクソノミー</w:t>
      </w:r>
      <w:r>
        <w:rPr>
          <w:lang w:eastAsia="ja-JP"/>
        </w:rPr>
        <w:t>の1つの目的(例えば、気候緩和)のための農地管理が</w:t>
      </w:r>
      <w:r w:rsidR="00B83F9B">
        <w:rPr>
          <w:lang w:eastAsia="ja-JP"/>
        </w:rPr>
        <w:t>タクソノミー</w:t>
      </w:r>
      <w:r>
        <w:rPr>
          <w:lang w:eastAsia="ja-JP"/>
        </w:rPr>
        <w:t xml:space="preserve">の他の目的(例えば、健全な生態系の保護)に影響を与えることを意味する。 </w:t>
      </w:r>
      <w:r w:rsidR="00B83F9B">
        <w:rPr>
          <w:lang w:eastAsia="ja-JP"/>
        </w:rPr>
        <w:t>タクソノミー</w:t>
      </w:r>
      <w:r>
        <w:rPr>
          <w:lang w:eastAsia="ja-JP"/>
        </w:rPr>
        <w:t>は、</w:t>
      </w:r>
      <w:r w:rsidR="00B83F9B">
        <w:rPr>
          <w:lang w:eastAsia="ja-JP"/>
        </w:rPr>
        <w:t>タクソノミー</w:t>
      </w:r>
      <w:r>
        <w:rPr>
          <w:lang w:eastAsia="ja-JP"/>
        </w:rPr>
        <w:t>に準拠した経済活動のために、農業部門における緩和への実質的な貢献が、他の5つの環境目的に重大な損害を与えないことを保証する</w:t>
      </w:r>
      <w:r w:rsidR="004371B0">
        <w:rPr>
          <w:rFonts w:hint="eastAsia"/>
          <w:lang w:eastAsia="ja-JP"/>
        </w:rPr>
        <w:t>目的で作られている</w:t>
      </w:r>
      <w:r>
        <w:rPr>
          <w:lang w:eastAsia="ja-JP"/>
        </w:rPr>
        <w:t>。これらの環境目標の相互に関連した性質は、他の</w:t>
      </w:r>
      <w:r w:rsidR="00B83F9B">
        <w:rPr>
          <w:lang w:eastAsia="ja-JP"/>
        </w:rPr>
        <w:t>タクソノミー</w:t>
      </w:r>
      <w:r>
        <w:rPr>
          <w:lang w:eastAsia="ja-JP"/>
        </w:rPr>
        <w:t>の目的に害を与えることなく、他の</w:t>
      </w:r>
      <w:r w:rsidR="00B83F9B">
        <w:rPr>
          <w:lang w:eastAsia="ja-JP"/>
        </w:rPr>
        <w:t>タクソノミー</w:t>
      </w:r>
      <w:r>
        <w:rPr>
          <w:lang w:eastAsia="ja-JP"/>
        </w:rPr>
        <w:t>の目的に積極的な貢献を提供または可能にする実質的な緩和アプローチを</w:t>
      </w:r>
      <w:r w:rsidR="004371B0">
        <w:rPr>
          <w:rFonts w:hint="eastAsia"/>
          <w:lang w:eastAsia="ja-JP"/>
        </w:rPr>
        <w:t>進める</w:t>
      </w:r>
      <w:r>
        <w:rPr>
          <w:lang w:eastAsia="ja-JP"/>
        </w:rPr>
        <w:t>機会を提供する。</w:t>
      </w:r>
    </w:p>
    <w:p w14:paraId="3BB50406" w14:textId="77777777" w:rsidR="00410BDF" w:rsidRDefault="00410BDF">
      <w:pPr>
        <w:pStyle w:val="a3"/>
        <w:spacing w:before="10"/>
        <w:rPr>
          <w:lang w:eastAsia="ja-JP"/>
        </w:rPr>
      </w:pPr>
    </w:p>
    <w:p w14:paraId="2A683E10" w14:textId="5BC078C9" w:rsidR="00410BDF" w:rsidRDefault="00CF7372">
      <w:pPr>
        <w:pStyle w:val="a3"/>
        <w:spacing w:line="276" w:lineRule="auto"/>
        <w:ind w:left="100" w:right="109"/>
        <w:rPr>
          <w:lang w:eastAsia="ja-JP"/>
        </w:rPr>
      </w:pPr>
      <w:r>
        <w:rPr>
          <w:lang w:eastAsia="ja-JP"/>
        </w:rPr>
        <w:t>これらの理由から、気候緩和は、</w:t>
      </w:r>
      <w:r w:rsidR="00B83F9B">
        <w:rPr>
          <w:lang w:eastAsia="ja-JP"/>
        </w:rPr>
        <w:t>タクソノミー</w:t>
      </w:r>
      <w:r>
        <w:rPr>
          <w:lang w:eastAsia="ja-JP"/>
        </w:rPr>
        <w:t>の他の5つの環境目的と切り離して考慮</w:t>
      </w:r>
      <w:r w:rsidR="004371B0">
        <w:rPr>
          <w:rFonts w:hint="eastAsia"/>
          <w:lang w:eastAsia="ja-JP"/>
        </w:rPr>
        <w:t>することが不適当であり</w:t>
      </w:r>
      <w:r>
        <w:rPr>
          <w:lang w:eastAsia="ja-JP"/>
        </w:rPr>
        <w:t>、</w:t>
      </w:r>
      <w:r w:rsidR="004371B0">
        <w:rPr>
          <w:rFonts w:hint="eastAsia"/>
          <w:lang w:eastAsia="ja-JP"/>
        </w:rPr>
        <w:t>将来的に</w:t>
      </w:r>
      <w:r>
        <w:rPr>
          <w:lang w:eastAsia="ja-JP"/>
        </w:rPr>
        <w:t>考慮すべきではなく、また、</w:t>
      </w:r>
      <w:r w:rsidR="004371B0">
        <w:rPr>
          <w:rFonts w:hint="eastAsia"/>
          <w:lang w:eastAsia="ja-JP"/>
        </w:rPr>
        <w:t>これまでも</w:t>
      </w:r>
      <w:r>
        <w:rPr>
          <w:lang w:eastAsia="ja-JP"/>
        </w:rPr>
        <w:t>考慮</w:t>
      </w:r>
      <w:r w:rsidR="004371B0">
        <w:rPr>
          <w:rFonts w:hint="eastAsia"/>
          <w:lang w:eastAsia="ja-JP"/>
        </w:rPr>
        <w:t>されてこ</w:t>
      </w:r>
      <w:r>
        <w:rPr>
          <w:lang w:eastAsia="ja-JP"/>
        </w:rPr>
        <w:t>なかった。 緩和基準への実質的な貢献のためのベストプラクティス表に含まれる措置の多くは、農業生態学的慣行または自然に基づく土地管理活動(例えば、輪作、植え付けヘッジ)であり、これは、ウィン-ウィンまたはノー-リグレット措置である。 これらは、気候緩和に大きく寄与する一方で、土壌の健康、生物多様性、資源効率、水の保護にも大きな利益をもたらし、それによって極端な気候に対する回復力を高める。 他の場合には、他の目的との相乗効果をより慎重に追求し、しばしば状況に応じた考察を行う必要がある。 特に畜産に関しては、持続可能性の目的との相乗効果には、慎重な検討が必要であり、生産性/生産集約度と</w:t>
      </w:r>
      <w:r w:rsidR="004371B0">
        <w:rPr>
          <w:rFonts w:hint="eastAsia"/>
          <w:lang w:eastAsia="ja-JP"/>
        </w:rPr>
        <w:t>、</w:t>
      </w:r>
      <w:r>
        <w:rPr>
          <w:lang w:eastAsia="ja-JP"/>
        </w:rPr>
        <w:t>生物多様性の価値の増大および水質の改善とのバランスを取る必要がある。</w:t>
      </w:r>
    </w:p>
    <w:p w14:paraId="7C21A428" w14:textId="77777777" w:rsidR="00410BDF" w:rsidRDefault="00410BDF">
      <w:pPr>
        <w:pStyle w:val="a3"/>
        <w:rPr>
          <w:sz w:val="22"/>
          <w:lang w:eastAsia="ja-JP"/>
        </w:rPr>
      </w:pPr>
    </w:p>
    <w:p w14:paraId="31A38326" w14:textId="02F91989" w:rsidR="00410BDF" w:rsidRDefault="00CF7372">
      <w:pPr>
        <w:pStyle w:val="a3"/>
        <w:spacing w:before="173" w:line="276" w:lineRule="auto"/>
        <w:ind w:left="100" w:right="152"/>
        <w:rPr>
          <w:lang w:eastAsia="ja-JP"/>
        </w:rPr>
      </w:pPr>
      <w:r>
        <w:rPr>
          <w:lang w:eastAsia="ja-JP"/>
        </w:rPr>
        <w:t>農業生産活動のため</w:t>
      </w:r>
      <w:r w:rsidR="00B25066">
        <w:rPr>
          <w:rFonts w:hint="eastAsia"/>
          <w:lang w:eastAsia="ja-JP"/>
        </w:rPr>
        <w:t>に</w:t>
      </w:r>
      <w:r>
        <w:rPr>
          <w:lang w:eastAsia="ja-JP"/>
        </w:rPr>
        <w:t>提案された基準は、経時的な</w:t>
      </w:r>
      <w:r w:rsidR="004371B0">
        <w:rPr>
          <w:rFonts w:hint="eastAsia"/>
          <w:lang w:eastAsia="ja-JP"/>
        </w:rPr>
        <w:t>システム</w:t>
      </w:r>
      <w:r>
        <w:rPr>
          <w:lang w:eastAsia="ja-JP"/>
        </w:rPr>
        <w:t>移行を可能にする</w:t>
      </w:r>
      <w:r w:rsidR="00B25066">
        <w:rPr>
          <w:rFonts w:hint="eastAsia"/>
          <w:lang w:eastAsia="ja-JP"/>
        </w:rPr>
        <w:t>よう</w:t>
      </w:r>
      <w:r w:rsidR="004371B0">
        <w:rPr>
          <w:rFonts w:hint="eastAsia"/>
          <w:lang w:eastAsia="ja-JP"/>
        </w:rPr>
        <w:t>に</w:t>
      </w:r>
      <w:r>
        <w:rPr>
          <w:lang w:eastAsia="ja-JP"/>
        </w:rPr>
        <w:t>策定された。 これは、部分的には、</w:t>
      </w:r>
      <w:r w:rsidR="000D11C7" w:rsidRPr="000D11C7">
        <w:rPr>
          <w:rFonts w:hint="eastAsia"/>
          <w:lang w:eastAsia="ja-JP"/>
        </w:rPr>
        <w:t>それによって、緩和のための即時の行動が、この部門においてより大きな緩和便益をもたらす可能性のある変化のための将来の選択肢を妨げたり、閉鎖したりする</w:t>
      </w:r>
      <w:r w:rsidR="000D11C7">
        <w:rPr>
          <w:rFonts w:hint="eastAsia"/>
          <w:lang w:eastAsia="ja-JP"/>
        </w:rPr>
        <w:t>ような</w:t>
      </w:r>
      <w:r>
        <w:rPr>
          <w:lang w:eastAsia="ja-JP"/>
        </w:rPr>
        <w:t>システム・ロックインを防止する</w:t>
      </w:r>
      <w:r w:rsidR="000D11C7">
        <w:rPr>
          <w:rFonts w:hint="eastAsia"/>
          <w:lang w:eastAsia="ja-JP"/>
        </w:rPr>
        <w:t>ことを</w:t>
      </w:r>
      <w:r w:rsidR="00B25066">
        <w:rPr>
          <w:rFonts w:hint="eastAsia"/>
          <w:lang w:eastAsia="ja-JP"/>
        </w:rPr>
        <w:t>求めている</w:t>
      </w:r>
      <w:r w:rsidR="00B25066">
        <w:rPr>
          <w:lang w:eastAsia="ja-JP"/>
        </w:rPr>
        <w:t>。</w:t>
      </w:r>
      <w:r>
        <w:rPr>
          <w:lang w:eastAsia="ja-JP"/>
        </w:rPr>
        <w:t xml:space="preserve"> 例えば、畜産部門のGHGパフォーマンスを改善しようとする活動への投資は、畜産と作物生産(混合農業)</w:t>
      </w:r>
      <w:r w:rsidR="00B25066">
        <w:rPr>
          <w:lang w:eastAsia="ja-JP"/>
        </w:rPr>
        <w:t>のより大きな統合、または家畜生産の全体的な減少を通</w:t>
      </w:r>
      <w:r w:rsidR="00B25066">
        <w:rPr>
          <w:rFonts w:hint="eastAsia"/>
          <w:lang w:eastAsia="ja-JP"/>
        </w:rPr>
        <w:t>じた</w:t>
      </w:r>
      <w:r>
        <w:rPr>
          <w:lang w:eastAsia="ja-JP"/>
        </w:rPr>
        <w:t>この部門におけるより組織的な変化を妨げるべきではない。 もう一つの例は、運輸部門におけるバイオ燃料の使用と生産</w:t>
      </w:r>
      <w:r w:rsidR="000D11C7">
        <w:rPr>
          <w:rFonts w:hint="eastAsia"/>
          <w:lang w:eastAsia="ja-JP"/>
        </w:rPr>
        <w:t>をあげることができる</w:t>
      </w:r>
      <w:r>
        <w:rPr>
          <w:lang w:eastAsia="ja-JP"/>
        </w:rPr>
        <w:t>。持続可能な液体バイオ燃料は、輸送エネルギーからのGHG排出削減を可能に</w:t>
      </w:r>
      <w:r w:rsidR="000D11C7">
        <w:rPr>
          <w:rFonts w:hint="eastAsia"/>
          <w:lang w:eastAsia="ja-JP"/>
        </w:rPr>
        <w:t>する</w:t>
      </w:r>
      <w:r>
        <w:rPr>
          <w:lang w:eastAsia="ja-JP"/>
        </w:rPr>
        <w:t>が、自動車の電化やモーダルシフトなど、より実質的な変化を求める可能性のある緩和開発軌道における内燃機関の使用を永続させ</w:t>
      </w:r>
      <w:r w:rsidR="000D11C7">
        <w:rPr>
          <w:rFonts w:hint="eastAsia"/>
          <w:lang w:eastAsia="ja-JP"/>
        </w:rPr>
        <w:t>てしまうのだ</w:t>
      </w:r>
      <w:r>
        <w:rPr>
          <w:lang w:eastAsia="ja-JP"/>
        </w:rPr>
        <w:t>。</w:t>
      </w:r>
    </w:p>
    <w:p w14:paraId="68EB22F1" w14:textId="77777777" w:rsidR="00410BDF" w:rsidRDefault="00410BDF">
      <w:pPr>
        <w:spacing w:line="276" w:lineRule="auto"/>
        <w:rPr>
          <w:lang w:eastAsia="ja-JP"/>
        </w:rPr>
        <w:sectPr w:rsidR="00410BDF">
          <w:pgSz w:w="12240" w:h="15840"/>
          <w:pgMar w:top="1500" w:right="1320" w:bottom="1200" w:left="1340" w:header="0" w:footer="1020" w:gutter="0"/>
          <w:cols w:space="720"/>
        </w:sectPr>
      </w:pPr>
    </w:p>
    <w:p w14:paraId="1FA86519" w14:textId="77777777" w:rsidR="00410BDF" w:rsidRDefault="00410BDF">
      <w:pPr>
        <w:pStyle w:val="a3"/>
        <w:spacing w:before="3"/>
        <w:rPr>
          <w:lang w:eastAsia="ja-JP"/>
        </w:rPr>
      </w:pPr>
    </w:p>
    <w:p w14:paraId="1A3B38FD" w14:textId="77777777" w:rsidR="00410BDF" w:rsidRDefault="00CF7372">
      <w:pPr>
        <w:pStyle w:val="2"/>
        <w:spacing w:before="93"/>
        <w:ind w:left="100"/>
        <w:rPr>
          <w:lang w:eastAsia="ja-JP"/>
        </w:rPr>
      </w:pPr>
      <w:r w:rsidRPr="008746A5">
        <w:rPr>
          <w:lang w:eastAsia="ja-JP"/>
        </w:rPr>
        <w:t>パブリック・コンサルテーション・フィードバックの概要</w:t>
      </w:r>
    </w:p>
    <w:p w14:paraId="6D0611A2" w14:textId="77777777" w:rsidR="00410BDF" w:rsidRDefault="00410BDF">
      <w:pPr>
        <w:pStyle w:val="a3"/>
        <w:spacing w:before="7"/>
        <w:rPr>
          <w:b/>
          <w:sz w:val="23"/>
          <w:lang w:eastAsia="ja-JP"/>
        </w:rPr>
      </w:pPr>
    </w:p>
    <w:p w14:paraId="1CDF57E2" w14:textId="19195A54" w:rsidR="00410BDF" w:rsidRDefault="00CF7372">
      <w:pPr>
        <w:pStyle w:val="a3"/>
        <w:spacing w:line="276" w:lineRule="auto"/>
        <w:ind w:left="100" w:right="109"/>
        <w:rPr>
          <w:lang w:eastAsia="ja-JP"/>
        </w:rPr>
      </w:pPr>
      <w:r>
        <w:rPr>
          <w:color w:val="212121"/>
          <w:lang w:eastAsia="ja-JP"/>
        </w:rPr>
        <w:t>TEGは、</w:t>
      </w:r>
      <w:r w:rsidR="00B83F9B">
        <w:rPr>
          <w:color w:val="212121"/>
          <w:lang w:eastAsia="ja-JP"/>
        </w:rPr>
        <w:t>タクソノミー</w:t>
      </w:r>
      <w:r>
        <w:rPr>
          <w:color w:val="212121"/>
          <w:lang w:eastAsia="ja-JP"/>
        </w:rPr>
        <w:t>の農業基準の改善に役立つフィードバックを提供したすべての回答者に感謝する。 ワーキンググループは、このフィードバックを評価し、このフィードバックを本報告書の作成に利用した。 以下の簡単な要約は、受け取った主要なフィードバックとそれに対する回答</w:t>
      </w:r>
      <w:r w:rsidR="000D11C7">
        <w:rPr>
          <w:rFonts w:hint="eastAsia"/>
          <w:color w:val="212121"/>
          <w:lang w:eastAsia="ja-JP"/>
        </w:rPr>
        <w:t>に焦点を当てて</w:t>
      </w:r>
      <w:r>
        <w:rPr>
          <w:color w:val="212121"/>
          <w:lang w:eastAsia="ja-JP"/>
        </w:rPr>
        <w:t>いる。</w:t>
      </w:r>
    </w:p>
    <w:p w14:paraId="3F3B3F76" w14:textId="77777777" w:rsidR="00410BDF" w:rsidRDefault="00410BDF">
      <w:pPr>
        <w:pStyle w:val="a3"/>
        <w:rPr>
          <w:sz w:val="21"/>
          <w:lang w:eastAsia="ja-JP"/>
        </w:rPr>
      </w:pPr>
    </w:p>
    <w:p w14:paraId="5EFE5AD9" w14:textId="6DB230CD" w:rsidR="00410BDF" w:rsidRDefault="00CF7372">
      <w:pPr>
        <w:pStyle w:val="a4"/>
        <w:numPr>
          <w:ilvl w:val="0"/>
          <w:numId w:val="36"/>
        </w:numPr>
        <w:tabs>
          <w:tab w:val="left" w:pos="820"/>
          <w:tab w:val="left" w:pos="821"/>
        </w:tabs>
        <w:spacing w:line="276" w:lineRule="auto"/>
        <w:ind w:right="143"/>
        <w:rPr>
          <w:sz w:val="20"/>
          <w:lang w:eastAsia="ja-JP"/>
        </w:rPr>
      </w:pPr>
      <w:r>
        <w:rPr>
          <w:sz w:val="20"/>
          <w:lang w:eastAsia="ja-JP"/>
        </w:rPr>
        <w:t>利害関係者は、例えば農業生態学的原則に基づく基準を設定するための、原則に基づく代替的なアプローチを提</w:t>
      </w:r>
      <w:r w:rsidR="008746A5">
        <w:rPr>
          <w:rFonts w:hint="eastAsia"/>
          <w:sz w:val="20"/>
          <w:lang w:eastAsia="ja-JP"/>
        </w:rPr>
        <w:t>案</w:t>
      </w:r>
      <w:r>
        <w:rPr>
          <w:sz w:val="20"/>
          <w:lang w:eastAsia="ja-JP"/>
        </w:rPr>
        <w:t>した。 このアプローチは、作業部会によって検討されたが、</w:t>
      </w:r>
      <w:r w:rsidR="008746A5">
        <w:rPr>
          <w:rFonts w:hint="eastAsia"/>
          <w:sz w:val="20"/>
          <w:lang w:eastAsia="ja-JP"/>
        </w:rPr>
        <w:t>過剰に</w:t>
      </w:r>
      <w:r>
        <w:rPr>
          <w:sz w:val="20"/>
          <w:lang w:eastAsia="ja-JP"/>
        </w:rPr>
        <w:t>オープン・エンドであるため、一連の基準をすべてのユーザ</w:t>
      </w:r>
      <w:r w:rsidR="008746A5">
        <w:rPr>
          <w:rFonts w:hint="eastAsia"/>
          <w:sz w:val="20"/>
          <w:lang w:eastAsia="ja-JP"/>
        </w:rPr>
        <w:t>ー</w:t>
      </w:r>
      <w:r>
        <w:rPr>
          <w:sz w:val="20"/>
          <w:lang w:eastAsia="ja-JP"/>
        </w:rPr>
        <w:t>が一貫して適用することができず、パフォーマンスのレベルに著しいばらつきが生じるリスクが高い</w:t>
      </w:r>
      <w:r w:rsidR="008746A5">
        <w:rPr>
          <w:rFonts w:hint="eastAsia"/>
          <w:sz w:val="20"/>
          <w:lang w:eastAsia="ja-JP"/>
        </w:rPr>
        <w:t>と懸念さ</w:t>
      </w:r>
      <w:r>
        <w:rPr>
          <w:sz w:val="20"/>
          <w:lang w:eastAsia="ja-JP"/>
        </w:rPr>
        <w:t>れた。 TEGの見解では、基準(特にここで詳述するベストプラクティス)はこれらの原則と整合的であり、利用者の様々な状況を満たすのに十分な柔軟性を</w:t>
      </w:r>
      <w:r w:rsidR="000D11C7">
        <w:rPr>
          <w:rFonts w:hint="eastAsia"/>
          <w:sz w:val="20"/>
          <w:lang w:eastAsia="ja-JP"/>
        </w:rPr>
        <w:t>有しているが、</w:t>
      </w:r>
      <w:r w:rsidR="008746A5">
        <w:rPr>
          <w:rFonts w:hint="eastAsia"/>
          <w:sz w:val="20"/>
          <w:lang w:eastAsia="ja-JP"/>
        </w:rPr>
        <w:t>他方で</w:t>
      </w:r>
      <w:r>
        <w:rPr>
          <w:sz w:val="20"/>
          <w:lang w:eastAsia="ja-JP"/>
        </w:rPr>
        <w:t>利用者</w:t>
      </w:r>
      <w:r w:rsidR="008746A5">
        <w:rPr>
          <w:rFonts w:hint="eastAsia"/>
          <w:sz w:val="20"/>
          <w:lang w:eastAsia="ja-JP"/>
        </w:rPr>
        <w:t>にかかわらず</w:t>
      </w:r>
      <w:r>
        <w:rPr>
          <w:sz w:val="20"/>
          <w:lang w:eastAsia="ja-JP"/>
        </w:rPr>
        <w:t>一貫したレベルのパフォーマンス</w:t>
      </w:r>
      <w:r w:rsidR="008746A5">
        <w:rPr>
          <w:rFonts w:hint="eastAsia"/>
          <w:sz w:val="20"/>
          <w:lang w:eastAsia="ja-JP"/>
        </w:rPr>
        <w:t>が要求され</w:t>
      </w:r>
      <w:r w:rsidR="000D11C7">
        <w:rPr>
          <w:rFonts w:hint="eastAsia"/>
          <w:sz w:val="20"/>
          <w:lang w:eastAsia="ja-JP"/>
        </w:rPr>
        <w:t>る</w:t>
      </w:r>
      <w:r w:rsidR="008746A5">
        <w:rPr>
          <w:rFonts w:hint="eastAsia"/>
          <w:sz w:val="20"/>
          <w:lang w:eastAsia="ja-JP"/>
        </w:rPr>
        <w:t>ものである</w:t>
      </w:r>
      <w:r>
        <w:rPr>
          <w:sz w:val="20"/>
          <w:lang w:eastAsia="ja-JP"/>
        </w:rPr>
        <w:t>。</w:t>
      </w:r>
    </w:p>
    <w:p w14:paraId="5EF00D86" w14:textId="77777777" w:rsidR="00410BDF" w:rsidRDefault="00410BDF">
      <w:pPr>
        <w:pStyle w:val="a3"/>
        <w:rPr>
          <w:sz w:val="21"/>
          <w:lang w:eastAsia="ja-JP"/>
        </w:rPr>
      </w:pPr>
    </w:p>
    <w:p w14:paraId="3A43AD97" w14:textId="77A42F9E" w:rsidR="00410BDF" w:rsidRDefault="00CF7372">
      <w:pPr>
        <w:pStyle w:val="a4"/>
        <w:numPr>
          <w:ilvl w:val="0"/>
          <w:numId w:val="36"/>
        </w:numPr>
        <w:tabs>
          <w:tab w:val="left" w:pos="820"/>
          <w:tab w:val="left" w:pos="821"/>
        </w:tabs>
        <w:spacing w:line="276" w:lineRule="auto"/>
        <w:ind w:right="135"/>
        <w:rPr>
          <w:sz w:val="20"/>
          <w:lang w:eastAsia="ja-JP"/>
        </w:rPr>
      </w:pPr>
      <w:r>
        <w:rPr>
          <w:sz w:val="20"/>
          <w:lang w:eastAsia="ja-JP"/>
        </w:rPr>
        <w:t>多くの利害関係者は、既存の規制との整合性が必要である</w:t>
      </w:r>
      <w:r w:rsidR="008746A5">
        <w:rPr>
          <w:rFonts w:hint="eastAsia"/>
          <w:sz w:val="20"/>
          <w:lang w:eastAsia="ja-JP"/>
        </w:rPr>
        <w:t>ことを</w:t>
      </w:r>
      <w:r>
        <w:rPr>
          <w:sz w:val="20"/>
          <w:lang w:eastAsia="ja-JP"/>
        </w:rPr>
        <w:t>指摘した。 これを受けて、既存のEU規制が存在する場合には、これらの基準と整合するように、既存のEU規制への言及が試みられている。 これは、特に「重大な危害を及ぼさない</w:t>
      </w:r>
      <w:r w:rsidR="008746A5">
        <w:rPr>
          <w:rFonts w:hint="eastAsia"/>
          <w:sz w:val="20"/>
          <w:lang w:eastAsia="ja-JP"/>
        </w:rPr>
        <w:t>(DNSH)</w:t>
      </w:r>
      <w:r>
        <w:rPr>
          <w:sz w:val="20"/>
          <w:lang w:eastAsia="ja-JP"/>
        </w:rPr>
        <w:t>」基準の場合に当てはまる。 しかしながら、上述したように、「緩和への実質的な貢献」に関するこれらの基準の多くは、既存の規制と整合的であるが、現行の規制を超えている</w:t>
      </w:r>
      <w:r w:rsidR="008746A5">
        <w:rPr>
          <w:rFonts w:hint="eastAsia"/>
          <w:sz w:val="20"/>
          <w:lang w:eastAsia="ja-JP"/>
        </w:rPr>
        <w:t>のである</w:t>
      </w:r>
      <w:r>
        <w:rPr>
          <w:sz w:val="20"/>
          <w:lang w:eastAsia="ja-JP"/>
        </w:rPr>
        <w:t>。</w:t>
      </w:r>
    </w:p>
    <w:p w14:paraId="51674083" w14:textId="77777777" w:rsidR="00410BDF" w:rsidRDefault="00410BDF">
      <w:pPr>
        <w:pStyle w:val="a3"/>
        <w:spacing w:before="10"/>
        <w:rPr>
          <w:lang w:eastAsia="ja-JP"/>
        </w:rPr>
      </w:pPr>
    </w:p>
    <w:p w14:paraId="0122C673" w14:textId="6B355E80" w:rsidR="00410BDF" w:rsidRDefault="00CF7372">
      <w:pPr>
        <w:pStyle w:val="a4"/>
        <w:numPr>
          <w:ilvl w:val="0"/>
          <w:numId w:val="36"/>
        </w:numPr>
        <w:tabs>
          <w:tab w:val="left" w:pos="820"/>
          <w:tab w:val="left" w:pos="821"/>
        </w:tabs>
        <w:spacing w:line="276" w:lineRule="auto"/>
        <w:ind w:right="187"/>
        <w:rPr>
          <w:sz w:val="20"/>
          <w:lang w:eastAsia="ja-JP"/>
        </w:rPr>
      </w:pPr>
      <w:r w:rsidRPr="006A40B4">
        <w:rPr>
          <w:sz w:val="20"/>
          <w:lang w:eastAsia="ja-JP"/>
        </w:rPr>
        <w:t>特定のベストプラクティスについて</w:t>
      </w:r>
      <w:r w:rsidR="008746A5">
        <w:rPr>
          <w:sz w:val="20"/>
          <w:lang w:eastAsia="ja-JP"/>
        </w:rPr>
        <w:t>多</w:t>
      </w:r>
      <w:r w:rsidR="008746A5">
        <w:rPr>
          <w:rFonts w:hint="eastAsia"/>
          <w:sz w:val="20"/>
          <w:lang w:eastAsia="ja-JP"/>
        </w:rPr>
        <w:t>く</w:t>
      </w:r>
      <w:r>
        <w:rPr>
          <w:sz w:val="20"/>
          <w:lang w:eastAsia="ja-JP"/>
        </w:rPr>
        <w:t>のフィードバックが得られた。 これらは、専門家との協議</w:t>
      </w:r>
      <w:r w:rsidR="008746A5">
        <w:rPr>
          <w:rFonts w:hint="eastAsia"/>
          <w:sz w:val="20"/>
          <w:lang w:eastAsia="ja-JP"/>
        </w:rPr>
        <w:t>を踏まえて</w:t>
      </w:r>
      <w:r>
        <w:rPr>
          <w:sz w:val="20"/>
          <w:lang w:eastAsia="ja-JP"/>
        </w:rPr>
        <w:t>レビューされ、詳細に検討され、それに応じて基準</w:t>
      </w:r>
      <w:r w:rsidR="008746A5">
        <w:rPr>
          <w:rFonts w:hint="eastAsia"/>
          <w:sz w:val="20"/>
          <w:lang w:eastAsia="ja-JP"/>
        </w:rPr>
        <w:t>に</w:t>
      </w:r>
      <w:r w:rsidR="008746A5">
        <w:rPr>
          <w:sz w:val="20"/>
          <w:lang w:eastAsia="ja-JP"/>
        </w:rPr>
        <w:t>変更が</w:t>
      </w:r>
      <w:r w:rsidR="008746A5">
        <w:rPr>
          <w:rFonts w:hint="eastAsia"/>
          <w:sz w:val="20"/>
          <w:lang w:eastAsia="ja-JP"/>
        </w:rPr>
        <w:t>加えら</w:t>
      </w:r>
      <w:r>
        <w:rPr>
          <w:sz w:val="20"/>
          <w:lang w:eastAsia="ja-JP"/>
        </w:rPr>
        <w:t>れた。 これには、畜産飼料</w:t>
      </w:r>
      <w:r w:rsidR="008746A5">
        <w:rPr>
          <w:rFonts w:hint="eastAsia"/>
          <w:sz w:val="20"/>
          <w:lang w:eastAsia="ja-JP"/>
        </w:rPr>
        <w:t>が内包している</w:t>
      </w:r>
      <w:r>
        <w:rPr>
          <w:sz w:val="20"/>
          <w:lang w:eastAsia="ja-JP"/>
        </w:rPr>
        <w:t>排出量への対処、および耕作に関する最善の慣行の再検討が含まれるが、これらに限定され</w:t>
      </w:r>
      <w:r w:rsidR="008746A5">
        <w:rPr>
          <w:rFonts w:hint="eastAsia"/>
          <w:sz w:val="20"/>
          <w:lang w:eastAsia="ja-JP"/>
        </w:rPr>
        <w:t>るものでは</w:t>
      </w:r>
      <w:r>
        <w:rPr>
          <w:sz w:val="20"/>
          <w:lang w:eastAsia="ja-JP"/>
        </w:rPr>
        <w:t>ない。</w:t>
      </w:r>
    </w:p>
    <w:p w14:paraId="2E23C9A0" w14:textId="77777777" w:rsidR="00410BDF" w:rsidRDefault="00410BDF">
      <w:pPr>
        <w:pStyle w:val="a3"/>
        <w:spacing w:before="8"/>
        <w:rPr>
          <w:lang w:eastAsia="ja-JP"/>
        </w:rPr>
      </w:pPr>
    </w:p>
    <w:p w14:paraId="2DFABA2C" w14:textId="08190242" w:rsidR="00410BDF" w:rsidRDefault="00CF7372">
      <w:pPr>
        <w:pStyle w:val="a4"/>
        <w:numPr>
          <w:ilvl w:val="0"/>
          <w:numId w:val="36"/>
        </w:numPr>
        <w:tabs>
          <w:tab w:val="left" w:pos="820"/>
          <w:tab w:val="left" w:pos="821"/>
        </w:tabs>
        <w:spacing w:line="276" w:lineRule="auto"/>
        <w:ind w:right="257"/>
        <w:rPr>
          <w:sz w:val="20"/>
          <w:lang w:eastAsia="ja-JP"/>
        </w:rPr>
      </w:pPr>
      <w:r>
        <w:rPr>
          <w:sz w:val="20"/>
          <w:lang w:eastAsia="ja-JP"/>
        </w:rPr>
        <w:t>利害関係者</w:t>
      </w:r>
      <w:r w:rsidR="006A40B4">
        <w:rPr>
          <w:rFonts w:hint="eastAsia"/>
          <w:sz w:val="20"/>
          <w:lang w:eastAsia="ja-JP"/>
        </w:rPr>
        <w:t>の中に</w:t>
      </w:r>
      <w:r>
        <w:rPr>
          <w:sz w:val="20"/>
          <w:lang w:eastAsia="ja-JP"/>
        </w:rPr>
        <w:t>は、動物福祉と健康状態に関する懸念を提起</w:t>
      </w:r>
      <w:r w:rsidR="006A40B4">
        <w:rPr>
          <w:rFonts w:hint="eastAsia"/>
          <w:sz w:val="20"/>
          <w:lang w:eastAsia="ja-JP"/>
        </w:rPr>
        <w:t>する意見があっ</w:t>
      </w:r>
      <w:r>
        <w:rPr>
          <w:sz w:val="20"/>
          <w:lang w:eastAsia="ja-JP"/>
        </w:rPr>
        <w:t>た。 これらは現時点では</w:t>
      </w:r>
      <w:r w:rsidR="00B83F9B">
        <w:rPr>
          <w:sz w:val="20"/>
          <w:lang w:eastAsia="ja-JP"/>
        </w:rPr>
        <w:t>タクソノミー</w:t>
      </w:r>
      <w:r>
        <w:rPr>
          <w:sz w:val="20"/>
          <w:lang w:eastAsia="ja-JP"/>
        </w:rPr>
        <w:t>の環境目標には該当せず、したがって農業作業部会の権限の範囲内ではなかった。 しかし、これらの要因に対処する基準をできるだけ早い時期に統合するよう、プラットフォームに勧告がなされている。</w:t>
      </w:r>
    </w:p>
    <w:p w14:paraId="06C4EE10" w14:textId="77777777" w:rsidR="00410BDF" w:rsidRDefault="00410BDF">
      <w:pPr>
        <w:pStyle w:val="a3"/>
        <w:spacing w:before="11"/>
        <w:rPr>
          <w:lang w:eastAsia="ja-JP"/>
        </w:rPr>
      </w:pPr>
    </w:p>
    <w:p w14:paraId="4BED7CE5" w14:textId="77777777" w:rsidR="00410BDF" w:rsidRDefault="00CF7372">
      <w:pPr>
        <w:pStyle w:val="a4"/>
        <w:numPr>
          <w:ilvl w:val="0"/>
          <w:numId w:val="36"/>
        </w:numPr>
        <w:tabs>
          <w:tab w:val="left" w:pos="820"/>
          <w:tab w:val="left" w:pos="821"/>
        </w:tabs>
        <w:spacing w:line="276" w:lineRule="auto"/>
        <w:ind w:right="251"/>
        <w:rPr>
          <w:sz w:val="20"/>
          <w:lang w:eastAsia="ja-JP"/>
        </w:rPr>
      </w:pPr>
      <w:r>
        <w:rPr>
          <w:sz w:val="20"/>
          <w:lang w:eastAsia="ja-JP"/>
        </w:rPr>
        <w:t>最後に、多くの利害関係者が、これらの基準の遵守を実証することの難しさに懸念を表明した。 この課題は、ワーキンググループによって認識されている。 この問題への対処を支援するため、作業部会は、プラットフォームが既存の農業基準、認証スキーム、炭素スキームなどと協力して、これらのスキームとこれらの基準との間の要件の一貫性をマッピングし、これらの基準の遵守の証拠とみなすことのできる代理指標のプールを確立することを要請した。</w:t>
      </w:r>
    </w:p>
    <w:p w14:paraId="70DD2B4D" w14:textId="77777777" w:rsidR="00410BDF" w:rsidRDefault="00410BDF">
      <w:pPr>
        <w:pStyle w:val="a3"/>
        <w:rPr>
          <w:sz w:val="22"/>
          <w:lang w:eastAsia="ja-JP"/>
        </w:rPr>
      </w:pPr>
    </w:p>
    <w:p w14:paraId="6FD323DA" w14:textId="77777777" w:rsidR="00410BDF" w:rsidRDefault="00410BDF">
      <w:pPr>
        <w:pStyle w:val="a3"/>
        <w:rPr>
          <w:sz w:val="22"/>
          <w:lang w:eastAsia="ja-JP"/>
        </w:rPr>
      </w:pPr>
    </w:p>
    <w:p w14:paraId="12135E34" w14:textId="77777777" w:rsidR="00410BDF" w:rsidRDefault="00410BDF">
      <w:pPr>
        <w:pStyle w:val="a3"/>
        <w:spacing w:before="10"/>
        <w:rPr>
          <w:lang w:eastAsia="ja-JP"/>
        </w:rPr>
      </w:pPr>
    </w:p>
    <w:p w14:paraId="0C11BC0C" w14:textId="42784683" w:rsidR="00410BDF" w:rsidRDefault="00CF7372">
      <w:pPr>
        <w:pStyle w:val="2"/>
        <w:ind w:left="100"/>
        <w:rPr>
          <w:sz w:val="10"/>
          <w:lang w:eastAsia="ja-JP"/>
        </w:rPr>
      </w:pPr>
      <w:r>
        <w:rPr>
          <w:lang w:eastAsia="ja-JP"/>
        </w:rPr>
        <w:t>提案の影響</w:t>
      </w:r>
      <w:r w:rsidR="006A40B4" w:rsidRPr="005F0270">
        <w:rPr>
          <w:b w:val="0"/>
          <w:lang w:eastAsia="ja-JP"/>
        </w:rPr>
        <w:t>127</w:t>
      </w:r>
    </w:p>
    <w:p w14:paraId="1F67D2F5" w14:textId="77777777" w:rsidR="00410BDF" w:rsidRDefault="00410BDF">
      <w:pPr>
        <w:pStyle w:val="a3"/>
        <w:rPr>
          <w:b/>
          <w:lang w:eastAsia="ja-JP"/>
        </w:rPr>
      </w:pPr>
    </w:p>
    <w:p w14:paraId="4E9BE182" w14:textId="77777777" w:rsidR="00410BDF" w:rsidRDefault="00196192">
      <w:pPr>
        <w:pStyle w:val="a3"/>
        <w:spacing w:before="9"/>
        <w:rPr>
          <w:b/>
          <w:sz w:val="15"/>
          <w:lang w:eastAsia="ja-JP"/>
        </w:rPr>
      </w:pPr>
      <w:r>
        <w:rPr>
          <w:noProof/>
          <w:lang w:val="en-US" w:eastAsia="ja-JP"/>
        </w:rPr>
        <mc:AlternateContent>
          <mc:Choice Requires="wps">
            <w:drawing>
              <wp:anchor distT="0" distB="0" distL="0" distR="0" simplePos="0" relativeHeight="251658752" behindDoc="1" locked="0" layoutInCell="1" allowOverlap="1" wp14:anchorId="7BEBF8D5" wp14:editId="26B6065B">
                <wp:simplePos x="0" y="0"/>
                <wp:positionH relativeFrom="page">
                  <wp:posOffset>914400</wp:posOffset>
                </wp:positionH>
                <wp:positionV relativeFrom="paragraph">
                  <wp:posOffset>143510</wp:posOffset>
                </wp:positionV>
                <wp:extent cx="1829435" cy="0"/>
                <wp:effectExtent l="9525" t="12700" r="8890" b="6350"/>
                <wp:wrapTopAndBottom/>
                <wp:docPr id="12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E61C" id="Line 122" o:spid="_x0000_s1026" style="position:absolute;left:0;text-align:lef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216.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H8IAIAAEU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" strokeweight=".16936mm">
                <w10:wrap type="topAndBottom" anchorx="page"/>
              </v:line>
            </w:pict>
          </mc:Fallback>
        </mc:AlternateContent>
      </w:r>
    </w:p>
    <w:p w14:paraId="4D272A0B" w14:textId="77777777" w:rsidR="00410BDF" w:rsidRDefault="00410BDF">
      <w:pPr>
        <w:pStyle w:val="a3"/>
        <w:spacing w:before="10"/>
        <w:rPr>
          <w:b/>
          <w:sz w:val="16"/>
          <w:lang w:eastAsia="ja-JP"/>
        </w:rPr>
      </w:pPr>
    </w:p>
    <w:p w14:paraId="7284BE76" w14:textId="77777777" w:rsidR="00410BDF" w:rsidRDefault="00CF7372">
      <w:pPr>
        <w:spacing w:before="98"/>
        <w:ind w:left="100" w:right="417"/>
        <w:rPr>
          <w:sz w:val="16"/>
          <w:lang w:eastAsia="ja-JP"/>
        </w:rPr>
      </w:pPr>
      <w:r>
        <w:rPr>
          <w:position w:val="6"/>
          <w:sz w:val="10"/>
          <w:lang w:eastAsia="ja-JP"/>
        </w:rPr>
        <w:t>特に明記しない限り、127件のデータはすべて2016年に関するものである。</w:t>
      </w:r>
      <w:r>
        <w:rPr>
          <w:sz w:val="16"/>
          <w:lang w:eastAsia="ja-JP"/>
        </w:rPr>
        <w:t xml:space="preserve"> 出所:ユーロスタット-農林水産統計-2018年版、https://ec.europa.eu/eurostat/documents/3217494/9455154/KSFK-18-001-EN-N.pdf/a9ddd7db-c40c-48c9-8ed5-a8a90f4faa3f。</w:t>
      </w:r>
      <w:r w:rsidR="00D50B86">
        <w:fldChar w:fldCharType="begin"/>
      </w:r>
      <w:r w:rsidR="00D50B86">
        <w:rPr>
          <w:lang w:eastAsia="ja-JP"/>
        </w:rPr>
        <w:instrText xml:space="preserve"> HYPERLINK "https://ec.europa.eu/eurostat/documents/3217494/9455154/KSFK-18-0</w:instrText>
      </w:r>
      <w:r w:rsidR="00D50B86">
        <w:rPr>
          <w:lang w:eastAsia="ja-JP"/>
        </w:rPr>
        <w:instrText xml:space="preserve">01-EN-N.pdf/a9ddd7db-c40c-48c9-8ed5-a8a90f4faa3f" \h </w:instrText>
      </w:r>
      <w:r w:rsidR="00D50B86">
        <w:fldChar w:fldCharType="separate"/>
      </w:r>
      <w:r w:rsidR="00D50B86">
        <w:fldChar w:fldCharType="end"/>
      </w:r>
    </w:p>
    <w:p w14:paraId="698BA63B" w14:textId="77777777" w:rsidR="00410BDF" w:rsidRDefault="00410BDF">
      <w:pPr>
        <w:rPr>
          <w:sz w:val="16"/>
          <w:lang w:eastAsia="ja-JP"/>
        </w:rPr>
        <w:sectPr w:rsidR="00410BDF">
          <w:pgSz w:w="12240" w:h="15840"/>
          <w:pgMar w:top="1500" w:right="1320" w:bottom="1200" w:left="1340" w:header="0" w:footer="1020" w:gutter="0"/>
          <w:cols w:space="720"/>
        </w:sectPr>
      </w:pPr>
    </w:p>
    <w:p w14:paraId="2D751EE5" w14:textId="3B6A2D69" w:rsidR="00410BDF" w:rsidRDefault="00CF7372">
      <w:pPr>
        <w:pStyle w:val="a3"/>
        <w:spacing w:before="79" w:line="276" w:lineRule="auto"/>
        <w:ind w:left="100" w:right="288"/>
        <w:rPr>
          <w:lang w:eastAsia="ja-JP"/>
        </w:rPr>
      </w:pPr>
      <w:r>
        <w:rPr>
          <w:lang w:eastAsia="ja-JP"/>
        </w:rPr>
        <w:lastRenderedPageBreak/>
        <w:t>EUには1,050万</w:t>
      </w:r>
      <w:r w:rsidR="008746A5">
        <w:rPr>
          <w:rFonts w:hint="eastAsia"/>
          <w:lang w:eastAsia="ja-JP"/>
        </w:rPr>
        <w:t>か所</w:t>
      </w:r>
      <w:r>
        <w:rPr>
          <w:lang w:eastAsia="ja-JP"/>
        </w:rPr>
        <w:t>の農場があり、1億7,300万ヘクタール(ヘクタール)の土地を農業生産に利用している(EUの全土地面積の約39%)。 2016年には、これらの農場の4分の1(25.1%)</w:t>
      </w:r>
      <w:r w:rsidR="008746A5">
        <w:rPr>
          <w:lang w:eastAsia="ja-JP"/>
        </w:rPr>
        <w:t>が専</w:t>
      </w:r>
      <w:r w:rsidR="008746A5">
        <w:rPr>
          <w:rFonts w:hint="eastAsia"/>
          <w:lang w:eastAsia="ja-JP"/>
        </w:rPr>
        <w:t>業の</w:t>
      </w:r>
      <w:r>
        <w:rPr>
          <w:lang w:eastAsia="ja-JP"/>
        </w:rPr>
        <w:t>家畜農場であり、半分強(52.5%)</w:t>
      </w:r>
      <w:r w:rsidR="008746A5">
        <w:rPr>
          <w:lang w:eastAsia="ja-JP"/>
        </w:rPr>
        <w:t>が</w:t>
      </w:r>
      <w:r w:rsidR="008746A5">
        <w:rPr>
          <w:rFonts w:hint="eastAsia"/>
          <w:lang w:eastAsia="ja-JP"/>
        </w:rPr>
        <w:t>特定作物向け</w:t>
      </w:r>
      <w:r>
        <w:rPr>
          <w:lang w:eastAsia="ja-JP"/>
        </w:rPr>
        <w:t>農場であり、残りは混合農場(21.1%)128</w:t>
      </w:r>
      <w:r w:rsidR="008746A5">
        <w:rPr>
          <w:rFonts w:hint="eastAsia"/>
          <w:lang w:eastAsia="ja-JP"/>
        </w:rPr>
        <w:t>であ</w:t>
      </w:r>
      <w:r>
        <w:rPr>
          <w:lang w:eastAsia="ja-JP"/>
        </w:rPr>
        <w:t>る。</w:t>
      </w:r>
    </w:p>
    <w:p w14:paraId="012EFB88" w14:textId="77777777" w:rsidR="00410BDF" w:rsidRDefault="00410BDF">
      <w:pPr>
        <w:pStyle w:val="a3"/>
        <w:rPr>
          <w:sz w:val="21"/>
          <w:lang w:eastAsia="ja-JP"/>
        </w:rPr>
      </w:pPr>
    </w:p>
    <w:p w14:paraId="027436B3" w14:textId="1B35F3B2" w:rsidR="00410BDF" w:rsidRDefault="00CF7372">
      <w:pPr>
        <w:pStyle w:val="a3"/>
        <w:spacing w:line="276" w:lineRule="auto"/>
        <w:ind w:left="100" w:right="188"/>
        <w:rPr>
          <w:lang w:eastAsia="ja-JP"/>
        </w:rPr>
      </w:pPr>
      <w:r>
        <w:rPr>
          <w:lang w:eastAsia="ja-JP"/>
        </w:rPr>
        <w:t>これらの農場のほとんどは</w:t>
      </w:r>
      <w:r w:rsidR="006A40B4">
        <w:rPr>
          <w:rFonts w:hint="eastAsia"/>
          <w:lang w:eastAsia="ja-JP"/>
        </w:rPr>
        <w:t>元々</w:t>
      </w:r>
      <w:r>
        <w:rPr>
          <w:lang w:eastAsia="ja-JP"/>
        </w:rPr>
        <w:t>小さく、3分の2は5ヘクタール未満の大きさである。 しかし、そのうち最大の3.3%(100ha以上)が全農地の半分強(52.7%)を管理している。</w:t>
      </w:r>
    </w:p>
    <w:p w14:paraId="3F631D89" w14:textId="77777777" w:rsidR="00410BDF" w:rsidRDefault="00410BDF">
      <w:pPr>
        <w:pStyle w:val="a3"/>
        <w:spacing w:before="9"/>
        <w:rPr>
          <w:lang w:eastAsia="ja-JP"/>
        </w:rPr>
      </w:pPr>
    </w:p>
    <w:p w14:paraId="5870F20F" w14:textId="5282001A" w:rsidR="00410BDF" w:rsidRDefault="00CF7372">
      <w:pPr>
        <w:pStyle w:val="a3"/>
        <w:spacing w:line="276" w:lineRule="auto"/>
        <w:ind w:left="100"/>
        <w:rPr>
          <w:lang w:eastAsia="ja-JP"/>
        </w:rPr>
      </w:pPr>
      <w:r>
        <w:rPr>
          <w:lang w:eastAsia="ja-JP"/>
        </w:rPr>
        <w:t>2017年のEUのGDPに占める農業の割合は1.2%であったが、</w:t>
      </w:r>
      <w:r w:rsidR="006A40B4">
        <w:rPr>
          <w:rFonts w:hint="eastAsia"/>
          <w:lang w:eastAsia="ja-JP"/>
        </w:rPr>
        <w:t>この数字</w:t>
      </w:r>
      <w:r>
        <w:rPr>
          <w:lang w:eastAsia="ja-JP"/>
        </w:rPr>
        <w:t>は下流の食品・飲料加工産業の重要な構成要素としての重要性を考慮していない。 労働人口の4%強に当たる970万人を雇用しているが、これらの統計は国によって大きく異なる。 例えば、ルーマニアでは、労働人口の4分の1近くが農業に従事しており、ブルガリア、ギリシャ、ポーランドでも</w:t>
      </w:r>
      <w:r w:rsidR="008746A5">
        <w:rPr>
          <w:rFonts w:hint="eastAsia"/>
          <w:lang w:eastAsia="ja-JP"/>
        </w:rPr>
        <w:t>農業</w:t>
      </w:r>
      <w:r>
        <w:rPr>
          <w:lang w:eastAsia="ja-JP"/>
        </w:rPr>
        <w:t>人口が多い。</w:t>
      </w:r>
    </w:p>
    <w:p w14:paraId="00032084" w14:textId="77777777" w:rsidR="00410BDF" w:rsidRDefault="00410BDF">
      <w:pPr>
        <w:pStyle w:val="a3"/>
        <w:spacing w:before="10"/>
        <w:rPr>
          <w:lang w:eastAsia="ja-JP"/>
        </w:rPr>
      </w:pPr>
    </w:p>
    <w:p w14:paraId="13030D1F" w14:textId="77777777" w:rsidR="00410BDF" w:rsidRDefault="00CF7372">
      <w:pPr>
        <w:pStyle w:val="a3"/>
        <w:ind w:left="100"/>
        <w:rPr>
          <w:lang w:eastAsia="ja-JP"/>
        </w:rPr>
      </w:pPr>
      <w:r>
        <w:rPr>
          <w:lang w:eastAsia="ja-JP"/>
        </w:rPr>
        <w:t>EUの農業部門は2017年に572億ユーロを投資した。</w:t>
      </w:r>
    </w:p>
    <w:p w14:paraId="771B1555" w14:textId="77777777" w:rsidR="00410BDF" w:rsidRDefault="00410BDF">
      <w:pPr>
        <w:pStyle w:val="a3"/>
        <w:spacing w:before="10"/>
        <w:rPr>
          <w:sz w:val="23"/>
          <w:lang w:eastAsia="ja-JP"/>
        </w:rPr>
      </w:pPr>
    </w:p>
    <w:p w14:paraId="650E58F2" w14:textId="77777777" w:rsidR="00410BDF" w:rsidRDefault="00CF7372">
      <w:pPr>
        <w:pStyle w:val="2"/>
        <w:ind w:left="100"/>
        <w:rPr>
          <w:lang w:eastAsia="ja-JP"/>
        </w:rPr>
      </w:pPr>
      <w:r>
        <w:rPr>
          <w:lang w:eastAsia="ja-JP"/>
        </w:rPr>
        <w:t>グローバル</w:t>
      </w:r>
      <w:r w:rsidR="006A40B4">
        <w:rPr>
          <w:rFonts w:hint="eastAsia"/>
          <w:lang w:eastAsia="ja-JP"/>
        </w:rPr>
        <w:t>な</w:t>
      </w:r>
      <w:r>
        <w:rPr>
          <w:lang w:eastAsia="ja-JP"/>
        </w:rPr>
        <w:t>適用性</w:t>
      </w:r>
    </w:p>
    <w:p w14:paraId="72773645" w14:textId="77777777" w:rsidR="00410BDF" w:rsidRDefault="00410BDF">
      <w:pPr>
        <w:pStyle w:val="a3"/>
        <w:rPr>
          <w:b/>
          <w:sz w:val="24"/>
          <w:lang w:eastAsia="ja-JP"/>
        </w:rPr>
      </w:pPr>
    </w:p>
    <w:p w14:paraId="6269E6A8" w14:textId="56ABC5A3" w:rsidR="00410BDF" w:rsidRDefault="00CF7372">
      <w:pPr>
        <w:pStyle w:val="a3"/>
        <w:spacing w:line="276" w:lineRule="auto"/>
        <w:ind w:left="100"/>
        <w:rPr>
          <w:lang w:eastAsia="ja-JP"/>
        </w:rPr>
      </w:pPr>
      <w:r>
        <w:rPr>
          <w:lang w:eastAsia="ja-JP"/>
        </w:rPr>
        <w:t>農業の不均一性を考慮すると、1つのサイズのセットをすべての基準に適合させることは困難である。 この点は、市民相談のフィードバックにおいて提起された。 しかし、TEGの見解では、これらの基準は低炭素農業に</w:t>
      </w:r>
      <w:r w:rsidR="006A40B4">
        <w:rPr>
          <w:rFonts w:hint="eastAsia"/>
          <w:lang w:eastAsia="ja-JP"/>
        </w:rPr>
        <w:t>ついて</w:t>
      </w:r>
      <w:r>
        <w:rPr>
          <w:lang w:eastAsia="ja-JP"/>
        </w:rPr>
        <w:t>世界的に</w:t>
      </w:r>
      <w:r w:rsidR="006A40B4">
        <w:rPr>
          <w:rFonts w:hint="eastAsia"/>
          <w:lang w:eastAsia="ja-JP"/>
        </w:rPr>
        <w:t>適用が求められて</w:t>
      </w:r>
      <w:r>
        <w:rPr>
          <w:lang w:eastAsia="ja-JP"/>
        </w:rPr>
        <w:t>おり、遵守を実証するための選択肢には柔軟性が内蔵されて</w:t>
      </w:r>
      <w:r w:rsidR="006A40B4">
        <w:rPr>
          <w:rFonts w:hint="eastAsia"/>
          <w:lang w:eastAsia="ja-JP"/>
        </w:rPr>
        <w:t>いることから</w:t>
      </w:r>
      <w:r>
        <w:rPr>
          <w:lang w:eastAsia="ja-JP"/>
        </w:rPr>
        <w:t>、世界</w:t>
      </w:r>
      <w:r w:rsidR="006A40B4">
        <w:rPr>
          <w:rFonts w:hint="eastAsia"/>
          <w:lang w:eastAsia="ja-JP"/>
        </w:rPr>
        <w:t>中</w:t>
      </w:r>
      <w:r>
        <w:rPr>
          <w:lang w:eastAsia="ja-JP"/>
        </w:rPr>
        <w:t>に適用することができる</w:t>
      </w:r>
      <w:r w:rsidR="005008E9">
        <w:rPr>
          <w:rFonts w:hint="eastAsia"/>
          <w:lang w:eastAsia="ja-JP"/>
        </w:rPr>
        <w:t>はずである</w:t>
      </w:r>
      <w:r>
        <w:rPr>
          <w:lang w:eastAsia="ja-JP"/>
        </w:rPr>
        <w:t>。 これを支援するために、基準は特定のEU規制と結びついてい</w:t>
      </w:r>
      <w:r w:rsidR="005008E9">
        <w:rPr>
          <w:rFonts w:hint="eastAsia"/>
          <w:lang w:eastAsia="ja-JP"/>
        </w:rPr>
        <w:t>るわけでは</w:t>
      </w:r>
      <w:r>
        <w:rPr>
          <w:lang w:eastAsia="ja-JP"/>
        </w:rPr>
        <w:t>ないが、EU</w:t>
      </w:r>
      <w:r w:rsidR="005008E9">
        <w:rPr>
          <w:rFonts w:hint="eastAsia"/>
          <w:lang w:eastAsia="ja-JP"/>
        </w:rPr>
        <w:t>域内の</w:t>
      </w:r>
      <w:r>
        <w:rPr>
          <w:lang w:eastAsia="ja-JP"/>
        </w:rPr>
        <w:t>利用者を支援するために、適切な場合には、それらの規制と相互参照がなされている。</w:t>
      </w:r>
    </w:p>
    <w:p w14:paraId="13C2A2F6" w14:textId="77777777" w:rsidR="00410BDF" w:rsidRDefault="00410BDF">
      <w:pPr>
        <w:pStyle w:val="a3"/>
        <w:spacing w:before="10"/>
        <w:rPr>
          <w:lang w:eastAsia="ja-JP"/>
        </w:rPr>
      </w:pPr>
    </w:p>
    <w:p w14:paraId="2CF2685F" w14:textId="77777777" w:rsidR="00410BDF" w:rsidRDefault="00CF7372">
      <w:pPr>
        <w:pStyle w:val="2"/>
        <w:ind w:left="100"/>
        <w:rPr>
          <w:lang w:eastAsia="ja-JP"/>
        </w:rPr>
      </w:pPr>
      <w:r>
        <w:rPr>
          <w:lang w:eastAsia="ja-JP"/>
        </w:rPr>
        <w:t>次のステップ - プラットフォームへの推奨</w:t>
      </w:r>
    </w:p>
    <w:p w14:paraId="6A9AD668" w14:textId="77777777" w:rsidR="00410BDF" w:rsidRDefault="00410BDF">
      <w:pPr>
        <w:pStyle w:val="a3"/>
        <w:spacing w:before="10"/>
        <w:rPr>
          <w:b/>
          <w:sz w:val="23"/>
          <w:lang w:eastAsia="ja-JP"/>
        </w:rPr>
      </w:pPr>
    </w:p>
    <w:p w14:paraId="51204213" w14:textId="577598B2" w:rsidR="00410BDF" w:rsidRDefault="00CF7372">
      <w:pPr>
        <w:pStyle w:val="a4"/>
        <w:numPr>
          <w:ilvl w:val="0"/>
          <w:numId w:val="35"/>
        </w:numPr>
        <w:tabs>
          <w:tab w:val="left" w:pos="528"/>
        </w:tabs>
        <w:spacing w:line="276" w:lineRule="auto"/>
        <w:ind w:right="471"/>
        <w:rPr>
          <w:sz w:val="20"/>
          <w:lang w:eastAsia="ja-JP"/>
        </w:rPr>
      </w:pPr>
      <w:r>
        <w:rPr>
          <w:sz w:val="20"/>
          <w:lang w:eastAsia="ja-JP"/>
        </w:rPr>
        <w:t>これらの経済活動の内外では、この一連の</w:t>
      </w:r>
      <w:r w:rsidR="00B83F9B">
        <w:rPr>
          <w:sz w:val="20"/>
          <w:lang w:eastAsia="ja-JP"/>
        </w:rPr>
        <w:t>タクソノミー</w:t>
      </w:r>
      <w:r>
        <w:rPr>
          <w:sz w:val="20"/>
          <w:lang w:eastAsia="ja-JP"/>
        </w:rPr>
        <w:t>的基準では以下のことが</w:t>
      </w:r>
      <w:r w:rsidR="005008E9">
        <w:rPr>
          <w:rFonts w:hint="eastAsia"/>
          <w:sz w:val="20"/>
          <w:lang w:eastAsia="ja-JP"/>
        </w:rPr>
        <w:t>（まだ）</w:t>
      </w:r>
      <w:r>
        <w:rPr>
          <w:sz w:val="20"/>
          <w:lang w:eastAsia="ja-JP"/>
        </w:rPr>
        <w:t>取り上げられていないが、農業部門全体での排出削減の大きな機会となっている。 これらの機会は、本プラットフォームによる追加的な検討に値するであろう。</w:t>
      </w:r>
    </w:p>
    <w:p w14:paraId="5D93BB20" w14:textId="0F4D7041" w:rsidR="00410BDF" w:rsidRDefault="00CF7372">
      <w:pPr>
        <w:pStyle w:val="a4"/>
        <w:numPr>
          <w:ilvl w:val="1"/>
          <w:numId w:val="35"/>
        </w:numPr>
        <w:tabs>
          <w:tab w:val="left" w:pos="820"/>
          <w:tab w:val="left" w:pos="821"/>
        </w:tabs>
        <w:spacing w:before="121" w:line="276" w:lineRule="auto"/>
        <w:ind w:right="249"/>
        <w:rPr>
          <w:sz w:val="20"/>
          <w:lang w:eastAsia="ja-JP"/>
        </w:rPr>
      </w:pPr>
      <w:r>
        <w:rPr>
          <w:sz w:val="20"/>
          <w:lang w:eastAsia="ja-JP"/>
        </w:rPr>
        <w:t>自然の生息地、特に泥炭地やその他の炭素に富む景観を回復または再構築する目的で、あるいは、構造的要素(垣根、緩衝帯、森林景観など)を農地に統合する目的で、土地を農業生産から完全に</w:t>
      </w:r>
      <w:commentRangeStart w:id="4"/>
      <w:r>
        <w:rPr>
          <w:sz w:val="20"/>
          <w:lang w:eastAsia="ja-JP"/>
        </w:rPr>
        <w:t>引き出</w:t>
      </w:r>
      <w:commentRangeEnd w:id="4"/>
      <w:r w:rsidR="005008E9">
        <w:rPr>
          <w:rStyle w:val="a7"/>
        </w:rPr>
        <w:commentReference w:id="4"/>
      </w:r>
      <w:r>
        <w:rPr>
          <w:sz w:val="20"/>
          <w:lang w:eastAsia="ja-JP"/>
        </w:rPr>
        <w:t>すこと。 炭素固定の増加、土壌浸食の減少、栄養塩喪失の減少、生物多様性へのプラスの影響を通じた受粉と害虫駆除の支援など、このような手法には多くの</w:t>
      </w:r>
      <w:r w:rsidR="005008E9">
        <w:rPr>
          <w:sz w:val="20"/>
          <w:lang w:eastAsia="ja-JP"/>
        </w:rPr>
        <w:t>利益</w:t>
      </w:r>
      <w:r w:rsidR="005008E9">
        <w:rPr>
          <w:rFonts w:hint="eastAsia"/>
          <w:sz w:val="20"/>
          <w:lang w:eastAsia="ja-JP"/>
        </w:rPr>
        <w:t>を期待しうることが知られてい</w:t>
      </w:r>
      <w:r>
        <w:rPr>
          <w:sz w:val="20"/>
          <w:lang w:eastAsia="ja-JP"/>
        </w:rPr>
        <w:t>る。 「生産不能の土地」及び/又は「構造要素の</w:t>
      </w:r>
      <w:r w:rsidR="005008E9">
        <w:rPr>
          <w:sz w:val="20"/>
          <w:lang w:eastAsia="ja-JP"/>
        </w:rPr>
        <w:t>統合」が必要かどうかを検討する際に直面した課題は、野心的</w:t>
      </w:r>
      <w:r w:rsidR="005008E9">
        <w:rPr>
          <w:rFonts w:hint="eastAsia"/>
          <w:sz w:val="20"/>
          <w:lang w:eastAsia="ja-JP"/>
        </w:rPr>
        <w:t>かつ</w:t>
      </w:r>
      <w:r>
        <w:rPr>
          <w:sz w:val="20"/>
          <w:lang w:eastAsia="ja-JP"/>
        </w:rPr>
        <w:t>実施可能な目標を設定することである。 関連する問題は、どの程度の割合の土地をカバーすべきか、どのようにカバーすべきか、これを他の目的(食糧生産など)</w:t>
      </w:r>
      <w:r w:rsidR="005008E9">
        <w:rPr>
          <w:sz w:val="20"/>
          <w:lang w:eastAsia="ja-JP"/>
        </w:rPr>
        <w:t>とどのようにバランスさせ、どのように</w:t>
      </w:r>
      <w:r w:rsidR="005008E9">
        <w:rPr>
          <w:rFonts w:hint="eastAsia"/>
          <w:sz w:val="20"/>
          <w:lang w:eastAsia="ja-JP"/>
        </w:rPr>
        <w:t>持</w:t>
      </w:r>
      <w:r>
        <w:rPr>
          <w:sz w:val="20"/>
          <w:lang w:eastAsia="ja-JP"/>
        </w:rPr>
        <w:t>続性を確保できるか、である。 さらに、緩和、生物多様性、一般的な生態系の健全性を横断する高い共同便益と相互関係を考えると、このような行為が緩和への実質的な貢献または健全な生態系への実質的な貢献の下で最も適切に適合するかどうかについても議論の余地がある。</w:t>
      </w:r>
      <w:r>
        <w:rPr>
          <w:spacing w:val="-11"/>
          <w:sz w:val="20"/>
          <w:lang w:eastAsia="ja-JP"/>
        </w:rPr>
        <w:t xml:space="preserve"> </w:t>
      </w:r>
    </w:p>
    <w:p w14:paraId="077EADDE" w14:textId="77777777" w:rsidR="00410BDF" w:rsidRDefault="00410BDF">
      <w:pPr>
        <w:pStyle w:val="a3"/>
        <w:rPr>
          <w:lang w:eastAsia="ja-JP"/>
        </w:rPr>
      </w:pPr>
    </w:p>
    <w:p w14:paraId="21E0DF10" w14:textId="77777777" w:rsidR="00410BDF" w:rsidRDefault="00196192">
      <w:pPr>
        <w:pStyle w:val="a3"/>
        <w:spacing w:before="8"/>
        <w:rPr>
          <w:sz w:val="23"/>
          <w:lang w:eastAsia="ja-JP"/>
        </w:rPr>
      </w:pPr>
      <w:r>
        <w:rPr>
          <w:noProof/>
          <w:lang w:val="en-US" w:eastAsia="ja-JP"/>
        </w:rPr>
        <mc:AlternateContent>
          <mc:Choice Requires="wps">
            <w:drawing>
              <wp:anchor distT="0" distB="0" distL="0" distR="0" simplePos="0" relativeHeight="251659776" behindDoc="1" locked="0" layoutInCell="1" allowOverlap="1" wp14:anchorId="301E9804" wp14:editId="20BAABD2">
                <wp:simplePos x="0" y="0"/>
                <wp:positionH relativeFrom="page">
                  <wp:posOffset>914400</wp:posOffset>
                </wp:positionH>
                <wp:positionV relativeFrom="paragraph">
                  <wp:posOffset>201295</wp:posOffset>
                </wp:positionV>
                <wp:extent cx="1829435" cy="0"/>
                <wp:effectExtent l="9525" t="9525" r="8890" b="9525"/>
                <wp:wrapTopAndBottom/>
                <wp:docPr id="12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4588" id="Line 121" o:spid="_x0000_s1026" style="position:absolute;left:0;text-align:lef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1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IIgIAAEU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" strokeweight=".16936mm">
                <w10:wrap type="topAndBottom" anchorx="page"/>
              </v:line>
            </w:pict>
          </mc:Fallback>
        </mc:AlternateContent>
      </w:r>
    </w:p>
    <w:p w14:paraId="4ADA323E" w14:textId="77777777" w:rsidR="00410BDF" w:rsidRDefault="00410BDF">
      <w:pPr>
        <w:pStyle w:val="a3"/>
        <w:spacing w:before="10"/>
        <w:rPr>
          <w:sz w:val="16"/>
          <w:lang w:eastAsia="ja-JP"/>
        </w:rPr>
      </w:pPr>
    </w:p>
    <w:p w14:paraId="2FC64EAA" w14:textId="77777777" w:rsidR="00410BDF" w:rsidRDefault="00CF7372">
      <w:pPr>
        <w:spacing w:before="98"/>
        <w:ind w:left="100"/>
        <w:rPr>
          <w:sz w:val="16"/>
        </w:rPr>
      </w:pPr>
      <w:proofErr w:type="spellStart"/>
      <w:r>
        <w:rPr>
          <w:position w:val="6"/>
          <w:sz w:val="10"/>
        </w:rPr>
        <w:t>出所</w:t>
      </w:r>
      <w:proofErr w:type="spellEnd"/>
      <w:r>
        <w:rPr>
          <w:position w:val="6"/>
          <w:sz w:val="10"/>
        </w:rPr>
        <w:t>: Eurostat (</w:t>
      </w:r>
      <w:proofErr w:type="spellStart"/>
      <w:r>
        <w:rPr>
          <w:position w:val="6"/>
          <w:sz w:val="10"/>
        </w:rPr>
        <w:t>ef_m_farmeg</w:t>
      </w:r>
      <w:proofErr w:type="spellEnd"/>
      <w:r>
        <w:rPr>
          <w:position w:val="6"/>
          <w:sz w:val="10"/>
        </w:rPr>
        <w:t>)</w:t>
      </w:r>
    </w:p>
    <w:p w14:paraId="65C496F0" w14:textId="77777777" w:rsidR="00410BDF" w:rsidRDefault="00410BDF">
      <w:pPr>
        <w:rPr>
          <w:sz w:val="16"/>
        </w:rPr>
        <w:sectPr w:rsidR="00410BDF">
          <w:pgSz w:w="12240" w:h="15840"/>
          <w:pgMar w:top="1360" w:right="1320" w:bottom="1200" w:left="1340" w:header="0" w:footer="1020" w:gutter="0"/>
          <w:cols w:space="720"/>
        </w:sectPr>
      </w:pPr>
    </w:p>
    <w:p w14:paraId="41DF6475" w14:textId="422C22A0" w:rsidR="00410BDF" w:rsidRDefault="00CF7372">
      <w:pPr>
        <w:pStyle w:val="a3"/>
        <w:spacing w:before="79" w:line="276" w:lineRule="auto"/>
        <w:ind w:left="820"/>
        <w:rPr>
          <w:lang w:eastAsia="ja-JP"/>
        </w:rPr>
      </w:pPr>
      <w:r>
        <w:rPr>
          <w:lang w:eastAsia="ja-JP"/>
        </w:rPr>
        <w:lastRenderedPageBreak/>
        <w:t>従って、プラットフォームは、どのように、どのような基準で土地を生産から取り出すべきか、また、どのような実質的な貢献カテゴリーでこれを最も良く分類するかを検討する</w:t>
      </w:r>
      <w:r w:rsidR="005008E9">
        <w:rPr>
          <w:rFonts w:hint="eastAsia"/>
          <w:lang w:eastAsia="ja-JP"/>
        </w:rPr>
        <w:t>ことが</w:t>
      </w:r>
      <w:r>
        <w:rPr>
          <w:lang w:eastAsia="ja-JP"/>
        </w:rPr>
        <w:t>求められる。</w:t>
      </w:r>
    </w:p>
    <w:p w14:paraId="321DAC3B" w14:textId="77777777" w:rsidR="00410BDF" w:rsidRDefault="00410BDF">
      <w:pPr>
        <w:pStyle w:val="a3"/>
        <w:spacing w:before="10"/>
        <w:rPr>
          <w:lang w:eastAsia="ja-JP"/>
        </w:rPr>
      </w:pPr>
    </w:p>
    <w:p w14:paraId="3765111A" w14:textId="06FFF60D" w:rsidR="00410BDF" w:rsidRDefault="00CF7372">
      <w:pPr>
        <w:pStyle w:val="a4"/>
        <w:numPr>
          <w:ilvl w:val="1"/>
          <w:numId w:val="35"/>
        </w:numPr>
        <w:tabs>
          <w:tab w:val="left" w:pos="820"/>
          <w:tab w:val="left" w:pos="821"/>
        </w:tabs>
        <w:spacing w:line="276" w:lineRule="auto"/>
        <w:ind w:right="121"/>
        <w:rPr>
          <w:sz w:val="10"/>
          <w:lang w:eastAsia="ja-JP"/>
        </w:rPr>
      </w:pPr>
      <w:r>
        <w:rPr>
          <w:sz w:val="20"/>
          <w:lang w:eastAsia="ja-JP"/>
        </w:rPr>
        <w:t>排出量の多い活動から排出量の少ない活動への転換 例えば、牛の数を減らし、タンパク質の代替供給源としてマメ科植物の生産を増加させ、それに対応して農産物の消費を切り替える</w:t>
      </w:r>
      <w:r w:rsidR="005008E9">
        <w:rPr>
          <w:rFonts w:hint="eastAsia"/>
          <w:sz w:val="20"/>
          <w:lang w:eastAsia="ja-JP"/>
        </w:rPr>
        <w:t>という考え方がある</w:t>
      </w:r>
      <w:r>
        <w:rPr>
          <w:sz w:val="20"/>
          <w:lang w:eastAsia="ja-JP"/>
        </w:rPr>
        <w:t>。 現時点では、家畜生産、特に反芻動物の家畜生産(牛肉、子羊、乳牛)は、農業部門にお</w:t>
      </w:r>
      <w:r w:rsidR="007906C6">
        <w:rPr>
          <w:sz w:val="20"/>
          <w:lang w:eastAsia="ja-JP"/>
        </w:rPr>
        <w:t>ける重要な排出源であるが、家畜管理における排出原単位の削減に</w:t>
      </w:r>
      <w:r>
        <w:rPr>
          <w:sz w:val="20"/>
          <w:lang w:eastAsia="ja-JP"/>
        </w:rPr>
        <w:t>顕著な短期的緩</w:t>
      </w:r>
      <w:r w:rsidR="005008E9">
        <w:rPr>
          <w:sz w:val="20"/>
          <w:lang w:eastAsia="ja-JP"/>
        </w:rPr>
        <w:t>和ポテンシャル</w:t>
      </w:r>
      <w:r w:rsidR="007906C6">
        <w:rPr>
          <w:rFonts w:hint="eastAsia"/>
          <w:sz w:val="20"/>
          <w:lang w:eastAsia="ja-JP"/>
        </w:rPr>
        <w:t>があり</w:t>
      </w:r>
      <w:r w:rsidR="005008E9">
        <w:rPr>
          <w:sz w:val="20"/>
          <w:lang w:eastAsia="ja-JP"/>
        </w:rPr>
        <w:t>、</w:t>
      </w:r>
      <w:r w:rsidR="007906C6">
        <w:rPr>
          <w:rFonts w:hint="eastAsia"/>
          <w:sz w:val="20"/>
          <w:lang w:eastAsia="ja-JP"/>
        </w:rPr>
        <w:t>また</w:t>
      </w:r>
      <w:r w:rsidR="005008E9">
        <w:rPr>
          <w:sz w:val="20"/>
          <w:lang w:eastAsia="ja-JP"/>
        </w:rPr>
        <w:t>畜産にとってどのような適切な移行経路があるか</w:t>
      </w:r>
      <w:r w:rsidR="005008E9">
        <w:rPr>
          <w:rFonts w:hint="eastAsia"/>
          <w:sz w:val="20"/>
          <w:lang w:eastAsia="ja-JP"/>
        </w:rPr>
        <w:t>が</w:t>
      </w:r>
      <w:r>
        <w:rPr>
          <w:sz w:val="20"/>
          <w:lang w:eastAsia="ja-JP"/>
        </w:rPr>
        <w:t>まだ明らかではないため、</w:t>
      </w:r>
      <w:r w:rsidR="007906C6">
        <w:rPr>
          <w:rFonts w:hint="eastAsia"/>
          <w:sz w:val="20"/>
          <w:lang w:eastAsia="ja-JP"/>
        </w:rPr>
        <w:t>とりあえず</w:t>
      </w:r>
      <w:r w:rsidR="00B83F9B">
        <w:rPr>
          <w:sz w:val="20"/>
          <w:lang w:eastAsia="ja-JP"/>
        </w:rPr>
        <w:t>タクソノミー</w:t>
      </w:r>
      <w:r>
        <w:rPr>
          <w:sz w:val="20"/>
          <w:lang w:eastAsia="ja-JP"/>
        </w:rPr>
        <w:t>に含まれ</w:t>
      </w:r>
      <w:r w:rsidR="00CC2100">
        <w:rPr>
          <w:rFonts w:hint="eastAsia"/>
          <w:sz w:val="20"/>
          <w:lang w:eastAsia="ja-JP"/>
        </w:rPr>
        <w:t>てい</w:t>
      </w:r>
      <w:r>
        <w:rPr>
          <w:sz w:val="20"/>
          <w:lang w:eastAsia="ja-JP"/>
        </w:rPr>
        <w:t>る。 暫定的に、ここで重要な緩和ポテンシャルを最大化すること</w:t>
      </w:r>
      <w:r w:rsidR="007906C6">
        <w:rPr>
          <w:rFonts w:hint="eastAsia"/>
          <w:sz w:val="20"/>
          <w:lang w:eastAsia="ja-JP"/>
        </w:rPr>
        <w:t>は</w:t>
      </w:r>
      <w:r w:rsidR="007906C6">
        <w:rPr>
          <w:sz w:val="20"/>
          <w:lang w:eastAsia="ja-JP"/>
        </w:rPr>
        <w:t>適切であ</w:t>
      </w:r>
      <w:r w:rsidR="007906C6">
        <w:rPr>
          <w:rFonts w:hint="eastAsia"/>
          <w:sz w:val="20"/>
          <w:lang w:eastAsia="ja-JP"/>
        </w:rPr>
        <w:t>ると考えられるし</w:t>
      </w:r>
      <w:r>
        <w:rPr>
          <w:sz w:val="20"/>
          <w:lang w:eastAsia="ja-JP"/>
        </w:rPr>
        <w:t>、上述の点に留意すると、畜産のためのベストプラクティスは、</w:t>
      </w:r>
      <w:r w:rsidR="005008E9">
        <w:rPr>
          <w:rFonts w:hint="eastAsia"/>
          <w:sz w:val="20"/>
          <w:lang w:eastAsia="ja-JP"/>
        </w:rPr>
        <w:t>農業</w:t>
      </w:r>
      <w:r>
        <w:rPr>
          <w:sz w:val="20"/>
          <w:lang w:eastAsia="ja-JP"/>
        </w:rPr>
        <w:t>部門においてより大きな緩和機会をもたらす可能性のあるさらなる機会を妨げたり</w:t>
      </w:r>
      <w:r w:rsidR="00CC2100">
        <w:rPr>
          <w:rFonts w:hint="eastAsia"/>
          <w:sz w:val="20"/>
          <w:lang w:eastAsia="ja-JP"/>
        </w:rPr>
        <w:t>機会を</w:t>
      </w:r>
      <w:r>
        <w:rPr>
          <w:sz w:val="20"/>
          <w:lang w:eastAsia="ja-JP"/>
        </w:rPr>
        <w:t>閉じたりするものではない</w:t>
      </w:r>
      <w:r w:rsidR="007906C6">
        <w:rPr>
          <w:rFonts w:hint="eastAsia"/>
          <w:sz w:val="20"/>
          <w:lang w:eastAsia="ja-JP"/>
        </w:rPr>
        <w:t>と言える</w:t>
      </w:r>
      <w:r>
        <w:rPr>
          <w:sz w:val="20"/>
          <w:lang w:eastAsia="ja-JP"/>
        </w:rPr>
        <w:t>。 しかし</w:t>
      </w:r>
      <w:r w:rsidR="007906C6">
        <w:rPr>
          <w:rFonts w:hint="eastAsia"/>
          <w:sz w:val="20"/>
          <w:lang w:eastAsia="ja-JP"/>
        </w:rPr>
        <w:t>ながら</w:t>
      </w:r>
      <w:r>
        <w:rPr>
          <w:sz w:val="20"/>
          <w:lang w:eastAsia="ja-JP"/>
        </w:rPr>
        <w:t>、農業からの絶対的排出量がある時点を超えて減少し続け、</w:t>
      </w:r>
      <w:r w:rsidR="00CC2100">
        <w:rPr>
          <w:rFonts w:hint="eastAsia"/>
          <w:sz w:val="20"/>
          <w:lang w:eastAsia="ja-JP"/>
        </w:rPr>
        <w:t>今世紀</w:t>
      </w:r>
      <w:r>
        <w:rPr>
          <w:sz w:val="20"/>
          <w:lang w:eastAsia="ja-JP"/>
        </w:rPr>
        <w:t>半ばまでに</w:t>
      </w:r>
      <w:r w:rsidR="00597918">
        <w:rPr>
          <w:sz w:val="20"/>
          <w:lang w:eastAsia="ja-JP"/>
        </w:rPr>
        <w:t>正味ゼロ</w:t>
      </w:r>
      <w:r>
        <w:rPr>
          <w:sz w:val="20"/>
          <w:lang w:eastAsia="ja-JP"/>
        </w:rPr>
        <w:t>目標に向かうためには、排出原単位の削減は、消費パターンの相応の変化と、畜産物、特にある種の牛肉、子羊および乳製品の一人当たり消費の全体的な削減と、できるだけ早く結びつける必要がある</w:t>
      </w:r>
      <w:r w:rsidR="005008E9">
        <w:rPr>
          <w:rFonts w:hint="eastAsia"/>
          <w:sz w:val="20"/>
          <w:lang w:eastAsia="ja-JP"/>
        </w:rPr>
        <w:t>のである。</w:t>
      </w:r>
      <w:r>
        <w:rPr>
          <w:sz w:val="20"/>
          <w:lang w:eastAsia="ja-JP"/>
        </w:rPr>
        <w:t>129。</w:t>
      </w:r>
    </w:p>
    <w:p w14:paraId="3B4DD8BB" w14:textId="77777777" w:rsidR="00410BDF" w:rsidRDefault="00410BDF">
      <w:pPr>
        <w:pStyle w:val="a3"/>
        <w:spacing w:before="10"/>
        <w:rPr>
          <w:lang w:eastAsia="ja-JP"/>
        </w:rPr>
      </w:pPr>
    </w:p>
    <w:p w14:paraId="34803FF2" w14:textId="445FB202" w:rsidR="00410BDF" w:rsidRDefault="00CF7372">
      <w:pPr>
        <w:pStyle w:val="a3"/>
        <w:spacing w:line="276" w:lineRule="auto"/>
        <w:ind w:left="820" w:right="152"/>
        <w:rPr>
          <w:lang w:eastAsia="ja-JP"/>
        </w:rPr>
      </w:pPr>
      <w:r>
        <w:rPr>
          <w:lang w:eastAsia="ja-JP"/>
        </w:rPr>
        <w:t>これは、食生活の変化と食料廃棄の削減という社会的</w:t>
      </w:r>
      <w:r w:rsidR="007906C6">
        <w:rPr>
          <w:rFonts w:hint="eastAsia"/>
          <w:lang w:eastAsia="ja-JP"/>
        </w:rPr>
        <w:t>な</w:t>
      </w:r>
      <w:r>
        <w:rPr>
          <w:lang w:eastAsia="ja-JP"/>
        </w:rPr>
        <w:t>変化と、農業部門の構造的</w:t>
      </w:r>
      <w:r w:rsidR="007906C6">
        <w:rPr>
          <w:rFonts w:hint="eastAsia"/>
          <w:lang w:eastAsia="ja-JP"/>
        </w:rPr>
        <w:t>な</w:t>
      </w:r>
      <w:r>
        <w:rPr>
          <w:lang w:eastAsia="ja-JP"/>
        </w:rPr>
        <w:t>変化の両方を意味する。 消費者の行動の変化を管理し、農業-食品サプライチェーンにおける構造的変化を奨励し、管理するためには、重要かつ協調的な政策努力が必要である。 しかしながら、将来の</w:t>
      </w:r>
      <w:r w:rsidR="00B83F9B">
        <w:rPr>
          <w:lang w:eastAsia="ja-JP"/>
        </w:rPr>
        <w:t>タクソノミー</w:t>
      </w:r>
      <w:r>
        <w:rPr>
          <w:lang w:eastAsia="ja-JP"/>
        </w:rPr>
        <w:t>の最新情報では、食肉消費率および/または生産慣行がゼロ炭素経済と両立するかどうか</w:t>
      </w:r>
      <w:r w:rsidR="007906C6">
        <w:rPr>
          <w:rFonts w:hint="eastAsia"/>
          <w:lang w:eastAsia="ja-JP"/>
        </w:rPr>
        <w:t>が</w:t>
      </w:r>
      <w:r w:rsidR="007906C6">
        <w:rPr>
          <w:lang w:eastAsia="ja-JP"/>
        </w:rPr>
        <w:t>考慮</w:t>
      </w:r>
      <w:r w:rsidR="007906C6">
        <w:rPr>
          <w:rFonts w:hint="eastAsia"/>
          <w:lang w:eastAsia="ja-JP"/>
        </w:rPr>
        <w:t>される</w:t>
      </w:r>
      <w:r w:rsidR="007906C6">
        <w:rPr>
          <w:lang w:eastAsia="ja-JP"/>
        </w:rPr>
        <w:t>べきであ</w:t>
      </w:r>
      <w:r w:rsidR="007906C6">
        <w:rPr>
          <w:rFonts w:hint="eastAsia"/>
          <w:lang w:eastAsia="ja-JP"/>
        </w:rPr>
        <w:t>ろう</w:t>
      </w:r>
      <w:r>
        <w:rPr>
          <w:lang w:eastAsia="ja-JP"/>
        </w:rPr>
        <w:t>。</w:t>
      </w:r>
    </w:p>
    <w:p w14:paraId="372201BA" w14:textId="34B334B3" w:rsidR="00410BDF" w:rsidRDefault="00CF7372">
      <w:pPr>
        <w:pStyle w:val="a4"/>
        <w:numPr>
          <w:ilvl w:val="1"/>
          <w:numId w:val="35"/>
        </w:numPr>
        <w:tabs>
          <w:tab w:val="left" w:pos="820"/>
          <w:tab w:val="left" w:pos="821"/>
        </w:tabs>
        <w:spacing w:before="122" w:line="276" w:lineRule="auto"/>
        <w:ind w:right="239"/>
        <w:rPr>
          <w:sz w:val="20"/>
          <w:lang w:eastAsia="ja-JP"/>
        </w:rPr>
      </w:pPr>
      <w:r>
        <w:rPr>
          <w:sz w:val="20"/>
          <w:lang w:eastAsia="ja-JP"/>
        </w:rPr>
        <w:t>より詳細な行動は、顕著な緩和をもたらすことができる</w:t>
      </w:r>
      <w:r w:rsidR="007906C6">
        <w:rPr>
          <w:rFonts w:hint="eastAsia"/>
          <w:sz w:val="20"/>
          <w:lang w:eastAsia="ja-JP"/>
        </w:rPr>
        <w:t>だろう</w:t>
      </w:r>
      <w:r>
        <w:rPr>
          <w:sz w:val="20"/>
          <w:lang w:eastAsia="ja-JP"/>
        </w:rPr>
        <w:t>が、経済活動全体のレベルで気候緩和に実質的な貢献を果たしていると認識されるほど十分なレベルではない。 これらはまた、一部の投資家にとって貸出ポートフォリオの重要な部分を占める可能性があり、そのために適切な基準を策定することが不可欠である。 これらの措置には、次の事項を通じたエネルギー又は資源の効率性又は土地管理への取組を含めることができる。</w:t>
      </w:r>
    </w:p>
    <w:p w14:paraId="2EA91C1B" w14:textId="77777777" w:rsidR="00410BDF" w:rsidRDefault="00410BDF">
      <w:pPr>
        <w:pStyle w:val="a3"/>
        <w:spacing w:before="11"/>
        <w:rPr>
          <w:lang w:eastAsia="ja-JP"/>
        </w:rPr>
      </w:pPr>
    </w:p>
    <w:p w14:paraId="28A801FD" w14:textId="17FE1D04" w:rsidR="00410BDF" w:rsidRDefault="00CF7372">
      <w:pPr>
        <w:pStyle w:val="a4"/>
        <w:numPr>
          <w:ilvl w:val="2"/>
          <w:numId w:val="35"/>
        </w:numPr>
        <w:tabs>
          <w:tab w:val="left" w:pos="1540"/>
          <w:tab w:val="left" w:pos="1541"/>
        </w:tabs>
        <w:rPr>
          <w:sz w:val="20"/>
          <w:lang w:eastAsia="ja-JP"/>
        </w:rPr>
      </w:pPr>
      <w:r>
        <w:rPr>
          <w:sz w:val="20"/>
          <w:lang w:eastAsia="ja-JP"/>
        </w:rPr>
        <w:t>以下に説明する管理プラクティスの</w:t>
      </w:r>
      <w:r w:rsidR="00173756">
        <w:rPr>
          <w:rFonts w:hint="eastAsia"/>
          <w:sz w:val="20"/>
          <w:lang w:eastAsia="ja-JP"/>
        </w:rPr>
        <w:t>組合せ</w:t>
      </w:r>
    </w:p>
    <w:p w14:paraId="50611A01" w14:textId="77777777" w:rsidR="00410BDF" w:rsidRDefault="00CF7372">
      <w:pPr>
        <w:pStyle w:val="a4"/>
        <w:numPr>
          <w:ilvl w:val="2"/>
          <w:numId w:val="35"/>
        </w:numPr>
        <w:tabs>
          <w:tab w:val="left" w:pos="1540"/>
          <w:tab w:val="left" w:pos="1541"/>
        </w:tabs>
        <w:spacing w:before="95"/>
        <w:rPr>
          <w:sz w:val="20"/>
          <w:lang w:eastAsia="ja-JP"/>
        </w:rPr>
      </w:pPr>
      <w:r>
        <w:rPr>
          <w:sz w:val="20"/>
          <w:lang w:eastAsia="ja-JP"/>
        </w:rPr>
        <w:t>灌漑の近代化/改修(時に緩和、時には適応)</w:t>
      </w:r>
    </w:p>
    <w:p w14:paraId="382F8310" w14:textId="77777777" w:rsidR="00410BDF" w:rsidRDefault="00CF7372">
      <w:pPr>
        <w:pStyle w:val="a4"/>
        <w:numPr>
          <w:ilvl w:val="2"/>
          <w:numId w:val="35"/>
        </w:numPr>
        <w:tabs>
          <w:tab w:val="left" w:pos="1540"/>
          <w:tab w:val="left" w:pos="1541"/>
        </w:tabs>
        <w:spacing w:before="98"/>
        <w:rPr>
          <w:sz w:val="20"/>
          <w:lang w:eastAsia="ja-JP"/>
        </w:rPr>
      </w:pPr>
      <w:r>
        <w:rPr>
          <w:sz w:val="20"/>
          <w:lang w:eastAsia="ja-JP"/>
        </w:rPr>
        <w:t>揚水・配水システムの改良</w:t>
      </w:r>
    </w:p>
    <w:p w14:paraId="11C3C978" w14:textId="77777777" w:rsidR="00410BDF" w:rsidRDefault="00CF7372">
      <w:pPr>
        <w:pStyle w:val="a4"/>
        <w:numPr>
          <w:ilvl w:val="2"/>
          <w:numId w:val="35"/>
        </w:numPr>
        <w:tabs>
          <w:tab w:val="left" w:pos="1540"/>
          <w:tab w:val="left" w:pos="1541"/>
        </w:tabs>
        <w:spacing w:before="96"/>
        <w:rPr>
          <w:sz w:val="20"/>
          <w:lang w:eastAsia="ja-JP"/>
        </w:rPr>
      </w:pPr>
      <w:r>
        <w:rPr>
          <w:sz w:val="20"/>
          <w:lang w:eastAsia="ja-JP"/>
        </w:rPr>
        <w:t>温室における再生可能エネルギーの利用</w:t>
      </w:r>
    </w:p>
    <w:p w14:paraId="1F14AD1A" w14:textId="77777777" w:rsidR="00410BDF" w:rsidRDefault="00CF7372">
      <w:pPr>
        <w:pStyle w:val="a4"/>
        <w:numPr>
          <w:ilvl w:val="2"/>
          <w:numId w:val="35"/>
        </w:numPr>
        <w:tabs>
          <w:tab w:val="left" w:pos="1540"/>
          <w:tab w:val="left" w:pos="1541"/>
        </w:tabs>
        <w:spacing w:before="98"/>
        <w:rPr>
          <w:sz w:val="20"/>
        </w:rPr>
      </w:pPr>
      <w:proofErr w:type="spellStart"/>
      <w:r>
        <w:rPr>
          <w:sz w:val="20"/>
        </w:rPr>
        <w:t>農業機械の更新</w:t>
      </w:r>
      <w:proofErr w:type="spellEnd"/>
    </w:p>
    <w:p w14:paraId="7741943C" w14:textId="77777777" w:rsidR="00410BDF" w:rsidRDefault="00CF7372">
      <w:pPr>
        <w:pStyle w:val="a4"/>
        <w:numPr>
          <w:ilvl w:val="2"/>
          <w:numId w:val="35"/>
        </w:numPr>
        <w:tabs>
          <w:tab w:val="left" w:pos="1540"/>
          <w:tab w:val="left" w:pos="1541"/>
        </w:tabs>
        <w:spacing w:before="95"/>
        <w:rPr>
          <w:sz w:val="20"/>
        </w:rPr>
      </w:pPr>
      <w:proofErr w:type="spellStart"/>
      <w:r>
        <w:rPr>
          <w:sz w:val="20"/>
        </w:rPr>
        <w:t>保管設備の設置・更新</w:t>
      </w:r>
      <w:proofErr w:type="spellEnd"/>
    </w:p>
    <w:p w14:paraId="29E0C12D" w14:textId="77777777" w:rsidR="00410BDF" w:rsidRDefault="00CF7372">
      <w:pPr>
        <w:pStyle w:val="a4"/>
        <w:numPr>
          <w:ilvl w:val="2"/>
          <w:numId w:val="35"/>
        </w:numPr>
        <w:tabs>
          <w:tab w:val="left" w:pos="1540"/>
          <w:tab w:val="left" w:pos="1541"/>
        </w:tabs>
        <w:spacing w:before="99" w:line="256" w:lineRule="auto"/>
        <w:ind w:right="289"/>
        <w:rPr>
          <w:sz w:val="20"/>
          <w:lang w:eastAsia="ja-JP"/>
        </w:rPr>
      </w:pPr>
      <w:r>
        <w:rPr>
          <w:sz w:val="20"/>
          <w:lang w:eastAsia="ja-JP"/>
        </w:rPr>
        <w:t>これらのNACEコードに含まれる範囲で、一次市場向けの農産物の最初の加工(例えば、オリーブおよびブドウの加工に関するもの)</w:t>
      </w:r>
    </w:p>
    <w:p w14:paraId="2E5FAD19" w14:textId="77777777" w:rsidR="00410BDF" w:rsidRDefault="00410BDF">
      <w:pPr>
        <w:pStyle w:val="a3"/>
        <w:rPr>
          <w:lang w:eastAsia="ja-JP"/>
        </w:rPr>
      </w:pPr>
    </w:p>
    <w:p w14:paraId="27805214" w14:textId="77777777" w:rsidR="00410BDF" w:rsidRDefault="00410BDF">
      <w:pPr>
        <w:pStyle w:val="a3"/>
        <w:rPr>
          <w:lang w:eastAsia="ja-JP"/>
        </w:rPr>
      </w:pPr>
    </w:p>
    <w:p w14:paraId="00D99360" w14:textId="77777777" w:rsidR="00410BDF" w:rsidRDefault="00196192">
      <w:pPr>
        <w:pStyle w:val="a3"/>
        <w:spacing w:before="2"/>
        <w:rPr>
          <w:sz w:val="15"/>
          <w:lang w:eastAsia="ja-JP"/>
        </w:rPr>
      </w:pPr>
      <w:r>
        <w:rPr>
          <w:noProof/>
          <w:lang w:val="en-US" w:eastAsia="ja-JP"/>
        </w:rPr>
        <mc:AlternateContent>
          <mc:Choice Requires="wps">
            <w:drawing>
              <wp:anchor distT="0" distB="0" distL="0" distR="0" simplePos="0" relativeHeight="251660800" behindDoc="1" locked="0" layoutInCell="1" allowOverlap="1" wp14:anchorId="345E4D04" wp14:editId="20BD4EFF">
                <wp:simplePos x="0" y="0"/>
                <wp:positionH relativeFrom="page">
                  <wp:posOffset>914400</wp:posOffset>
                </wp:positionH>
                <wp:positionV relativeFrom="paragraph">
                  <wp:posOffset>139065</wp:posOffset>
                </wp:positionV>
                <wp:extent cx="1829435" cy="0"/>
                <wp:effectExtent l="9525" t="8890" r="8890" b="10160"/>
                <wp:wrapTopAndBottom/>
                <wp:docPr id="1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40ED" id="Line 120"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2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4GIAIAAEU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" strokeweight=".48pt">
                <w10:wrap type="topAndBottom" anchorx="page"/>
              </v:line>
            </w:pict>
          </mc:Fallback>
        </mc:AlternateContent>
      </w:r>
    </w:p>
    <w:p w14:paraId="35F76FA4" w14:textId="77777777" w:rsidR="00410BDF" w:rsidRDefault="00410BDF">
      <w:pPr>
        <w:pStyle w:val="a3"/>
        <w:spacing w:before="8"/>
        <w:rPr>
          <w:sz w:val="16"/>
          <w:lang w:eastAsia="ja-JP"/>
        </w:rPr>
      </w:pPr>
    </w:p>
    <w:p w14:paraId="7082AF08" w14:textId="77777777" w:rsidR="00410BDF" w:rsidRDefault="00CF7372">
      <w:pPr>
        <w:spacing w:before="98"/>
        <w:ind w:left="100"/>
        <w:rPr>
          <w:sz w:val="16"/>
          <w:lang w:eastAsia="ja-JP"/>
        </w:rPr>
      </w:pPr>
      <w:r>
        <w:rPr>
          <w:position w:val="6"/>
          <w:sz w:val="10"/>
          <w:lang w:eastAsia="ja-JP"/>
        </w:rPr>
        <w:t>科学界では129件のコンセンサスがあり、気候の中立性には食事の転換が必要であり、公衆衛生にも大きな利益があると考えられている。</w:t>
      </w:r>
      <w:r>
        <w:rPr>
          <w:sz w:val="16"/>
          <w:lang w:eastAsia="ja-JP"/>
        </w:rPr>
        <w:t xml:space="preserve"> 例えば、EUでは、WHOのガイドラインと比較して、エネルギーとタンパク質の摂取量は推奨値を上回っており、タンパク質の摂取量は一人当たり70%にも達している。</w:t>
      </w:r>
    </w:p>
    <w:p w14:paraId="6081C402" w14:textId="77777777" w:rsidR="00410BDF" w:rsidRDefault="00410BDF">
      <w:pPr>
        <w:rPr>
          <w:sz w:val="16"/>
          <w:lang w:eastAsia="ja-JP"/>
        </w:rPr>
        <w:sectPr w:rsidR="00410BDF">
          <w:pgSz w:w="12240" w:h="15840"/>
          <w:pgMar w:top="1360" w:right="1320" w:bottom="1200" w:left="1340" w:header="0" w:footer="1020" w:gutter="0"/>
          <w:cols w:space="720"/>
        </w:sectPr>
      </w:pPr>
    </w:p>
    <w:p w14:paraId="6D49758A" w14:textId="13471444" w:rsidR="00410BDF" w:rsidRDefault="00CF7372">
      <w:pPr>
        <w:pStyle w:val="a3"/>
        <w:spacing w:before="79" w:line="276" w:lineRule="auto"/>
        <w:ind w:left="820" w:right="109"/>
        <w:rPr>
          <w:lang w:eastAsia="ja-JP"/>
        </w:rPr>
      </w:pPr>
      <w:r>
        <w:rPr>
          <w:lang w:eastAsia="ja-JP"/>
        </w:rPr>
        <w:lastRenderedPageBreak/>
        <w:t>プラットフォームには、これらの措置や、重大な緩和をもたらすその他の追加的な措置をどのように特定し、評価するか、また、これらをどのように</w:t>
      </w:r>
      <w:r w:rsidR="00B83F9B">
        <w:rPr>
          <w:lang w:eastAsia="ja-JP"/>
        </w:rPr>
        <w:t>タクソノミー</w:t>
      </w:r>
      <w:r>
        <w:rPr>
          <w:lang w:eastAsia="ja-JP"/>
        </w:rPr>
        <w:t>に組み込むことができるかを検討する</w:t>
      </w:r>
      <w:r w:rsidR="00BB0813">
        <w:rPr>
          <w:rFonts w:hint="eastAsia"/>
          <w:lang w:eastAsia="ja-JP"/>
        </w:rPr>
        <w:t>ことが</w:t>
      </w:r>
      <w:r>
        <w:rPr>
          <w:lang w:eastAsia="ja-JP"/>
        </w:rPr>
        <w:t>求められる。 これには、個々の行動からの重大な緩和とは何かを定義するためのルール・セットの決定が含まれる。これは、</w:t>
      </w:r>
      <w:r w:rsidR="00BB0813">
        <w:rPr>
          <w:rFonts w:hint="eastAsia"/>
          <w:lang w:eastAsia="ja-JP"/>
        </w:rPr>
        <w:t>農業活動全体に特有な共通のルール・セットと整合的となる</w:t>
      </w:r>
      <w:r w:rsidR="00BB0813" w:rsidRPr="00BB0813">
        <w:rPr>
          <w:rFonts w:hint="eastAsia"/>
          <w:lang w:eastAsia="ja-JP"/>
        </w:rPr>
        <w:t>場合もある</w:t>
      </w:r>
      <w:r w:rsidR="00BB0813">
        <w:rPr>
          <w:rFonts w:hint="eastAsia"/>
          <w:lang w:eastAsia="ja-JP"/>
        </w:rPr>
        <w:t>が、</w:t>
      </w:r>
      <w:r>
        <w:rPr>
          <w:lang w:eastAsia="ja-JP"/>
        </w:rPr>
        <w:t>他の経済活動全体、あるいは</w:t>
      </w:r>
      <w:r w:rsidR="00BB0813">
        <w:rPr>
          <w:rFonts w:hint="eastAsia"/>
          <w:lang w:eastAsia="ja-JP"/>
        </w:rPr>
        <w:t>個々の</w:t>
      </w:r>
      <w:r>
        <w:rPr>
          <w:lang w:eastAsia="ja-JP"/>
        </w:rPr>
        <w:t>農業活動</w:t>
      </w:r>
      <w:r w:rsidR="00BB0813">
        <w:rPr>
          <w:rFonts w:hint="eastAsia"/>
          <w:lang w:eastAsia="ja-JP"/>
        </w:rPr>
        <w:t>につい</w:t>
      </w:r>
      <w:r>
        <w:rPr>
          <w:lang w:eastAsia="ja-JP"/>
        </w:rPr>
        <w:t>てのみ</w:t>
      </w:r>
      <w:r w:rsidR="00BB0813">
        <w:rPr>
          <w:rFonts w:hint="eastAsia"/>
          <w:lang w:eastAsia="ja-JP"/>
        </w:rPr>
        <w:t>決められる場合もある</w:t>
      </w:r>
      <w:r>
        <w:rPr>
          <w:lang w:eastAsia="ja-JP"/>
        </w:rPr>
        <w:t>。</w:t>
      </w:r>
    </w:p>
    <w:p w14:paraId="362F0FCB" w14:textId="3BEDB2D3" w:rsidR="00410BDF" w:rsidRDefault="00CF7372">
      <w:pPr>
        <w:pStyle w:val="a4"/>
        <w:numPr>
          <w:ilvl w:val="0"/>
          <w:numId w:val="35"/>
        </w:numPr>
        <w:tabs>
          <w:tab w:val="left" w:pos="528"/>
        </w:tabs>
        <w:spacing w:before="82" w:line="276" w:lineRule="auto"/>
        <w:ind w:right="456"/>
        <w:rPr>
          <w:sz w:val="20"/>
          <w:lang w:eastAsia="ja-JP"/>
        </w:rPr>
      </w:pPr>
      <w:r>
        <w:rPr>
          <w:sz w:val="20"/>
          <w:lang w:eastAsia="ja-JP"/>
        </w:rPr>
        <w:t>プラットフォームはまた、</w:t>
      </w:r>
      <w:r w:rsidR="00B83F9B">
        <w:rPr>
          <w:sz w:val="20"/>
          <w:lang w:eastAsia="ja-JP"/>
        </w:rPr>
        <w:t>タクソノミー</w:t>
      </w:r>
      <w:r>
        <w:rPr>
          <w:sz w:val="20"/>
          <w:lang w:eastAsia="ja-JP"/>
        </w:rPr>
        <w:t>の6つの環境目標の間の農業生産システム内の複雑な相互作用への対処をさらに検討することが推奨される。</w:t>
      </w:r>
      <w:r w:rsidR="00B83F9B">
        <w:rPr>
          <w:sz w:val="20"/>
          <w:lang w:eastAsia="ja-JP"/>
        </w:rPr>
        <w:t>タクソノミー</w:t>
      </w:r>
      <w:r>
        <w:rPr>
          <w:sz w:val="20"/>
          <w:lang w:eastAsia="ja-JP"/>
        </w:rPr>
        <w:t>の潜在的可能性は、</w:t>
      </w:r>
      <w:r w:rsidR="00B83F9B">
        <w:rPr>
          <w:sz w:val="20"/>
          <w:lang w:eastAsia="ja-JP"/>
        </w:rPr>
        <w:t>タクソノミー</w:t>
      </w:r>
      <w:r>
        <w:rPr>
          <w:sz w:val="20"/>
          <w:lang w:eastAsia="ja-JP"/>
        </w:rPr>
        <w:t>の6つの環境目標全体にわたって相乗効果と共同便益を最大化する。 具体的には:</w:t>
      </w:r>
    </w:p>
    <w:p w14:paraId="467D9E83" w14:textId="3CB30617" w:rsidR="00410BDF" w:rsidRDefault="00CF7372">
      <w:pPr>
        <w:pStyle w:val="a4"/>
        <w:numPr>
          <w:ilvl w:val="1"/>
          <w:numId w:val="35"/>
        </w:numPr>
        <w:tabs>
          <w:tab w:val="left" w:pos="820"/>
          <w:tab w:val="left" w:pos="821"/>
        </w:tabs>
        <w:spacing w:before="118" w:line="276" w:lineRule="auto"/>
        <w:ind w:right="127"/>
        <w:rPr>
          <w:sz w:val="20"/>
          <w:lang w:eastAsia="ja-JP"/>
        </w:rPr>
      </w:pPr>
      <w:r>
        <w:rPr>
          <w:sz w:val="20"/>
          <w:lang w:eastAsia="ja-JP"/>
        </w:rPr>
        <w:t>提案された農業の</w:t>
      </w:r>
      <w:r w:rsidR="00B83F9B">
        <w:rPr>
          <w:sz w:val="20"/>
          <w:lang w:eastAsia="ja-JP"/>
        </w:rPr>
        <w:t>タクソノミー</w:t>
      </w:r>
      <w:r>
        <w:rPr>
          <w:sz w:val="20"/>
          <w:lang w:eastAsia="ja-JP"/>
        </w:rPr>
        <w:t>的基準と実践は、緩和の課題に対する個々の「修正」に焦点を当てるのではなく、制度的変化を可能にすることに基づいて</w:t>
      </w:r>
      <w:r w:rsidR="00D42FA3">
        <w:rPr>
          <w:rFonts w:hint="eastAsia"/>
          <w:sz w:val="20"/>
          <w:lang w:eastAsia="ja-JP"/>
        </w:rPr>
        <w:t>整備</w:t>
      </w:r>
      <w:r>
        <w:rPr>
          <w:sz w:val="20"/>
          <w:lang w:eastAsia="ja-JP"/>
        </w:rPr>
        <w:t>された。 提案された実務は、</w:t>
      </w:r>
      <w:r w:rsidR="00D42FA3">
        <w:rPr>
          <w:rFonts w:hint="eastAsia"/>
          <w:sz w:val="20"/>
          <w:lang w:eastAsia="ja-JP"/>
        </w:rPr>
        <w:t>その</w:t>
      </w:r>
      <w:r>
        <w:rPr>
          <w:sz w:val="20"/>
          <w:lang w:eastAsia="ja-JP"/>
        </w:rPr>
        <w:t>影響</w:t>
      </w:r>
      <w:r w:rsidR="00D42FA3">
        <w:rPr>
          <w:rFonts w:hint="eastAsia"/>
          <w:sz w:val="20"/>
          <w:lang w:eastAsia="ja-JP"/>
        </w:rPr>
        <w:t>について緩和に止まることなく</w:t>
      </w:r>
      <w:r>
        <w:rPr>
          <w:sz w:val="20"/>
          <w:lang w:eastAsia="ja-JP"/>
        </w:rPr>
        <w:t>考慮し、</w:t>
      </w:r>
      <w:r w:rsidR="00D42FA3">
        <w:rPr>
          <w:rFonts w:hint="eastAsia"/>
          <w:sz w:val="20"/>
          <w:lang w:eastAsia="ja-JP"/>
        </w:rPr>
        <w:t>適切</w:t>
      </w:r>
      <w:r>
        <w:rPr>
          <w:sz w:val="20"/>
          <w:lang w:eastAsia="ja-JP"/>
        </w:rPr>
        <w:t>な場合には、</w:t>
      </w:r>
      <w:r w:rsidR="00B83F9B">
        <w:rPr>
          <w:sz w:val="20"/>
          <w:lang w:eastAsia="ja-JP"/>
        </w:rPr>
        <w:t>タクソノミー</w:t>
      </w:r>
      <w:r>
        <w:rPr>
          <w:sz w:val="20"/>
          <w:lang w:eastAsia="ja-JP"/>
        </w:rPr>
        <w:t>規制のより広範な環境・気候適応目的への貢献を</w:t>
      </w:r>
      <w:r w:rsidR="00D42FA3">
        <w:rPr>
          <w:rFonts w:hint="eastAsia"/>
          <w:sz w:val="20"/>
          <w:lang w:eastAsia="ja-JP"/>
        </w:rPr>
        <w:t>も</w:t>
      </w:r>
      <w:r>
        <w:rPr>
          <w:sz w:val="20"/>
          <w:lang w:eastAsia="ja-JP"/>
        </w:rPr>
        <w:t>求めている。 この</w:t>
      </w:r>
      <w:r w:rsidR="00D42FA3">
        <w:rPr>
          <w:rFonts w:hint="eastAsia"/>
          <w:sz w:val="20"/>
          <w:lang w:eastAsia="ja-JP"/>
        </w:rPr>
        <w:t>考え方</w:t>
      </w:r>
      <w:r w:rsidR="00D42FA3">
        <w:rPr>
          <w:sz w:val="20"/>
          <w:lang w:eastAsia="ja-JP"/>
        </w:rPr>
        <w:t>はさらに</w:t>
      </w:r>
      <w:r w:rsidR="00D42FA3">
        <w:rPr>
          <w:rFonts w:hint="eastAsia"/>
          <w:sz w:val="20"/>
          <w:lang w:eastAsia="ja-JP"/>
        </w:rPr>
        <w:t>深められ</w:t>
      </w:r>
      <w:r>
        <w:rPr>
          <w:sz w:val="20"/>
          <w:lang w:eastAsia="ja-JP"/>
        </w:rPr>
        <w:t>るべきである。 プラットフォームは、現存する証拠と新たに出現しつつある証拠を参考にして、他の目的に重大な損害を与えることなく実質的な緩和をどのように追求することができるかを検討するだけでなく、むしろ、相乗効果をさらに最適化し、緩和、適応、生物多様性、水、土壌管理への重大な貢献の間のトレードオフを最小化するアプローチを追求すべきである。 これにはまた、混合営農システムの利点を</w:t>
      </w:r>
      <w:r w:rsidR="00B83F9B">
        <w:rPr>
          <w:sz w:val="20"/>
          <w:lang w:eastAsia="ja-JP"/>
        </w:rPr>
        <w:t>タクソノミー</w:t>
      </w:r>
      <w:r>
        <w:rPr>
          <w:sz w:val="20"/>
          <w:lang w:eastAsia="ja-JP"/>
        </w:rPr>
        <w:t>においてより良く捉える方法の改善も含まれる。</w:t>
      </w:r>
    </w:p>
    <w:p w14:paraId="5C36D12B" w14:textId="77777777" w:rsidR="00410BDF" w:rsidRDefault="00410BDF">
      <w:pPr>
        <w:pStyle w:val="a3"/>
        <w:spacing w:before="1"/>
        <w:rPr>
          <w:sz w:val="21"/>
          <w:lang w:eastAsia="ja-JP"/>
        </w:rPr>
      </w:pPr>
    </w:p>
    <w:p w14:paraId="3E0346B2" w14:textId="72460094" w:rsidR="00410BDF" w:rsidRDefault="00CF7372">
      <w:pPr>
        <w:pStyle w:val="a4"/>
        <w:numPr>
          <w:ilvl w:val="1"/>
          <w:numId w:val="35"/>
        </w:numPr>
        <w:tabs>
          <w:tab w:val="left" w:pos="820"/>
          <w:tab w:val="left" w:pos="821"/>
        </w:tabs>
        <w:spacing w:line="276" w:lineRule="auto"/>
        <w:ind w:right="128"/>
        <w:rPr>
          <w:sz w:val="20"/>
          <w:lang w:eastAsia="ja-JP"/>
        </w:rPr>
      </w:pPr>
      <w:r>
        <w:rPr>
          <w:sz w:val="20"/>
          <w:lang w:eastAsia="ja-JP"/>
        </w:rPr>
        <w:t>加えて、畜産は、集約的で土地を持たない操業</w:t>
      </w:r>
      <w:r w:rsidR="00036A20">
        <w:rPr>
          <w:rFonts w:hint="eastAsia"/>
          <w:sz w:val="20"/>
          <w:lang w:eastAsia="ja-JP"/>
        </w:rPr>
        <w:t>などの</w:t>
      </w:r>
      <w:r>
        <w:rPr>
          <w:sz w:val="20"/>
          <w:lang w:eastAsia="ja-JP"/>
        </w:rPr>
        <w:t>広範な慣行を含み、温室効果ガス排出量を超えた環境影響をもたらす可能性がある。 DNSH</w:t>
      </w:r>
      <w:r w:rsidR="00036A20">
        <w:rPr>
          <w:rFonts w:hint="eastAsia"/>
          <w:sz w:val="20"/>
          <w:lang w:eastAsia="ja-JP"/>
        </w:rPr>
        <w:t>的な視点</w:t>
      </w:r>
      <w:r w:rsidR="00036A20">
        <w:rPr>
          <w:sz w:val="20"/>
          <w:lang w:eastAsia="ja-JP"/>
        </w:rPr>
        <w:t>から異なる形態の家畜生産の差別化された</w:t>
      </w:r>
      <w:r w:rsidR="00036A20">
        <w:rPr>
          <w:rFonts w:hint="eastAsia"/>
          <w:sz w:val="20"/>
          <w:lang w:eastAsia="ja-JP"/>
        </w:rPr>
        <w:t>貢献</w:t>
      </w:r>
      <w:r>
        <w:rPr>
          <w:sz w:val="20"/>
          <w:lang w:eastAsia="ja-JP"/>
        </w:rPr>
        <w:t>を</w:t>
      </w:r>
      <w:r w:rsidR="00036A20">
        <w:rPr>
          <w:rFonts w:hint="eastAsia"/>
          <w:sz w:val="20"/>
          <w:lang w:eastAsia="ja-JP"/>
        </w:rPr>
        <w:t>しようとしても</w:t>
      </w:r>
      <w:r>
        <w:rPr>
          <w:sz w:val="20"/>
          <w:lang w:eastAsia="ja-JP"/>
        </w:rPr>
        <w:t>、現行のエビデンス基盤を深く分析するには十分な資源がな</w:t>
      </w:r>
      <w:r w:rsidR="00BB0813">
        <w:rPr>
          <w:rFonts w:hint="eastAsia"/>
          <w:sz w:val="20"/>
          <w:lang w:eastAsia="ja-JP"/>
        </w:rPr>
        <w:t>いことから</w:t>
      </w:r>
      <w:r>
        <w:rPr>
          <w:sz w:val="20"/>
          <w:lang w:eastAsia="ja-JP"/>
        </w:rPr>
        <w:t>、プラットフォーム</w:t>
      </w:r>
      <w:r w:rsidR="00BB0813">
        <w:rPr>
          <w:rFonts w:hint="eastAsia"/>
          <w:sz w:val="20"/>
          <w:lang w:eastAsia="ja-JP"/>
        </w:rPr>
        <w:t>が</w:t>
      </w:r>
      <w:r>
        <w:rPr>
          <w:sz w:val="20"/>
          <w:lang w:eastAsia="ja-JP"/>
        </w:rPr>
        <w:t>これをさらに検討</w:t>
      </w:r>
      <w:r w:rsidR="00036A20">
        <w:rPr>
          <w:rFonts w:hint="eastAsia"/>
          <w:sz w:val="20"/>
          <w:lang w:eastAsia="ja-JP"/>
        </w:rPr>
        <w:t>してゆく</w:t>
      </w:r>
      <w:r>
        <w:rPr>
          <w:sz w:val="20"/>
          <w:lang w:eastAsia="ja-JP"/>
        </w:rPr>
        <w:t>こと</w:t>
      </w:r>
      <w:r w:rsidR="00BB0813">
        <w:rPr>
          <w:rFonts w:hint="eastAsia"/>
          <w:sz w:val="20"/>
          <w:lang w:eastAsia="ja-JP"/>
        </w:rPr>
        <w:t>を</w:t>
      </w:r>
      <w:r>
        <w:rPr>
          <w:sz w:val="20"/>
          <w:lang w:eastAsia="ja-JP"/>
        </w:rPr>
        <w:t>推奨</w:t>
      </w:r>
      <w:r w:rsidR="00BB0813">
        <w:rPr>
          <w:rFonts w:hint="eastAsia"/>
          <w:sz w:val="20"/>
          <w:lang w:eastAsia="ja-JP"/>
        </w:rPr>
        <w:t>す</w:t>
      </w:r>
      <w:r>
        <w:rPr>
          <w:sz w:val="20"/>
          <w:lang w:eastAsia="ja-JP"/>
        </w:rPr>
        <w:t>る。</w:t>
      </w:r>
    </w:p>
    <w:p w14:paraId="1EBBFFF8" w14:textId="77777777" w:rsidR="00410BDF" w:rsidRDefault="00410BDF">
      <w:pPr>
        <w:pStyle w:val="a3"/>
        <w:spacing w:before="10"/>
        <w:rPr>
          <w:lang w:eastAsia="ja-JP"/>
        </w:rPr>
      </w:pPr>
    </w:p>
    <w:p w14:paraId="2D5796C0" w14:textId="4441517B" w:rsidR="00410BDF" w:rsidRDefault="00B83F9B">
      <w:pPr>
        <w:pStyle w:val="a4"/>
        <w:numPr>
          <w:ilvl w:val="0"/>
          <w:numId w:val="35"/>
        </w:numPr>
        <w:tabs>
          <w:tab w:val="left" w:pos="528"/>
        </w:tabs>
        <w:rPr>
          <w:sz w:val="20"/>
          <w:lang w:eastAsia="ja-JP"/>
        </w:rPr>
      </w:pPr>
      <w:r>
        <w:rPr>
          <w:sz w:val="20"/>
          <w:lang w:eastAsia="ja-JP"/>
        </w:rPr>
        <w:t>タクソノミー</w:t>
      </w:r>
      <w:r w:rsidR="00CF7372">
        <w:rPr>
          <w:sz w:val="20"/>
          <w:lang w:eastAsia="ja-JP"/>
        </w:rPr>
        <w:t>の環境目標の範囲の拡大について:</w:t>
      </w:r>
    </w:p>
    <w:p w14:paraId="143F0C6F" w14:textId="6FBBDE3D" w:rsidR="00410BDF" w:rsidRDefault="00CF7372">
      <w:pPr>
        <w:pStyle w:val="a4"/>
        <w:numPr>
          <w:ilvl w:val="1"/>
          <w:numId w:val="35"/>
        </w:numPr>
        <w:tabs>
          <w:tab w:val="left" w:pos="820"/>
          <w:tab w:val="left" w:pos="821"/>
        </w:tabs>
        <w:spacing w:before="154" w:line="276" w:lineRule="auto"/>
        <w:ind w:right="181"/>
        <w:rPr>
          <w:sz w:val="20"/>
          <w:lang w:eastAsia="ja-JP"/>
        </w:rPr>
      </w:pPr>
      <w:r>
        <w:rPr>
          <w:sz w:val="20"/>
          <w:lang w:eastAsia="ja-JP"/>
        </w:rPr>
        <w:t>家畜部門における動物福祉と健康状態および抗生物質使用の副作用は、現時点で優先されている環境目標には該当しないため、</w:t>
      </w:r>
      <w:r w:rsidR="00036A20">
        <w:rPr>
          <w:rFonts w:hint="eastAsia"/>
          <w:sz w:val="20"/>
          <w:lang w:eastAsia="ja-JP"/>
        </w:rPr>
        <w:t>いま</w:t>
      </w:r>
      <w:r>
        <w:rPr>
          <w:sz w:val="20"/>
          <w:lang w:eastAsia="ja-JP"/>
        </w:rPr>
        <w:t>のところDNSH基準には含まれていないが、利害関係者との協議、および利用可能な研究130は、これらが家畜生産に関連する社会的に重要な期待であることを示している131。 従って、プラットフォームへの提言</w:t>
      </w:r>
      <w:r w:rsidR="00036A20">
        <w:rPr>
          <w:rFonts w:hint="eastAsia"/>
          <w:sz w:val="20"/>
          <w:lang w:eastAsia="ja-JP"/>
        </w:rPr>
        <w:t>として</w:t>
      </w:r>
      <w:r>
        <w:rPr>
          <w:sz w:val="20"/>
          <w:lang w:eastAsia="ja-JP"/>
        </w:rPr>
        <w:t>は、動物福祉と健康に対処する基準ができるだけ早い時期に統合される</w:t>
      </w:r>
      <w:r w:rsidR="00036A20">
        <w:rPr>
          <w:rFonts w:hint="eastAsia"/>
          <w:sz w:val="20"/>
          <w:lang w:eastAsia="ja-JP"/>
        </w:rPr>
        <w:t>という</w:t>
      </w:r>
      <w:r>
        <w:rPr>
          <w:sz w:val="20"/>
          <w:lang w:eastAsia="ja-JP"/>
        </w:rPr>
        <w:t>こと</w:t>
      </w:r>
      <w:r w:rsidR="00036A20">
        <w:rPr>
          <w:rFonts w:hint="eastAsia"/>
          <w:sz w:val="20"/>
          <w:lang w:eastAsia="ja-JP"/>
        </w:rPr>
        <w:t>にな</w:t>
      </w:r>
      <w:r>
        <w:rPr>
          <w:sz w:val="20"/>
          <w:lang w:eastAsia="ja-JP"/>
        </w:rPr>
        <w:t>る。</w:t>
      </w:r>
    </w:p>
    <w:p w14:paraId="51CCB924" w14:textId="77777777" w:rsidR="00410BDF" w:rsidRDefault="00410BDF">
      <w:pPr>
        <w:pStyle w:val="a3"/>
        <w:spacing w:before="10"/>
        <w:rPr>
          <w:lang w:eastAsia="ja-JP"/>
        </w:rPr>
      </w:pPr>
    </w:p>
    <w:p w14:paraId="35E78A79" w14:textId="1549C5A5" w:rsidR="00410BDF" w:rsidRDefault="00CF7372">
      <w:pPr>
        <w:pStyle w:val="a4"/>
        <w:numPr>
          <w:ilvl w:val="0"/>
          <w:numId w:val="35"/>
        </w:numPr>
        <w:tabs>
          <w:tab w:val="left" w:pos="528"/>
        </w:tabs>
        <w:spacing w:line="276" w:lineRule="auto"/>
        <w:ind w:right="840"/>
        <w:rPr>
          <w:sz w:val="20"/>
          <w:lang w:eastAsia="ja-JP"/>
        </w:rPr>
      </w:pPr>
      <w:r>
        <w:rPr>
          <w:sz w:val="20"/>
          <w:lang w:eastAsia="ja-JP"/>
        </w:rPr>
        <w:t>農業分野の多様性における基準の適用と遵守に関する課題に取り組むために、プラットフォームは以下を検討するよう求められる。</w:t>
      </w:r>
    </w:p>
    <w:p w14:paraId="0EB8091F" w14:textId="77777777" w:rsidR="00410BDF" w:rsidRDefault="00410BDF">
      <w:pPr>
        <w:pStyle w:val="a3"/>
        <w:rPr>
          <w:lang w:eastAsia="ja-JP"/>
        </w:rPr>
      </w:pPr>
    </w:p>
    <w:p w14:paraId="4542907A" w14:textId="77777777" w:rsidR="00410BDF" w:rsidRDefault="00196192">
      <w:pPr>
        <w:pStyle w:val="a3"/>
        <w:spacing w:before="4"/>
        <w:rPr>
          <w:sz w:val="18"/>
          <w:lang w:eastAsia="ja-JP"/>
        </w:rPr>
      </w:pPr>
      <w:r>
        <w:rPr>
          <w:noProof/>
          <w:lang w:val="en-US" w:eastAsia="ja-JP"/>
        </w:rPr>
        <mc:AlternateContent>
          <mc:Choice Requires="wps">
            <w:drawing>
              <wp:anchor distT="0" distB="0" distL="0" distR="0" simplePos="0" relativeHeight="251661824" behindDoc="1" locked="0" layoutInCell="1" allowOverlap="1" wp14:anchorId="198C5D7D" wp14:editId="38EB3783">
                <wp:simplePos x="0" y="0"/>
                <wp:positionH relativeFrom="page">
                  <wp:posOffset>914400</wp:posOffset>
                </wp:positionH>
                <wp:positionV relativeFrom="paragraph">
                  <wp:posOffset>161925</wp:posOffset>
                </wp:positionV>
                <wp:extent cx="1829435" cy="0"/>
                <wp:effectExtent l="9525" t="8890" r="8890" b="10160"/>
                <wp:wrapTopAndBottom/>
                <wp:docPr id="12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D1BAA" id="Line 119"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5pt" to="216.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XeHw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" strokeweight=".48pt">
                <w10:wrap type="topAndBottom" anchorx="page"/>
              </v:line>
            </w:pict>
          </mc:Fallback>
        </mc:AlternateContent>
      </w:r>
    </w:p>
    <w:p w14:paraId="25AD6439" w14:textId="77777777" w:rsidR="00410BDF" w:rsidRDefault="00410BDF">
      <w:pPr>
        <w:pStyle w:val="a3"/>
        <w:spacing w:before="10"/>
        <w:rPr>
          <w:sz w:val="16"/>
          <w:lang w:eastAsia="ja-JP"/>
        </w:rPr>
      </w:pPr>
    </w:p>
    <w:p w14:paraId="07EAB8A0" w14:textId="77777777" w:rsidR="00410BDF" w:rsidRDefault="00CF7372">
      <w:pPr>
        <w:spacing w:before="98" w:line="276" w:lineRule="auto"/>
        <w:ind w:left="100" w:right="539"/>
        <w:rPr>
          <w:sz w:val="16"/>
          <w:lang w:eastAsia="ja-JP"/>
        </w:rPr>
      </w:pPr>
      <w:r>
        <w:rPr>
          <w:position w:val="6"/>
          <w:sz w:val="10"/>
          <w:lang w:eastAsia="ja-JP"/>
        </w:rPr>
        <w:t>例:130例</w:t>
      </w:r>
      <w:r>
        <w:rPr>
          <w:sz w:val="16"/>
          <w:lang w:eastAsia="ja-JP"/>
        </w:rPr>
        <w:t xml:space="preserve"> http://www.risefoundation.eu/images/files/2018/2018_RISE_LIVESTOCK_FULL.pdf「現在および将来の欧州連合の畜産の水準にかかわらず、資源効率の改善、環境への漏出の削減、家畜の健康状態および福利の向上、および抗生物質の使用の最小化の4つの面で継続的な進展が不可欠である」。</w:t>
      </w:r>
      <w:r w:rsidR="00D50B86">
        <w:fldChar w:fldCharType="begin"/>
      </w:r>
      <w:r w:rsidR="00D50B86">
        <w:rPr>
          <w:lang w:eastAsia="ja-JP"/>
        </w:rPr>
        <w:instrText xml:space="preserve"> HYPERLINK "http://www.risefoundation.eu/images/files/2018/2018_</w:instrText>
      </w:r>
      <w:r w:rsidR="00D50B86">
        <w:rPr>
          <w:lang w:eastAsia="ja-JP"/>
        </w:rPr>
        <w:instrText xml:space="preserve">RISE_LIVESTOCK_FULL.pdf" \h </w:instrText>
      </w:r>
      <w:r w:rsidR="00D50B86">
        <w:fldChar w:fldCharType="separate"/>
      </w:r>
      <w:r w:rsidR="00D50B86">
        <w:fldChar w:fldCharType="end"/>
      </w:r>
    </w:p>
    <w:p w14:paraId="52B98467" w14:textId="77777777" w:rsidR="00410BDF" w:rsidRDefault="00410BDF">
      <w:pPr>
        <w:pStyle w:val="a3"/>
        <w:spacing w:before="7"/>
        <w:rPr>
          <w:lang w:eastAsia="ja-JP"/>
        </w:rPr>
      </w:pPr>
    </w:p>
    <w:p w14:paraId="321938B0" w14:textId="77777777" w:rsidR="00410BDF" w:rsidRDefault="00CF7372">
      <w:pPr>
        <w:ind w:left="100"/>
        <w:rPr>
          <w:sz w:val="16"/>
          <w:lang w:eastAsia="ja-JP"/>
        </w:rPr>
      </w:pPr>
      <w:r>
        <w:rPr>
          <w:position w:val="6"/>
          <w:sz w:val="10"/>
          <w:lang w:eastAsia="ja-JP"/>
        </w:rPr>
        <w:t>131 動物福祉に対するヨーロッパ人の態度に関する特別ヨーロッパ気圧計442(2016年)</w:t>
      </w:r>
    </w:p>
    <w:p w14:paraId="0CA0868A" w14:textId="77777777" w:rsidR="00410BDF" w:rsidRDefault="00410BDF">
      <w:pPr>
        <w:rPr>
          <w:sz w:val="16"/>
          <w:lang w:eastAsia="ja-JP"/>
        </w:rPr>
        <w:sectPr w:rsidR="00410BDF">
          <w:pgSz w:w="12240" w:h="15840"/>
          <w:pgMar w:top="1360" w:right="1320" w:bottom="1200" w:left="1340" w:header="0" w:footer="1020" w:gutter="0"/>
          <w:cols w:space="720"/>
        </w:sectPr>
      </w:pPr>
    </w:p>
    <w:p w14:paraId="0556245E" w14:textId="14B3891A" w:rsidR="00410BDF" w:rsidRDefault="00CF7372">
      <w:pPr>
        <w:pStyle w:val="a4"/>
        <w:numPr>
          <w:ilvl w:val="1"/>
          <w:numId w:val="35"/>
        </w:numPr>
        <w:tabs>
          <w:tab w:val="left" w:pos="820"/>
          <w:tab w:val="left" w:pos="821"/>
        </w:tabs>
        <w:spacing w:before="79" w:line="276" w:lineRule="auto"/>
        <w:ind w:right="140"/>
        <w:rPr>
          <w:sz w:val="20"/>
          <w:lang w:eastAsia="ja-JP"/>
        </w:rPr>
      </w:pPr>
      <w:r>
        <w:rPr>
          <w:sz w:val="20"/>
          <w:lang w:eastAsia="ja-JP"/>
        </w:rPr>
        <w:lastRenderedPageBreak/>
        <w:t>相乗効果を実現し、目標間のトレードオフを避けるために、土地管理者が</w:t>
      </w:r>
      <w:r w:rsidR="00B83F9B">
        <w:rPr>
          <w:sz w:val="20"/>
          <w:lang w:eastAsia="ja-JP"/>
        </w:rPr>
        <w:t>タクソノミー</w:t>
      </w:r>
      <w:r>
        <w:rPr>
          <w:sz w:val="20"/>
          <w:lang w:eastAsia="ja-JP"/>
        </w:rPr>
        <w:t>に定められた基準と実践を実施するのを支援するために必要な指針は何か</w:t>
      </w:r>
      <w:r w:rsidR="00036A20">
        <w:rPr>
          <w:rFonts w:hint="eastAsia"/>
          <w:sz w:val="20"/>
          <w:lang w:eastAsia="ja-JP"/>
        </w:rPr>
        <w:t>を考えること</w:t>
      </w:r>
      <w:r>
        <w:rPr>
          <w:sz w:val="20"/>
          <w:lang w:eastAsia="ja-JP"/>
        </w:rPr>
        <w:t>。 これにより、</w:t>
      </w:r>
      <w:r w:rsidR="00B83F9B">
        <w:rPr>
          <w:sz w:val="20"/>
          <w:lang w:eastAsia="ja-JP"/>
        </w:rPr>
        <w:t>タクソノミー</w:t>
      </w:r>
      <w:r>
        <w:rPr>
          <w:sz w:val="20"/>
          <w:lang w:eastAsia="ja-JP"/>
        </w:rPr>
        <w:t>はDNSHからすべての環境目的にわたる実質的な貢献へと発展するための土台となるであろう。 プラットフォームは、この点に関して2つの要素を検討するよう求められる。</w:t>
      </w:r>
    </w:p>
    <w:p w14:paraId="54BDE185" w14:textId="77777777" w:rsidR="00410BDF" w:rsidRDefault="00410BDF">
      <w:pPr>
        <w:pStyle w:val="a3"/>
        <w:spacing w:before="11"/>
        <w:rPr>
          <w:lang w:eastAsia="ja-JP"/>
        </w:rPr>
      </w:pPr>
    </w:p>
    <w:p w14:paraId="13818E13" w14:textId="67318F7A" w:rsidR="00410BDF" w:rsidRDefault="00CF7372">
      <w:pPr>
        <w:pStyle w:val="a4"/>
        <w:numPr>
          <w:ilvl w:val="2"/>
          <w:numId w:val="35"/>
        </w:numPr>
        <w:tabs>
          <w:tab w:val="left" w:pos="1540"/>
          <w:tab w:val="left" w:pos="1541"/>
        </w:tabs>
        <w:spacing w:line="271" w:lineRule="auto"/>
        <w:ind w:right="158"/>
        <w:rPr>
          <w:sz w:val="20"/>
          <w:lang w:eastAsia="ja-JP"/>
        </w:rPr>
      </w:pPr>
      <w:r>
        <w:rPr>
          <w:sz w:val="20"/>
          <w:lang w:eastAsia="ja-JP"/>
        </w:rPr>
        <w:t>各ベストプラクティスの適用可能性について、各国または地域に合わせたアドバイスを提供することが、その地域の状況でどのように適切か、また</w:t>
      </w:r>
      <w:r w:rsidR="00036A20">
        <w:rPr>
          <w:rFonts w:hint="eastAsia"/>
          <w:sz w:val="20"/>
          <w:lang w:eastAsia="ja-JP"/>
        </w:rPr>
        <w:t>望まれる</w:t>
      </w:r>
      <w:r>
        <w:rPr>
          <w:sz w:val="20"/>
          <w:lang w:eastAsia="ja-JP"/>
        </w:rPr>
        <w:t>か。 ほとんどのベストプラクティスは、本質的に一般的であり、農業における緩和に実質的な貢献をもたらす主要なアプローチを規定しているが、</w:t>
      </w:r>
      <w:r w:rsidR="00B83F9B">
        <w:rPr>
          <w:sz w:val="20"/>
          <w:lang w:eastAsia="ja-JP"/>
        </w:rPr>
        <w:t>タクソノミー</w:t>
      </w:r>
      <w:r w:rsidR="000C00FF">
        <w:rPr>
          <w:rFonts w:hint="eastAsia"/>
          <w:sz w:val="20"/>
          <w:lang w:eastAsia="ja-JP"/>
        </w:rPr>
        <w:t>を</w:t>
      </w:r>
      <w:r>
        <w:rPr>
          <w:sz w:val="20"/>
          <w:lang w:eastAsia="ja-JP"/>
        </w:rPr>
        <w:t>世界</w:t>
      </w:r>
      <w:r w:rsidR="00036A20">
        <w:rPr>
          <w:rFonts w:hint="eastAsia"/>
          <w:sz w:val="20"/>
          <w:lang w:eastAsia="ja-JP"/>
        </w:rPr>
        <w:t>中</w:t>
      </w:r>
      <w:r w:rsidR="000C00FF">
        <w:rPr>
          <w:rFonts w:hint="eastAsia"/>
          <w:sz w:val="20"/>
          <w:lang w:eastAsia="ja-JP"/>
        </w:rPr>
        <w:t>に広げようとする考え方</w:t>
      </w:r>
      <w:r>
        <w:rPr>
          <w:sz w:val="20"/>
          <w:lang w:eastAsia="ja-JP"/>
        </w:rPr>
        <w:t>は、温帯地域における慣行が亜熱帯地域などで適用できないかもしれないことを当然</w:t>
      </w:r>
      <w:r w:rsidR="000C00FF">
        <w:rPr>
          <w:rFonts w:hint="eastAsia"/>
          <w:sz w:val="20"/>
          <w:lang w:eastAsia="ja-JP"/>
        </w:rPr>
        <w:t>視野に入れ</w:t>
      </w:r>
      <w:r>
        <w:rPr>
          <w:sz w:val="20"/>
          <w:lang w:eastAsia="ja-JP"/>
        </w:rPr>
        <w:t>ている。</w:t>
      </w:r>
    </w:p>
    <w:p w14:paraId="6C3431D0" w14:textId="7C209BB2" w:rsidR="00410BDF" w:rsidRDefault="00CF7372">
      <w:pPr>
        <w:pStyle w:val="a4"/>
        <w:numPr>
          <w:ilvl w:val="2"/>
          <w:numId w:val="35"/>
        </w:numPr>
        <w:tabs>
          <w:tab w:val="left" w:pos="1540"/>
          <w:tab w:val="left" w:pos="1541"/>
        </w:tabs>
        <w:spacing w:before="9" w:line="273" w:lineRule="auto"/>
        <w:ind w:right="245"/>
        <w:rPr>
          <w:sz w:val="20"/>
          <w:lang w:eastAsia="ja-JP"/>
        </w:rPr>
      </w:pPr>
      <w:r>
        <w:rPr>
          <w:sz w:val="20"/>
          <w:lang w:eastAsia="ja-JP"/>
        </w:rPr>
        <w:t>実質的な緩和のための実践を実施する者が、他の環境目的に利益をもたらすような方法で、/または他の環境目的に重大な悪影響を与えないようにするために、どのように、ど</w:t>
      </w:r>
      <w:r w:rsidR="000C00FF">
        <w:rPr>
          <w:rFonts w:hint="eastAsia"/>
          <w:sz w:val="20"/>
          <w:lang w:eastAsia="ja-JP"/>
        </w:rPr>
        <w:t>ん</w:t>
      </w:r>
      <w:r>
        <w:rPr>
          <w:sz w:val="20"/>
          <w:lang w:eastAsia="ja-JP"/>
        </w:rPr>
        <w:t>な指針が提供され、誰によって提供されるかを検討すること。 例えば、</w:t>
      </w:r>
      <w:r w:rsidR="000C00FF">
        <w:rPr>
          <w:rFonts w:hint="eastAsia"/>
          <w:sz w:val="20"/>
          <w:lang w:eastAsia="ja-JP"/>
        </w:rPr>
        <w:t>つなぎの間作作物</w:t>
      </w:r>
      <w:r>
        <w:rPr>
          <w:sz w:val="20"/>
          <w:lang w:eastAsia="ja-JP"/>
        </w:rPr>
        <w:t>や</w:t>
      </w:r>
      <w:r w:rsidR="000C00FF">
        <w:rPr>
          <w:rFonts w:hint="eastAsia"/>
          <w:sz w:val="20"/>
          <w:lang w:eastAsia="ja-JP"/>
        </w:rPr>
        <w:t>混植</w:t>
      </w:r>
      <w:r>
        <w:rPr>
          <w:sz w:val="20"/>
          <w:lang w:eastAsia="ja-JP"/>
        </w:rPr>
        <w:t>作物の播種は、高流出期に土壌を安定化させ、沈泥化を防ぎ、水域への栄養塩の移動を防ぐことによって、水質目標に大きく貢献する可能性が高い。 助言は、高栄養負荷地域、斜面、および水域に隣接する地域など、水質に特別な利益をもたらすような農場内の場所の周囲に構築することができる。 これを支援するために、TEGは、どのベストプラクティスが</w:t>
      </w:r>
      <w:r w:rsidR="00B83F9B">
        <w:rPr>
          <w:sz w:val="20"/>
          <w:lang w:eastAsia="ja-JP"/>
        </w:rPr>
        <w:t>タクソノミー</w:t>
      </w:r>
      <w:r>
        <w:rPr>
          <w:sz w:val="20"/>
          <w:lang w:eastAsia="ja-JP"/>
        </w:rPr>
        <w:t>の他の環境目標と潜在的なコベネフィットを持つかを特定するために、ベストプラクティス表に指標を含めた</w:t>
      </w:r>
      <w:r w:rsidR="002116A0">
        <w:rPr>
          <w:rFonts w:hint="eastAsia"/>
          <w:sz w:val="20"/>
          <w:lang w:eastAsia="ja-JP"/>
        </w:rPr>
        <w:t>のである</w:t>
      </w:r>
      <w:r>
        <w:rPr>
          <w:sz w:val="20"/>
          <w:lang w:eastAsia="ja-JP"/>
        </w:rPr>
        <w:t>。</w:t>
      </w:r>
    </w:p>
    <w:p w14:paraId="2967DA45" w14:textId="77777777" w:rsidR="00410BDF" w:rsidRDefault="00CF7372">
      <w:pPr>
        <w:pStyle w:val="a4"/>
        <w:numPr>
          <w:ilvl w:val="1"/>
          <w:numId w:val="35"/>
        </w:numPr>
        <w:tabs>
          <w:tab w:val="left" w:pos="820"/>
          <w:tab w:val="left" w:pos="821"/>
        </w:tabs>
        <w:spacing w:before="128" w:line="278" w:lineRule="auto"/>
        <w:ind w:right="157"/>
        <w:rPr>
          <w:sz w:val="20"/>
        </w:rPr>
      </w:pPr>
      <w:r>
        <w:rPr>
          <w:sz w:val="20"/>
          <w:lang w:eastAsia="ja-JP"/>
        </w:rPr>
        <w:t>これらの基準の遵守を実証するのに役立つツールおよび方法論の開発または採用を支援するためにできること。</w:t>
      </w:r>
      <w:r>
        <w:rPr>
          <w:spacing w:val="-2"/>
          <w:sz w:val="20"/>
          <w:lang w:eastAsia="ja-JP"/>
        </w:rPr>
        <w:t xml:space="preserve"> </w:t>
      </w:r>
      <w:proofErr w:type="spellStart"/>
      <w:r>
        <w:rPr>
          <w:spacing w:val="-2"/>
          <w:sz w:val="20"/>
        </w:rPr>
        <w:t>具体的には</w:t>
      </w:r>
      <w:proofErr w:type="spellEnd"/>
      <w:r>
        <w:rPr>
          <w:spacing w:val="-2"/>
          <w:sz w:val="20"/>
        </w:rPr>
        <w:t>:</w:t>
      </w:r>
    </w:p>
    <w:p w14:paraId="102D5D84" w14:textId="77777777" w:rsidR="00410BDF" w:rsidRDefault="00410BDF">
      <w:pPr>
        <w:pStyle w:val="a3"/>
        <w:spacing w:before="7"/>
      </w:pPr>
    </w:p>
    <w:p w14:paraId="37693944" w14:textId="0A01EE29" w:rsidR="00410BDF" w:rsidRDefault="00CF7372">
      <w:pPr>
        <w:pStyle w:val="a4"/>
        <w:numPr>
          <w:ilvl w:val="2"/>
          <w:numId w:val="35"/>
        </w:numPr>
        <w:tabs>
          <w:tab w:val="left" w:pos="1540"/>
          <w:tab w:val="left" w:pos="1541"/>
        </w:tabs>
        <w:spacing w:line="273" w:lineRule="auto"/>
        <w:ind w:right="220"/>
        <w:rPr>
          <w:sz w:val="20"/>
          <w:lang w:eastAsia="ja-JP"/>
        </w:rPr>
      </w:pPr>
      <w:r>
        <w:rPr>
          <w:sz w:val="20"/>
          <w:lang w:eastAsia="ja-JP"/>
        </w:rPr>
        <w:t>現在、多数の炭素監査ツールが利用可能であるが、これらのツールの対象範囲と頑健性にはばらつきがある。 スコットランドで実施された最近のレビュー132では、スコットランドの状況において農場レベルの炭素監査に技術的に非常に適していると考えられる3つのツールが特定され、十分な頑健性、包括性、文書の明瞭性が可能になった: Cool Farm Tool133、Scottish AgRE Calculator134、</w:t>
      </w:r>
      <w:r w:rsidR="002116A0">
        <w:rPr>
          <w:rFonts w:hint="eastAsia"/>
          <w:sz w:val="20"/>
          <w:lang w:eastAsia="ja-JP"/>
        </w:rPr>
        <w:t>そして</w:t>
      </w:r>
      <w:r>
        <w:rPr>
          <w:sz w:val="20"/>
          <w:lang w:eastAsia="ja-JP"/>
        </w:rPr>
        <w:t>JRC Carbon calculator135</w:t>
      </w:r>
      <w:r w:rsidR="002116A0">
        <w:rPr>
          <w:rFonts w:hint="eastAsia"/>
          <w:sz w:val="20"/>
          <w:lang w:eastAsia="ja-JP"/>
        </w:rPr>
        <w:t>である</w:t>
      </w:r>
      <w:r>
        <w:rPr>
          <w:sz w:val="20"/>
          <w:lang w:eastAsia="ja-JP"/>
        </w:rPr>
        <w:t>。</w:t>
      </w:r>
      <w:hyperlink r:id="rId14"/>
      <w:r>
        <w:rPr>
          <w:sz w:val="20"/>
          <w:lang w:eastAsia="ja-JP"/>
        </w:rPr>
        <w:t xml:space="preserve"> 少なくともクールファーム・ツールとJRCカーボン・コンキュレーターは、EUでもより広く適用可能である。 FAO-Ex-actツールも使</w:t>
      </w:r>
      <w:r w:rsidR="002116A0">
        <w:rPr>
          <w:rFonts w:hint="eastAsia"/>
          <w:sz w:val="20"/>
          <w:lang w:eastAsia="ja-JP"/>
        </w:rPr>
        <w:t>える</w:t>
      </w:r>
      <w:r>
        <w:rPr>
          <w:sz w:val="20"/>
          <w:lang w:eastAsia="ja-JP"/>
        </w:rPr>
        <w:t>かもしれない。 プラットフォームが、コンプライアンスを実証するための適切なツールに関するガイダンスを提供し、低炭素農業への移行に伴うキャパシティ・ビルディングとコンプライアンス・チェックのニーズに対処するための既存のツールの更なる開発を支援することができれば、価値がある。</w:t>
      </w:r>
    </w:p>
    <w:p w14:paraId="5AC6B4E7" w14:textId="77777777" w:rsidR="00410BDF" w:rsidRDefault="00410BDF">
      <w:pPr>
        <w:pStyle w:val="a3"/>
        <w:rPr>
          <w:lang w:eastAsia="ja-JP"/>
        </w:rPr>
      </w:pPr>
    </w:p>
    <w:p w14:paraId="1416DB89" w14:textId="77777777" w:rsidR="00410BDF" w:rsidRDefault="00196192">
      <w:pPr>
        <w:pStyle w:val="a3"/>
        <w:spacing w:before="1"/>
        <w:rPr>
          <w:sz w:val="25"/>
          <w:lang w:eastAsia="ja-JP"/>
        </w:rPr>
      </w:pPr>
      <w:r>
        <w:rPr>
          <w:noProof/>
          <w:lang w:val="en-US" w:eastAsia="ja-JP"/>
        </w:rPr>
        <mc:AlternateContent>
          <mc:Choice Requires="wps">
            <w:drawing>
              <wp:anchor distT="0" distB="0" distL="0" distR="0" simplePos="0" relativeHeight="251662848" behindDoc="1" locked="0" layoutInCell="1" allowOverlap="1" wp14:anchorId="32BD71C9" wp14:editId="28C2F3A7">
                <wp:simplePos x="0" y="0"/>
                <wp:positionH relativeFrom="page">
                  <wp:posOffset>914400</wp:posOffset>
                </wp:positionH>
                <wp:positionV relativeFrom="paragraph">
                  <wp:posOffset>211455</wp:posOffset>
                </wp:positionV>
                <wp:extent cx="1829435" cy="0"/>
                <wp:effectExtent l="9525" t="12065" r="8890" b="6985"/>
                <wp:wrapTopAndBottom/>
                <wp:docPr id="12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E5037" id="Line 118" o:spid="_x0000_s1026" style="position:absolute;left:0;text-align:lef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65pt" to="216.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OAIA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" strokeweight=".48pt">
                <w10:wrap type="topAndBottom" anchorx="page"/>
              </v:line>
            </w:pict>
          </mc:Fallback>
        </mc:AlternateContent>
      </w:r>
    </w:p>
    <w:p w14:paraId="4BF0D389" w14:textId="77777777" w:rsidR="00410BDF" w:rsidRDefault="00410BDF">
      <w:pPr>
        <w:pStyle w:val="a3"/>
        <w:spacing w:before="10"/>
        <w:rPr>
          <w:sz w:val="16"/>
          <w:lang w:eastAsia="ja-JP"/>
        </w:rPr>
      </w:pPr>
    </w:p>
    <w:p w14:paraId="70F01485" w14:textId="77777777" w:rsidR="00410BDF" w:rsidRDefault="00CF7372">
      <w:pPr>
        <w:spacing w:before="98"/>
        <w:ind w:left="100"/>
        <w:rPr>
          <w:sz w:val="16"/>
          <w:lang w:eastAsia="ja-JP"/>
        </w:rPr>
      </w:pPr>
      <w:r>
        <w:rPr>
          <w:position w:val="6"/>
          <w:sz w:val="10"/>
        </w:rPr>
        <w:t xml:space="preserve">132 Leinonen, I., V. </w:t>
      </w:r>
      <w:proofErr w:type="spellStart"/>
      <w:r>
        <w:rPr>
          <w:position w:val="6"/>
          <w:sz w:val="10"/>
        </w:rPr>
        <w:t>Eory</w:t>
      </w:r>
      <w:proofErr w:type="spellEnd"/>
      <w:r>
        <w:rPr>
          <w:position w:val="6"/>
          <w:sz w:val="10"/>
        </w:rPr>
        <w:t xml:space="preserve">, M. MacLeod, A. Sykes, K. </w:t>
      </w:r>
      <w:proofErr w:type="spellStart"/>
      <w:r>
        <w:rPr>
          <w:position w:val="6"/>
          <w:sz w:val="10"/>
        </w:rPr>
        <w:t>Glenk</w:t>
      </w:r>
      <w:proofErr w:type="spellEnd"/>
      <w:r>
        <w:rPr>
          <w:position w:val="6"/>
          <w:sz w:val="10"/>
        </w:rPr>
        <w:t xml:space="preserve"> and R. Rees (2019).</w:t>
      </w:r>
      <w:r>
        <w:rPr>
          <w:sz w:val="16"/>
        </w:rPr>
        <w:t xml:space="preserve"> </w:t>
      </w:r>
      <w:r>
        <w:rPr>
          <w:sz w:val="16"/>
          <w:lang w:eastAsia="ja-JP"/>
        </w:rPr>
        <w:t>「農場ベースの炭素監査の比較分析」『気候変動スコットランドに関する報告書』 https://www.climatexchange.org.uk/media/3584/farm-based-carbon-audits-final.pdf</w:t>
      </w:r>
      <w:r w:rsidR="00D50B86">
        <w:fldChar w:fldCharType="begin"/>
      </w:r>
      <w:r w:rsidR="00D50B86">
        <w:rPr>
          <w:lang w:eastAsia="ja-JP"/>
        </w:rPr>
        <w:instrText xml:space="preserve"> HYPERLINK "http://www.climatexchange.org.uk/media</w:instrText>
      </w:r>
      <w:r w:rsidR="00D50B86">
        <w:rPr>
          <w:lang w:eastAsia="ja-JP"/>
        </w:rPr>
        <w:instrText xml:space="preserve">/3584/farm-based-carbon-audits-final.pdf" \h </w:instrText>
      </w:r>
      <w:r w:rsidR="00D50B86">
        <w:fldChar w:fldCharType="separate"/>
      </w:r>
      <w:r w:rsidR="00D50B86">
        <w:fldChar w:fldCharType="end"/>
      </w:r>
    </w:p>
    <w:p w14:paraId="455025C8" w14:textId="77777777" w:rsidR="00410BDF" w:rsidRDefault="00410BDF">
      <w:pPr>
        <w:pStyle w:val="a3"/>
        <w:spacing w:before="5"/>
        <w:rPr>
          <w:lang w:eastAsia="ja-JP"/>
        </w:rPr>
      </w:pPr>
    </w:p>
    <w:p w14:paraId="2EC6400D" w14:textId="77777777" w:rsidR="00410BDF" w:rsidRDefault="00CF7372">
      <w:pPr>
        <w:ind w:left="100"/>
        <w:rPr>
          <w:sz w:val="16"/>
          <w:lang w:eastAsia="ja-JP"/>
        </w:rPr>
      </w:pPr>
      <w:r>
        <w:rPr>
          <w:position w:val="6"/>
          <w:sz w:val="10"/>
          <w:lang w:eastAsia="ja-JP"/>
        </w:rPr>
        <w:t>133 http://www.coolfarmtool.org</w:t>
      </w:r>
      <w:r w:rsidR="00D50B86">
        <w:fldChar w:fldCharType="begin"/>
      </w:r>
      <w:r w:rsidR="00D50B86">
        <w:rPr>
          <w:lang w:eastAsia="ja-JP"/>
        </w:rPr>
        <w:instrText xml:space="preserve"> HYPERLINK "http://www.coolfarmtool.org/" \h </w:instrText>
      </w:r>
      <w:r w:rsidR="00D50B86">
        <w:fldChar w:fldCharType="separate"/>
      </w:r>
      <w:r w:rsidR="00D50B86">
        <w:fldChar w:fldCharType="end"/>
      </w:r>
    </w:p>
    <w:p w14:paraId="0693F6C3" w14:textId="77777777" w:rsidR="00410BDF" w:rsidRDefault="00410BDF">
      <w:pPr>
        <w:pStyle w:val="a3"/>
        <w:spacing w:before="2"/>
        <w:rPr>
          <w:sz w:val="12"/>
          <w:lang w:eastAsia="ja-JP"/>
        </w:rPr>
      </w:pPr>
    </w:p>
    <w:p w14:paraId="756E479D" w14:textId="77777777" w:rsidR="00410BDF" w:rsidRDefault="00CF7372">
      <w:pPr>
        <w:spacing w:before="98"/>
        <w:ind w:left="100"/>
        <w:rPr>
          <w:sz w:val="16"/>
          <w:lang w:eastAsia="ja-JP"/>
        </w:rPr>
      </w:pPr>
      <w:r>
        <w:rPr>
          <w:position w:val="6"/>
          <w:sz w:val="10"/>
          <w:lang w:eastAsia="ja-JP"/>
        </w:rPr>
        <w:t>134 http://www.agrecalc.com/</w:t>
      </w:r>
      <w:r w:rsidR="00D50B86">
        <w:fldChar w:fldCharType="begin"/>
      </w:r>
      <w:r w:rsidR="00D50B86">
        <w:rPr>
          <w:lang w:eastAsia="ja-JP"/>
        </w:rPr>
        <w:instrText xml:space="preserve"> HYPERLINK "http://www.agrecalc.com/" \h </w:instrText>
      </w:r>
      <w:r w:rsidR="00D50B86">
        <w:fldChar w:fldCharType="separate"/>
      </w:r>
      <w:r w:rsidR="00D50B86">
        <w:fldChar w:fldCharType="end"/>
      </w:r>
    </w:p>
    <w:p w14:paraId="22BE5BC1" w14:textId="77777777" w:rsidR="00410BDF" w:rsidRDefault="00410BDF">
      <w:pPr>
        <w:pStyle w:val="a3"/>
        <w:spacing w:before="6"/>
        <w:rPr>
          <w:lang w:eastAsia="ja-JP"/>
        </w:rPr>
      </w:pPr>
    </w:p>
    <w:p w14:paraId="7BD2CF8E" w14:textId="77777777" w:rsidR="00410BDF" w:rsidRDefault="00CF7372">
      <w:pPr>
        <w:spacing w:before="1"/>
        <w:ind w:left="100"/>
        <w:rPr>
          <w:sz w:val="16"/>
          <w:lang w:eastAsia="ja-JP"/>
        </w:rPr>
      </w:pPr>
      <w:r>
        <w:rPr>
          <w:position w:val="6"/>
          <w:sz w:val="10"/>
          <w:lang w:eastAsia="ja-JP"/>
        </w:rPr>
        <w:t>135 https://solagro.com/images/imagesCK/files/publications/2016/Farm_Tool_Calculator_Carbon.pdf</w:t>
      </w:r>
      <w:r w:rsidR="00D50B86">
        <w:fldChar w:fldCharType="begin"/>
      </w:r>
      <w:r w:rsidR="00D50B86">
        <w:rPr>
          <w:lang w:eastAsia="ja-JP"/>
        </w:rPr>
        <w:instrText xml:space="preserve"> HYPERLINK "https://solagro.com/images/imagesCK/files/publications/2016/Farm_Tool_Calculator_Carbon.pdf" \h </w:instrText>
      </w:r>
      <w:r w:rsidR="00D50B86">
        <w:fldChar w:fldCharType="separate"/>
      </w:r>
      <w:r w:rsidR="00D50B86">
        <w:fldChar w:fldCharType="end"/>
      </w:r>
    </w:p>
    <w:p w14:paraId="61716F9F" w14:textId="77777777" w:rsidR="00410BDF" w:rsidRDefault="00410BDF">
      <w:pPr>
        <w:rPr>
          <w:sz w:val="16"/>
          <w:lang w:eastAsia="ja-JP"/>
        </w:rPr>
        <w:sectPr w:rsidR="00410BDF">
          <w:pgSz w:w="12240" w:h="15840"/>
          <w:pgMar w:top="1360" w:right="1320" w:bottom="1200" w:left="1340" w:header="0" w:footer="1020" w:gutter="0"/>
          <w:cols w:space="720"/>
        </w:sectPr>
      </w:pPr>
    </w:p>
    <w:p w14:paraId="57D41C79" w14:textId="4869C0DB" w:rsidR="00410BDF" w:rsidRDefault="00CF7372">
      <w:pPr>
        <w:pStyle w:val="a4"/>
        <w:numPr>
          <w:ilvl w:val="2"/>
          <w:numId w:val="35"/>
        </w:numPr>
        <w:tabs>
          <w:tab w:val="left" w:pos="1540"/>
          <w:tab w:val="left" w:pos="1541"/>
        </w:tabs>
        <w:spacing w:before="79" w:line="273" w:lineRule="auto"/>
        <w:ind w:right="266"/>
        <w:rPr>
          <w:sz w:val="20"/>
          <w:lang w:eastAsia="ja-JP"/>
        </w:rPr>
      </w:pPr>
      <w:r w:rsidRPr="00785E4E">
        <w:rPr>
          <w:sz w:val="20"/>
          <w:lang w:eastAsia="ja-JP"/>
        </w:rPr>
        <w:lastRenderedPageBreak/>
        <w:t>同様に、プラットフォームは</w:t>
      </w:r>
      <w:r>
        <w:rPr>
          <w:sz w:val="20"/>
          <w:lang w:eastAsia="ja-JP"/>
        </w:rPr>
        <w:t>、既存の持続可能性基準、炭素クレジットスキーム、基準、認証スキーム、または類</w:t>
      </w:r>
      <w:r w:rsidR="00036A20">
        <w:rPr>
          <w:sz w:val="20"/>
          <w:lang w:eastAsia="ja-JP"/>
        </w:rPr>
        <w:t>似のものが、同じパフォーマンス成果を満たすことを条件に、</w:t>
      </w:r>
      <w:r w:rsidR="00036A20">
        <w:rPr>
          <w:rFonts w:hint="eastAsia"/>
          <w:sz w:val="20"/>
          <w:lang w:eastAsia="ja-JP"/>
        </w:rPr>
        <w:t>各種</w:t>
      </w:r>
      <w:r w:rsidR="00036A20">
        <w:rPr>
          <w:sz w:val="20"/>
          <w:lang w:eastAsia="ja-JP"/>
        </w:rPr>
        <w:t>基準および閾値を遵守するための代理指標として使用できるかどうか</w:t>
      </w:r>
      <w:r w:rsidR="00036A20">
        <w:rPr>
          <w:rFonts w:hint="eastAsia"/>
          <w:sz w:val="20"/>
          <w:lang w:eastAsia="ja-JP"/>
        </w:rPr>
        <w:t>について</w:t>
      </w:r>
      <w:r>
        <w:rPr>
          <w:sz w:val="20"/>
          <w:lang w:eastAsia="ja-JP"/>
        </w:rPr>
        <w:t>検討することが求められる。 これには、必要に応じて、これらの基準または認証スキーム</w:t>
      </w:r>
      <w:r w:rsidR="00036A20">
        <w:rPr>
          <w:rFonts w:hint="eastAsia"/>
          <w:sz w:val="20"/>
          <w:lang w:eastAsia="ja-JP"/>
        </w:rPr>
        <w:t>どうし</w:t>
      </w:r>
      <w:r>
        <w:rPr>
          <w:sz w:val="20"/>
          <w:lang w:eastAsia="ja-JP"/>
        </w:rPr>
        <w:t>を整合させるための関与が含まれる。 このような代理指標の採用</w:t>
      </w:r>
      <w:r w:rsidR="00785E4E">
        <w:rPr>
          <w:rFonts w:hint="eastAsia"/>
          <w:sz w:val="20"/>
          <w:lang w:eastAsia="ja-JP"/>
        </w:rPr>
        <w:t>が</w:t>
      </w:r>
      <w:r>
        <w:rPr>
          <w:sz w:val="20"/>
          <w:lang w:eastAsia="ja-JP"/>
        </w:rPr>
        <w:t>、これらの基準および閾値の遵守を費用対効果の高い形で実証</w:t>
      </w:r>
      <w:r w:rsidR="00785E4E">
        <w:rPr>
          <w:rFonts w:hint="eastAsia"/>
          <w:sz w:val="20"/>
          <w:lang w:eastAsia="ja-JP"/>
        </w:rPr>
        <w:t>できれば効果的である</w:t>
      </w:r>
      <w:r>
        <w:rPr>
          <w:sz w:val="20"/>
          <w:lang w:eastAsia="ja-JP"/>
        </w:rPr>
        <w:t>。</w:t>
      </w:r>
    </w:p>
    <w:p w14:paraId="7F553581" w14:textId="39D0C691" w:rsidR="00410BDF" w:rsidRDefault="00036A20">
      <w:pPr>
        <w:pStyle w:val="a4"/>
        <w:numPr>
          <w:ilvl w:val="2"/>
          <w:numId w:val="35"/>
        </w:numPr>
        <w:tabs>
          <w:tab w:val="left" w:pos="1540"/>
          <w:tab w:val="left" w:pos="1541"/>
        </w:tabs>
        <w:spacing w:before="80" w:line="271" w:lineRule="auto"/>
        <w:ind w:right="224"/>
        <w:rPr>
          <w:sz w:val="20"/>
          <w:lang w:eastAsia="ja-JP"/>
        </w:rPr>
      </w:pPr>
      <w:r>
        <w:rPr>
          <w:sz w:val="20"/>
          <w:lang w:eastAsia="ja-JP"/>
        </w:rPr>
        <w:t>同様に、これらの基準</w:t>
      </w:r>
      <w:r>
        <w:rPr>
          <w:rFonts w:hint="eastAsia"/>
          <w:sz w:val="20"/>
          <w:lang w:eastAsia="ja-JP"/>
        </w:rPr>
        <w:t>と</w:t>
      </w:r>
      <w:r w:rsidR="00CF7372">
        <w:rPr>
          <w:sz w:val="20"/>
          <w:lang w:eastAsia="ja-JP"/>
        </w:rPr>
        <w:t>2020年以降のEU</w:t>
      </w:r>
      <w:r>
        <w:rPr>
          <w:rFonts w:hint="eastAsia"/>
          <w:sz w:val="20"/>
          <w:lang w:eastAsia="ja-JP"/>
        </w:rPr>
        <w:t>内の</w:t>
      </w:r>
      <w:r>
        <w:rPr>
          <w:sz w:val="20"/>
          <w:lang w:eastAsia="ja-JP"/>
        </w:rPr>
        <w:t>利用者</w:t>
      </w:r>
      <w:r>
        <w:rPr>
          <w:rFonts w:hint="eastAsia"/>
          <w:sz w:val="20"/>
          <w:lang w:eastAsia="ja-JP"/>
        </w:rPr>
        <w:t>向けの</w:t>
      </w:r>
      <w:r w:rsidR="00CF7372">
        <w:rPr>
          <w:sz w:val="20"/>
          <w:lang w:eastAsia="ja-JP"/>
        </w:rPr>
        <w:t>CAPと</w:t>
      </w:r>
      <w:r>
        <w:rPr>
          <w:rFonts w:hint="eastAsia"/>
          <w:sz w:val="20"/>
          <w:lang w:eastAsia="ja-JP"/>
        </w:rPr>
        <w:t>を</w:t>
      </w:r>
      <w:r w:rsidR="00CF7372">
        <w:rPr>
          <w:sz w:val="20"/>
          <w:lang w:eastAsia="ja-JP"/>
        </w:rPr>
        <w:t>相互参照する努力がなされている。 これは、現時点では2020年以降のCAPが採択されていないため、進捗状況は複雑である。 したがって、プラットフォームは、最終的に2020年以降のCAPの規定を見直し、それに基づいてこれらの基準に何らかの変更を加える必要があるかどうかを検討することが求められる。</w:t>
      </w:r>
    </w:p>
    <w:p w14:paraId="02F2971E" w14:textId="77777777" w:rsidR="00410BDF" w:rsidRDefault="00CF7372">
      <w:pPr>
        <w:pStyle w:val="a4"/>
        <w:numPr>
          <w:ilvl w:val="1"/>
          <w:numId w:val="35"/>
        </w:numPr>
        <w:tabs>
          <w:tab w:val="left" w:pos="820"/>
          <w:tab w:val="left" w:pos="821"/>
        </w:tabs>
        <w:spacing w:before="125"/>
        <w:rPr>
          <w:sz w:val="20"/>
          <w:lang w:eastAsia="ja-JP"/>
        </w:rPr>
      </w:pPr>
      <w:r>
        <w:rPr>
          <w:sz w:val="20"/>
          <w:lang w:eastAsia="ja-JP"/>
        </w:rPr>
        <w:t>異なる状況下で異なるユーザーの基準を</w:t>
      </w:r>
      <w:r w:rsidR="00785E4E">
        <w:rPr>
          <w:rFonts w:hint="eastAsia"/>
          <w:sz w:val="20"/>
          <w:lang w:eastAsia="ja-JP"/>
        </w:rPr>
        <w:t>柔軟に</w:t>
      </w:r>
      <w:r>
        <w:rPr>
          <w:sz w:val="20"/>
          <w:lang w:eastAsia="ja-JP"/>
        </w:rPr>
        <w:t>変更する必要があるかどうか。 特に:</w:t>
      </w:r>
    </w:p>
    <w:p w14:paraId="2F9C1A1D" w14:textId="77777777" w:rsidR="00410BDF" w:rsidRDefault="00410BDF">
      <w:pPr>
        <w:pStyle w:val="a3"/>
        <w:spacing w:before="10"/>
        <w:rPr>
          <w:sz w:val="23"/>
          <w:lang w:eastAsia="ja-JP"/>
        </w:rPr>
      </w:pPr>
    </w:p>
    <w:p w14:paraId="12A29791" w14:textId="115A2DEC" w:rsidR="00410BDF" w:rsidRDefault="00CF7372">
      <w:pPr>
        <w:pStyle w:val="a4"/>
        <w:numPr>
          <w:ilvl w:val="2"/>
          <w:numId w:val="35"/>
        </w:numPr>
        <w:tabs>
          <w:tab w:val="left" w:pos="1540"/>
          <w:tab w:val="left" w:pos="1541"/>
        </w:tabs>
        <w:spacing w:line="273" w:lineRule="auto"/>
        <w:ind w:right="300"/>
        <w:rPr>
          <w:sz w:val="20"/>
          <w:lang w:eastAsia="ja-JP"/>
        </w:rPr>
      </w:pPr>
      <w:r>
        <w:rPr>
          <w:sz w:val="20"/>
          <w:lang w:eastAsia="ja-JP"/>
        </w:rPr>
        <w:t>現在提案されているように、本規準は小規模農場と大規模農場に等しく適用され、小規模農場と大規模農場とを区別し</w:t>
      </w:r>
      <w:r w:rsidR="00036A20">
        <w:rPr>
          <w:rFonts w:hint="eastAsia"/>
          <w:sz w:val="20"/>
          <w:lang w:eastAsia="ja-JP"/>
        </w:rPr>
        <w:t>てい</w:t>
      </w:r>
      <w:r>
        <w:rPr>
          <w:sz w:val="20"/>
          <w:lang w:eastAsia="ja-JP"/>
        </w:rPr>
        <w:t>ない。 これは、小規模農場は最も非効率的で排出量が多く、大規模企業は生産量あたりの効率的なものの一部であり、逆も同様であることを認識しつつ</w:t>
      </w:r>
      <w:r w:rsidR="00036A20">
        <w:rPr>
          <w:rFonts w:hint="eastAsia"/>
          <w:sz w:val="20"/>
          <w:lang w:eastAsia="ja-JP"/>
        </w:rPr>
        <w:t>も</w:t>
      </w:r>
      <w:r w:rsidR="00036A20">
        <w:rPr>
          <w:sz w:val="20"/>
          <w:lang w:eastAsia="ja-JP"/>
        </w:rPr>
        <w:t>、集約効果を最大化するために</w:t>
      </w:r>
      <w:r>
        <w:rPr>
          <w:sz w:val="20"/>
          <w:lang w:eastAsia="ja-JP"/>
        </w:rPr>
        <w:t>あらゆる規模の農場における排出削減と固定に取り組もうとする点で適切であると思われる。 しかし、プラットフォームは、小規模農家の取引コストへの影響が大きいことを認識し</w:t>
      </w:r>
      <w:r w:rsidR="00036A20">
        <w:rPr>
          <w:sz w:val="20"/>
          <w:lang w:eastAsia="ja-JP"/>
        </w:rPr>
        <w:t>つつ、遵守を実証するための要件に関して差異を設けるべきかどうか</w:t>
      </w:r>
      <w:r>
        <w:rPr>
          <w:sz w:val="20"/>
          <w:lang w:eastAsia="ja-JP"/>
        </w:rPr>
        <w:t>検討する</w:t>
      </w:r>
      <w:r w:rsidR="00036A20">
        <w:rPr>
          <w:rFonts w:hint="eastAsia"/>
          <w:sz w:val="20"/>
          <w:lang w:eastAsia="ja-JP"/>
        </w:rPr>
        <w:t>ことが</w:t>
      </w:r>
      <w:r>
        <w:rPr>
          <w:sz w:val="20"/>
          <w:lang w:eastAsia="ja-JP"/>
        </w:rPr>
        <w:t>求められる。</w:t>
      </w:r>
    </w:p>
    <w:p w14:paraId="029D55AB" w14:textId="42802D90" w:rsidR="00410BDF" w:rsidRDefault="00CF7372">
      <w:pPr>
        <w:pStyle w:val="a4"/>
        <w:numPr>
          <w:ilvl w:val="2"/>
          <w:numId w:val="35"/>
        </w:numPr>
        <w:tabs>
          <w:tab w:val="left" w:pos="1540"/>
          <w:tab w:val="left" w:pos="1541"/>
        </w:tabs>
        <w:spacing w:before="2" w:line="271" w:lineRule="auto"/>
        <w:ind w:right="263"/>
        <w:rPr>
          <w:sz w:val="20"/>
          <w:lang w:eastAsia="ja-JP"/>
        </w:rPr>
      </w:pPr>
      <w:r>
        <w:rPr>
          <w:sz w:val="20"/>
          <w:lang w:eastAsia="ja-JP"/>
        </w:rPr>
        <w:t>上述したように、TEGは、TEGメンバーおよびグローバルな専門知識と経験を有する専門アドバイザーからのインプットに基づいて、これらの基準および閾値は世界的に適用可能であるとの見解を示している。 しかし、世界中の作物と畜産のためのこれらの提案の妥当性を確認するためには、さらなる世界的</w:t>
      </w:r>
      <w:r w:rsidR="00036A20">
        <w:rPr>
          <w:rFonts w:hint="eastAsia"/>
          <w:sz w:val="20"/>
          <w:lang w:eastAsia="ja-JP"/>
        </w:rPr>
        <w:t>な</w:t>
      </w:r>
      <w:r>
        <w:rPr>
          <w:sz w:val="20"/>
          <w:lang w:eastAsia="ja-JP"/>
        </w:rPr>
        <w:t>協議が必要であろう。</w:t>
      </w:r>
    </w:p>
    <w:p w14:paraId="68EC393D" w14:textId="77777777" w:rsidR="00410BDF" w:rsidRDefault="00CF7372">
      <w:pPr>
        <w:pStyle w:val="a4"/>
        <w:numPr>
          <w:ilvl w:val="0"/>
          <w:numId w:val="35"/>
        </w:numPr>
        <w:tabs>
          <w:tab w:val="left" w:pos="528"/>
        </w:tabs>
        <w:spacing w:before="6"/>
        <w:rPr>
          <w:sz w:val="20"/>
          <w:lang w:eastAsia="ja-JP"/>
        </w:rPr>
      </w:pPr>
      <w:r>
        <w:rPr>
          <w:sz w:val="20"/>
          <w:lang w:eastAsia="ja-JP"/>
        </w:rPr>
        <w:t>これらの基準を最新の状態に保つために、本プラットフォームは、以下の事項を要求される。</w:t>
      </w:r>
    </w:p>
    <w:p w14:paraId="495CDB3D" w14:textId="0E88AA59" w:rsidR="00410BDF" w:rsidRDefault="00CF7372">
      <w:pPr>
        <w:pStyle w:val="a4"/>
        <w:numPr>
          <w:ilvl w:val="1"/>
          <w:numId w:val="35"/>
        </w:numPr>
        <w:tabs>
          <w:tab w:val="left" w:pos="820"/>
          <w:tab w:val="left" w:pos="821"/>
        </w:tabs>
        <w:spacing w:before="154" w:line="276" w:lineRule="auto"/>
        <w:ind w:right="407"/>
        <w:rPr>
          <w:sz w:val="20"/>
          <w:lang w:eastAsia="ja-JP"/>
        </w:rPr>
      </w:pPr>
      <w:r>
        <w:rPr>
          <w:sz w:val="20"/>
          <w:lang w:eastAsia="ja-JP"/>
        </w:rPr>
        <w:t>理解と科学的知識の新たな進歩、および</w:t>
      </w:r>
      <w:r w:rsidR="00785E4E">
        <w:rPr>
          <w:rFonts w:hint="eastAsia"/>
          <w:sz w:val="20"/>
          <w:lang w:eastAsia="ja-JP"/>
        </w:rPr>
        <w:t>EUの「共通</w:t>
      </w:r>
      <w:r>
        <w:rPr>
          <w:sz w:val="20"/>
          <w:lang w:eastAsia="ja-JP"/>
        </w:rPr>
        <w:t>農業政策</w:t>
      </w:r>
      <w:r w:rsidR="00785E4E">
        <w:rPr>
          <w:rFonts w:hint="eastAsia"/>
          <w:sz w:val="20"/>
          <w:lang w:eastAsia="ja-JP"/>
        </w:rPr>
        <w:t>」（CAP）</w:t>
      </w:r>
      <w:r>
        <w:rPr>
          <w:sz w:val="20"/>
          <w:lang w:eastAsia="ja-JP"/>
        </w:rPr>
        <w:t>の修正の意味合いを統合するために、この一覧表を定期的に見直す</w:t>
      </w:r>
      <w:r w:rsidR="00036A20">
        <w:rPr>
          <w:rFonts w:hint="eastAsia"/>
          <w:sz w:val="20"/>
          <w:lang w:eastAsia="ja-JP"/>
        </w:rPr>
        <w:t>こと</w:t>
      </w:r>
      <w:r>
        <w:rPr>
          <w:sz w:val="20"/>
          <w:lang w:eastAsia="ja-JP"/>
        </w:rPr>
        <w:t>。</w:t>
      </w:r>
    </w:p>
    <w:p w14:paraId="0A538A3B" w14:textId="77777777" w:rsidR="00410BDF" w:rsidRDefault="00410BDF">
      <w:pPr>
        <w:pStyle w:val="a3"/>
        <w:spacing w:before="9"/>
        <w:rPr>
          <w:lang w:eastAsia="ja-JP"/>
        </w:rPr>
      </w:pPr>
    </w:p>
    <w:p w14:paraId="41EAAF75" w14:textId="3ED63CAD" w:rsidR="00410BDF" w:rsidRDefault="00CF7372">
      <w:pPr>
        <w:pStyle w:val="a4"/>
        <w:numPr>
          <w:ilvl w:val="0"/>
          <w:numId w:val="35"/>
        </w:numPr>
        <w:tabs>
          <w:tab w:val="left" w:pos="528"/>
        </w:tabs>
        <w:spacing w:line="276" w:lineRule="auto"/>
        <w:ind w:right="185"/>
        <w:rPr>
          <w:color w:val="212121"/>
          <w:sz w:val="20"/>
          <w:lang w:eastAsia="ja-JP"/>
        </w:rPr>
      </w:pPr>
      <w:r>
        <w:rPr>
          <w:sz w:val="20"/>
          <w:lang w:eastAsia="ja-JP"/>
        </w:rPr>
        <w:t>最後に、上述したように、これらの基準は、これらの作物と資源の最終用途にかかわらず、これらの作物と資源の生産方法で実現可能な顕著な緩和ポテンシャルに焦点を当てている。</w:t>
      </w:r>
      <w:r>
        <w:rPr>
          <w:color w:val="212121"/>
          <w:sz w:val="20"/>
          <w:lang w:eastAsia="ja-JP"/>
        </w:rPr>
        <w:t xml:space="preserve"> それらは、農産物がバイオエコノミーを介して緩和に寄与できる</w:t>
      </w:r>
      <w:r w:rsidR="000A7D5B">
        <w:rPr>
          <w:color w:val="212121"/>
          <w:sz w:val="20"/>
          <w:lang w:eastAsia="ja-JP"/>
        </w:rPr>
        <w:t>貢献</w:t>
      </w:r>
      <w:r w:rsidR="000A7D5B">
        <w:rPr>
          <w:rFonts w:hint="eastAsia"/>
          <w:color w:val="212121"/>
          <w:sz w:val="20"/>
          <w:lang w:eastAsia="ja-JP"/>
        </w:rPr>
        <w:t>を全く</w:t>
      </w:r>
      <w:r>
        <w:rPr>
          <w:color w:val="212121"/>
          <w:sz w:val="20"/>
          <w:lang w:eastAsia="ja-JP"/>
        </w:rPr>
        <w:t>考慮に入れていない。 プラットフォームは、バイオ</w:t>
      </w:r>
      <w:r w:rsidR="00785E4E">
        <w:rPr>
          <w:rFonts w:hint="eastAsia"/>
          <w:color w:val="212121"/>
          <w:sz w:val="20"/>
          <w:lang w:eastAsia="ja-JP"/>
        </w:rPr>
        <w:t>エコノミー</w:t>
      </w:r>
      <w:r>
        <w:rPr>
          <w:color w:val="212121"/>
          <w:sz w:val="20"/>
          <w:lang w:eastAsia="ja-JP"/>
        </w:rPr>
        <w:t>の一部である川下の経済活動において実質的な貢献を可能にする潜在的可能性に照らして、代替基準</w:t>
      </w:r>
      <w:r w:rsidR="00CA2F05">
        <w:rPr>
          <w:rFonts w:hint="eastAsia"/>
          <w:color w:val="212121"/>
          <w:sz w:val="20"/>
          <w:lang w:eastAsia="ja-JP"/>
        </w:rPr>
        <w:t>の適用</w:t>
      </w:r>
      <w:r>
        <w:rPr>
          <w:color w:val="212121"/>
          <w:sz w:val="20"/>
          <w:lang w:eastAsia="ja-JP"/>
        </w:rPr>
        <w:t>が適切であるかどうか、またどのような状況下で適切であるかを決定するために、この側面</w:t>
      </w:r>
      <w:r w:rsidR="00CA2F05">
        <w:rPr>
          <w:rFonts w:hint="eastAsia"/>
          <w:color w:val="212121"/>
          <w:sz w:val="20"/>
          <w:lang w:eastAsia="ja-JP"/>
        </w:rPr>
        <w:t>について</w:t>
      </w:r>
      <w:r>
        <w:rPr>
          <w:color w:val="212121"/>
          <w:sz w:val="20"/>
          <w:lang w:eastAsia="ja-JP"/>
        </w:rPr>
        <w:t>さらに検討する</w:t>
      </w:r>
      <w:r w:rsidR="00CA2F05">
        <w:rPr>
          <w:rFonts w:hint="eastAsia"/>
          <w:color w:val="212121"/>
          <w:sz w:val="20"/>
          <w:lang w:eastAsia="ja-JP"/>
        </w:rPr>
        <w:t>ことが</w:t>
      </w:r>
      <w:r>
        <w:rPr>
          <w:color w:val="212121"/>
          <w:sz w:val="20"/>
          <w:lang w:eastAsia="ja-JP"/>
        </w:rPr>
        <w:t>求められる。</w:t>
      </w:r>
    </w:p>
    <w:p w14:paraId="6359F3EB" w14:textId="77777777" w:rsidR="00410BDF" w:rsidRDefault="00410BDF">
      <w:pPr>
        <w:spacing w:line="276" w:lineRule="auto"/>
        <w:rPr>
          <w:sz w:val="20"/>
          <w:lang w:eastAsia="ja-JP"/>
        </w:rPr>
        <w:sectPr w:rsidR="00410BDF">
          <w:pgSz w:w="12240" w:h="15840"/>
          <w:pgMar w:top="1360" w:right="1320" w:bottom="1200" w:left="1340" w:header="0" w:footer="1020" w:gutter="0"/>
          <w:cols w:space="720"/>
        </w:sectPr>
      </w:pPr>
    </w:p>
    <w:p w14:paraId="0CEF651A" w14:textId="77777777" w:rsidR="00410BDF" w:rsidRDefault="00CF7372">
      <w:pPr>
        <w:pStyle w:val="1"/>
        <w:numPr>
          <w:ilvl w:val="1"/>
          <w:numId w:val="34"/>
        </w:numPr>
        <w:tabs>
          <w:tab w:val="left" w:pos="820"/>
          <w:tab w:val="left" w:pos="821"/>
        </w:tabs>
        <w:spacing w:before="81"/>
      </w:pPr>
      <w:proofErr w:type="spellStart"/>
      <w:r>
        <w:rPr>
          <w:color w:val="006FC0"/>
        </w:rPr>
        <w:lastRenderedPageBreak/>
        <w:t>多年生作物の栽培</w:t>
      </w:r>
      <w:proofErr w:type="spellEnd"/>
    </w:p>
    <w:p w14:paraId="57064B0B" w14:textId="77777777" w:rsidR="00410BDF" w:rsidRDefault="00410BD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376"/>
      </w:tblGrid>
      <w:tr w:rsidR="00410BDF" w14:paraId="078C0789" w14:textId="77777777">
        <w:trPr>
          <w:trHeight w:val="383"/>
        </w:trPr>
        <w:tc>
          <w:tcPr>
            <w:tcW w:w="9353" w:type="dxa"/>
            <w:gridSpan w:val="2"/>
            <w:shd w:val="clear" w:color="auto" w:fill="4471C4"/>
          </w:tcPr>
          <w:p w14:paraId="2779D278" w14:textId="77777777" w:rsidR="00410BDF" w:rsidRDefault="00CF7372">
            <w:pPr>
              <w:pStyle w:val="TableParagraph"/>
              <w:spacing w:before="40"/>
              <w:ind w:left="107"/>
              <w:rPr>
                <w:b/>
                <w:sz w:val="20"/>
              </w:rPr>
            </w:pPr>
            <w:proofErr w:type="spellStart"/>
            <w:r>
              <w:rPr>
                <w:b/>
                <w:color w:val="FFFFFF"/>
                <w:sz w:val="20"/>
              </w:rPr>
              <w:t>セクター分類と活動</w:t>
            </w:r>
            <w:proofErr w:type="spellEnd"/>
          </w:p>
        </w:tc>
      </w:tr>
      <w:tr w:rsidR="00410BDF" w14:paraId="74DDA015" w14:textId="77777777">
        <w:trPr>
          <w:trHeight w:val="383"/>
        </w:trPr>
        <w:tc>
          <w:tcPr>
            <w:tcW w:w="2977" w:type="dxa"/>
          </w:tcPr>
          <w:p w14:paraId="2209C041" w14:textId="77777777" w:rsidR="00410BDF" w:rsidRDefault="00CF7372">
            <w:pPr>
              <w:pStyle w:val="TableParagraph"/>
              <w:spacing w:before="40"/>
              <w:ind w:left="107"/>
              <w:rPr>
                <w:sz w:val="20"/>
              </w:rPr>
            </w:pPr>
            <w:proofErr w:type="spellStart"/>
            <w:r>
              <w:rPr>
                <w:sz w:val="20"/>
              </w:rPr>
              <w:t>マクロセクタ</w:t>
            </w:r>
            <w:proofErr w:type="spellEnd"/>
            <w:r>
              <w:rPr>
                <w:sz w:val="20"/>
              </w:rPr>
              <w:t>ー</w:t>
            </w:r>
          </w:p>
        </w:tc>
        <w:tc>
          <w:tcPr>
            <w:tcW w:w="6376" w:type="dxa"/>
          </w:tcPr>
          <w:p w14:paraId="6B213AE7" w14:textId="77777777" w:rsidR="00410BDF" w:rsidRDefault="00CF7372">
            <w:pPr>
              <w:pStyle w:val="TableParagraph"/>
              <w:spacing w:before="40"/>
              <w:ind w:left="107"/>
              <w:rPr>
                <w:sz w:val="20"/>
              </w:rPr>
            </w:pPr>
            <w:r>
              <w:rPr>
                <w:sz w:val="20"/>
              </w:rPr>
              <w:t>A-</w:t>
            </w:r>
            <w:proofErr w:type="spellStart"/>
            <w:r>
              <w:rPr>
                <w:sz w:val="20"/>
              </w:rPr>
              <w:t>農林漁業</w:t>
            </w:r>
            <w:proofErr w:type="spellEnd"/>
          </w:p>
        </w:tc>
      </w:tr>
      <w:tr w:rsidR="00410BDF" w14:paraId="1A2522A7" w14:textId="77777777">
        <w:trPr>
          <w:trHeight w:val="386"/>
        </w:trPr>
        <w:tc>
          <w:tcPr>
            <w:tcW w:w="2977" w:type="dxa"/>
          </w:tcPr>
          <w:p w14:paraId="755342AE" w14:textId="77777777" w:rsidR="00410BDF" w:rsidRDefault="00CF7372">
            <w:pPr>
              <w:pStyle w:val="TableParagraph"/>
              <w:spacing w:before="40"/>
              <w:ind w:left="107"/>
              <w:rPr>
                <w:sz w:val="20"/>
              </w:rPr>
            </w:pPr>
            <w:proofErr w:type="spellStart"/>
            <w:r>
              <w:rPr>
                <w:sz w:val="20"/>
              </w:rPr>
              <w:t>NACEレベル</w:t>
            </w:r>
            <w:proofErr w:type="spellEnd"/>
          </w:p>
        </w:tc>
        <w:tc>
          <w:tcPr>
            <w:tcW w:w="6376" w:type="dxa"/>
          </w:tcPr>
          <w:p w14:paraId="1632138F" w14:textId="77777777" w:rsidR="00410BDF" w:rsidRDefault="00CF7372">
            <w:pPr>
              <w:pStyle w:val="TableParagraph"/>
              <w:spacing w:before="40"/>
              <w:ind w:left="107"/>
              <w:rPr>
                <w:sz w:val="20"/>
              </w:rPr>
            </w:pPr>
            <w:r>
              <w:rPr>
                <w:w w:val="99"/>
                <w:sz w:val="20"/>
              </w:rPr>
              <w:t>3</w:t>
            </w:r>
          </w:p>
        </w:tc>
      </w:tr>
      <w:tr w:rsidR="00410BDF" w14:paraId="57A834B2" w14:textId="77777777">
        <w:trPr>
          <w:trHeight w:val="383"/>
        </w:trPr>
        <w:tc>
          <w:tcPr>
            <w:tcW w:w="2977" w:type="dxa"/>
          </w:tcPr>
          <w:p w14:paraId="1DAF2202" w14:textId="77777777" w:rsidR="00410BDF" w:rsidRDefault="00CF7372">
            <w:pPr>
              <w:pStyle w:val="TableParagraph"/>
              <w:spacing w:before="40"/>
              <w:ind w:left="107"/>
              <w:rPr>
                <w:sz w:val="20"/>
              </w:rPr>
            </w:pPr>
            <w:proofErr w:type="spellStart"/>
            <w:r>
              <w:rPr>
                <w:sz w:val="20"/>
              </w:rPr>
              <w:t>コード</w:t>
            </w:r>
            <w:proofErr w:type="spellEnd"/>
          </w:p>
        </w:tc>
        <w:tc>
          <w:tcPr>
            <w:tcW w:w="6376" w:type="dxa"/>
          </w:tcPr>
          <w:p w14:paraId="62B86930" w14:textId="77777777" w:rsidR="00410BDF" w:rsidRDefault="00CF7372">
            <w:pPr>
              <w:pStyle w:val="TableParagraph"/>
              <w:spacing w:before="40"/>
              <w:ind w:left="107"/>
              <w:rPr>
                <w:sz w:val="20"/>
              </w:rPr>
            </w:pPr>
            <w:r>
              <w:rPr>
                <w:sz w:val="20"/>
              </w:rPr>
              <w:t>A1.2</w:t>
            </w:r>
          </w:p>
        </w:tc>
      </w:tr>
      <w:tr w:rsidR="00410BDF" w14:paraId="534920F3" w14:textId="77777777">
        <w:trPr>
          <w:trHeight w:val="383"/>
        </w:trPr>
        <w:tc>
          <w:tcPr>
            <w:tcW w:w="2977" w:type="dxa"/>
          </w:tcPr>
          <w:p w14:paraId="6AFA7DD5" w14:textId="77777777" w:rsidR="00410BDF" w:rsidRDefault="00CF7372">
            <w:pPr>
              <w:pStyle w:val="TableParagraph"/>
              <w:spacing w:before="40"/>
              <w:ind w:left="107"/>
              <w:rPr>
                <w:sz w:val="20"/>
              </w:rPr>
            </w:pPr>
            <w:proofErr w:type="spellStart"/>
            <w:r>
              <w:rPr>
                <w:sz w:val="20"/>
              </w:rPr>
              <w:t>内容</w:t>
            </w:r>
            <w:proofErr w:type="spellEnd"/>
          </w:p>
        </w:tc>
        <w:tc>
          <w:tcPr>
            <w:tcW w:w="6376" w:type="dxa"/>
          </w:tcPr>
          <w:p w14:paraId="26BA472C" w14:textId="77777777" w:rsidR="00410BDF" w:rsidRDefault="00CF7372">
            <w:pPr>
              <w:pStyle w:val="TableParagraph"/>
              <w:spacing w:before="40"/>
              <w:ind w:left="107"/>
              <w:rPr>
                <w:sz w:val="20"/>
              </w:rPr>
            </w:pPr>
            <w:proofErr w:type="spellStart"/>
            <w:r>
              <w:rPr>
                <w:sz w:val="20"/>
              </w:rPr>
              <w:t>多年生作物の栽培</w:t>
            </w:r>
            <w:proofErr w:type="spellEnd"/>
          </w:p>
        </w:tc>
      </w:tr>
      <w:tr w:rsidR="00410BDF" w14:paraId="0E583638" w14:textId="77777777">
        <w:trPr>
          <w:trHeight w:val="385"/>
        </w:trPr>
        <w:tc>
          <w:tcPr>
            <w:tcW w:w="9353" w:type="dxa"/>
            <w:gridSpan w:val="2"/>
            <w:shd w:val="clear" w:color="auto" w:fill="4471C4"/>
          </w:tcPr>
          <w:p w14:paraId="3781EC6F" w14:textId="77777777" w:rsidR="00410BDF" w:rsidRDefault="00CF7372">
            <w:pPr>
              <w:pStyle w:val="TableParagraph"/>
              <w:spacing w:before="42"/>
              <w:ind w:left="107"/>
              <w:rPr>
                <w:b/>
                <w:sz w:val="20"/>
              </w:rPr>
            </w:pPr>
            <w:proofErr w:type="spellStart"/>
            <w:r>
              <w:rPr>
                <w:b/>
                <w:color w:val="FFFFFF"/>
                <w:sz w:val="20"/>
              </w:rPr>
              <w:t>緩和基準</w:t>
            </w:r>
            <w:proofErr w:type="spellEnd"/>
          </w:p>
        </w:tc>
      </w:tr>
      <w:tr w:rsidR="00410BDF" w14:paraId="6A700065" w14:textId="77777777">
        <w:trPr>
          <w:trHeight w:val="1521"/>
        </w:trPr>
        <w:tc>
          <w:tcPr>
            <w:tcW w:w="2977" w:type="dxa"/>
          </w:tcPr>
          <w:p w14:paraId="6924B84A" w14:textId="77777777" w:rsidR="00410BDF" w:rsidRDefault="00CF7372">
            <w:pPr>
              <w:pStyle w:val="TableParagraph"/>
              <w:spacing w:before="40"/>
              <w:ind w:left="107"/>
              <w:rPr>
                <w:sz w:val="20"/>
              </w:rPr>
            </w:pPr>
            <w:proofErr w:type="spellStart"/>
            <w:r>
              <w:rPr>
                <w:sz w:val="20"/>
              </w:rPr>
              <w:t>原則</w:t>
            </w:r>
            <w:proofErr w:type="spellEnd"/>
          </w:p>
        </w:tc>
        <w:tc>
          <w:tcPr>
            <w:tcW w:w="6376" w:type="dxa"/>
          </w:tcPr>
          <w:p w14:paraId="40BEE6B2" w14:textId="77777777" w:rsidR="00410BDF" w:rsidRDefault="00CF7372">
            <w:pPr>
              <w:pStyle w:val="TableParagraph"/>
              <w:spacing w:before="40"/>
              <w:ind w:left="107"/>
              <w:rPr>
                <w:sz w:val="20"/>
                <w:lang w:eastAsia="ja-JP"/>
              </w:rPr>
            </w:pPr>
            <w:r>
              <w:rPr>
                <w:sz w:val="20"/>
                <w:lang w:eastAsia="ja-JP"/>
              </w:rPr>
              <w:t>ここに示された原則は、どちらも満たされなければならない。</w:t>
            </w:r>
          </w:p>
          <w:p w14:paraId="76A4FF25" w14:textId="77777777" w:rsidR="00410BDF" w:rsidRDefault="00CF7372">
            <w:pPr>
              <w:pStyle w:val="TableParagraph"/>
              <w:numPr>
                <w:ilvl w:val="0"/>
                <w:numId w:val="33"/>
              </w:numPr>
              <w:tabs>
                <w:tab w:val="left" w:pos="828"/>
              </w:tabs>
              <w:spacing w:before="113" w:line="276" w:lineRule="auto"/>
              <w:ind w:right="571"/>
              <w:rPr>
                <w:sz w:val="20"/>
                <w:lang w:eastAsia="ja-JP"/>
              </w:rPr>
            </w:pPr>
            <w:r>
              <w:rPr>
                <w:sz w:val="20"/>
                <w:lang w:eastAsia="ja-JP"/>
              </w:rPr>
              <w:t>生産および関連する慣行からのGHG排出の実質的な回避または削減を実証する。</w:t>
            </w:r>
          </w:p>
          <w:p w14:paraId="32DD2F65" w14:textId="77777777" w:rsidR="00410BDF" w:rsidRDefault="00CF7372">
            <w:pPr>
              <w:pStyle w:val="TableParagraph"/>
              <w:numPr>
                <w:ilvl w:val="0"/>
                <w:numId w:val="33"/>
              </w:numPr>
              <w:tabs>
                <w:tab w:val="left" w:pos="828"/>
              </w:tabs>
              <w:spacing w:before="2" w:line="276" w:lineRule="auto"/>
              <w:ind w:right="221"/>
              <w:rPr>
                <w:sz w:val="20"/>
                <w:lang w:eastAsia="ja-JP"/>
              </w:rPr>
            </w:pPr>
            <w:r>
              <w:rPr>
                <w:sz w:val="20"/>
                <w:lang w:eastAsia="ja-JP"/>
              </w:rPr>
              <w:t>既存の吸収源を維持し、地上および地下の炭素貯蔵における隔離(飽和点まで)を増加させる。</w:t>
            </w:r>
          </w:p>
        </w:tc>
      </w:tr>
      <w:tr w:rsidR="00410BDF" w14:paraId="5C760A5D" w14:textId="77777777">
        <w:trPr>
          <w:trHeight w:val="8177"/>
        </w:trPr>
        <w:tc>
          <w:tcPr>
            <w:tcW w:w="2977" w:type="dxa"/>
          </w:tcPr>
          <w:p w14:paraId="65CC0033" w14:textId="395DA8E8" w:rsidR="00410BDF" w:rsidRDefault="008538ED">
            <w:pPr>
              <w:pStyle w:val="TableParagraph"/>
              <w:spacing w:before="40"/>
              <w:ind w:left="107"/>
              <w:rPr>
                <w:sz w:val="20"/>
                <w:lang w:eastAsia="ja-JP"/>
              </w:rPr>
            </w:pPr>
            <w:r>
              <w:rPr>
                <w:sz w:val="20"/>
                <w:lang w:eastAsia="ja-JP"/>
              </w:rPr>
              <w:t>基準と閾値</w:t>
            </w:r>
          </w:p>
        </w:tc>
        <w:tc>
          <w:tcPr>
            <w:tcW w:w="6376" w:type="dxa"/>
          </w:tcPr>
          <w:p w14:paraId="5E3098BD" w14:textId="77777777" w:rsidR="00410BDF" w:rsidRDefault="00CF7372">
            <w:pPr>
              <w:pStyle w:val="TableParagraph"/>
              <w:numPr>
                <w:ilvl w:val="0"/>
                <w:numId w:val="32"/>
              </w:numPr>
              <w:tabs>
                <w:tab w:val="left" w:pos="468"/>
              </w:tabs>
              <w:spacing w:before="40" w:line="276" w:lineRule="auto"/>
              <w:ind w:right="734"/>
              <w:rPr>
                <w:b/>
                <w:sz w:val="20"/>
                <w:lang w:eastAsia="ja-JP"/>
              </w:rPr>
            </w:pPr>
            <w:r>
              <w:rPr>
                <w:b/>
                <w:sz w:val="20"/>
                <w:lang w:eastAsia="ja-JP"/>
              </w:rPr>
              <w:t>適切な管理手法の適用を通じて、GHG排出(農場で使用される投入材からの排出を含む)を回避または削減する。</w:t>
            </w:r>
          </w:p>
          <w:p w14:paraId="0960804D" w14:textId="77777777" w:rsidR="00410BDF" w:rsidRDefault="00CF7372">
            <w:pPr>
              <w:pStyle w:val="TableParagraph"/>
              <w:spacing w:before="80"/>
              <w:ind w:left="107"/>
              <w:rPr>
                <w:sz w:val="20"/>
                <w:lang w:eastAsia="ja-JP"/>
              </w:rPr>
            </w:pPr>
            <w:r>
              <w:rPr>
                <w:sz w:val="20"/>
                <w:lang w:eastAsia="ja-JP"/>
              </w:rPr>
              <w:t>これは、次のいずれかの方法で実証することができる。</w:t>
            </w:r>
          </w:p>
          <w:p w14:paraId="5626C431" w14:textId="77777777" w:rsidR="00410BDF" w:rsidRDefault="00CF7372">
            <w:pPr>
              <w:pStyle w:val="TableParagraph"/>
              <w:numPr>
                <w:ilvl w:val="1"/>
                <w:numId w:val="32"/>
              </w:numPr>
              <w:tabs>
                <w:tab w:val="left" w:pos="827"/>
                <w:tab w:val="left" w:pos="828"/>
              </w:tabs>
              <w:spacing w:before="115" w:line="268" w:lineRule="auto"/>
              <w:ind w:right="449"/>
              <w:rPr>
                <w:sz w:val="20"/>
                <w:lang w:eastAsia="ja-JP"/>
              </w:rPr>
            </w:pPr>
            <w:r>
              <w:rPr>
                <w:sz w:val="20"/>
                <w:lang w:eastAsia="ja-JP"/>
              </w:rPr>
              <w:t>必要不可欠な管理手法は、毎年、適用可能な多年生作物生産地域に一貫して展開されている。</w:t>
            </w:r>
          </w:p>
          <w:p w14:paraId="28416AD0" w14:textId="5925AFA3" w:rsidR="00410BDF" w:rsidRDefault="008538ED">
            <w:pPr>
              <w:pStyle w:val="TableParagraph"/>
              <w:spacing w:before="88"/>
              <w:ind w:left="3215"/>
              <w:rPr>
                <w:sz w:val="20"/>
              </w:rPr>
            </w:pPr>
            <w:r>
              <w:rPr>
                <w:rFonts w:hint="eastAsia"/>
                <w:sz w:val="20"/>
                <w:lang w:eastAsia="ja-JP"/>
              </w:rPr>
              <w:t>または</w:t>
            </w:r>
          </w:p>
          <w:p w14:paraId="70AB6D53" w14:textId="77777777" w:rsidR="00410BDF" w:rsidRDefault="00CF7372">
            <w:pPr>
              <w:pStyle w:val="TableParagraph"/>
              <w:numPr>
                <w:ilvl w:val="1"/>
                <w:numId w:val="32"/>
              </w:numPr>
              <w:tabs>
                <w:tab w:val="left" w:pos="827"/>
                <w:tab w:val="left" w:pos="828"/>
              </w:tabs>
              <w:spacing w:before="113" w:line="264" w:lineRule="auto"/>
              <w:ind w:right="829"/>
              <w:rPr>
                <w:sz w:val="20"/>
                <w:lang w:eastAsia="ja-JP"/>
              </w:rPr>
            </w:pPr>
            <w:r>
              <w:rPr>
                <w:sz w:val="20"/>
                <w:lang w:eastAsia="ja-JP"/>
              </w:rPr>
              <w:t>以下の軌道に沿ったGHG排出量(gCO2e)の削減</w:t>
            </w:r>
          </w:p>
          <w:p w14:paraId="7B8DF918" w14:textId="77777777" w:rsidR="00410BDF" w:rsidRDefault="00410BDF">
            <w:pPr>
              <w:pStyle w:val="TableParagraph"/>
              <w:spacing w:before="10" w:after="1"/>
              <w:rPr>
                <w:b/>
                <w:sz w:val="12"/>
                <w:lang w:eastAsia="ja-JP"/>
              </w:rPr>
            </w:pPr>
          </w:p>
          <w:p w14:paraId="1099F5F2" w14:textId="77777777" w:rsidR="00410BDF" w:rsidRDefault="00CF7372">
            <w:pPr>
              <w:pStyle w:val="TableParagraph"/>
              <w:ind w:left="3"/>
              <w:rPr>
                <w:sz w:val="20"/>
              </w:rPr>
            </w:pPr>
            <w:r>
              <w:rPr>
                <w:noProof/>
                <w:sz w:val="20"/>
                <w:lang w:val="en-US" w:eastAsia="ja-JP"/>
              </w:rPr>
              <w:drawing>
                <wp:inline distT="0" distB="0" distL="0" distR="0" wp14:anchorId="1DDE0391" wp14:editId="693B8F57">
                  <wp:extent cx="3897291" cy="24185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897291" cy="2418588"/>
                          </a:xfrm>
                          <a:prstGeom prst="rect">
                            <a:avLst/>
                          </a:prstGeom>
                        </pic:spPr>
                      </pic:pic>
                    </a:graphicData>
                  </a:graphic>
                </wp:inline>
              </w:drawing>
            </w:r>
          </w:p>
          <w:p w14:paraId="7D7D11DD" w14:textId="77777777" w:rsidR="00410BDF" w:rsidRDefault="00410BDF">
            <w:pPr>
              <w:pStyle w:val="TableParagraph"/>
              <w:spacing w:before="1"/>
              <w:rPr>
                <w:b/>
                <w:sz w:val="30"/>
              </w:rPr>
            </w:pPr>
          </w:p>
          <w:p w14:paraId="42233A08" w14:textId="15CFD483" w:rsidR="00410BDF" w:rsidRDefault="00CF7372">
            <w:pPr>
              <w:pStyle w:val="TableParagraph"/>
              <w:spacing w:line="276" w:lineRule="auto"/>
              <w:ind w:left="107" w:right="87"/>
              <w:rPr>
                <w:sz w:val="20"/>
                <w:lang w:eastAsia="ja-JP"/>
              </w:rPr>
            </w:pPr>
            <w:r>
              <w:rPr>
                <w:sz w:val="20"/>
                <w:lang w:eastAsia="ja-JP"/>
              </w:rPr>
              <w:t>例えば、20</w:t>
            </w:r>
            <w:r w:rsidR="008538ED">
              <w:rPr>
                <w:rFonts w:hint="eastAsia"/>
                <w:sz w:val="20"/>
                <w:lang w:eastAsia="ja-JP"/>
              </w:rPr>
              <w:t>3</w:t>
            </w:r>
            <w:r>
              <w:rPr>
                <w:sz w:val="20"/>
                <w:lang w:eastAsia="ja-JP"/>
              </w:rPr>
              <w:t>0年には2020年に比べて20%のGHG排出削減が、2040年には2020年に比べて30%の排出削減が求められる</w:t>
            </w:r>
          </w:p>
        </w:tc>
      </w:tr>
    </w:tbl>
    <w:p w14:paraId="37787A3C" w14:textId="77777777" w:rsidR="00410BDF" w:rsidRDefault="00410BDF">
      <w:pPr>
        <w:spacing w:line="276" w:lineRule="auto"/>
        <w:rPr>
          <w:sz w:val="20"/>
          <w:lang w:eastAsia="ja-JP"/>
        </w:rPr>
        <w:sectPr w:rsidR="00410BDF">
          <w:footerReference w:type="default" r:id="rId16"/>
          <w:pgSz w:w="12240" w:h="15840"/>
          <w:pgMar w:top="1400" w:right="1320" w:bottom="1560" w:left="1340" w:header="0" w:footer="1372" w:gutter="0"/>
          <w:pgNumType w:start="112"/>
          <w:cols w:space="720"/>
        </w:sectPr>
      </w:pPr>
    </w:p>
    <w:p w14:paraId="23F63195" w14:textId="77777777" w:rsidR="00410BDF" w:rsidRDefault="00196192">
      <w:pPr>
        <w:pStyle w:val="a3"/>
        <w:spacing w:before="9"/>
        <w:rPr>
          <w:b/>
          <w:sz w:val="22"/>
          <w:lang w:eastAsia="ja-JP"/>
        </w:rPr>
      </w:pPr>
      <w:r>
        <w:rPr>
          <w:noProof/>
          <w:lang w:val="en-US" w:eastAsia="ja-JP"/>
        </w:rPr>
        <w:lastRenderedPageBreak/>
        <mc:AlternateContent>
          <mc:Choice Requires="wpg">
            <w:drawing>
              <wp:anchor distT="0" distB="0" distL="114300" distR="114300" simplePos="0" relativeHeight="251641344" behindDoc="1" locked="0" layoutInCell="1" allowOverlap="1" wp14:anchorId="2CF6E941" wp14:editId="175F24A1">
                <wp:simplePos x="0" y="0"/>
                <wp:positionH relativeFrom="page">
                  <wp:posOffset>914400</wp:posOffset>
                </wp:positionH>
                <wp:positionV relativeFrom="page">
                  <wp:posOffset>914400</wp:posOffset>
                </wp:positionV>
                <wp:extent cx="5944870" cy="6673850"/>
                <wp:effectExtent l="9525" t="9525" r="8255" b="3175"/>
                <wp:wrapNone/>
                <wp:docPr id="11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673850"/>
                          <a:chOff x="1440" y="1440"/>
                          <a:chExt cx="9362" cy="10510"/>
                        </a:xfrm>
                      </wpg:grpSpPr>
                      <wps:wsp>
                        <wps:cNvPr id="114" name="Line 117"/>
                        <wps:cNvCnPr>
                          <a:cxnSpLocks noChangeShapeType="1"/>
                        </wps:cNvCnPr>
                        <wps:spPr bwMode="auto">
                          <a:xfrm>
                            <a:off x="1450" y="144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4427" y="1445"/>
                            <a:ext cx="6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5"/>
                        <wps:cNvCnPr>
                          <a:cxnSpLocks noChangeShapeType="1"/>
                        </wps:cNvCnPr>
                        <wps:spPr bwMode="auto">
                          <a:xfrm>
                            <a:off x="1445" y="1440"/>
                            <a:ext cx="0" cy="105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14"/>
                        <wps:cNvSpPr>
                          <a:spLocks noChangeArrowheads="1"/>
                        </wps:cNvSpPr>
                        <wps:spPr bwMode="auto">
                          <a:xfrm>
                            <a:off x="1440" y="119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3"/>
                        <wps:cNvCnPr>
                          <a:cxnSpLocks noChangeShapeType="1"/>
                        </wps:cNvCnPr>
                        <wps:spPr bwMode="auto">
                          <a:xfrm>
                            <a:off x="1450" y="11944"/>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2"/>
                        <wps:cNvCnPr>
                          <a:cxnSpLocks noChangeShapeType="1"/>
                        </wps:cNvCnPr>
                        <wps:spPr bwMode="auto">
                          <a:xfrm>
                            <a:off x="4422" y="1440"/>
                            <a:ext cx="0" cy="105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11"/>
                        <wps:cNvSpPr>
                          <a:spLocks noChangeArrowheads="1"/>
                        </wps:cNvSpPr>
                        <wps:spPr bwMode="auto">
                          <a:xfrm>
                            <a:off x="4417" y="119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0"/>
                        <wps:cNvCnPr>
                          <a:cxnSpLocks noChangeShapeType="1"/>
                        </wps:cNvCnPr>
                        <wps:spPr bwMode="auto">
                          <a:xfrm>
                            <a:off x="4427" y="11944"/>
                            <a:ext cx="6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09"/>
                        <wps:cNvCnPr>
                          <a:cxnSpLocks noChangeShapeType="1"/>
                        </wps:cNvCnPr>
                        <wps:spPr bwMode="auto">
                          <a:xfrm>
                            <a:off x="10797" y="1440"/>
                            <a:ext cx="0" cy="105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08"/>
                        <wps:cNvSpPr>
                          <a:spLocks noChangeArrowheads="1"/>
                        </wps:cNvSpPr>
                        <wps:spPr bwMode="auto">
                          <a:xfrm>
                            <a:off x="10792" y="119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05A67" id="Group 107" o:spid="_x0000_s1026" style="position:absolute;left:0;text-align:left;margin-left:1in;margin-top:1in;width:468.1pt;height:525.5pt;z-index:-251675136;mso-position-horizontal-relative:page;mso-position-vertical-relative:page" coordorigin="1440,1440" coordsize="9362,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">
                <v:line id="Line 117" o:spid="_x0000_s1027" style="position:absolute;visibility:visible;mso-wrap-style:square" from="1450,1445" to="441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v:line id="Line 116" o:spid="_x0000_s1028" style="position:absolute;visibility:visible;mso-wrap-style:square" from="4427,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115" o:spid="_x0000_s1029" style="position:absolute;visibility:visible;mso-wrap-style:square" from="1445,1440" to="1445,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rect id="Rectangle 114" o:spid="_x0000_s1030" style="position:absolute;left:1440;top:119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13" o:spid="_x0000_s1031" style="position:absolute;visibility:visible;mso-wrap-style:square" from="1450,11944" to="4417,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112" o:spid="_x0000_s1032" style="position:absolute;visibility:visible;mso-wrap-style:square" from="4422,1440" to="4422,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rect id="Rectangle 111" o:spid="_x0000_s1033" style="position:absolute;left:4417;top:119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10" o:spid="_x0000_s1034" style="position:absolute;visibility:visible;mso-wrap-style:square" from="4427,11944" to="10792,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09" o:spid="_x0000_s1035" style="position:absolute;visibility:visible;mso-wrap-style:square" from="10797,1440" to="10797,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rect id="Rectangle 108" o:spid="_x0000_s1036" style="position:absolute;left:10792;top:119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w10:wrap anchorx="page" anchory="page"/>
              </v:group>
            </w:pict>
          </mc:Fallback>
        </mc:AlternateContent>
      </w:r>
    </w:p>
    <w:p w14:paraId="36D8D62E" w14:textId="77777777" w:rsidR="00410BDF" w:rsidRDefault="00CF7372">
      <w:pPr>
        <w:pStyle w:val="2"/>
        <w:numPr>
          <w:ilvl w:val="2"/>
          <w:numId w:val="34"/>
        </w:numPr>
        <w:tabs>
          <w:tab w:val="left" w:pos="3550"/>
        </w:tabs>
        <w:spacing w:before="93" w:line="276" w:lineRule="auto"/>
        <w:ind w:right="421"/>
        <w:rPr>
          <w:lang w:eastAsia="ja-JP"/>
        </w:rPr>
      </w:pPr>
      <w:r>
        <w:rPr>
          <w:lang w:eastAsia="ja-JP"/>
        </w:rPr>
        <w:t>適切な管理手法の適用を通じて、20年以上の期間、既存の炭素貯蔵を維持し、増加させる。</w:t>
      </w:r>
    </w:p>
    <w:p w14:paraId="379D6D44" w14:textId="77777777" w:rsidR="00410BDF" w:rsidRDefault="00CF7372">
      <w:pPr>
        <w:pStyle w:val="a3"/>
        <w:spacing w:before="80"/>
        <w:ind w:left="3189"/>
        <w:rPr>
          <w:lang w:eastAsia="ja-JP"/>
        </w:rPr>
      </w:pPr>
      <w:r>
        <w:rPr>
          <w:lang w:eastAsia="ja-JP"/>
        </w:rPr>
        <w:t>これは、次のいずれかの方法で実証することができる。</w:t>
      </w:r>
    </w:p>
    <w:p w14:paraId="2D759947" w14:textId="77777777" w:rsidR="00410BDF" w:rsidRDefault="00CF7372">
      <w:pPr>
        <w:pStyle w:val="a4"/>
        <w:numPr>
          <w:ilvl w:val="3"/>
          <w:numId w:val="34"/>
        </w:numPr>
        <w:tabs>
          <w:tab w:val="left" w:pos="3909"/>
          <w:tab w:val="left" w:pos="3910"/>
        </w:tabs>
        <w:spacing w:before="113" w:line="271" w:lineRule="auto"/>
        <w:ind w:right="622"/>
        <w:rPr>
          <w:sz w:val="20"/>
          <w:lang w:eastAsia="ja-JP"/>
        </w:rPr>
      </w:pPr>
      <w:r>
        <w:rPr>
          <w:sz w:val="20"/>
          <w:lang w:eastAsia="ja-JP"/>
        </w:rPr>
        <w:t>必要不可欠な管理手法^は、毎年、適用可能な多年生作物面積にわたって一貫して展開されている。</w:t>
      </w:r>
    </w:p>
    <w:p w14:paraId="13860EE3" w14:textId="77777777" w:rsidR="00410BDF" w:rsidRDefault="00CF7372">
      <w:pPr>
        <w:pStyle w:val="a3"/>
        <w:spacing w:before="81"/>
        <w:ind w:left="6298"/>
      </w:pPr>
      <w:r>
        <w:t>OR</w:t>
      </w:r>
    </w:p>
    <w:p w14:paraId="18F5E8FE" w14:textId="77777777" w:rsidR="00410BDF" w:rsidRDefault="00CF7372">
      <w:pPr>
        <w:pStyle w:val="a4"/>
        <w:numPr>
          <w:ilvl w:val="3"/>
          <w:numId w:val="34"/>
        </w:numPr>
        <w:tabs>
          <w:tab w:val="left" w:pos="3909"/>
          <w:tab w:val="left" w:pos="3910"/>
        </w:tabs>
        <w:spacing w:before="115" w:line="261" w:lineRule="auto"/>
        <w:ind w:right="665"/>
        <w:rPr>
          <w:sz w:val="20"/>
          <w:lang w:eastAsia="ja-JP"/>
        </w:rPr>
      </w:pPr>
      <w:r>
        <w:rPr>
          <w:sz w:val="20"/>
          <w:lang w:eastAsia="ja-JP"/>
        </w:rPr>
        <w:t>地上及び地下の炭素貯蔵量(tC/ha)は、最低20年間にわたり漸進的に増加する*</w:t>
      </w:r>
    </w:p>
    <w:p w14:paraId="2CF8198A" w14:textId="61186654" w:rsidR="00410BDF" w:rsidRDefault="00CF7372">
      <w:pPr>
        <w:pStyle w:val="a3"/>
        <w:spacing w:before="96" w:line="276" w:lineRule="auto"/>
        <w:ind w:left="3189" w:right="269"/>
        <w:rPr>
          <w:lang w:eastAsia="ja-JP"/>
        </w:rPr>
      </w:pPr>
      <w:r>
        <w:rPr>
          <w:lang w:eastAsia="ja-JP"/>
        </w:rPr>
        <w:t>* 以下の例外に留意する:特に土壌については、飽和レベルに達していることが実証できる場合、炭素含有量のさらなる増加は</w:t>
      </w:r>
      <w:r w:rsidR="008538ED">
        <w:rPr>
          <w:rFonts w:hint="eastAsia"/>
          <w:lang w:eastAsia="ja-JP"/>
        </w:rPr>
        <w:t>求められない</w:t>
      </w:r>
      <w:r>
        <w:rPr>
          <w:lang w:eastAsia="ja-JP"/>
        </w:rPr>
        <w:t>。 この場合、既存のレベルは維持されるべきである。</w:t>
      </w:r>
    </w:p>
    <w:p w14:paraId="44F87EA0" w14:textId="77777777" w:rsidR="00410BDF" w:rsidRDefault="00410BDF">
      <w:pPr>
        <w:pStyle w:val="a3"/>
        <w:rPr>
          <w:sz w:val="22"/>
          <w:lang w:eastAsia="ja-JP"/>
        </w:rPr>
      </w:pPr>
    </w:p>
    <w:p w14:paraId="0C1EA282" w14:textId="13123EDF" w:rsidR="00410BDF" w:rsidRDefault="00CF7372">
      <w:pPr>
        <w:pStyle w:val="2"/>
        <w:numPr>
          <w:ilvl w:val="2"/>
          <w:numId w:val="34"/>
        </w:numPr>
        <w:tabs>
          <w:tab w:val="left" w:pos="3550"/>
        </w:tabs>
        <w:spacing w:before="170" w:line="273" w:lineRule="auto"/>
        <w:ind w:right="378"/>
        <w:rPr>
          <w:sz w:val="13"/>
        </w:rPr>
      </w:pPr>
      <w:commentRangeStart w:id="5"/>
      <w:r>
        <w:rPr>
          <w:lang w:eastAsia="ja-JP"/>
        </w:rPr>
        <w:t>生産は、2008年1月以降に以下のいずれかの地位を有し、もはやその地位を有していない土地では行われない。</w:t>
      </w:r>
      <w:commentRangeEnd w:id="5"/>
      <w:r w:rsidR="008538ED">
        <w:rPr>
          <w:rStyle w:val="a7"/>
          <w:b w:val="0"/>
          <w:bCs w:val="0"/>
        </w:rPr>
        <w:commentReference w:id="5"/>
      </w:r>
      <w:r w:rsidRPr="005F0270">
        <w:rPr>
          <w:b w:val="0"/>
        </w:rPr>
        <w:t>136</w:t>
      </w:r>
    </w:p>
    <w:p w14:paraId="0E4D1BAA" w14:textId="77777777" w:rsidR="00410BDF" w:rsidRDefault="00410BDF">
      <w:pPr>
        <w:pStyle w:val="a3"/>
        <w:spacing w:before="3"/>
        <w:rPr>
          <w:b/>
          <w:sz w:val="23"/>
        </w:rPr>
      </w:pPr>
    </w:p>
    <w:p w14:paraId="3F2AF258" w14:textId="77777777" w:rsidR="00410BDF" w:rsidRDefault="00CF7372">
      <w:pPr>
        <w:pStyle w:val="a4"/>
        <w:numPr>
          <w:ilvl w:val="0"/>
          <w:numId w:val="31"/>
        </w:numPr>
        <w:tabs>
          <w:tab w:val="left" w:pos="3910"/>
        </w:tabs>
        <w:spacing w:line="276" w:lineRule="auto"/>
        <w:ind w:right="489"/>
        <w:rPr>
          <w:sz w:val="20"/>
          <w:lang w:eastAsia="ja-JP"/>
        </w:rPr>
      </w:pPr>
      <w:r>
        <w:rPr>
          <w:sz w:val="20"/>
          <w:lang w:eastAsia="ja-JP"/>
        </w:rPr>
        <w:t>湿地、すなわち、水で覆われているか、または恒久的に水によって飽和されている土地、または年間のかなりの部分を占める土地。</w:t>
      </w:r>
    </w:p>
    <w:p w14:paraId="6D9FEC8A" w14:textId="77777777" w:rsidR="00410BDF" w:rsidRDefault="00CF7372">
      <w:pPr>
        <w:pStyle w:val="a4"/>
        <w:numPr>
          <w:ilvl w:val="0"/>
          <w:numId w:val="31"/>
        </w:numPr>
        <w:tabs>
          <w:tab w:val="left" w:pos="3910"/>
        </w:tabs>
        <w:spacing w:before="2" w:line="276" w:lineRule="auto"/>
        <w:ind w:right="250"/>
        <w:rPr>
          <w:sz w:val="20"/>
          <w:lang w:eastAsia="ja-JP"/>
        </w:rPr>
      </w:pPr>
      <w:r>
        <w:rPr>
          <w:sz w:val="20"/>
          <w:lang w:eastAsia="ja-JP"/>
        </w:rPr>
        <w:t>連続的に森林化されている地域、すなわち、5mを超える樹木と30%を超える樹冠のある1ヘクタールを超える土地、または現場でこれらの閾値に達することができる樹木。</w:t>
      </w:r>
    </w:p>
    <w:p w14:paraId="2B424A6B" w14:textId="0DB85768" w:rsidR="00410BDF" w:rsidRDefault="00CF7372">
      <w:pPr>
        <w:pStyle w:val="a4"/>
        <w:numPr>
          <w:ilvl w:val="0"/>
          <w:numId w:val="31"/>
        </w:numPr>
        <w:tabs>
          <w:tab w:val="left" w:pos="3910"/>
        </w:tabs>
        <w:spacing w:line="276" w:lineRule="auto"/>
        <w:ind w:right="324"/>
        <w:rPr>
          <w:sz w:val="20"/>
          <w:lang w:eastAsia="ja-JP"/>
        </w:rPr>
      </w:pPr>
      <w:r>
        <w:rPr>
          <w:sz w:val="20"/>
          <w:lang w:eastAsia="ja-JP"/>
        </w:rPr>
        <w:t>1ヘクタールを超える土地で、5メートルを超える樹木及び10~30%の樹冠被覆を有するもの、又は</w:t>
      </w:r>
      <w:r w:rsidR="008538ED">
        <w:rPr>
          <w:rFonts w:hint="eastAsia"/>
          <w:sz w:val="20"/>
          <w:lang w:eastAsia="ja-JP"/>
        </w:rPr>
        <w:t>そのままでこ</w:t>
      </w:r>
      <w:r>
        <w:rPr>
          <w:sz w:val="20"/>
          <w:lang w:eastAsia="ja-JP"/>
        </w:rPr>
        <w:t>れらの閾値に達することができる樹</w:t>
      </w:r>
      <w:r w:rsidR="006F3D3B">
        <w:rPr>
          <w:rFonts w:hint="eastAsia"/>
          <w:sz w:val="20"/>
          <w:lang w:eastAsia="ja-JP"/>
        </w:rPr>
        <w:t>林</w:t>
      </w:r>
      <w:r>
        <w:rPr>
          <w:sz w:val="20"/>
          <w:lang w:eastAsia="ja-JP"/>
        </w:rPr>
        <w:t>。</w:t>
      </w:r>
      <w:r w:rsidR="008538ED">
        <w:rPr>
          <w:rFonts w:hint="eastAsia"/>
          <w:sz w:val="20"/>
          <w:lang w:eastAsia="ja-JP"/>
        </w:rPr>
        <w:t>137</w:t>
      </w:r>
    </w:p>
    <w:p w14:paraId="292DAE15" w14:textId="77777777" w:rsidR="00410BDF" w:rsidRDefault="00CF7372">
      <w:pPr>
        <w:pStyle w:val="a4"/>
        <w:numPr>
          <w:ilvl w:val="0"/>
          <w:numId w:val="31"/>
        </w:numPr>
        <w:tabs>
          <w:tab w:val="left" w:pos="3910"/>
        </w:tabs>
        <w:spacing w:line="276" w:lineRule="auto"/>
        <w:ind w:right="258"/>
        <w:rPr>
          <w:sz w:val="20"/>
          <w:lang w:eastAsia="ja-JP"/>
        </w:rPr>
      </w:pPr>
      <w:r>
        <w:rPr>
          <w:sz w:val="20"/>
          <w:lang w:eastAsia="ja-JP"/>
        </w:rPr>
        <w:t>ピートランド。ただし、その原料の耕作及び収穫が、これまで雨が降っていない土壌の排水を伴わないことを示す証拠がある場合はこの限りではない。</w:t>
      </w:r>
    </w:p>
    <w:p w14:paraId="587C32D8" w14:textId="77777777" w:rsidR="00410BDF" w:rsidRDefault="00410BDF">
      <w:pPr>
        <w:pStyle w:val="a3"/>
        <w:rPr>
          <w:sz w:val="22"/>
          <w:lang w:eastAsia="ja-JP"/>
        </w:rPr>
      </w:pPr>
    </w:p>
    <w:p w14:paraId="2FB772CB" w14:textId="77777777" w:rsidR="00410BDF" w:rsidRDefault="00CF7372">
      <w:pPr>
        <w:pStyle w:val="2"/>
        <w:spacing w:before="169"/>
        <w:ind w:left="3189"/>
        <w:rPr>
          <w:lang w:eastAsia="ja-JP"/>
        </w:rPr>
      </w:pPr>
      <w:r>
        <w:rPr>
          <w:lang w:eastAsia="ja-JP"/>
        </w:rPr>
        <w:t>方法論上の注意:</w:t>
      </w:r>
    </w:p>
    <w:p w14:paraId="2BBBA5EC" w14:textId="77777777" w:rsidR="00410BDF" w:rsidRDefault="00CF7372">
      <w:pPr>
        <w:pStyle w:val="a3"/>
        <w:spacing w:before="116" w:line="276" w:lineRule="auto"/>
        <w:ind w:left="3189"/>
        <w:rPr>
          <w:lang w:eastAsia="ja-JP"/>
        </w:rPr>
      </w:pPr>
      <w:r>
        <w:rPr>
          <w:lang w:eastAsia="ja-JP"/>
        </w:rPr>
        <w:t>本質的な管理慣行に準拠していることを示す者については、次のとおりとする。</w:t>
      </w:r>
    </w:p>
    <w:p w14:paraId="58D90FD9" w14:textId="77777777" w:rsidR="00410BDF" w:rsidRDefault="00410BDF">
      <w:pPr>
        <w:pStyle w:val="a3"/>
        <w:rPr>
          <w:lang w:eastAsia="ja-JP"/>
        </w:rPr>
      </w:pPr>
    </w:p>
    <w:p w14:paraId="1A41CBC1" w14:textId="77777777" w:rsidR="00410BDF" w:rsidRDefault="00196192">
      <w:pPr>
        <w:pStyle w:val="a3"/>
        <w:spacing w:before="7"/>
        <w:rPr>
          <w:sz w:val="15"/>
          <w:lang w:eastAsia="ja-JP"/>
        </w:rPr>
      </w:pPr>
      <w:r>
        <w:rPr>
          <w:noProof/>
          <w:lang w:val="en-US" w:eastAsia="ja-JP"/>
        </w:rPr>
        <mc:AlternateContent>
          <mc:Choice Requires="wps">
            <w:drawing>
              <wp:anchor distT="0" distB="0" distL="0" distR="0" simplePos="0" relativeHeight="251663872" behindDoc="1" locked="0" layoutInCell="1" allowOverlap="1" wp14:anchorId="380CE8F0" wp14:editId="62511EB8">
                <wp:simplePos x="0" y="0"/>
                <wp:positionH relativeFrom="page">
                  <wp:posOffset>914400</wp:posOffset>
                </wp:positionH>
                <wp:positionV relativeFrom="paragraph">
                  <wp:posOffset>142240</wp:posOffset>
                </wp:positionV>
                <wp:extent cx="1829435" cy="0"/>
                <wp:effectExtent l="9525" t="6350" r="8890" b="12700"/>
                <wp:wrapTopAndBottom/>
                <wp:docPr id="11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4D3A7" id="Line 106" o:spid="_x0000_s1026" style="position:absolute;left:0;text-align:lef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216.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lIA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" strokeweight=".48pt">
                <w10:wrap type="topAndBottom" anchorx="page"/>
              </v:line>
            </w:pict>
          </mc:Fallback>
        </mc:AlternateContent>
      </w:r>
    </w:p>
    <w:p w14:paraId="69326F5F" w14:textId="77777777" w:rsidR="00410BDF" w:rsidRDefault="00410BDF">
      <w:pPr>
        <w:pStyle w:val="a3"/>
        <w:spacing w:before="8"/>
        <w:rPr>
          <w:sz w:val="16"/>
          <w:lang w:eastAsia="ja-JP"/>
        </w:rPr>
      </w:pPr>
    </w:p>
    <w:p w14:paraId="4EE77B8F" w14:textId="77777777" w:rsidR="00410BDF" w:rsidRDefault="00CF7372">
      <w:pPr>
        <w:spacing w:before="98"/>
        <w:ind w:left="100" w:right="264"/>
        <w:rPr>
          <w:sz w:val="18"/>
          <w:lang w:eastAsia="ja-JP"/>
        </w:rPr>
      </w:pPr>
      <w:r>
        <w:rPr>
          <w:position w:val="6"/>
          <w:sz w:val="10"/>
          <w:lang w:eastAsia="ja-JP"/>
        </w:rPr>
        <w:t>136 この要件はRED II、第29条第4項および第5項から引用される。</w:t>
      </w:r>
      <w:r>
        <w:rPr>
          <w:sz w:val="16"/>
          <w:lang w:eastAsia="ja-JP"/>
        </w:rPr>
        <w:t xml:space="preserve"> これは、バイオ燃料、バイオ液体またはバイオマス、あるいは食料または飼料用に関わらず、すべての多年生作物生産に適用される。 その意図は、RED IIに従ったものである。すなわち、高い炭素貯蔵地が農業生産の目的のために転換されないことを保証することである。</w:t>
      </w:r>
    </w:p>
    <w:p w14:paraId="217BF3F1" w14:textId="77777777" w:rsidR="00410BDF" w:rsidRDefault="00410BDF">
      <w:pPr>
        <w:pStyle w:val="a3"/>
        <w:spacing w:before="7"/>
        <w:rPr>
          <w:lang w:eastAsia="ja-JP"/>
        </w:rPr>
      </w:pPr>
    </w:p>
    <w:p w14:paraId="2B4A39F8" w14:textId="77777777" w:rsidR="00410BDF" w:rsidRDefault="00CF7372">
      <w:pPr>
        <w:ind w:left="100"/>
        <w:rPr>
          <w:sz w:val="16"/>
          <w:lang w:eastAsia="ja-JP"/>
        </w:rPr>
      </w:pPr>
      <w:r>
        <w:rPr>
          <w:position w:val="6"/>
          <w:sz w:val="10"/>
          <w:lang w:eastAsia="ja-JP"/>
        </w:rPr>
        <w:t>137 RED II附属書VのパートCの方法論が適用される場合には、RED II第29条第10項に規定された条件が満たされることが、変換前後の面積の炭素貯蔵の証拠によって示されない限り、137。</w:t>
      </w:r>
    </w:p>
    <w:p w14:paraId="599EBBA1" w14:textId="77777777" w:rsidR="00410BDF" w:rsidRDefault="00410BDF">
      <w:pPr>
        <w:rPr>
          <w:sz w:val="16"/>
          <w:lang w:eastAsia="ja-JP"/>
        </w:rPr>
        <w:sectPr w:rsidR="00410BDF">
          <w:pgSz w:w="12240" w:h="15840"/>
          <w:pgMar w:top="1440" w:right="1320" w:bottom="1640" w:left="1340" w:header="0" w:footer="1372" w:gutter="0"/>
          <w:cols w:space="720"/>
        </w:sectPr>
      </w:pPr>
    </w:p>
    <w:p w14:paraId="3990F5D7" w14:textId="77777777" w:rsidR="00410BDF" w:rsidRDefault="00196192">
      <w:pPr>
        <w:pStyle w:val="a4"/>
        <w:numPr>
          <w:ilvl w:val="3"/>
          <w:numId w:val="34"/>
        </w:numPr>
        <w:tabs>
          <w:tab w:val="left" w:pos="3909"/>
          <w:tab w:val="left" w:pos="3910"/>
        </w:tabs>
        <w:spacing w:before="68" w:line="273" w:lineRule="auto"/>
        <w:ind w:right="312"/>
        <w:rPr>
          <w:sz w:val="20"/>
          <w:lang w:eastAsia="ja-JP"/>
        </w:rPr>
      </w:pPr>
      <w:r>
        <w:rPr>
          <w:noProof/>
          <w:lang w:val="en-US" w:eastAsia="ja-JP"/>
        </w:rPr>
        <w:lastRenderedPageBreak/>
        <mc:AlternateContent>
          <mc:Choice Requires="wpg">
            <w:drawing>
              <wp:anchor distT="0" distB="0" distL="114300" distR="114300" simplePos="0" relativeHeight="251642368" behindDoc="1" locked="0" layoutInCell="1" allowOverlap="1" wp14:anchorId="5D146962" wp14:editId="731BCE0F">
                <wp:simplePos x="0" y="0"/>
                <wp:positionH relativeFrom="page">
                  <wp:posOffset>914400</wp:posOffset>
                </wp:positionH>
                <wp:positionV relativeFrom="page">
                  <wp:posOffset>914400</wp:posOffset>
                </wp:positionV>
                <wp:extent cx="5944870" cy="8004175"/>
                <wp:effectExtent l="9525" t="9525" r="8255" b="6350"/>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8004175"/>
                          <a:chOff x="1440" y="1440"/>
                          <a:chExt cx="9362" cy="12605"/>
                        </a:xfrm>
                      </wpg:grpSpPr>
                      <wps:wsp>
                        <wps:cNvPr id="102" name="Line 105"/>
                        <wps:cNvCnPr>
                          <a:cxnSpLocks noChangeShapeType="1"/>
                        </wps:cNvCnPr>
                        <wps:spPr bwMode="auto">
                          <a:xfrm>
                            <a:off x="1450" y="144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a:off x="4427" y="1445"/>
                            <a:ext cx="6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3"/>
                        <wps:cNvCnPr>
                          <a:cxnSpLocks noChangeShapeType="1"/>
                        </wps:cNvCnPr>
                        <wps:spPr bwMode="auto">
                          <a:xfrm>
                            <a:off x="1445" y="1440"/>
                            <a:ext cx="0" cy="125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102"/>
                        <wps:cNvSpPr>
                          <a:spLocks noChangeArrowheads="1"/>
                        </wps:cNvSpPr>
                        <wps:spPr bwMode="auto">
                          <a:xfrm>
                            <a:off x="1440" y="140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1"/>
                        <wps:cNvCnPr>
                          <a:cxnSpLocks noChangeShapeType="1"/>
                        </wps:cNvCnPr>
                        <wps:spPr bwMode="auto">
                          <a:xfrm>
                            <a:off x="1450" y="14040"/>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0"/>
                        <wps:cNvCnPr>
                          <a:cxnSpLocks noChangeShapeType="1"/>
                        </wps:cNvCnPr>
                        <wps:spPr bwMode="auto">
                          <a:xfrm>
                            <a:off x="4422" y="1440"/>
                            <a:ext cx="0" cy="125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99"/>
                        <wps:cNvSpPr>
                          <a:spLocks noChangeArrowheads="1"/>
                        </wps:cNvSpPr>
                        <wps:spPr bwMode="auto">
                          <a:xfrm>
                            <a:off x="4417" y="140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98"/>
                        <wps:cNvCnPr>
                          <a:cxnSpLocks noChangeShapeType="1"/>
                        </wps:cNvCnPr>
                        <wps:spPr bwMode="auto">
                          <a:xfrm>
                            <a:off x="4427" y="14040"/>
                            <a:ext cx="6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97"/>
                        <wps:cNvCnPr>
                          <a:cxnSpLocks noChangeShapeType="1"/>
                        </wps:cNvCnPr>
                        <wps:spPr bwMode="auto">
                          <a:xfrm>
                            <a:off x="10797" y="1440"/>
                            <a:ext cx="0" cy="125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96"/>
                        <wps:cNvSpPr>
                          <a:spLocks noChangeArrowheads="1"/>
                        </wps:cNvSpPr>
                        <wps:spPr bwMode="auto">
                          <a:xfrm>
                            <a:off x="10792" y="140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D2F7D" id="Group 95" o:spid="_x0000_s1026" style="position:absolute;left:0;text-align:left;margin-left:1in;margin-top:1in;width:468.1pt;height:630.25pt;z-index:-251674112;mso-position-horizontal-relative:page;mso-position-vertical-relative:page" coordorigin="1440,1440" coordsize="9362,1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">
                <v:line id="Line 105" o:spid="_x0000_s1027" style="position:absolute;visibility:visible;mso-wrap-style:square" from="1450,1445" to="441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104" o:spid="_x0000_s1028" style="position:absolute;visibility:visible;mso-wrap-style:square" from="4427,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103" o:spid="_x0000_s1029" style="position:absolute;visibility:visible;mso-wrap-style:square" from="1445,1440" to="1445,1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rect id="Rectangle 102" o:spid="_x0000_s1030" style="position:absolute;left:1440;top:140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101" o:spid="_x0000_s1031" style="position:absolute;visibility:visible;mso-wrap-style:square" from="1450,14040" to="4417,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100" o:spid="_x0000_s1032" style="position:absolute;visibility:visible;mso-wrap-style:square" from="4422,1440" to="4422,1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rect id="Rectangle 99" o:spid="_x0000_s1033" style="position:absolute;left:4417;top:140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98" o:spid="_x0000_s1034" style="position:absolute;visibility:visible;mso-wrap-style:square" from="4427,14040" to="10792,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line id="Line 97" o:spid="_x0000_s1035" style="position:absolute;visibility:visible;mso-wrap-style:square" from="10797,1440" to="10797,1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rect id="Rectangle 96" o:spid="_x0000_s1036" style="position:absolute;left:10792;top:140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w10:wrap anchorx="page" anchory="page"/>
              </v:group>
            </w:pict>
          </mc:Fallback>
        </mc:AlternateContent>
      </w:r>
      <w:r w:rsidR="00CF7372">
        <w:rPr>
          <w:sz w:val="20"/>
          <w:lang w:eastAsia="ja-JP"/>
        </w:rPr>
        <w:t>基本的な管理方法を下表に示す。 特定の農場での特定の生物物理学的条件を考慮して、特定の慣行が当該農場に適用できないことが実証できる場合を除き、すべての必須の慣行を展開する必要がある。</w:t>
      </w:r>
    </w:p>
    <w:p w14:paraId="09341798" w14:textId="77777777" w:rsidR="00410BDF" w:rsidRDefault="00CF7372">
      <w:pPr>
        <w:pStyle w:val="a4"/>
        <w:numPr>
          <w:ilvl w:val="3"/>
          <w:numId w:val="34"/>
        </w:numPr>
        <w:tabs>
          <w:tab w:val="left" w:pos="3909"/>
          <w:tab w:val="left" w:pos="3910"/>
        </w:tabs>
        <w:spacing w:before="80" w:line="276" w:lineRule="auto"/>
        <w:ind w:right="235"/>
        <w:rPr>
          <w:sz w:val="20"/>
          <w:lang w:eastAsia="ja-JP"/>
        </w:rPr>
      </w:pPr>
      <w:r>
        <w:rPr>
          <w:sz w:val="20"/>
          <w:lang w:eastAsia="ja-JP"/>
        </w:rPr>
        <w:t>GHG評価に関連する本質的な実践に関しては、この評価は、エネルギーと燃料の使用に関連する排出だけでなく、生産に関連する農場でのすべての関連する排出をカバーするツールを用いて行われるべきである(関連するGHGカテゴリーについては下記を参照)。 ある場所の農業者が(言語や農業助言支援へのアクセスの欠如のために)炭素評価ツールを現在利用できないことが実証できれば、この慣行は第一に省略することができる。 ただし、評価は5年以内に必須となる。 評価は、適切なツールを用いた自己評価であり、GHG評価の独立した監査や検証は必要ない。</w:t>
      </w:r>
    </w:p>
    <w:p w14:paraId="2E79D792" w14:textId="73FDEEBE" w:rsidR="00410BDF" w:rsidRDefault="00CF7372">
      <w:pPr>
        <w:pStyle w:val="a4"/>
        <w:numPr>
          <w:ilvl w:val="3"/>
          <w:numId w:val="34"/>
        </w:numPr>
        <w:tabs>
          <w:tab w:val="left" w:pos="3909"/>
          <w:tab w:val="left" w:pos="3910"/>
        </w:tabs>
        <w:spacing w:before="67" w:line="273" w:lineRule="auto"/>
        <w:ind w:right="270"/>
        <w:rPr>
          <w:sz w:val="20"/>
          <w:lang w:eastAsia="ja-JP"/>
        </w:rPr>
      </w:pPr>
      <w:r>
        <w:rPr>
          <w:sz w:val="20"/>
          <w:lang w:eastAsia="ja-JP"/>
        </w:rPr>
        <w:t>他のすべての必須慣行の遵守を実証するために、作物栽培の必要性、農場の</w:t>
      </w:r>
      <w:r w:rsidR="006F3D3B">
        <w:rPr>
          <w:rFonts w:hint="eastAsia"/>
          <w:sz w:val="20"/>
          <w:lang w:eastAsia="ja-JP"/>
        </w:rPr>
        <w:t>土壌</w:t>
      </w:r>
      <w:r>
        <w:rPr>
          <w:sz w:val="20"/>
          <w:lang w:eastAsia="ja-JP"/>
        </w:rPr>
        <w:t>気候条件、および農場でのそれらのカバレッジを考慮に入れた、展開されている管理慣行を記述した農業持続可能性管理計画を確立する必要がある。 農場の持続可能性管理計画を作成するために、炭素計算器を使用するか、または他の栄養素決定支援ツールを用いて計画を作成することもできる。</w:t>
      </w:r>
    </w:p>
    <w:p w14:paraId="134FBC1B" w14:textId="77777777" w:rsidR="00410BDF" w:rsidRDefault="00CF7372">
      <w:pPr>
        <w:pStyle w:val="a3"/>
        <w:spacing w:before="90"/>
        <w:ind w:left="3189"/>
        <w:rPr>
          <w:lang w:eastAsia="ja-JP"/>
        </w:rPr>
      </w:pPr>
      <w:r>
        <w:rPr>
          <w:lang w:eastAsia="ja-JP"/>
        </w:rPr>
        <w:t>GHG閾値の遵守を実証する者については:</w:t>
      </w:r>
    </w:p>
    <w:p w14:paraId="74F016E5" w14:textId="6FBCF78A" w:rsidR="00410BDF" w:rsidRDefault="00CF7372">
      <w:pPr>
        <w:pStyle w:val="a4"/>
        <w:numPr>
          <w:ilvl w:val="3"/>
          <w:numId w:val="34"/>
        </w:numPr>
        <w:tabs>
          <w:tab w:val="left" w:pos="3909"/>
          <w:tab w:val="left" w:pos="3910"/>
        </w:tabs>
        <w:spacing w:before="115" w:line="273" w:lineRule="auto"/>
        <w:ind w:right="491"/>
        <w:rPr>
          <w:sz w:val="20"/>
          <w:lang w:eastAsia="ja-JP"/>
        </w:rPr>
      </w:pPr>
      <w:r>
        <w:rPr>
          <w:sz w:val="20"/>
          <w:lang w:eastAsia="ja-JP"/>
        </w:rPr>
        <w:t>量的GHG閾値の遵守を実証するためには、農場の炭素ストックとGHG排出量ベースラインを確立する必要がある(関連するGHGカテゴリーについては下記を参照)。 このようなベースラインデータに照らして、炭素増加の排出削減量を測定することができる。 炭素監査は、行動が必要な場所を評価するためにも必要であり、これには、GHG排出削減/炭素隔離をもたらす管理手法を規定する炭素管理計画を伴わなければならない。 この炭素管理計画は、より広範な農業の持続可能性計画の一部</w:t>
      </w:r>
      <w:r w:rsidR="006F3D3B">
        <w:rPr>
          <w:rFonts w:hint="eastAsia"/>
          <w:sz w:val="20"/>
          <w:lang w:eastAsia="ja-JP"/>
        </w:rPr>
        <w:t>となる</w:t>
      </w:r>
      <w:r>
        <w:rPr>
          <w:sz w:val="20"/>
          <w:lang w:eastAsia="ja-JP"/>
        </w:rPr>
        <w:t>。</w:t>
      </w:r>
    </w:p>
    <w:p w14:paraId="39AB4D26" w14:textId="77777777" w:rsidR="00410BDF" w:rsidRDefault="00CF7372" w:rsidP="006F3D3B">
      <w:pPr>
        <w:pStyle w:val="a4"/>
        <w:numPr>
          <w:ilvl w:val="3"/>
          <w:numId w:val="34"/>
        </w:numPr>
        <w:tabs>
          <w:tab w:val="left" w:pos="3909"/>
          <w:tab w:val="left" w:pos="3910"/>
        </w:tabs>
        <w:spacing w:before="91" w:line="273" w:lineRule="auto"/>
        <w:ind w:right="294"/>
        <w:rPr>
          <w:sz w:val="20"/>
          <w:lang w:eastAsia="ja-JP"/>
        </w:rPr>
      </w:pPr>
      <w:r>
        <w:rPr>
          <w:sz w:val="20"/>
          <w:lang w:eastAsia="ja-JP"/>
        </w:rPr>
        <w:t>資金が供与されている作物生産の(残りの)ライフサイクルが20年未満である場合、炭素貯蔵が20年間にわたって漸進的に増加するという要件に幅広く準拠していることを示すためには、炭素隔離傾向の永続性を促進するために、可能性の高い作物の再植に対する保証が求められるべきである。 古い作物を根絶し、新しい若い</w:t>
      </w:r>
      <w:r w:rsidR="006F3D3B" w:rsidRPr="006F3D3B">
        <w:rPr>
          <w:rFonts w:hint="eastAsia"/>
          <w:sz w:val="20"/>
          <w:lang w:eastAsia="ja-JP"/>
        </w:rPr>
        <w:t>休耕/</w:t>
      </w:r>
      <w:r w:rsidR="006F3D3B">
        <w:rPr>
          <w:rFonts w:hint="eastAsia"/>
          <w:sz w:val="20"/>
          <w:lang w:eastAsia="ja-JP"/>
        </w:rPr>
        <w:t>回復期間の可能性のある段階</w:t>
      </w:r>
      <w:r>
        <w:rPr>
          <w:sz w:val="20"/>
          <w:lang w:eastAsia="ja-JP"/>
        </w:rPr>
        <w:t>作物に置き換えることが</w:t>
      </w:r>
      <w:r w:rsidR="006F3D3B" w:rsidRPr="006F3D3B">
        <w:rPr>
          <w:rFonts w:hint="eastAsia"/>
          <w:sz w:val="20"/>
          <w:lang w:eastAsia="ja-JP"/>
        </w:rPr>
        <w:t>、炭素貯蔵の減少と一部の排出をもたらす</w:t>
      </w:r>
      <w:r w:rsidR="006F3D3B">
        <w:rPr>
          <w:rFonts w:hint="eastAsia"/>
          <w:sz w:val="20"/>
          <w:lang w:eastAsia="ja-JP"/>
        </w:rPr>
        <w:t>ものだと</w:t>
      </w:r>
      <w:r>
        <w:rPr>
          <w:sz w:val="20"/>
          <w:lang w:eastAsia="ja-JP"/>
        </w:rPr>
        <w:t>認識されている。</w:t>
      </w:r>
    </w:p>
    <w:p w14:paraId="7BBB6B51" w14:textId="77777777" w:rsidR="00410BDF" w:rsidRDefault="00410BDF">
      <w:pPr>
        <w:spacing w:line="273" w:lineRule="auto"/>
        <w:rPr>
          <w:sz w:val="20"/>
          <w:lang w:eastAsia="ja-JP"/>
        </w:rPr>
        <w:sectPr w:rsidR="00410BDF">
          <w:pgSz w:w="12240" w:h="15840"/>
          <w:pgMar w:top="138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45"/>
        <w:gridCol w:w="1119"/>
        <w:gridCol w:w="3629"/>
        <w:gridCol w:w="823"/>
        <w:gridCol w:w="826"/>
        <w:gridCol w:w="984"/>
        <w:gridCol w:w="113"/>
      </w:tblGrid>
      <w:tr w:rsidR="00410BDF" w14:paraId="04B67A1A" w14:textId="77777777">
        <w:trPr>
          <w:trHeight w:val="9092"/>
        </w:trPr>
        <w:tc>
          <w:tcPr>
            <w:tcW w:w="2977" w:type="dxa"/>
            <w:gridSpan w:val="3"/>
          </w:tcPr>
          <w:p w14:paraId="6010EB53" w14:textId="77777777" w:rsidR="00410BDF" w:rsidRDefault="00410BDF">
            <w:pPr>
              <w:pStyle w:val="TableParagraph"/>
              <w:rPr>
                <w:rFonts w:ascii="Times New Roman"/>
                <w:sz w:val="18"/>
                <w:lang w:eastAsia="ja-JP"/>
              </w:rPr>
            </w:pPr>
          </w:p>
        </w:tc>
        <w:tc>
          <w:tcPr>
            <w:tcW w:w="6375" w:type="dxa"/>
            <w:gridSpan w:val="5"/>
          </w:tcPr>
          <w:p w14:paraId="0420B462" w14:textId="6AC10704" w:rsidR="00410BDF" w:rsidRDefault="00CF7372">
            <w:pPr>
              <w:pStyle w:val="TableParagraph"/>
              <w:spacing w:line="276" w:lineRule="auto"/>
              <w:ind w:left="827" w:right="103"/>
              <w:rPr>
                <w:sz w:val="20"/>
                <w:lang w:eastAsia="ja-JP"/>
              </w:rPr>
            </w:pPr>
            <w:r>
              <w:rPr>
                <w:sz w:val="20"/>
                <w:lang w:eastAsia="ja-JP"/>
              </w:rPr>
              <w:t>このことを念頭に置いて、炭素貯蔵の全体的な維持および/または固定の増加傾向が、複数のローテーションにわたって追求されることを確実にすることが目的である。</w:t>
            </w:r>
          </w:p>
          <w:p w14:paraId="75B4D649" w14:textId="77777777" w:rsidR="00410BDF" w:rsidRDefault="00CF7372">
            <w:pPr>
              <w:pStyle w:val="TableParagraph"/>
              <w:spacing w:before="81"/>
              <w:ind w:left="107"/>
              <w:rPr>
                <w:sz w:val="20"/>
                <w:lang w:eastAsia="ja-JP"/>
              </w:rPr>
            </w:pPr>
            <w:r>
              <w:rPr>
                <w:sz w:val="20"/>
                <w:lang w:eastAsia="ja-JP"/>
              </w:rPr>
              <w:t>すべてのユーザーについて:</w:t>
            </w:r>
          </w:p>
          <w:p w14:paraId="358DA1AF" w14:textId="77777777" w:rsidR="00410BDF" w:rsidRDefault="00CF7372">
            <w:pPr>
              <w:pStyle w:val="TableParagraph"/>
              <w:numPr>
                <w:ilvl w:val="0"/>
                <w:numId w:val="30"/>
              </w:numPr>
              <w:tabs>
                <w:tab w:val="left" w:pos="827"/>
                <w:tab w:val="left" w:pos="828"/>
              </w:tabs>
              <w:spacing w:before="115" w:line="273" w:lineRule="auto"/>
              <w:ind w:right="384"/>
              <w:rPr>
                <w:sz w:val="20"/>
                <w:lang w:eastAsia="ja-JP"/>
              </w:rPr>
            </w:pPr>
            <w:r>
              <w:rPr>
                <w:sz w:val="20"/>
                <w:lang w:eastAsia="ja-JP"/>
              </w:rPr>
              <w:t>炭素貯蔵量とGHG排出レベルの算定には、以下のものを含めるべきであるが、実際には、算定されるGHGの範囲は、使用されるGHG算定ツールの技術的能力の対象となることが認識されている。</w:t>
            </w:r>
          </w:p>
          <w:p w14:paraId="15809776" w14:textId="77777777" w:rsidR="00410BDF" w:rsidRDefault="00CF7372">
            <w:pPr>
              <w:pStyle w:val="TableParagraph"/>
              <w:numPr>
                <w:ilvl w:val="1"/>
                <w:numId w:val="30"/>
              </w:numPr>
              <w:tabs>
                <w:tab w:val="left" w:pos="1547"/>
                <w:tab w:val="left" w:pos="1548"/>
              </w:tabs>
              <w:spacing w:before="80" w:line="256" w:lineRule="auto"/>
              <w:ind w:right="719"/>
              <w:rPr>
                <w:sz w:val="20"/>
                <w:lang w:eastAsia="ja-JP"/>
              </w:rPr>
            </w:pPr>
            <w:r>
              <w:rPr>
                <w:sz w:val="20"/>
                <w:lang w:eastAsia="ja-JP"/>
              </w:rPr>
              <w:t>地上バイオマスのCO2排出量と吸収量</w:t>
            </w:r>
          </w:p>
          <w:p w14:paraId="013F3807" w14:textId="77777777" w:rsidR="00410BDF" w:rsidRDefault="00CF7372">
            <w:pPr>
              <w:pStyle w:val="TableParagraph"/>
              <w:numPr>
                <w:ilvl w:val="1"/>
                <w:numId w:val="30"/>
              </w:numPr>
              <w:tabs>
                <w:tab w:val="left" w:pos="1547"/>
                <w:tab w:val="left" w:pos="1548"/>
              </w:tabs>
              <w:spacing w:before="98" w:line="259" w:lineRule="auto"/>
              <w:ind w:right="737"/>
              <w:rPr>
                <w:sz w:val="20"/>
                <w:lang w:eastAsia="ja-JP"/>
              </w:rPr>
            </w:pPr>
            <w:r>
              <w:rPr>
                <w:sz w:val="20"/>
                <w:lang w:eastAsia="ja-JP"/>
              </w:rPr>
              <w:t>地下バイオマスと土壌中のCO2排出量と除去量</w:t>
            </w:r>
          </w:p>
          <w:p w14:paraId="715513D2" w14:textId="77777777" w:rsidR="00410BDF" w:rsidRDefault="00CF7372">
            <w:pPr>
              <w:pStyle w:val="TableParagraph"/>
              <w:numPr>
                <w:ilvl w:val="1"/>
                <w:numId w:val="30"/>
              </w:numPr>
              <w:tabs>
                <w:tab w:val="left" w:pos="1548"/>
              </w:tabs>
              <w:spacing w:before="95" w:line="266" w:lineRule="auto"/>
              <w:ind w:right="907"/>
              <w:jc w:val="both"/>
              <w:rPr>
                <w:sz w:val="20"/>
                <w:lang w:eastAsia="ja-JP"/>
              </w:rPr>
            </w:pPr>
            <w:r>
              <w:rPr>
                <w:sz w:val="20"/>
                <w:lang w:eastAsia="ja-JP"/>
              </w:rPr>
              <w:t>暴露された土壌、肥料施用、肥料生産および肥料施用に埋め込まれた土壌からのN2O排出</w:t>
            </w:r>
          </w:p>
          <w:p w14:paraId="67E650BB" w14:textId="77777777" w:rsidR="00410BDF" w:rsidRDefault="00CF7372">
            <w:pPr>
              <w:pStyle w:val="TableParagraph"/>
              <w:numPr>
                <w:ilvl w:val="1"/>
                <w:numId w:val="30"/>
              </w:numPr>
              <w:tabs>
                <w:tab w:val="left" w:pos="1547"/>
                <w:tab w:val="left" w:pos="1548"/>
              </w:tabs>
              <w:spacing w:before="90" w:line="266" w:lineRule="auto"/>
              <w:ind w:right="307"/>
              <w:rPr>
                <w:sz w:val="20"/>
                <w:lang w:eastAsia="ja-JP"/>
              </w:rPr>
            </w:pPr>
            <w:r>
              <w:rPr>
                <w:sz w:val="20"/>
                <w:lang w:eastAsia="ja-JP"/>
              </w:rPr>
              <w:t>家畜(腸内発酵および肥料管理)および一部の土壌(湿地など)からのメタン排出量</w:t>
            </w:r>
          </w:p>
          <w:p w14:paraId="09B3FB77" w14:textId="77777777" w:rsidR="00410BDF" w:rsidRDefault="00CF7372">
            <w:pPr>
              <w:pStyle w:val="TableParagraph"/>
              <w:numPr>
                <w:ilvl w:val="1"/>
                <w:numId w:val="30"/>
              </w:numPr>
              <w:tabs>
                <w:tab w:val="left" w:pos="1547"/>
                <w:tab w:val="left" w:pos="1548"/>
              </w:tabs>
              <w:spacing w:before="90"/>
              <w:rPr>
                <w:sz w:val="20"/>
                <w:lang w:eastAsia="ja-JP"/>
              </w:rPr>
            </w:pPr>
            <w:r>
              <w:rPr>
                <w:sz w:val="20"/>
                <w:lang w:eastAsia="ja-JP"/>
              </w:rPr>
              <w:t>燃料・電力使用によるCO2排出量</w:t>
            </w:r>
          </w:p>
          <w:p w14:paraId="58C2BC6D" w14:textId="77777777" w:rsidR="00410BDF" w:rsidRDefault="00CF7372">
            <w:pPr>
              <w:pStyle w:val="TableParagraph"/>
              <w:numPr>
                <w:ilvl w:val="0"/>
                <w:numId w:val="30"/>
              </w:numPr>
              <w:tabs>
                <w:tab w:val="left" w:pos="828"/>
              </w:tabs>
              <w:spacing w:before="98" w:line="268" w:lineRule="auto"/>
              <w:ind w:right="465"/>
              <w:jc w:val="both"/>
              <w:rPr>
                <w:sz w:val="20"/>
                <w:lang w:eastAsia="ja-JP"/>
              </w:rPr>
            </w:pPr>
            <w:r>
              <w:rPr>
                <w:sz w:val="20"/>
                <w:lang w:eastAsia="ja-JP"/>
              </w:rPr>
              <w:t>排出、吸収、管理慣行はすべて、これらの要件の継続的な遵守を確認するために、3年間隔で監査される。</w:t>
            </w:r>
          </w:p>
          <w:p w14:paraId="41C38447" w14:textId="77777777" w:rsidR="00410BDF" w:rsidRDefault="00CF7372">
            <w:pPr>
              <w:pStyle w:val="TableParagraph"/>
              <w:numPr>
                <w:ilvl w:val="0"/>
                <w:numId w:val="30"/>
              </w:numPr>
              <w:tabs>
                <w:tab w:val="left" w:pos="827"/>
                <w:tab w:val="left" w:pos="828"/>
              </w:tabs>
              <w:spacing w:before="88" w:line="273" w:lineRule="auto"/>
              <w:ind w:right="127"/>
              <w:rPr>
                <w:sz w:val="20"/>
                <w:lang w:eastAsia="ja-JP"/>
              </w:rPr>
            </w:pPr>
            <w:r>
              <w:rPr>
                <w:sz w:val="20"/>
                <w:lang w:eastAsia="ja-JP"/>
              </w:rPr>
              <w:t>不可抗力の場合、自然の攪乱に起因する排出は、閾値の達成に影響を及ぼすことから除外することができ、これらの要件の適用に影響を及ぼさず、また、これらの基準に違反する結果とならない。</w:t>
            </w:r>
          </w:p>
        </w:tc>
      </w:tr>
      <w:tr w:rsidR="00410BDF" w14:paraId="59EB1CB6" w14:textId="77777777">
        <w:trPr>
          <w:trHeight w:val="383"/>
        </w:trPr>
        <w:tc>
          <w:tcPr>
            <w:tcW w:w="9352" w:type="dxa"/>
            <w:gridSpan w:val="8"/>
          </w:tcPr>
          <w:p w14:paraId="6776F6E8" w14:textId="77777777" w:rsidR="00410BDF" w:rsidRDefault="00410BDF">
            <w:pPr>
              <w:pStyle w:val="TableParagraph"/>
              <w:rPr>
                <w:rFonts w:ascii="Times New Roman"/>
                <w:sz w:val="18"/>
                <w:lang w:eastAsia="ja-JP"/>
              </w:rPr>
            </w:pPr>
          </w:p>
        </w:tc>
      </w:tr>
      <w:tr w:rsidR="00410BDF" w14:paraId="4D63DD14" w14:textId="77777777">
        <w:trPr>
          <w:trHeight w:val="907"/>
        </w:trPr>
        <w:tc>
          <w:tcPr>
            <w:tcW w:w="113" w:type="dxa"/>
            <w:tcBorders>
              <w:top w:val="nil"/>
              <w:bottom w:val="nil"/>
            </w:tcBorders>
          </w:tcPr>
          <w:p w14:paraId="2BB96AAE" w14:textId="77777777" w:rsidR="00410BDF" w:rsidRDefault="00410BDF">
            <w:pPr>
              <w:pStyle w:val="TableParagraph"/>
              <w:rPr>
                <w:rFonts w:ascii="Times New Roman"/>
                <w:sz w:val="18"/>
                <w:lang w:eastAsia="ja-JP"/>
              </w:rPr>
            </w:pPr>
          </w:p>
        </w:tc>
        <w:tc>
          <w:tcPr>
            <w:tcW w:w="1745" w:type="dxa"/>
            <w:shd w:val="clear" w:color="auto" w:fill="F1F1F1"/>
          </w:tcPr>
          <w:p w14:paraId="033E52A8" w14:textId="77777777" w:rsidR="00410BDF" w:rsidRDefault="00CF7372">
            <w:pPr>
              <w:pStyle w:val="TableParagraph"/>
              <w:spacing w:before="119" w:line="276" w:lineRule="auto"/>
              <w:ind w:left="107" w:right="352"/>
              <w:rPr>
                <w:b/>
                <w:sz w:val="20"/>
              </w:rPr>
            </w:pPr>
            <w:proofErr w:type="spellStart"/>
            <w:r w:rsidRPr="00262BBE">
              <w:rPr>
                <w:b/>
                <w:w w:val="95"/>
                <w:sz w:val="20"/>
              </w:rPr>
              <w:t>管理区分</w:t>
            </w:r>
            <w:proofErr w:type="spellEnd"/>
          </w:p>
        </w:tc>
        <w:tc>
          <w:tcPr>
            <w:tcW w:w="4748" w:type="dxa"/>
            <w:gridSpan w:val="2"/>
            <w:shd w:val="clear" w:color="auto" w:fill="F1F1F1"/>
          </w:tcPr>
          <w:p w14:paraId="08F5A86A" w14:textId="77777777" w:rsidR="00410BDF" w:rsidRDefault="00CF7372">
            <w:pPr>
              <w:pStyle w:val="TableParagraph"/>
              <w:spacing w:before="119"/>
              <w:ind w:left="107"/>
              <w:rPr>
                <w:b/>
                <w:sz w:val="20"/>
              </w:rPr>
            </w:pPr>
            <w:proofErr w:type="spellStart"/>
            <w:r>
              <w:rPr>
                <w:b/>
                <w:sz w:val="20"/>
              </w:rPr>
              <w:t>重要な管理慣行</w:t>
            </w:r>
            <w:proofErr w:type="spellEnd"/>
          </w:p>
        </w:tc>
        <w:tc>
          <w:tcPr>
            <w:tcW w:w="823" w:type="dxa"/>
            <w:shd w:val="clear" w:color="auto" w:fill="F1F1F1"/>
          </w:tcPr>
          <w:p w14:paraId="534A9285" w14:textId="77777777" w:rsidR="00410BDF" w:rsidRDefault="00CF7372">
            <w:pPr>
              <w:pStyle w:val="TableParagraph"/>
              <w:spacing w:before="119"/>
              <w:ind w:left="107"/>
              <w:rPr>
                <w:b/>
                <w:sz w:val="20"/>
              </w:rPr>
            </w:pPr>
            <w:r>
              <w:rPr>
                <w:b/>
                <w:sz w:val="20"/>
              </w:rPr>
              <w:t>GHG</w:t>
            </w:r>
          </w:p>
          <w:p w14:paraId="6EE3E8FF" w14:textId="77777777" w:rsidR="00410BDF" w:rsidRDefault="00CF7372">
            <w:pPr>
              <w:pStyle w:val="TableParagraph"/>
              <w:spacing w:before="35"/>
              <w:ind w:left="107"/>
              <w:rPr>
                <w:rFonts w:ascii="Symbol" w:hAnsi="Symbol" w:hint="eastAsia"/>
                <w:b/>
                <w:sz w:val="20"/>
              </w:rPr>
            </w:pPr>
            <w:r>
              <w:rPr>
                <w:rFonts w:ascii="minorHAnsi" w:hAnsi="minorHAnsi"/>
                <w:b/>
                <w:w w:val="99"/>
                <w:sz w:val="20"/>
              </w:rPr>
              <w:t>↓</w:t>
            </w:r>
          </w:p>
        </w:tc>
        <w:tc>
          <w:tcPr>
            <w:tcW w:w="826" w:type="dxa"/>
            <w:shd w:val="clear" w:color="auto" w:fill="F1F1F1"/>
          </w:tcPr>
          <w:p w14:paraId="386E76BF" w14:textId="77777777" w:rsidR="00410BDF" w:rsidRDefault="00CF7372">
            <w:pPr>
              <w:pStyle w:val="TableParagraph"/>
              <w:spacing w:before="119"/>
              <w:ind w:left="107"/>
              <w:rPr>
                <w:b/>
                <w:sz w:val="20"/>
              </w:rPr>
            </w:pPr>
            <w:r>
              <w:rPr>
                <w:b/>
                <w:sz w:val="20"/>
              </w:rPr>
              <w:t>C-Seq</w:t>
            </w:r>
          </w:p>
          <w:p w14:paraId="00CE5DD3" w14:textId="77777777" w:rsidR="00410BDF" w:rsidRDefault="00CF7372">
            <w:pPr>
              <w:pStyle w:val="TableParagraph"/>
              <w:spacing w:before="35"/>
              <w:ind w:left="107"/>
              <w:rPr>
                <w:rFonts w:ascii="Symbol" w:hAnsi="Symbol" w:hint="eastAsia"/>
                <w:b/>
                <w:sz w:val="20"/>
              </w:rPr>
            </w:pPr>
            <w:r>
              <w:rPr>
                <w:rFonts w:ascii="minorHAnsi" w:hAnsi="minorHAnsi"/>
                <w:b/>
                <w:w w:val="99"/>
                <w:sz w:val="20"/>
              </w:rPr>
              <w:t>↑</w:t>
            </w:r>
          </w:p>
        </w:tc>
        <w:tc>
          <w:tcPr>
            <w:tcW w:w="984" w:type="dxa"/>
            <w:shd w:val="clear" w:color="auto" w:fill="F1F1F1"/>
          </w:tcPr>
          <w:p w14:paraId="07F2125D" w14:textId="77777777" w:rsidR="00410BDF" w:rsidRDefault="00CF7372">
            <w:pPr>
              <w:pStyle w:val="TableParagraph"/>
              <w:spacing w:before="119" w:line="276" w:lineRule="auto"/>
              <w:ind w:left="107" w:right="80"/>
              <w:rPr>
                <w:b/>
                <w:sz w:val="20"/>
              </w:rPr>
            </w:pPr>
            <w:proofErr w:type="spellStart"/>
            <w:r>
              <w:rPr>
                <w:b/>
                <w:sz w:val="20"/>
              </w:rPr>
              <w:t>共同便益</w:t>
            </w:r>
            <w:proofErr w:type="spellEnd"/>
          </w:p>
        </w:tc>
        <w:tc>
          <w:tcPr>
            <w:tcW w:w="113" w:type="dxa"/>
            <w:tcBorders>
              <w:top w:val="nil"/>
              <w:bottom w:val="nil"/>
            </w:tcBorders>
          </w:tcPr>
          <w:p w14:paraId="6CB741CA" w14:textId="77777777" w:rsidR="00410BDF" w:rsidRDefault="00410BDF">
            <w:pPr>
              <w:pStyle w:val="TableParagraph"/>
              <w:rPr>
                <w:rFonts w:ascii="Times New Roman"/>
                <w:sz w:val="18"/>
              </w:rPr>
            </w:pPr>
          </w:p>
        </w:tc>
      </w:tr>
      <w:tr w:rsidR="00410BDF" w14:paraId="1C52A07D" w14:textId="77777777">
        <w:trPr>
          <w:trHeight w:val="1418"/>
        </w:trPr>
        <w:tc>
          <w:tcPr>
            <w:tcW w:w="113" w:type="dxa"/>
            <w:tcBorders>
              <w:top w:val="nil"/>
              <w:bottom w:val="nil"/>
            </w:tcBorders>
          </w:tcPr>
          <w:p w14:paraId="0B251FB6" w14:textId="77777777" w:rsidR="00410BDF" w:rsidRDefault="00410BDF">
            <w:pPr>
              <w:pStyle w:val="TableParagraph"/>
              <w:rPr>
                <w:rFonts w:ascii="Times New Roman"/>
                <w:sz w:val="18"/>
              </w:rPr>
            </w:pPr>
          </w:p>
        </w:tc>
        <w:tc>
          <w:tcPr>
            <w:tcW w:w="1745" w:type="dxa"/>
            <w:shd w:val="clear" w:color="auto" w:fill="F1F1F1"/>
          </w:tcPr>
          <w:p w14:paraId="2A3E3B9F" w14:textId="77777777" w:rsidR="00410BDF" w:rsidRDefault="00CF7372">
            <w:pPr>
              <w:pStyle w:val="TableParagraph"/>
              <w:spacing w:before="119" w:line="276" w:lineRule="auto"/>
              <w:ind w:left="107" w:right="352"/>
              <w:rPr>
                <w:b/>
                <w:sz w:val="20"/>
                <w:lang w:eastAsia="ja-JP"/>
              </w:rPr>
            </w:pPr>
            <w:r>
              <w:rPr>
                <w:b/>
                <w:sz w:val="20"/>
                <w:lang w:eastAsia="ja-JP"/>
              </w:rPr>
              <w:t>農業部門のGHG評価</w:t>
            </w:r>
          </w:p>
        </w:tc>
        <w:tc>
          <w:tcPr>
            <w:tcW w:w="4748" w:type="dxa"/>
            <w:gridSpan w:val="2"/>
            <w:shd w:val="clear" w:color="auto" w:fill="F1F1F1"/>
          </w:tcPr>
          <w:p w14:paraId="30820693" w14:textId="77777777" w:rsidR="00410BDF" w:rsidRDefault="00CF7372">
            <w:pPr>
              <w:pStyle w:val="TableParagraph"/>
              <w:spacing w:before="119" w:line="276" w:lineRule="auto"/>
              <w:ind w:left="107" w:right="397"/>
              <w:rPr>
                <w:sz w:val="20"/>
                <w:lang w:eastAsia="ja-JP"/>
              </w:rPr>
            </w:pPr>
            <w:r>
              <w:rPr>
                <w:sz w:val="20"/>
                <w:lang w:eastAsia="ja-JP"/>
              </w:rPr>
              <w:t>農場における排出源と吸収源のGHG評価を実施する。 既存の検証済みツールを使用すべきである。 GHG評価の監査は必要ない。</w:t>
            </w:r>
          </w:p>
        </w:tc>
        <w:tc>
          <w:tcPr>
            <w:tcW w:w="823" w:type="dxa"/>
            <w:shd w:val="clear" w:color="auto" w:fill="F1F1F1"/>
          </w:tcPr>
          <w:p w14:paraId="0742F7A5" w14:textId="77777777" w:rsidR="00410BDF" w:rsidRDefault="00410BDF">
            <w:pPr>
              <w:pStyle w:val="TableParagraph"/>
              <w:rPr>
                <w:lang w:eastAsia="ja-JP"/>
              </w:rPr>
            </w:pPr>
          </w:p>
          <w:p w14:paraId="2F2317EF" w14:textId="77777777" w:rsidR="00410BDF" w:rsidRDefault="00410BDF">
            <w:pPr>
              <w:pStyle w:val="TableParagraph"/>
              <w:rPr>
                <w:sz w:val="28"/>
                <w:lang w:eastAsia="ja-JP"/>
              </w:rPr>
            </w:pPr>
          </w:p>
          <w:p w14:paraId="7059FEFE" w14:textId="77777777" w:rsidR="00410BDF" w:rsidRDefault="00CF7372">
            <w:pPr>
              <w:pStyle w:val="TableParagraph"/>
              <w:ind w:left="354"/>
              <w:rPr>
                <w:sz w:val="20"/>
              </w:rPr>
            </w:pPr>
            <w:r>
              <w:rPr>
                <w:w w:val="99"/>
                <w:sz w:val="20"/>
              </w:rPr>
              <w:t>√</w:t>
            </w:r>
          </w:p>
        </w:tc>
        <w:tc>
          <w:tcPr>
            <w:tcW w:w="826" w:type="dxa"/>
            <w:shd w:val="clear" w:color="auto" w:fill="F1F1F1"/>
          </w:tcPr>
          <w:p w14:paraId="479847F1" w14:textId="77777777" w:rsidR="00410BDF" w:rsidRDefault="00410BDF">
            <w:pPr>
              <w:pStyle w:val="TableParagraph"/>
            </w:pPr>
          </w:p>
          <w:p w14:paraId="380CB128" w14:textId="77777777" w:rsidR="00410BDF" w:rsidRDefault="00410BDF">
            <w:pPr>
              <w:pStyle w:val="TableParagraph"/>
              <w:rPr>
                <w:sz w:val="28"/>
              </w:rPr>
            </w:pPr>
          </w:p>
          <w:p w14:paraId="59F525BE" w14:textId="77777777" w:rsidR="00410BDF" w:rsidRDefault="00CF7372">
            <w:pPr>
              <w:pStyle w:val="TableParagraph"/>
              <w:ind w:left="9"/>
              <w:jc w:val="center"/>
              <w:rPr>
                <w:sz w:val="20"/>
              </w:rPr>
            </w:pPr>
            <w:r>
              <w:rPr>
                <w:w w:val="99"/>
                <w:sz w:val="20"/>
              </w:rPr>
              <w:t>√</w:t>
            </w:r>
          </w:p>
        </w:tc>
        <w:tc>
          <w:tcPr>
            <w:tcW w:w="984" w:type="dxa"/>
            <w:shd w:val="clear" w:color="auto" w:fill="F1F1F1"/>
          </w:tcPr>
          <w:p w14:paraId="2CB5DE8A" w14:textId="77777777" w:rsidR="00410BDF" w:rsidRDefault="00410BDF">
            <w:pPr>
              <w:pStyle w:val="TableParagraph"/>
            </w:pPr>
          </w:p>
          <w:p w14:paraId="582718EA" w14:textId="77777777" w:rsidR="00410BDF" w:rsidRDefault="00410BDF">
            <w:pPr>
              <w:pStyle w:val="TableParagraph"/>
              <w:rPr>
                <w:sz w:val="28"/>
              </w:rPr>
            </w:pPr>
          </w:p>
          <w:p w14:paraId="6EF3BF78" w14:textId="77777777" w:rsidR="00410BDF" w:rsidRDefault="00CF7372">
            <w:pPr>
              <w:pStyle w:val="TableParagraph"/>
              <w:ind w:left="8"/>
              <w:jc w:val="center"/>
              <w:rPr>
                <w:sz w:val="20"/>
              </w:rPr>
            </w:pPr>
            <w:r>
              <w:rPr>
                <w:w w:val="99"/>
                <w:sz w:val="20"/>
              </w:rPr>
              <w:t>√</w:t>
            </w:r>
          </w:p>
        </w:tc>
        <w:tc>
          <w:tcPr>
            <w:tcW w:w="113" w:type="dxa"/>
            <w:tcBorders>
              <w:top w:val="nil"/>
              <w:bottom w:val="nil"/>
            </w:tcBorders>
          </w:tcPr>
          <w:p w14:paraId="18053F1B" w14:textId="77777777" w:rsidR="00410BDF" w:rsidRDefault="00410BDF">
            <w:pPr>
              <w:pStyle w:val="TableParagraph"/>
              <w:rPr>
                <w:rFonts w:ascii="Times New Roman"/>
                <w:sz w:val="18"/>
              </w:rPr>
            </w:pPr>
          </w:p>
        </w:tc>
      </w:tr>
      <w:tr w:rsidR="00410BDF" w14:paraId="709BE12F" w14:textId="77777777">
        <w:trPr>
          <w:trHeight w:val="649"/>
        </w:trPr>
        <w:tc>
          <w:tcPr>
            <w:tcW w:w="113" w:type="dxa"/>
            <w:tcBorders>
              <w:top w:val="nil"/>
            </w:tcBorders>
          </w:tcPr>
          <w:p w14:paraId="28E39F4C" w14:textId="77777777" w:rsidR="00410BDF" w:rsidRDefault="00410BDF">
            <w:pPr>
              <w:pStyle w:val="TableParagraph"/>
              <w:rPr>
                <w:rFonts w:ascii="Times New Roman"/>
                <w:sz w:val="18"/>
              </w:rPr>
            </w:pPr>
          </w:p>
        </w:tc>
        <w:tc>
          <w:tcPr>
            <w:tcW w:w="1745" w:type="dxa"/>
            <w:tcBorders>
              <w:bottom w:val="single" w:sz="8" w:space="0" w:color="000000"/>
            </w:tcBorders>
            <w:shd w:val="clear" w:color="auto" w:fill="F1F1F1"/>
          </w:tcPr>
          <w:p w14:paraId="3F62EFD1" w14:textId="77777777" w:rsidR="00410BDF" w:rsidRDefault="00CF7372">
            <w:pPr>
              <w:pStyle w:val="TableParagraph"/>
              <w:spacing w:before="89" w:line="260" w:lineRule="atLeast"/>
              <w:ind w:left="107" w:right="352"/>
              <w:rPr>
                <w:b/>
                <w:sz w:val="20"/>
                <w:lang w:eastAsia="ja-JP"/>
              </w:rPr>
            </w:pPr>
            <w:r>
              <w:rPr>
                <w:b/>
                <w:sz w:val="20"/>
                <w:lang w:eastAsia="ja-JP"/>
              </w:rPr>
              <w:t>作物の選択と被覆(対象)</w:t>
            </w:r>
          </w:p>
        </w:tc>
        <w:tc>
          <w:tcPr>
            <w:tcW w:w="4748" w:type="dxa"/>
            <w:gridSpan w:val="2"/>
            <w:tcBorders>
              <w:bottom w:val="single" w:sz="8" w:space="0" w:color="000000"/>
            </w:tcBorders>
            <w:shd w:val="clear" w:color="auto" w:fill="F1F1F1"/>
          </w:tcPr>
          <w:p w14:paraId="5196EA29" w14:textId="214B3B1A" w:rsidR="00410BDF" w:rsidRDefault="00CF7372">
            <w:pPr>
              <w:pStyle w:val="TableParagraph"/>
              <w:spacing w:before="89" w:line="260" w:lineRule="atLeast"/>
              <w:ind w:left="107"/>
              <w:rPr>
                <w:sz w:val="20"/>
                <w:lang w:eastAsia="ja-JP"/>
              </w:rPr>
            </w:pPr>
            <w:r>
              <w:rPr>
                <w:sz w:val="20"/>
                <w:lang w:eastAsia="ja-JP"/>
              </w:rPr>
              <w:t>少なくとも1種のマメ科植物と局所的に適切な種の混合物を用いた</w:t>
            </w:r>
            <w:r w:rsidR="00262BBE">
              <w:rPr>
                <w:rFonts w:hint="eastAsia"/>
                <w:sz w:val="20"/>
                <w:lang w:eastAsia="ja-JP"/>
              </w:rPr>
              <w:t>間作</w:t>
            </w:r>
            <w:r>
              <w:rPr>
                <w:sz w:val="20"/>
                <w:lang w:eastAsia="ja-JP"/>
              </w:rPr>
              <w:t>作物の播種</w:t>
            </w:r>
          </w:p>
        </w:tc>
        <w:tc>
          <w:tcPr>
            <w:tcW w:w="823" w:type="dxa"/>
            <w:tcBorders>
              <w:bottom w:val="single" w:sz="8" w:space="0" w:color="000000"/>
            </w:tcBorders>
            <w:shd w:val="clear" w:color="auto" w:fill="F1F1F1"/>
          </w:tcPr>
          <w:p w14:paraId="25A1FA71" w14:textId="77777777" w:rsidR="00410BDF" w:rsidRDefault="00CF7372">
            <w:pPr>
              <w:pStyle w:val="TableParagraph"/>
              <w:spacing w:before="191"/>
              <w:ind w:left="354"/>
              <w:rPr>
                <w:sz w:val="20"/>
              </w:rPr>
            </w:pPr>
            <w:r>
              <w:rPr>
                <w:w w:val="99"/>
                <w:sz w:val="20"/>
              </w:rPr>
              <w:t>√</w:t>
            </w:r>
          </w:p>
        </w:tc>
        <w:tc>
          <w:tcPr>
            <w:tcW w:w="826" w:type="dxa"/>
            <w:tcBorders>
              <w:bottom w:val="single" w:sz="8" w:space="0" w:color="000000"/>
            </w:tcBorders>
            <w:shd w:val="clear" w:color="auto" w:fill="F1F1F1"/>
          </w:tcPr>
          <w:p w14:paraId="521188D5" w14:textId="77777777" w:rsidR="00410BDF" w:rsidRDefault="00CF7372">
            <w:pPr>
              <w:pStyle w:val="TableParagraph"/>
              <w:spacing w:before="191"/>
              <w:ind w:left="9"/>
              <w:jc w:val="center"/>
              <w:rPr>
                <w:sz w:val="20"/>
              </w:rPr>
            </w:pPr>
            <w:r>
              <w:rPr>
                <w:w w:val="99"/>
                <w:sz w:val="20"/>
              </w:rPr>
              <w:t>√</w:t>
            </w:r>
          </w:p>
        </w:tc>
        <w:tc>
          <w:tcPr>
            <w:tcW w:w="984" w:type="dxa"/>
            <w:tcBorders>
              <w:bottom w:val="single" w:sz="8" w:space="0" w:color="000000"/>
            </w:tcBorders>
            <w:shd w:val="clear" w:color="auto" w:fill="F1F1F1"/>
          </w:tcPr>
          <w:p w14:paraId="05BB2DAC" w14:textId="77777777" w:rsidR="00410BDF" w:rsidRDefault="00CF7372">
            <w:pPr>
              <w:pStyle w:val="TableParagraph"/>
              <w:spacing w:before="191"/>
              <w:ind w:left="8"/>
              <w:jc w:val="center"/>
              <w:rPr>
                <w:sz w:val="20"/>
              </w:rPr>
            </w:pPr>
            <w:r>
              <w:rPr>
                <w:w w:val="99"/>
                <w:sz w:val="20"/>
              </w:rPr>
              <w:t>√</w:t>
            </w:r>
          </w:p>
        </w:tc>
        <w:tc>
          <w:tcPr>
            <w:tcW w:w="113" w:type="dxa"/>
            <w:tcBorders>
              <w:top w:val="nil"/>
            </w:tcBorders>
          </w:tcPr>
          <w:p w14:paraId="78D3CE3D" w14:textId="77777777" w:rsidR="00410BDF" w:rsidRDefault="00410BDF">
            <w:pPr>
              <w:pStyle w:val="TableParagraph"/>
              <w:rPr>
                <w:rFonts w:ascii="Times New Roman"/>
                <w:sz w:val="18"/>
              </w:rPr>
            </w:pPr>
          </w:p>
        </w:tc>
      </w:tr>
    </w:tbl>
    <w:p w14:paraId="271ABEFD" w14:textId="77777777" w:rsidR="00410BDF" w:rsidRDefault="00410BDF">
      <w:pPr>
        <w:rPr>
          <w:rFonts w:ascii="Times New Roman"/>
          <w:sz w:val="18"/>
        </w:rPr>
        <w:sectPr w:rsidR="00410BD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45"/>
        <w:gridCol w:w="4748"/>
        <w:gridCol w:w="823"/>
        <w:gridCol w:w="826"/>
        <w:gridCol w:w="984"/>
        <w:gridCol w:w="113"/>
      </w:tblGrid>
      <w:tr w:rsidR="00410BDF" w14:paraId="44E468F6" w14:textId="77777777">
        <w:trPr>
          <w:trHeight w:val="2092"/>
        </w:trPr>
        <w:tc>
          <w:tcPr>
            <w:tcW w:w="113" w:type="dxa"/>
            <w:tcBorders>
              <w:bottom w:val="nil"/>
            </w:tcBorders>
          </w:tcPr>
          <w:p w14:paraId="481DAD93" w14:textId="77777777" w:rsidR="00410BDF" w:rsidRDefault="00410BDF">
            <w:pPr>
              <w:pStyle w:val="TableParagraph"/>
              <w:rPr>
                <w:rFonts w:ascii="Times New Roman"/>
                <w:sz w:val="18"/>
              </w:rPr>
            </w:pPr>
          </w:p>
        </w:tc>
        <w:tc>
          <w:tcPr>
            <w:tcW w:w="1745" w:type="dxa"/>
            <w:tcBorders>
              <w:top w:val="single" w:sz="8" w:space="0" w:color="000000"/>
            </w:tcBorders>
            <w:shd w:val="clear" w:color="auto" w:fill="F1F1F1"/>
          </w:tcPr>
          <w:p w14:paraId="3598CD0D" w14:textId="77777777" w:rsidR="00410BDF" w:rsidRDefault="00CF7372">
            <w:pPr>
              <w:pStyle w:val="TableParagraph"/>
              <w:spacing w:line="276" w:lineRule="auto"/>
              <w:ind w:left="107" w:right="252"/>
              <w:rPr>
                <w:b/>
                <w:sz w:val="20"/>
                <w:lang w:eastAsia="ja-JP"/>
              </w:rPr>
            </w:pPr>
            <w:r>
              <w:rPr>
                <w:b/>
                <w:sz w:val="20"/>
                <w:lang w:eastAsia="ja-JP"/>
              </w:rPr>
              <w:t>土壌中の炭素固定の増加、肥料の必要性の削減、およびN20排出)</w:t>
            </w:r>
          </w:p>
        </w:tc>
        <w:tc>
          <w:tcPr>
            <w:tcW w:w="4748" w:type="dxa"/>
            <w:tcBorders>
              <w:top w:val="single" w:sz="8" w:space="0" w:color="000000"/>
            </w:tcBorders>
            <w:shd w:val="clear" w:color="auto" w:fill="F1F1F1"/>
          </w:tcPr>
          <w:p w14:paraId="41FF2DBC" w14:textId="77777777" w:rsidR="00410BDF" w:rsidRDefault="00CF7372">
            <w:pPr>
              <w:pStyle w:val="TableParagraph"/>
              <w:spacing w:line="276" w:lineRule="auto"/>
              <w:ind w:left="107" w:right="170"/>
              <w:rPr>
                <w:sz w:val="20"/>
                <w:lang w:eastAsia="ja-JP"/>
              </w:rPr>
            </w:pPr>
            <w:r>
              <w:rPr>
                <w:sz w:val="20"/>
                <w:lang w:eastAsia="ja-JP"/>
              </w:rPr>
              <w:t>また、農場レベルで年間75%以上の生きている植物被覆率を有する時点まで裸地土壌を減少させる。</w:t>
            </w:r>
          </w:p>
        </w:tc>
        <w:tc>
          <w:tcPr>
            <w:tcW w:w="823" w:type="dxa"/>
            <w:tcBorders>
              <w:top w:val="single" w:sz="8" w:space="0" w:color="000000"/>
            </w:tcBorders>
            <w:shd w:val="clear" w:color="auto" w:fill="F1F1F1"/>
          </w:tcPr>
          <w:p w14:paraId="758A601B" w14:textId="77777777" w:rsidR="00410BDF" w:rsidRDefault="00410BDF">
            <w:pPr>
              <w:pStyle w:val="TableParagraph"/>
              <w:rPr>
                <w:rFonts w:ascii="Times New Roman"/>
                <w:sz w:val="18"/>
                <w:lang w:eastAsia="ja-JP"/>
              </w:rPr>
            </w:pPr>
          </w:p>
        </w:tc>
        <w:tc>
          <w:tcPr>
            <w:tcW w:w="826" w:type="dxa"/>
            <w:tcBorders>
              <w:top w:val="single" w:sz="8" w:space="0" w:color="000000"/>
            </w:tcBorders>
            <w:shd w:val="clear" w:color="auto" w:fill="F1F1F1"/>
          </w:tcPr>
          <w:p w14:paraId="5895F1B4" w14:textId="77777777" w:rsidR="00410BDF" w:rsidRDefault="00410BDF">
            <w:pPr>
              <w:pStyle w:val="TableParagraph"/>
              <w:rPr>
                <w:rFonts w:ascii="Times New Roman"/>
                <w:sz w:val="18"/>
                <w:lang w:eastAsia="ja-JP"/>
              </w:rPr>
            </w:pPr>
          </w:p>
        </w:tc>
        <w:tc>
          <w:tcPr>
            <w:tcW w:w="984" w:type="dxa"/>
            <w:tcBorders>
              <w:top w:val="single" w:sz="8" w:space="0" w:color="000000"/>
            </w:tcBorders>
            <w:shd w:val="clear" w:color="auto" w:fill="F1F1F1"/>
          </w:tcPr>
          <w:p w14:paraId="0B667703" w14:textId="77777777" w:rsidR="00410BDF" w:rsidRDefault="00410BDF">
            <w:pPr>
              <w:pStyle w:val="TableParagraph"/>
              <w:rPr>
                <w:rFonts w:ascii="Times New Roman"/>
                <w:sz w:val="18"/>
                <w:lang w:eastAsia="ja-JP"/>
              </w:rPr>
            </w:pPr>
          </w:p>
        </w:tc>
        <w:tc>
          <w:tcPr>
            <w:tcW w:w="113" w:type="dxa"/>
            <w:tcBorders>
              <w:bottom w:val="nil"/>
            </w:tcBorders>
          </w:tcPr>
          <w:p w14:paraId="74F061CA" w14:textId="77777777" w:rsidR="00410BDF" w:rsidRDefault="00410BDF">
            <w:pPr>
              <w:pStyle w:val="TableParagraph"/>
              <w:rPr>
                <w:rFonts w:ascii="Times New Roman"/>
                <w:sz w:val="18"/>
                <w:lang w:eastAsia="ja-JP"/>
              </w:rPr>
            </w:pPr>
          </w:p>
        </w:tc>
      </w:tr>
      <w:tr w:rsidR="00410BDF" w14:paraId="766C48AB" w14:textId="77777777">
        <w:trPr>
          <w:trHeight w:val="2210"/>
        </w:trPr>
        <w:tc>
          <w:tcPr>
            <w:tcW w:w="113" w:type="dxa"/>
            <w:tcBorders>
              <w:top w:val="nil"/>
              <w:bottom w:val="nil"/>
            </w:tcBorders>
          </w:tcPr>
          <w:p w14:paraId="099B7279" w14:textId="77777777" w:rsidR="00410BDF" w:rsidRDefault="00410BDF">
            <w:pPr>
              <w:pStyle w:val="TableParagraph"/>
              <w:rPr>
                <w:rFonts w:ascii="Times New Roman"/>
                <w:sz w:val="18"/>
                <w:lang w:eastAsia="ja-JP"/>
              </w:rPr>
            </w:pPr>
          </w:p>
        </w:tc>
        <w:tc>
          <w:tcPr>
            <w:tcW w:w="1745" w:type="dxa"/>
            <w:shd w:val="clear" w:color="auto" w:fill="F1F1F1"/>
          </w:tcPr>
          <w:p w14:paraId="2B833BEA" w14:textId="77777777" w:rsidR="00410BDF" w:rsidRDefault="00CF7372">
            <w:pPr>
              <w:pStyle w:val="TableParagraph"/>
              <w:spacing w:before="119" w:line="276" w:lineRule="auto"/>
              <w:ind w:left="107" w:right="169"/>
              <w:rPr>
                <w:b/>
                <w:sz w:val="20"/>
                <w:lang w:eastAsia="ja-JP"/>
              </w:rPr>
            </w:pPr>
            <w:r>
              <w:rPr>
                <w:b/>
                <w:sz w:val="20"/>
                <w:lang w:eastAsia="ja-JP"/>
              </w:rPr>
              <w:t>土壌管理(土壌浸食、土壌からの炭素喪失を防止するため)</w:t>
            </w:r>
          </w:p>
        </w:tc>
        <w:tc>
          <w:tcPr>
            <w:tcW w:w="4748" w:type="dxa"/>
            <w:shd w:val="clear" w:color="auto" w:fill="F1F1F1"/>
          </w:tcPr>
          <w:p w14:paraId="649E3D13" w14:textId="64E0550D" w:rsidR="00410BDF" w:rsidRDefault="00CF7372" w:rsidP="00262BBE">
            <w:pPr>
              <w:pStyle w:val="TableParagraph"/>
              <w:spacing w:before="119" w:line="276" w:lineRule="auto"/>
              <w:ind w:left="107" w:right="81"/>
              <w:rPr>
                <w:sz w:val="20"/>
                <w:lang w:eastAsia="ja-JP"/>
              </w:rPr>
            </w:pPr>
            <w:r>
              <w:rPr>
                <w:sz w:val="20"/>
                <w:lang w:eastAsia="ja-JP"/>
              </w:rPr>
              <w:t>土壌の締固めを防止する(湿潤土壌での交通を避けるために、現場作業の頻度とタイミングを計画すべきである;</w:t>
            </w:r>
            <w:r w:rsidR="00262BBE">
              <w:rPr>
                <w:rFonts w:hint="eastAsia"/>
                <w:sz w:val="20"/>
                <w:lang w:eastAsia="ja-JP"/>
              </w:rPr>
              <w:t>耕作</w:t>
            </w:r>
            <w:r>
              <w:rPr>
                <w:sz w:val="20"/>
                <w:lang w:eastAsia="ja-JP"/>
              </w:rPr>
              <w:t>は湿潤土壌では避けるか、</w:t>
            </w:r>
            <w:r w:rsidR="00262BBE">
              <w:rPr>
                <w:rFonts w:hint="eastAsia"/>
                <w:sz w:val="20"/>
                <w:lang w:eastAsia="ja-JP"/>
              </w:rPr>
              <w:t>厳しく</w:t>
            </w:r>
            <w:r>
              <w:rPr>
                <w:sz w:val="20"/>
                <w:lang w:eastAsia="ja-JP"/>
              </w:rPr>
              <w:t>減らすべきである;特に湿潤土壌での締固めを避けるために、</w:t>
            </w:r>
            <w:r w:rsidR="00262BBE">
              <w:rPr>
                <w:rFonts w:hint="eastAsia"/>
                <w:sz w:val="20"/>
                <w:lang w:eastAsia="ja-JP"/>
              </w:rPr>
              <w:t>播種</w:t>
            </w:r>
            <w:r>
              <w:rPr>
                <w:sz w:val="20"/>
                <w:lang w:eastAsia="ja-JP"/>
              </w:rPr>
              <w:t>密度を減らすべきである)。</w:t>
            </w:r>
          </w:p>
        </w:tc>
        <w:tc>
          <w:tcPr>
            <w:tcW w:w="823" w:type="dxa"/>
            <w:shd w:val="clear" w:color="auto" w:fill="F1F1F1"/>
          </w:tcPr>
          <w:p w14:paraId="2599DD2B" w14:textId="77777777" w:rsidR="00410BDF" w:rsidRDefault="00410BDF">
            <w:pPr>
              <w:pStyle w:val="TableParagraph"/>
              <w:rPr>
                <w:lang w:eastAsia="ja-JP"/>
              </w:rPr>
            </w:pPr>
          </w:p>
          <w:p w14:paraId="1AC6773E" w14:textId="77777777" w:rsidR="00410BDF" w:rsidRDefault="00410BDF">
            <w:pPr>
              <w:pStyle w:val="TableParagraph"/>
              <w:rPr>
                <w:lang w:eastAsia="ja-JP"/>
              </w:rPr>
            </w:pPr>
          </w:p>
          <w:p w14:paraId="4AD936FA" w14:textId="77777777" w:rsidR="00410BDF" w:rsidRDefault="00410BDF">
            <w:pPr>
              <w:pStyle w:val="TableParagraph"/>
              <w:rPr>
                <w:lang w:eastAsia="ja-JP"/>
              </w:rPr>
            </w:pPr>
          </w:p>
          <w:p w14:paraId="0A1EEA2B" w14:textId="77777777" w:rsidR="00410BDF" w:rsidRDefault="00410BDF">
            <w:pPr>
              <w:pStyle w:val="TableParagraph"/>
              <w:spacing w:before="5"/>
              <w:rPr>
                <w:sz w:val="18"/>
                <w:lang w:eastAsia="ja-JP"/>
              </w:rPr>
            </w:pPr>
          </w:p>
          <w:p w14:paraId="5F0A22D3" w14:textId="77777777" w:rsidR="00410BDF" w:rsidRDefault="00CF7372">
            <w:pPr>
              <w:pStyle w:val="TableParagraph"/>
              <w:ind w:left="354"/>
              <w:rPr>
                <w:sz w:val="20"/>
              </w:rPr>
            </w:pPr>
            <w:r>
              <w:rPr>
                <w:w w:val="99"/>
                <w:sz w:val="20"/>
              </w:rPr>
              <w:t>√</w:t>
            </w:r>
          </w:p>
        </w:tc>
        <w:tc>
          <w:tcPr>
            <w:tcW w:w="826" w:type="dxa"/>
            <w:shd w:val="clear" w:color="auto" w:fill="F1F1F1"/>
          </w:tcPr>
          <w:p w14:paraId="22E6E321" w14:textId="77777777" w:rsidR="00410BDF" w:rsidRDefault="00410BDF">
            <w:pPr>
              <w:pStyle w:val="TableParagraph"/>
              <w:rPr>
                <w:rFonts w:ascii="Times New Roman"/>
                <w:sz w:val="18"/>
              </w:rPr>
            </w:pPr>
          </w:p>
        </w:tc>
        <w:tc>
          <w:tcPr>
            <w:tcW w:w="984" w:type="dxa"/>
            <w:shd w:val="clear" w:color="auto" w:fill="F1F1F1"/>
          </w:tcPr>
          <w:p w14:paraId="0EA420BD" w14:textId="77777777" w:rsidR="00410BDF" w:rsidRDefault="00410BDF">
            <w:pPr>
              <w:pStyle w:val="TableParagraph"/>
            </w:pPr>
          </w:p>
          <w:p w14:paraId="4988AB88" w14:textId="77777777" w:rsidR="00410BDF" w:rsidRDefault="00410BDF">
            <w:pPr>
              <w:pStyle w:val="TableParagraph"/>
            </w:pPr>
          </w:p>
          <w:p w14:paraId="1B295514" w14:textId="77777777" w:rsidR="00410BDF" w:rsidRDefault="00410BDF">
            <w:pPr>
              <w:pStyle w:val="TableParagraph"/>
            </w:pPr>
          </w:p>
          <w:p w14:paraId="1BB19D7C" w14:textId="77777777" w:rsidR="00410BDF" w:rsidRDefault="00410BDF">
            <w:pPr>
              <w:pStyle w:val="TableParagraph"/>
              <w:spacing w:before="5"/>
              <w:rPr>
                <w:sz w:val="18"/>
              </w:rPr>
            </w:pPr>
          </w:p>
          <w:p w14:paraId="07F360E3" w14:textId="77777777" w:rsidR="00410BDF" w:rsidRDefault="00CF7372">
            <w:pPr>
              <w:pStyle w:val="TableParagraph"/>
              <w:ind w:left="8"/>
              <w:jc w:val="center"/>
              <w:rPr>
                <w:sz w:val="20"/>
              </w:rPr>
            </w:pPr>
            <w:r>
              <w:rPr>
                <w:w w:val="99"/>
                <w:sz w:val="20"/>
              </w:rPr>
              <w:t>√</w:t>
            </w:r>
          </w:p>
        </w:tc>
        <w:tc>
          <w:tcPr>
            <w:tcW w:w="113" w:type="dxa"/>
            <w:tcBorders>
              <w:top w:val="nil"/>
              <w:bottom w:val="nil"/>
            </w:tcBorders>
          </w:tcPr>
          <w:p w14:paraId="1ED898D8" w14:textId="77777777" w:rsidR="00410BDF" w:rsidRDefault="00410BDF">
            <w:pPr>
              <w:pStyle w:val="TableParagraph"/>
              <w:rPr>
                <w:rFonts w:ascii="Times New Roman"/>
                <w:sz w:val="18"/>
              </w:rPr>
            </w:pPr>
          </w:p>
        </w:tc>
      </w:tr>
      <w:tr w:rsidR="00410BDF" w14:paraId="3AAC26E2" w14:textId="77777777">
        <w:trPr>
          <w:trHeight w:val="2058"/>
        </w:trPr>
        <w:tc>
          <w:tcPr>
            <w:tcW w:w="113" w:type="dxa"/>
            <w:tcBorders>
              <w:top w:val="nil"/>
              <w:bottom w:val="nil"/>
            </w:tcBorders>
          </w:tcPr>
          <w:p w14:paraId="332CBCC9" w14:textId="77777777" w:rsidR="00410BDF" w:rsidRDefault="00410BDF">
            <w:pPr>
              <w:pStyle w:val="TableParagraph"/>
              <w:rPr>
                <w:rFonts w:ascii="Times New Roman"/>
                <w:sz w:val="18"/>
              </w:rPr>
            </w:pPr>
          </w:p>
        </w:tc>
        <w:tc>
          <w:tcPr>
            <w:tcW w:w="1745" w:type="dxa"/>
            <w:shd w:val="clear" w:color="auto" w:fill="F1F1F1"/>
          </w:tcPr>
          <w:p w14:paraId="56533DD0" w14:textId="77777777" w:rsidR="00410BDF" w:rsidRDefault="00410BDF">
            <w:pPr>
              <w:pStyle w:val="TableParagraph"/>
              <w:rPr>
                <w:rFonts w:ascii="Times New Roman"/>
                <w:sz w:val="18"/>
              </w:rPr>
            </w:pPr>
          </w:p>
        </w:tc>
        <w:tc>
          <w:tcPr>
            <w:tcW w:w="4748" w:type="dxa"/>
            <w:shd w:val="clear" w:color="auto" w:fill="F1F1F1"/>
          </w:tcPr>
          <w:p w14:paraId="527749C0" w14:textId="77777777" w:rsidR="00410BDF" w:rsidRDefault="00CF7372">
            <w:pPr>
              <w:pStyle w:val="TableParagraph"/>
              <w:spacing w:before="119"/>
              <w:ind w:left="107"/>
              <w:rPr>
                <w:sz w:val="20"/>
              </w:rPr>
            </w:pPr>
            <w:proofErr w:type="spellStart"/>
            <w:r>
              <w:rPr>
                <w:sz w:val="20"/>
              </w:rPr>
              <w:t>炭素に富む土壌の管理</w:t>
            </w:r>
            <w:proofErr w:type="spellEnd"/>
          </w:p>
          <w:p w14:paraId="455527E3" w14:textId="77777777" w:rsidR="00410BDF" w:rsidRDefault="00410BDF">
            <w:pPr>
              <w:pStyle w:val="TableParagraph"/>
              <w:spacing w:before="5"/>
              <w:rPr>
                <w:sz w:val="24"/>
              </w:rPr>
            </w:pPr>
          </w:p>
          <w:p w14:paraId="6EE800D6" w14:textId="77777777" w:rsidR="00410BDF" w:rsidRDefault="00CF7372">
            <w:pPr>
              <w:pStyle w:val="TableParagraph"/>
              <w:numPr>
                <w:ilvl w:val="0"/>
                <w:numId w:val="29"/>
              </w:numPr>
              <w:tabs>
                <w:tab w:val="left" w:pos="827"/>
                <w:tab w:val="left" w:pos="828"/>
              </w:tabs>
              <w:spacing w:line="235" w:lineRule="auto"/>
              <w:ind w:right="386" w:hanging="360"/>
              <w:rPr>
                <w:sz w:val="20"/>
                <w:lang w:eastAsia="ja-JP"/>
              </w:rPr>
            </w:pPr>
            <w:r>
              <w:rPr>
                <w:sz w:val="20"/>
                <w:lang w:eastAsia="ja-JP"/>
              </w:rPr>
              <w:t>炭素の豊富な土壌での深耕の回避</w:t>
            </w:r>
          </w:p>
          <w:p w14:paraId="5574F59F" w14:textId="0D2BC2D9" w:rsidR="00410BDF" w:rsidRDefault="00262BBE">
            <w:pPr>
              <w:pStyle w:val="TableParagraph"/>
              <w:numPr>
                <w:ilvl w:val="0"/>
                <w:numId w:val="29"/>
              </w:numPr>
              <w:tabs>
                <w:tab w:val="left" w:pos="827"/>
                <w:tab w:val="left" w:pos="828"/>
              </w:tabs>
              <w:spacing w:before="4" w:line="244" w:lineRule="exact"/>
              <w:ind w:hanging="360"/>
              <w:rPr>
                <w:sz w:val="20"/>
              </w:rPr>
            </w:pPr>
            <w:r>
              <w:rPr>
                <w:rFonts w:hint="eastAsia"/>
                <w:sz w:val="20"/>
                <w:lang w:eastAsia="ja-JP"/>
              </w:rPr>
              <w:t>畝立て</w:t>
            </w:r>
            <w:proofErr w:type="spellStart"/>
            <w:r w:rsidR="00CF7372">
              <w:rPr>
                <w:sz w:val="20"/>
              </w:rPr>
              <w:t>作物の回避</w:t>
            </w:r>
            <w:proofErr w:type="spellEnd"/>
          </w:p>
          <w:p w14:paraId="02FFB38D" w14:textId="77777777" w:rsidR="00410BDF" w:rsidRDefault="00CF7372">
            <w:pPr>
              <w:pStyle w:val="TableParagraph"/>
              <w:numPr>
                <w:ilvl w:val="0"/>
                <w:numId w:val="29"/>
              </w:numPr>
              <w:tabs>
                <w:tab w:val="left" w:pos="827"/>
                <w:tab w:val="left" w:pos="828"/>
              </w:tabs>
              <w:spacing w:line="244" w:lineRule="exact"/>
              <w:ind w:hanging="360"/>
              <w:rPr>
                <w:sz w:val="20"/>
              </w:rPr>
            </w:pPr>
            <w:proofErr w:type="spellStart"/>
            <w:r>
              <w:rPr>
                <w:sz w:val="20"/>
              </w:rPr>
              <w:t>浅い水位の維持-泥炭</w:t>
            </w:r>
            <w:proofErr w:type="spellEnd"/>
          </w:p>
          <w:p w14:paraId="2697D315" w14:textId="77777777" w:rsidR="00410BDF" w:rsidRDefault="00CF7372">
            <w:pPr>
              <w:pStyle w:val="TableParagraph"/>
              <w:numPr>
                <w:ilvl w:val="0"/>
                <w:numId w:val="29"/>
              </w:numPr>
              <w:tabs>
                <w:tab w:val="left" w:pos="827"/>
                <w:tab w:val="left" w:pos="828"/>
              </w:tabs>
              <w:spacing w:before="18" w:line="228" w:lineRule="exact"/>
              <w:ind w:right="616" w:hanging="360"/>
              <w:rPr>
                <w:sz w:val="20"/>
                <w:lang w:eastAsia="ja-JP"/>
              </w:rPr>
            </w:pPr>
            <w:r>
              <w:rPr>
                <w:sz w:val="20"/>
                <w:lang w:eastAsia="ja-JP"/>
              </w:rPr>
              <w:t>浅い地下水の維持-耕地</w:t>
            </w:r>
          </w:p>
        </w:tc>
        <w:tc>
          <w:tcPr>
            <w:tcW w:w="823" w:type="dxa"/>
            <w:shd w:val="clear" w:color="auto" w:fill="F1F1F1"/>
          </w:tcPr>
          <w:p w14:paraId="2989A293" w14:textId="77777777" w:rsidR="00410BDF" w:rsidRDefault="00410BDF">
            <w:pPr>
              <w:pStyle w:val="TableParagraph"/>
              <w:rPr>
                <w:lang w:eastAsia="ja-JP"/>
              </w:rPr>
            </w:pPr>
          </w:p>
          <w:p w14:paraId="202EB8FF" w14:textId="77777777" w:rsidR="00410BDF" w:rsidRDefault="00410BDF">
            <w:pPr>
              <w:pStyle w:val="TableParagraph"/>
              <w:rPr>
                <w:lang w:eastAsia="ja-JP"/>
              </w:rPr>
            </w:pPr>
          </w:p>
          <w:p w14:paraId="3B7BCF13" w14:textId="77777777" w:rsidR="00410BDF" w:rsidRDefault="00410BDF">
            <w:pPr>
              <w:pStyle w:val="TableParagraph"/>
              <w:rPr>
                <w:lang w:eastAsia="ja-JP"/>
              </w:rPr>
            </w:pPr>
          </w:p>
          <w:p w14:paraId="17C3EDD6" w14:textId="77777777" w:rsidR="00410BDF" w:rsidRDefault="00CF7372">
            <w:pPr>
              <w:pStyle w:val="TableParagraph"/>
              <w:spacing w:before="138"/>
              <w:ind w:left="354"/>
              <w:rPr>
                <w:sz w:val="20"/>
              </w:rPr>
            </w:pPr>
            <w:r>
              <w:rPr>
                <w:w w:val="99"/>
                <w:sz w:val="20"/>
              </w:rPr>
              <w:t>√</w:t>
            </w:r>
          </w:p>
        </w:tc>
        <w:tc>
          <w:tcPr>
            <w:tcW w:w="826" w:type="dxa"/>
            <w:shd w:val="clear" w:color="auto" w:fill="F1F1F1"/>
          </w:tcPr>
          <w:p w14:paraId="5287EDBA" w14:textId="77777777" w:rsidR="00410BDF" w:rsidRDefault="00410BDF">
            <w:pPr>
              <w:pStyle w:val="TableParagraph"/>
              <w:rPr>
                <w:rFonts w:ascii="Times New Roman"/>
                <w:sz w:val="18"/>
              </w:rPr>
            </w:pPr>
          </w:p>
        </w:tc>
        <w:tc>
          <w:tcPr>
            <w:tcW w:w="984" w:type="dxa"/>
            <w:shd w:val="clear" w:color="auto" w:fill="F1F1F1"/>
          </w:tcPr>
          <w:p w14:paraId="43B7E13F" w14:textId="77777777" w:rsidR="00410BDF" w:rsidRDefault="00410BDF">
            <w:pPr>
              <w:pStyle w:val="TableParagraph"/>
            </w:pPr>
          </w:p>
          <w:p w14:paraId="0048FE37" w14:textId="77777777" w:rsidR="00410BDF" w:rsidRDefault="00410BDF">
            <w:pPr>
              <w:pStyle w:val="TableParagraph"/>
            </w:pPr>
          </w:p>
          <w:p w14:paraId="0B4D2CAC" w14:textId="77777777" w:rsidR="00410BDF" w:rsidRDefault="00410BDF">
            <w:pPr>
              <w:pStyle w:val="TableParagraph"/>
            </w:pPr>
          </w:p>
          <w:p w14:paraId="2AB767CD" w14:textId="77777777" w:rsidR="00410BDF" w:rsidRDefault="00CF7372">
            <w:pPr>
              <w:pStyle w:val="TableParagraph"/>
              <w:spacing w:before="138"/>
              <w:ind w:left="8"/>
              <w:jc w:val="center"/>
              <w:rPr>
                <w:sz w:val="20"/>
              </w:rPr>
            </w:pPr>
            <w:r>
              <w:rPr>
                <w:w w:val="99"/>
                <w:sz w:val="20"/>
              </w:rPr>
              <w:t>√</w:t>
            </w:r>
          </w:p>
        </w:tc>
        <w:tc>
          <w:tcPr>
            <w:tcW w:w="113" w:type="dxa"/>
            <w:tcBorders>
              <w:top w:val="nil"/>
              <w:bottom w:val="nil"/>
            </w:tcBorders>
          </w:tcPr>
          <w:p w14:paraId="5915F6DB" w14:textId="77777777" w:rsidR="00410BDF" w:rsidRDefault="00410BDF">
            <w:pPr>
              <w:pStyle w:val="TableParagraph"/>
              <w:rPr>
                <w:rFonts w:ascii="Times New Roman"/>
                <w:sz w:val="18"/>
              </w:rPr>
            </w:pPr>
          </w:p>
        </w:tc>
      </w:tr>
      <w:tr w:rsidR="00410BDF" w14:paraId="583A95E2" w14:textId="77777777">
        <w:trPr>
          <w:trHeight w:val="888"/>
        </w:trPr>
        <w:tc>
          <w:tcPr>
            <w:tcW w:w="113" w:type="dxa"/>
            <w:tcBorders>
              <w:top w:val="nil"/>
              <w:bottom w:val="nil"/>
            </w:tcBorders>
          </w:tcPr>
          <w:p w14:paraId="795C7CDF" w14:textId="77777777" w:rsidR="00410BDF" w:rsidRDefault="00410BDF">
            <w:pPr>
              <w:pStyle w:val="TableParagraph"/>
              <w:rPr>
                <w:rFonts w:ascii="Times New Roman"/>
                <w:sz w:val="18"/>
              </w:rPr>
            </w:pPr>
          </w:p>
        </w:tc>
        <w:tc>
          <w:tcPr>
            <w:tcW w:w="1745" w:type="dxa"/>
            <w:shd w:val="clear" w:color="auto" w:fill="F1F1F1"/>
          </w:tcPr>
          <w:p w14:paraId="6C2F6FDE" w14:textId="77777777" w:rsidR="00410BDF" w:rsidRDefault="00410BDF">
            <w:pPr>
              <w:pStyle w:val="TableParagraph"/>
              <w:rPr>
                <w:rFonts w:ascii="Times New Roman"/>
                <w:sz w:val="18"/>
              </w:rPr>
            </w:pPr>
          </w:p>
        </w:tc>
        <w:tc>
          <w:tcPr>
            <w:tcW w:w="4748" w:type="dxa"/>
            <w:shd w:val="clear" w:color="auto" w:fill="F1F1F1"/>
          </w:tcPr>
          <w:p w14:paraId="72E39766" w14:textId="62DEA5B8" w:rsidR="00410BDF" w:rsidRDefault="00CF7372">
            <w:pPr>
              <w:pStyle w:val="TableParagraph"/>
              <w:spacing w:before="117" w:line="276" w:lineRule="auto"/>
              <w:ind w:left="107"/>
              <w:rPr>
                <w:sz w:val="20"/>
                <w:lang w:eastAsia="ja-JP"/>
              </w:rPr>
            </w:pPr>
            <w:r>
              <w:rPr>
                <w:sz w:val="20"/>
                <w:lang w:eastAsia="ja-JP"/>
              </w:rPr>
              <w:t>土地が排水される場所では、水の</w:t>
            </w:r>
            <w:r w:rsidR="00597918">
              <w:rPr>
                <w:rFonts w:hint="eastAsia"/>
                <w:sz w:val="20"/>
                <w:lang w:eastAsia="ja-JP"/>
              </w:rPr>
              <w:t>飽和</w:t>
            </w:r>
            <w:r>
              <w:rPr>
                <w:sz w:val="20"/>
                <w:lang w:eastAsia="ja-JP"/>
              </w:rPr>
              <w:t>と締固めを避ける。</w:t>
            </w:r>
          </w:p>
        </w:tc>
        <w:tc>
          <w:tcPr>
            <w:tcW w:w="823" w:type="dxa"/>
            <w:shd w:val="clear" w:color="auto" w:fill="F1F1F1"/>
          </w:tcPr>
          <w:p w14:paraId="203418B8" w14:textId="77777777" w:rsidR="00410BDF" w:rsidRDefault="00410BDF">
            <w:pPr>
              <w:pStyle w:val="TableParagraph"/>
              <w:spacing w:before="10"/>
              <w:rPr>
                <w:sz w:val="26"/>
                <w:lang w:eastAsia="ja-JP"/>
              </w:rPr>
            </w:pPr>
          </w:p>
          <w:p w14:paraId="09A51DA5" w14:textId="77777777" w:rsidR="00410BDF" w:rsidRDefault="00CF7372">
            <w:pPr>
              <w:pStyle w:val="TableParagraph"/>
              <w:ind w:left="354"/>
              <w:rPr>
                <w:sz w:val="20"/>
              </w:rPr>
            </w:pPr>
            <w:r>
              <w:rPr>
                <w:w w:val="99"/>
                <w:sz w:val="20"/>
              </w:rPr>
              <w:t>√</w:t>
            </w:r>
          </w:p>
        </w:tc>
        <w:tc>
          <w:tcPr>
            <w:tcW w:w="826" w:type="dxa"/>
            <w:shd w:val="clear" w:color="auto" w:fill="F1F1F1"/>
          </w:tcPr>
          <w:p w14:paraId="1E6EEB68" w14:textId="77777777" w:rsidR="00410BDF" w:rsidRDefault="00410BDF">
            <w:pPr>
              <w:pStyle w:val="TableParagraph"/>
              <w:rPr>
                <w:rFonts w:ascii="Times New Roman"/>
                <w:sz w:val="18"/>
              </w:rPr>
            </w:pPr>
          </w:p>
        </w:tc>
        <w:tc>
          <w:tcPr>
            <w:tcW w:w="984" w:type="dxa"/>
            <w:shd w:val="clear" w:color="auto" w:fill="F1F1F1"/>
          </w:tcPr>
          <w:p w14:paraId="2049AB8E" w14:textId="77777777" w:rsidR="00410BDF" w:rsidRDefault="00410BDF">
            <w:pPr>
              <w:pStyle w:val="TableParagraph"/>
              <w:rPr>
                <w:rFonts w:ascii="Times New Roman"/>
                <w:sz w:val="18"/>
              </w:rPr>
            </w:pPr>
          </w:p>
        </w:tc>
        <w:tc>
          <w:tcPr>
            <w:tcW w:w="113" w:type="dxa"/>
            <w:tcBorders>
              <w:top w:val="nil"/>
              <w:bottom w:val="nil"/>
            </w:tcBorders>
          </w:tcPr>
          <w:p w14:paraId="454737F5" w14:textId="77777777" w:rsidR="00410BDF" w:rsidRDefault="00410BDF">
            <w:pPr>
              <w:pStyle w:val="TableParagraph"/>
              <w:rPr>
                <w:rFonts w:ascii="Times New Roman"/>
                <w:sz w:val="18"/>
              </w:rPr>
            </w:pPr>
          </w:p>
        </w:tc>
      </w:tr>
      <w:tr w:rsidR="00410BDF" w14:paraId="5793402D" w14:textId="77777777">
        <w:trPr>
          <w:trHeight w:val="623"/>
        </w:trPr>
        <w:tc>
          <w:tcPr>
            <w:tcW w:w="113" w:type="dxa"/>
            <w:tcBorders>
              <w:top w:val="nil"/>
              <w:bottom w:val="nil"/>
            </w:tcBorders>
          </w:tcPr>
          <w:p w14:paraId="5A94DDCF" w14:textId="77777777" w:rsidR="00410BDF" w:rsidRDefault="00410BDF">
            <w:pPr>
              <w:pStyle w:val="TableParagraph"/>
              <w:rPr>
                <w:rFonts w:ascii="Times New Roman"/>
                <w:sz w:val="18"/>
              </w:rPr>
            </w:pPr>
          </w:p>
        </w:tc>
        <w:tc>
          <w:tcPr>
            <w:tcW w:w="1745" w:type="dxa"/>
            <w:shd w:val="clear" w:color="auto" w:fill="F1F1F1"/>
          </w:tcPr>
          <w:p w14:paraId="1C0E3ED2" w14:textId="77777777" w:rsidR="00410BDF" w:rsidRDefault="00410BDF">
            <w:pPr>
              <w:pStyle w:val="TableParagraph"/>
              <w:rPr>
                <w:rFonts w:ascii="Times New Roman"/>
                <w:sz w:val="18"/>
              </w:rPr>
            </w:pPr>
          </w:p>
        </w:tc>
        <w:tc>
          <w:tcPr>
            <w:tcW w:w="4748" w:type="dxa"/>
            <w:shd w:val="clear" w:color="auto" w:fill="F1F1F1"/>
          </w:tcPr>
          <w:p w14:paraId="698CB1FD" w14:textId="1288681A" w:rsidR="00410BDF" w:rsidRDefault="00CF7372" w:rsidP="00597918">
            <w:pPr>
              <w:pStyle w:val="TableParagraph"/>
              <w:spacing w:before="119"/>
              <w:ind w:left="107"/>
              <w:rPr>
                <w:sz w:val="13"/>
              </w:rPr>
            </w:pPr>
            <w:r>
              <w:rPr>
                <w:sz w:val="20"/>
              </w:rPr>
              <w:t>永久草原の維持</w:t>
            </w:r>
            <w:r w:rsidR="00597918" w:rsidRPr="00597918">
              <w:rPr>
                <w:sz w:val="20"/>
              </w:rPr>
              <w:t>138</w:t>
            </w:r>
          </w:p>
        </w:tc>
        <w:tc>
          <w:tcPr>
            <w:tcW w:w="823" w:type="dxa"/>
            <w:shd w:val="clear" w:color="auto" w:fill="F1F1F1"/>
          </w:tcPr>
          <w:p w14:paraId="55951D7C" w14:textId="77777777" w:rsidR="00410BDF" w:rsidRDefault="00CF7372">
            <w:pPr>
              <w:pStyle w:val="TableParagraph"/>
              <w:spacing w:before="179"/>
              <w:ind w:left="354"/>
              <w:rPr>
                <w:sz w:val="20"/>
              </w:rPr>
            </w:pPr>
            <w:r>
              <w:rPr>
                <w:w w:val="99"/>
                <w:sz w:val="20"/>
              </w:rPr>
              <w:t>√</w:t>
            </w:r>
          </w:p>
        </w:tc>
        <w:tc>
          <w:tcPr>
            <w:tcW w:w="826" w:type="dxa"/>
            <w:shd w:val="clear" w:color="auto" w:fill="F1F1F1"/>
          </w:tcPr>
          <w:p w14:paraId="5499116F" w14:textId="77777777" w:rsidR="00410BDF" w:rsidRDefault="00CF7372">
            <w:pPr>
              <w:pStyle w:val="TableParagraph"/>
              <w:spacing w:before="179"/>
              <w:ind w:left="9"/>
              <w:jc w:val="center"/>
              <w:rPr>
                <w:sz w:val="20"/>
              </w:rPr>
            </w:pPr>
            <w:r>
              <w:rPr>
                <w:w w:val="99"/>
                <w:sz w:val="20"/>
              </w:rPr>
              <w:t>√</w:t>
            </w:r>
          </w:p>
        </w:tc>
        <w:tc>
          <w:tcPr>
            <w:tcW w:w="984" w:type="dxa"/>
            <w:shd w:val="clear" w:color="auto" w:fill="F1F1F1"/>
          </w:tcPr>
          <w:p w14:paraId="0F3EC50A" w14:textId="77777777" w:rsidR="00410BDF" w:rsidRDefault="00CF7372">
            <w:pPr>
              <w:pStyle w:val="TableParagraph"/>
              <w:spacing w:before="179"/>
              <w:ind w:left="8"/>
              <w:jc w:val="center"/>
              <w:rPr>
                <w:sz w:val="20"/>
              </w:rPr>
            </w:pPr>
            <w:r>
              <w:rPr>
                <w:w w:val="99"/>
                <w:sz w:val="20"/>
              </w:rPr>
              <w:t>√</w:t>
            </w:r>
          </w:p>
        </w:tc>
        <w:tc>
          <w:tcPr>
            <w:tcW w:w="113" w:type="dxa"/>
            <w:tcBorders>
              <w:top w:val="nil"/>
              <w:bottom w:val="nil"/>
            </w:tcBorders>
          </w:tcPr>
          <w:p w14:paraId="7619D1D1" w14:textId="77777777" w:rsidR="00410BDF" w:rsidRDefault="00410BDF">
            <w:pPr>
              <w:pStyle w:val="TableParagraph"/>
              <w:rPr>
                <w:rFonts w:ascii="Times New Roman"/>
                <w:sz w:val="18"/>
              </w:rPr>
            </w:pPr>
          </w:p>
        </w:tc>
      </w:tr>
      <w:tr w:rsidR="00410BDF" w14:paraId="550FB41D" w14:textId="77777777">
        <w:trPr>
          <w:trHeight w:val="1154"/>
        </w:trPr>
        <w:tc>
          <w:tcPr>
            <w:tcW w:w="113" w:type="dxa"/>
            <w:tcBorders>
              <w:top w:val="nil"/>
              <w:bottom w:val="nil"/>
            </w:tcBorders>
          </w:tcPr>
          <w:p w14:paraId="4711E4ED" w14:textId="77777777" w:rsidR="00410BDF" w:rsidRDefault="00410BDF">
            <w:pPr>
              <w:pStyle w:val="TableParagraph"/>
              <w:rPr>
                <w:rFonts w:ascii="Times New Roman"/>
                <w:sz w:val="18"/>
              </w:rPr>
            </w:pPr>
          </w:p>
        </w:tc>
        <w:tc>
          <w:tcPr>
            <w:tcW w:w="1745" w:type="dxa"/>
            <w:shd w:val="clear" w:color="auto" w:fill="F1F1F1"/>
          </w:tcPr>
          <w:p w14:paraId="14882520" w14:textId="77777777" w:rsidR="00410BDF" w:rsidRDefault="00410BDF">
            <w:pPr>
              <w:pStyle w:val="TableParagraph"/>
              <w:rPr>
                <w:rFonts w:ascii="Times New Roman"/>
                <w:sz w:val="18"/>
              </w:rPr>
            </w:pPr>
          </w:p>
        </w:tc>
        <w:tc>
          <w:tcPr>
            <w:tcW w:w="4748" w:type="dxa"/>
            <w:shd w:val="clear" w:color="auto" w:fill="F1F1F1"/>
          </w:tcPr>
          <w:p w14:paraId="46050BF9" w14:textId="160E6246" w:rsidR="00410BDF" w:rsidRDefault="00CF7372">
            <w:pPr>
              <w:pStyle w:val="TableParagraph"/>
              <w:spacing w:before="119" w:line="276" w:lineRule="auto"/>
              <w:ind w:left="107" w:right="106"/>
              <w:rPr>
                <w:sz w:val="13"/>
              </w:rPr>
            </w:pPr>
            <w:r>
              <w:rPr>
                <w:sz w:val="20"/>
                <w:lang w:eastAsia="ja-JP"/>
              </w:rPr>
              <w:t>当局が植物の健康上の理由により免除を与えている場合を除き、耕作可能な</w:t>
            </w:r>
            <w:r w:rsidR="00597918">
              <w:rPr>
                <w:rFonts w:hint="eastAsia"/>
                <w:sz w:val="20"/>
                <w:lang w:eastAsia="ja-JP"/>
              </w:rPr>
              <w:t>刈り株</w:t>
            </w:r>
            <w:r>
              <w:rPr>
                <w:sz w:val="20"/>
                <w:lang w:eastAsia="ja-JP"/>
              </w:rPr>
              <w:t>の燃焼は行わない。</w:t>
            </w:r>
            <w:r>
              <w:rPr>
                <w:sz w:val="20"/>
              </w:rPr>
              <w:t>139。</w:t>
            </w:r>
          </w:p>
        </w:tc>
        <w:tc>
          <w:tcPr>
            <w:tcW w:w="823" w:type="dxa"/>
            <w:shd w:val="clear" w:color="auto" w:fill="F1F1F1"/>
          </w:tcPr>
          <w:p w14:paraId="4AA93702" w14:textId="77777777" w:rsidR="00410BDF" w:rsidRDefault="00410BDF">
            <w:pPr>
              <w:pStyle w:val="TableParagraph"/>
            </w:pPr>
          </w:p>
          <w:p w14:paraId="58B0229D" w14:textId="77777777" w:rsidR="00410BDF" w:rsidRDefault="00CF7372">
            <w:pPr>
              <w:pStyle w:val="TableParagraph"/>
              <w:spacing w:before="190"/>
              <w:ind w:left="354"/>
              <w:rPr>
                <w:sz w:val="20"/>
              </w:rPr>
            </w:pPr>
            <w:r>
              <w:rPr>
                <w:w w:val="99"/>
                <w:sz w:val="20"/>
              </w:rPr>
              <w:t>√</w:t>
            </w:r>
          </w:p>
        </w:tc>
        <w:tc>
          <w:tcPr>
            <w:tcW w:w="826" w:type="dxa"/>
            <w:shd w:val="clear" w:color="auto" w:fill="F1F1F1"/>
          </w:tcPr>
          <w:p w14:paraId="782CC789" w14:textId="77777777" w:rsidR="00410BDF" w:rsidRDefault="00410BDF">
            <w:pPr>
              <w:pStyle w:val="TableParagraph"/>
              <w:rPr>
                <w:rFonts w:ascii="Times New Roman"/>
                <w:sz w:val="18"/>
              </w:rPr>
            </w:pPr>
          </w:p>
        </w:tc>
        <w:tc>
          <w:tcPr>
            <w:tcW w:w="984" w:type="dxa"/>
            <w:shd w:val="clear" w:color="auto" w:fill="F1F1F1"/>
          </w:tcPr>
          <w:p w14:paraId="68EFBF30" w14:textId="77777777" w:rsidR="00410BDF" w:rsidRDefault="00410BDF">
            <w:pPr>
              <w:pStyle w:val="TableParagraph"/>
              <w:rPr>
                <w:rFonts w:ascii="Times New Roman"/>
                <w:sz w:val="18"/>
              </w:rPr>
            </w:pPr>
          </w:p>
        </w:tc>
        <w:tc>
          <w:tcPr>
            <w:tcW w:w="113" w:type="dxa"/>
            <w:tcBorders>
              <w:top w:val="nil"/>
              <w:bottom w:val="nil"/>
            </w:tcBorders>
          </w:tcPr>
          <w:p w14:paraId="50868E58" w14:textId="77777777" w:rsidR="00410BDF" w:rsidRDefault="00410BDF">
            <w:pPr>
              <w:pStyle w:val="TableParagraph"/>
              <w:rPr>
                <w:rFonts w:ascii="Times New Roman"/>
                <w:sz w:val="18"/>
              </w:rPr>
            </w:pPr>
          </w:p>
        </w:tc>
      </w:tr>
      <w:tr w:rsidR="00410BDF" w14:paraId="7A700089" w14:textId="77777777">
        <w:trPr>
          <w:trHeight w:val="1706"/>
        </w:trPr>
        <w:tc>
          <w:tcPr>
            <w:tcW w:w="113" w:type="dxa"/>
            <w:tcBorders>
              <w:top w:val="nil"/>
            </w:tcBorders>
          </w:tcPr>
          <w:p w14:paraId="567D96D3" w14:textId="77777777" w:rsidR="00410BDF" w:rsidRDefault="00410BDF">
            <w:pPr>
              <w:pStyle w:val="TableParagraph"/>
              <w:rPr>
                <w:rFonts w:ascii="Times New Roman"/>
                <w:sz w:val="18"/>
              </w:rPr>
            </w:pPr>
          </w:p>
        </w:tc>
        <w:tc>
          <w:tcPr>
            <w:tcW w:w="1745" w:type="dxa"/>
            <w:tcBorders>
              <w:bottom w:val="single" w:sz="8" w:space="0" w:color="000000"/>
            </w:tcBorders>
            <w:shd w:val="clear" w:color="auto" w:fill="F1F1F1"/>
          </w:tcPr>
          <w:p w14:paraId="2B0FF1C6" w14:textId="77777777" w:rsidR="00410BDF" w:rsidRDefault="00CF7372">
            <w:pPr>
              <w:pStyle w:val="TableParagraph"/>
              <w:spacing w:before="119" w:line="276" w:lineRule="auto"/>
              <w:ind w:left="107" w:right="352"/>
              <w:rPr>
                <w:b/>
                <w:sz w:val="20"/>
                <w:lang w:eastAsia="ja-JP"/>
              </w:rPr>
            </w:pPr>
            <w:r>
              <w:rPr>
                <w:b/>
                <w:sz w:val="20"/>
                <w:lang w:eastAsia="ja-JP"/>
              </w:rPr>
              <w:t>栄養管理(N20排出量削減のため)</w:t>
            </w:r>
          </w:p>
        </w:tc>
        <w:tc>
          <w:tcPr>
            <w:tcW w:w="4748" w:type="dxa"/>
            <w:tcBorders>
              <w:bottom w:val="single" w:sz="8" w:space="0" w:color="000000"/>
            </w:tcBorders>
            <w:shd w:val="clear" w:color="auto" w:fill="F1F1F1"/>
          </w:tcPr>
          <w:p w14:paraId="1DBAF998" w14:textId="77777777" w:rsidR="00410BDF" w:rsidRDefault="00CF7372">
            <w:pPr>
              <w:pStyle w:val="TableParagraph"/>
              <w:spacing w:before="119" w:line="276" w:lineRule="auto"/>
              <w:ind w:left="107" w:right="170"/>
              <w:rPr>
                <w:sz w:val="20"/>
                <w:lang w:eastAsia="ja-JP"/>
              </w:rPr>
            </w:pPr>
            <w:r>
              <w:rPr>
                <w:sz w:val="20"/>
                <w:lang w:eastAsia="ja-JP"/>
              </w:rPr>
              <w:t>肥沃化を最適化し、窒素利用効率を改善するための栄養管理計画。 この計画は、土壌試験、作物の養分要求量の推定、野外特性を考慮した養分施用の記録に基づくべきである。</w:t>
            </w:r>
          </w:p>
          <w:p w14:paraId="29060CB2" w14:textId="6B5E27A8" w:rsidR="00410BDF" w:rsidRDefault="00CF7372">
            <w:pPr>
              <w:pStyle w:val="TableParagraph"/>
              <w:spacing w:before="1"/>
              <w:ind w:left="107"/>
              <w:rPr>
                <w:sz w:val="20"/>
                <w:lang w:eastAsia="ja-JP"/>
              </w:rPr>
            </w:pPr>
            <w:r>
              <w:rPr>
                <w:sz w:val="20"/>
                <w:lang w:eastAsia="ja-JP"/>
              </w:rPr>
              <w:t>土壌の種類、土壌窒素供給量の推定</w:t>
            </w:r>
            <w:r w:rsidR="00597918">
              <w:rPr>
                <w:rFonts w:hint="eastAsia"/>
                <w:sz w:val="20"/>
                <w:lang w:eastAsia="ja-JP"/>
              </w:rPr>
              <w:t>と、</w:t>
            </w:r>
          </w:p>
        </w:tc>
        <w:tc>
          <w:tcPr>
            <w:tcW w:w="823" w:type="dxa"/>
            <w:tcBorders>
              <w:bottom w:val="single" w:sz="8" w:space="0" w:color="000000"/>
            </w:tcBorders>
            <w:shd w:val="clear" w:color="auto" w:fill="F1F1F1"/>
          </w:tcPr>
          <w:p w14:paraId="6821BF49" w14:textId="77777777" w:rsidR="00410BDF" w:rsidRDefault="00410BDF">
            <w:pPr>
              <w:pStyle w:val="TableParagraph"/>
              <w:rPr>
                <w:lang w:eastAsia="ja-JP"/>
              </w:rPr>
            </w:pPr>
          </w:p>
          <w:p w14:paraId="71B43D51" w14:textId="77777777" w:rsidR="00410BDF" w:rsidRDefault="00410BDF">
            <w:pPr>
              <w:pStyle w:val="TableParagraph"/>
              <w:rPr>
                <w:lang w:eastAsia="ja-JP"/>
              </w:rPr>
            </w:pPr>
          </w:p>
          <w:p w14:paraId="2AA1388D" w14:textId="77777777" w:rsidR="00410BDF" w:rsidRDefault="00410BDF">
            <w:pPr>
              <w:pStyle w:val="TableParagraph"/>
              <w:spacing w:before="6"/>
              <w:rPr>
                <w:sz w:val="18"/>
                <w:lang w:eastAsia="ja-JP"/>
              </w:rPr>
            </w:pPr>
          </w:p>
          <w:p w14:paraId="060330E6" w14:textId="77777777" w:rsidR="00410BDF" w:rsidRDefault="00CF7372">
            <w:pPr>
              <w:pStyle w:val="TableParagraph"/>
              <w:ind w:left="354"/>
              <w:rPr>
                <w:sz w:val="20"/>
              </w:rPr>
            </w:pPr>
            <w:r>
              <w:rPr>
                <w:w w:val="99"/>
                <w:sz w:val="20"/>
              </w:rPr>
              <w:t>√</w:t>
            </w:r>
          </w:p>
        </w:tc>
        <w:tc>
          <w:tcPr>
            <w:tcW w:w="826" w:type="dxa"/>
            <w:tcBorders>
              <w:bottom w:val="single" w:sz="8" w:space="0" w:color="000000"/>
            </w:tcBorders>
            <w:shd w:val="clear" w:color="auto" w:fill="F1F1F1"/>
          </w:tcPr>
          <w:p w14:paraId="43779975" w14:textId="77777777" w:rsidR="00410BDF" w:rsidRDefault="00410BDF">
            <w:pPr>
              <w:pStyle w:val="TableParagraph"/>
            </w:pPr>
          </w:p>
          <w:p w14:paraId="5E46F64B" w14:textId="77777777" w:rsidR="00410BDF" w:rsidRDefault="00410BDF">
            <w:pPr>
              <w:pStyle w:val="TableParagraph"/>
            </w:pPr>
          </w:p>
          <w:p w14:paraId="63637E73" w14:textId="77777777" w:rsidR="00410BDF" w:rsidRDefault="00410BDF">
            <w:pPr>
              <w:pStyle w:val="TableParagraph"/>
              <w:spacing w:before="6"/>
              <w:rPr>
                <w:sz w:val="18"/>
              </w:rPr>
            </w:pPr>
          </w:p>
          <w:p w14:paraId="7AF6EE7F" w14:textId="77777777" w:rsidR="00410BDF" w:rsidRDefault="00CF7372">
            <w:pPr>
              <w:pStyle w:val="TableParagraph"/>
              <w:ind w:left="9"/>
              <w:jc w:val="center"/>
              <w:rPr>
                <w:sz w:val="20"/>
              </w:rPr>
            </w:pPr>
            <w:r>
              <w:rPr>
                <w:w w:val="99"/>
                <w:sz w:val="20"/>
              </w:rPr>
              <w:t>√</w:t>
            </w:r>
          </w:p>
        </w:tc>
        <w:tc>
          <w:tcPr>
            <w:tcW w:w="984" w:type="dxa"/>
            <w:tcBorders>
              <w:bottom w:val="single" w:sz="8" w:space="0" w:color="000000"/>
            </w:tcBorders>
            <w:shd w:val="clear" w:color="auto" w:fill="F1F1F1"/>
          </w:tcPr>
          <w:p w14:paraId="6E286D7A" w14:textId="77777777" w:rsidR="00410BDF" w:rsidRDefault="00410BDF">
            <w:pPr>
              <w:pStyle w:val="TableParagraph"/>
            </w:pPr>
          </w:p>
          <w:p w14:paraId="1FFCDE87" w14:textId="77777777" w:rsidR="00410BDF" w:rsidRDefault="00410BDF">
            <w:pPr>
              <w:pStyle w:val="TableParagraph"/>
            </w:pPr>
          </w:p>
          <w:p w14:paraId="42F1A89A" w14:textId="77777777" w:rsidR="00410BDF" w:rsidRDefault="00410BDF">
            <w:pPr>
              <w:pStyle w:val="TableParagraph"/>
              <w:spacing w:before="6"/>
              <w:rPr>
                <w:sz w:val="18"/>
              </w:rPr>
            </w:pPr>
          </w:p>
          <w:p w14:paraId="4BDDE154" w14:textId="77777777" w:rsidR="00410BDF" w:rsidRDefault="00CF7372">
            <w:pPr>
              <w:pStyle w:val="TableParagraph"/>
              <w:ind w:left="8"/>
              <w:jc w:val="center"/>
              <w:rPr>
                <w:sz w:val="20"/>
              </w:rPr>
            </w:pPr>
            <w:r>
              <w:rPr>
                <w:w w:val="99"/>
                <w:sz w:val="20"/>
              </w:rPr>
              <w:t>√</w:t>
            </w:r>
          </w:p>
        </w:tc>
        <w:tc>
          <w:tcPr>
            <w:tcW w:w="113" w:type="dxa"/>
            <w:tcBorders>
              <w:top w:val="nil"/>
            </w:tcBorders>
          </w:tcPr>
          <w:p w14:paraId="1A1A3500" w14:textId="77777777" w:rsidR="00410BDF" w:rsidRDefault="00410BDF">
            <w:pPr>
              <w:pStyle w:val="TableParagraph"/>
              <w:rPr>
                <w:rFonts w:ascii="Times New Roman"/>
                <w:sz w:val="18"/>
              </w:rPr>
            </w:pPr>
          </w:p>
        </w:tc>
      </w:tr>
    </w:tbl>
    <w:p w14:paraId="35D1892C" w14:textId="77777777" w:rsidR="00410BDF" w:rsidRDefault="00410BDF">
      <w:pPr>
        <w:pStyle w:val="a3"/>
      </w:pPr>
    </w:p>
    <w:p w14:paraId="42882B22" w14:textId="77777777" w:rsidR="00410BDF" w:rsidRDefault="00196192">
      <w:pPr>
        <w:pStyle w:val="a3"/>
        <w:spacing w:before="2"/>
        <w:rPr>
          <w:sz w:val="29"/>
        </w:rPr>
      </w:pPr>
      <w:r>
        <w:rPr>
          <w:noProof/>
          <w:lang w:val="en-US" w:eastAsia="ja-JP"/>
        </w:rPr>
        <mc:AlternateContent>
          <mc:Choice Requires="wps">
            <w:drawing>
              <wp:anchor distT="0" distB="0" distL="0" distR="0" simplePos="0" relativeHeight="251664896" behindDoc="1" locked="0" layoutInCell="1" allowOverlap="1" wp14:anchorId="0CBD0027" wp14:editId="49BB7E75">
                <wp:simplePos x="0" y="0"/>
                <wp:positionH relativeFrom="page">
                  <wp:posOffset>914400</wp:posOffset>
                </wp:positionH>
                <wp:positionV relativeFrom="paragraph">
                  <wp:posOffset>241300</wp:posOffset>
                </wp:positionV>
                <wp:extent cx="1829435" cy="0"/>
                <wp:effectExtent l="9525" t="6350" r="8890" b="12700"/>
                <wp:wrapTopAndBottom/>
                <wp:docPr id="10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9045D" id="Line 94" o:spid="_x0000_s1026" style="position:absolute;left:0;text-align:lef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pt" to="21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P9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" strokeweight=".16936mm">
                <w10:wrap type="topAndBottom" anchorx="page"/>
              </v:line>
            </w:pict>
          </mc:Fallback>
        </mc:AlternateContent>
      </w:r>
    </w:p>
    <w:p w14:paraId="7CEBA27F" w14:textId="77777777" w:rsidR="00410BDF" w:rsidRDefault="00410BDF">
      <w:pPr>
        <w:pStyle w:val="a3"/>
        <w:spacing w:before="10"/>
        <w:rPr>
          <w:sz w:val="16"/>
        </w:rPr>
      </w:pPr>
    </w:p>
    <w:p w14:paraId="76C5D898" w14:textId="77777777" w:rsidR="00410BDF" w:rsidRDefault="00CF7372">
      <w:pPr>
        <w:spacing w:before="98"/>
        <w:ind w:left="100"/>
        <w:rPr>
          <w:sz w:val="16"/>
        </w:rPr>
      </w:pPr>
      <w:r>
        <w:rPr>
          <w:position w:val="6"/>
          <w:sz w:val="10"/>
        </w:rPr>
        <w:t>138 COM(2018)392の附属書IIIのGAEC 1と一致</w:t>
      </w:r>
    </w:p>
    <w:p w14:paraId="1F13462B" w14:textId="77777777" w:rsidR="00410BDF" w:rsidRDefault="00410BDF">
      <w:pPr>
        <w:pStyle w:val="a3"/>
        <w:spacing w:before="7"/>
      </w:pPr>
    </w:p>
    <w:p w14:paraId="41779858" w14:textId="77777777" w:rsidR="00410BDF" w:rsidRDefault="00CF7372">
      <w:pPr>
        <w:ind w:left="100"/>
        <w:rPr>
          <w:sz w:val="16"/>
          <w:lang w:eastAsia="ja-JP"/>
        </w:rPr>
      </w:pPr>
      <w:r>
        <w:rPr>
          <w:position w:val="6"/>
          <w:sz w:val="10"/>
          <w:lang w:eastAsia="ja-JP"/>
        </w:rPr>
        <w:t>EUでは、これはCOM(2018)392の附属書IIIのGAEC 3に沿った免除を与える加盟国と解釈されるべきである。</w:t>
      </w:r>
    </w:p>
    <w:p w14:paraId="241C2EB4" w14:textId="77777777" w:rsidR="00410BDF" w:rsidRDefault="00410BDF">
      <w:pPr>
        <w:rPr>
          <w:sz w:val="16"/>
          <w:lang w:eastAsia="ja-JP"/>
        </w:rPr>
        <w:sectPr w:rsidR="00410BD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45"/>
        <w:gridCol w:w="4748"/>
        <w:gridCol w:w="823"/>
        <w:gridCol w:w="826"/>
        <w:gridCol w:w="984"/>
        <w:gridCol w:w="113"/>
      </w:tblGrid>
      <w:tr w:rsidR="00410BDF" w14:paraId="7E741D2B" w14:textId="77777777">
        <w:trPr>
          <w:trHeight w:val="2860"/>
        </w:trPr>
        <w:tc>
          <w:tcPr>
            <w:tcW w:w="113" w:type="dxa"/>
            <w:tcBorders>
              <w:bottom w:val="nil"/>
            </w:tcBorders>
          </w:tcPr>
          <w:p w14:paraId="683874D9" w14:textId="77777777" w:rsidR="00410BDF" w:rsidRDefault="00410BDF">
            <w:pPr>
              <w:pStyle w:val="TableParagraph"/>
              <w:rPr>
                <w:rFonts w:ascii="Times New Roman"/>
                <w:sz w:val="18"/>
                <w:lang w:eastAsia="ja-JP"/>
              </w:rPr>
            </w:pPr>
          </w:p>
        </w:tc>
        <w:tc>
          <w:tcPr>
            <w:tcW w:w="1745" w:type="dxa"/>
            <w:tcBorders>
              <w:top w:val="single" w:sz="8" w:space="0" w:color="000000"/>
            </w:tcBorders>
            <w:shd w:val="clear" w:color="auto" w:fill="F1F1F1"/>
          </w:tcPr>
          <w:p w14:paraId="58E79148" w14:textId="77777777" w:rsidR="00410BDF" w:rsidRDefault="00410BDF">
            <w:pPr>
              <w:pStyle w:val="TableParagraph"/>
              <w:rPr>
                <w:rFonts w:ascii="Times New Roman"/>
                <w:sz w:val="18"/>
                <w:lang w:eastAsia="ja-JP"/>
              </w:rPr>
            </w:pPr>
          </w:p>
        </w:tc>
        <w:tc>
          <w:tcPr>
            <w:tcW w:w="4748" w:type="dxa"/>
            <w:tcBorders>
              <w:top w:val="single" w:sz="8" w:space="0" w:color="000000"/>
            </w:tcBorders>
            <w:shd w:val="clear" w:color="auto" w:fill="F1F1F1"/>
          </w:tcPr>
          <w:p w14:paraId="46BD58F0" w14:textId="795E237C" w:rsidR="00410BDF" w:rsidRDefault="00CF7372">
            <w:pPr>
              <w:pStyle w:val="TableParagraph"/>
              <w:spacing w:line="278" w:lineRule="auto"/>
              <w:ind w:left="107" w:right="397"/>
              <w:rPr>
                <w:sz w:val="20"/>
                <w:lang w:eastAsia="ja-JP"/>
              </w:rPr>
            </w:pPr>
            <w:r>
              <w:rPr>
                <w:sz w:val="20"/>
                <w:lang w:eastAsia="ja-JP"/>
              </w:rPr>
              <w:t>該当する場合は、施用前の糞尿中の栄養成分の分析</w:t>
            </w:r>
            <w:r w:rsidR="00597918">
              <w:rPr>
                <w:rFonts w:hint="eastAsia"/>
                <w:sz w:val="20"/>
                <w:lang w:eastAsia="ja-JP"/>
              </w:rPr>
              <w:t>を行うこと</w:t>
            </w:r>
            <w:r>
              <w:rPr>
                <w:sz w:val="20"/>
                <w:lang w:eastAsia="ja-JP"/>
              </w:rPr>
              <w:t>。</w:t>
            </w:r>
          </w:p>
          <w:p w14:paraId="6909CA99" w14:textId="77777777" w:rsidR="00410BDF" w:rsidRDefault="00410BDF">
            <w:pPr>
              <w:pStyle w:val="TableParagraph"/>
              <w:spacing w:before="6"/>
              <w:rPr>
                <w:sz w:val="20"/>
                <w:lang w:eastAsia="ja-JP"/>
              </w:rPr>
            </w:pPr>
          </w:p>
          <w:p w14:paraId="37AE4080" w14:textId="40DCCD14" w:rsidR="00410BDF" w:rsidRDefault="00CF7372">
            <w:pPr>
              <w:pStyle w:val="TableParagraph"/>
              <w:spacing w:line="276" w:lineRule="auto"/>
              <w:ind w:left="107"/>
              <w:rPr>
                <w:sz w:val="20"/>
                <w:lang w:eastAsia="ja-JP"/>
              </w:rPr>
            </w:pPr>
            <w:r>
              <w:rPr>
                <w:sz w:val="20"/>
                <w:lang w:eastAsia="ja-JP"/>
              </w:rPr>
              <w:t>さらに、低排出窒素施用技術(例えば、散布後2時間以内に土壌に堆肥を組み込んだスラリー注入)や、散布機の</w:t>
            </w:r>
            <w:r w:rsidR="00597918">
              <w:rPr>
                <w:rFonts w:hint="eastAsia"/>
                <w:sz w:val="20"/>
                <w:lang w:eastAsia="ja-JP"/>
              </w:rPr>
              <w:t>調整</w:t>
            </w:r>
            <w:r>
              <w:rPr>
                <w:sz w:val="20"/>
                <w:lang w:eastAsia="ja-JP"/>
              </w:rPr>
              <w:t>と組み合わせて、低い変動係数を持つ肥料散布機(合成肥料と農場堆肥(例えば、注入による土壌中への窒素投入)が必要である。</w:t>
            </w:r>
          </w:p>
        </w:tc>
        <w:tc>
          <w:tcPr>
            <w:tcW w:w="823" w:type="dxa"/>
            <w:tcBorders>
              <w:top w:val="single" w:sz="8" w:space="0" w:color="000000"/>
            </w:tcBorders>
            <w:shd w:val="clear" w:color="auto" w:fill="F1F1F1"/>
          </w:tcPr>
          <w:p w14:paraId="32ED3E13" w14:textId="77777777" w:rsidR="00410BDF" w:rsidRDefault="00410BDF">
            <w:pPr>
              <w:pStyle w:val="TableParagraph"/>
              <w:rPr>
                <w:rFonts w:ascii="Times New Roman"/>
                <w:sz w:val="18"/>
                <w:lang w:eastAsia="ja-JP"/>
              </w:rPr>
            </w:pPr>
          </w:p>
        </w:tc>
        <w:tc>
          <w:tcPr>
            <w:tcW w:w="826" w:type="dxa"/>
            <w:tcBorders>
              <w:top w:val="single" w:sz="8" w:space="0" w:color="000000"/>
            </w:tcBorders>
            <w:shd w:val="clear" w:color="auto" w:fill="F1F1F1"/>
          </w:tcPr>
          <w:p w14:paraId="527334FF" w14:textId="77777777" w:rsidR="00410BDF" w:rsidRDefault="00410BDF">
            <w:pPr>
              <w:pStyle w:val="TableParagraph"/>
              <w:rPr>
                <w:rFonts w:ascii="Times New Roman"/>
                <w:sz w:val="18"/>
                <w:lang w:eastAsia="ja-JP"/>
              </w:rPr>
            </w:pPr>
          </w:p>
        </w:tc>
        <w:tc>
          <w:tcPr>
            <w:tcW w:w="984" w:type="dxa"/>
            <w:tcBorders>
              <w:top w:val="single" w:sz="8" w:space="0" w:color="000000"/>
            </w:tcBorders>
            <w:shd w:val="clear" w:color="auto" w:fill="F1F1F1"/>
          </w:tcPr>
          <w:p w14:paraId="28C4E92A" w14:textId="77777777" w:rsidR="00410BDF" w:rsidRDefault="00410BDF">
            <w:pPr>
              <w:pStyle w:val="TableParagraph"/>
              <w:rPr>
                <w:rFonts w:ascii="Times New Roman"/>
                <w:sz w:val="18"/>
                <w:lang w:eastAsia="ja-JP"/>
              </w:rPr>
            </w:pPr>
          </w:p>
        </w:tc>
        <w:tc>
          <w:tcPr>
            <w:tcW w:w="113" w:type="dxa"/>
            <w:tcBorders>
              <w:bottom w:val="nil"/>
            </w:tcBorders>
          </w:tcPr>
          <w:p w14:paraId="2531B186" w14:textId="77777777" w:rsidR="00410BDF" w:rsidRDefault="00410BDF">
            <w:pPr>
              <w:pStyle w:val="TableParagraph"/>
              <w:rPr>
                <w:rFonts w:ascii="Times New Roman"/>
                <w:sz w:val="18"/>
                <w:lang w:eastAsia="ja-JP"/>
              </w:rPr>
            </w:pPr>
          </w:p>
        </w:tc>
      </w:tr>
      <w:tr w:rsidR="00410BDF" w14:paraId="1A293B22" w14:textId="77777777">
        <w:trPr>
          <w:trHeight w:val="1946"/>
        </w:trPr>
        <w:tc>
          <w:tcPr>
            <w:tcW w:w="113" w:type="dxa"/>
            <w:tcBorders>
              <w:top w:val="nil"/>
              <w:bottom w:val="nil"/>
            </w:tcBorders>
          </w:tcPr>
          <w:p w14:paraId="4790035D" w14:textId="77777777" w:rsidR="00410BDF" w:rsidRDefault="00410BDF">
            <w:pPr>
              <w:pStyle w:val="TableParagraph"/>
              <w:rPr>
                <w:rFonts w:ascii="Times New Roman"/>
                <w:sz w:val="18"/>
                <w:lang w:eastAsia="ja-JP"/>
              </w:rPr>
            </w:pPr>
          </w:p>
        </w:tc>
        <w:tc>
          <w:tcPr>
            <w:tcW w:w="1745" w:type="dxa"/>
            <w:shd w:val="clear" w:color="auto" w:fill="F1F1F1"/>
          </w:tcPr>
          <w:p w14:paraId="7ADDF3A7" w14:textId="77777777" w:rsidR="00410BDF" w:rsidRDefault="00CF7372">
            <w:pPr>
              <w:pStyle w:val="TableParagraph"/>
              <w:spacing w:before="119" w:line="276" w:lineRule="auto"/>
              <w:ind w:left="107" w:right="36"/>
              <w:rPr>
                <w:b/>
                <w:sz w:val="20"/>
                <w:lang w:eastAsia="ja-JP"/>
              </w:rPr>
            </w:pPr>
            <w:r>
              <w:rPr>
                <w:b/>
                <w:sz w:val="20"/>
                <w:lang w:eastAsia="ja-JP"/>
              </w:rPr>
              <w:t>緩和便益を有する構造的要素(C隔離を増加させるため)</w:t>
            </w:r>
          </w:p>
        </w:tc>
        <w:tc>
          <w:tcPr>
            <w:tcW w:w="4748" w:type="dxa"/>
            <w:shd w:val="clear" w:color="auto" w:fill="F1F1F1"/>
          </w:tcPr>
          <w:p w14:paraId="2FD94AF3" w14:textId="77777777" w:rsidR="00410BDF" w:rsidRDefault="00CF7372">
            <w:pPr>
              <w:pStyle w:val="TableParagraph"/>
              <w:spacing w:before="119" w:line="276" w:lineRule="auto"/>
              <w:ind w:left="107"/>
              <w:rPr>
                <w:sz w:val="20"/>
                <w:lang w:eastAsia="ja-JP"/>
              </w:rPr>
            </w:pPr>
            <w:r>
              <w:rPr>
                <w:sz w:val="20"/>
                <w:lang w:eastAsia="ja-JP"/>
              </w:rPr>
              <w:t>Cの隔離を増やし、土壌浸食から保護するために、生産性の低い土地(例えば、畑の端に沿った)を林地に転換すること。</w:t>
            </w:r>
          </w:p>
        </w:tc>
        <w:tc>
          <w:tcPr>
            <w:tcW w:w="823" w:type="dxa"/>
            <w:shd w:val="clear" w:color="auto" w:fill="F1F1F1"/>
          </w:tcPr>
          <w:p w14:paraId="3E1D1ABA" w14:textId="77777777" w:rsidR="00410BDF" w:rsidRDefault="00410BDF">
            <w:pPr>
              <w:pStyle w:val="TableParagraph"/>
              <w:rPr>
                <w:rFonts w:ascii="Times New Roman"/>
                <w:sz w:val="18"/>
                <w:lang w:eastAsia="ja-JP"/>
              </w:rPr>
            </w:pPr>
          </w:p>
        </w:tc>
        <w:tc>
          <w:tcPr>
            <w:tcW w:w="826" w:type="dxa"/>
            <w:shd w:val="clear" w:color="auto" w:fill="F1F1F1"/>
          </w:tcPr>
          <w:p w14:paraId="7D973239" w14:textId="77777777" w:rsidR="00410BDF" w:rsidRDefault="00410BDF">
            <w:pPr>
              <w:pStyle w:val="TableParagraph"/>
              <w:rPr>
                <w:lang w:eastAsia="ja-JP"/>
              </w:rPr>
            </w:pPr>
          </w:p>
          <w:p w14:paraId="2C6EC10D" w14:textId="77777777" w:rsidR="00410BDF" w:rsidRDefault="00410BDF">
            <w:pPr>
              <w:pStyle w:val="TableParagraph"/>
              <w:rPr>
                <w:lang w:eastAsia="ja-JP"/>
              </w:rPr>
            </w:pPr>
          </w:p>
          <w:p w14:paraId="2FF0CB71" w14:textId="77777777" w:rsidR="00410BDF" w:rsidRDefault="00410BDF">
            <w:pPr>
              <w:pStyle w:val="TableParagraph"/>
              <w:spacing w:before="2"/>
              <w:rPr>
                <w:sz w:val="29"/>
                <w:lang w:eastAsia="ja-JP"/>
              </w:rPr>
            </w:pPr>
          </w:p>
          <w:p w14:paraId="43B97EF9" w14:textId="77777777" w:rsidR="00410BDF" w:rsidRDefault="00CF7372">
            <w:pPr>
              <w:pStyle w:val="TableParagraph"/>
              <w:spacing w:before="1"/>
              <w:ind w:left="9"/>
              <w:jc w:val="center"/>
              <w:rPr>
                <w:sz w:val="20"/>
              </w:rPr>
            </w:pPr>
            <w:r>
              <w:rPr>
                <w:w w:val="99"/>
                <w:sz w:val="20"/>
              </w:rPr>
              <w:t>√</w:t>
            </w:r>
          </w:p>
        </w:tc>
        <w:tc>
          <w:tcPr>
            <w:tcW w:w="984" w:type="dxa"/>
            <w:shd w:val="clear" w:color="auto" w:fill="F1F1F1"/>
          </w:tcPr>
          <w:p w14:paraId="3E48F6E4" w14:textId="77777777" w:rsidR="00410BDF" w:rsidRDefault="00410BDF">
            <w:pPr>
              <w:pStyle w:val="TableParagraph"/>
            </w:pPr>
          </w:p>
          <w:p w14:paraId="103459E7" w14:textId="77777777" w:rsidR="00410BDF" w:rsidRDefault="00410BDF">
            <w:pPr>
              <w:pStyle w:val="TableParagraph"/>
            </w:pPr>
          </w:p>
          <w:p w14:paraId="4369BAED" w14:textId="77777777" w:rsidR="00410BDF" w:rsidRDefault="00410BDF">
            <w:pPr>
              <w:pStyle w:val="TableParagraph"/>
              <w:spacing w:before="2"/>
              <w:rPr>
                <w:sz w:val="29"/>
              </w:rPr>
            </w:pPr>
          </w:p>
          <w:p w14:paraId="4A34DEED" w14:textId="77777777" w:rsidR="00410BDF" w:rsidRDefault="00CF7372">
            <w:pPr>
              <w:pStyle w:val="TableParagraph"/>
              <w:spacing w:before="1"/>
              <w:ind w:left="8"/>
              <w:jc w:val="center"/>
              <w:rPr>
                <w:sz w:val="20"/>
              </w:rPr>
            </w:pPr>
            <w:r>
              <w:rPr>
                <w:w w:val="99"/>
                <w:sz w:val="20"/>
              </w:rPr>
              <w:t>√</w:t>
            </w:r>
          </w:p>
        </w:tc>
        <w:tc>
          <w:tcPr>
            <w:tcW w:w="113" w:type="dxa"/>
            <w:tcBorders>
              <w:top w:val="nil"/>
              <w:bottom w:val="nil"/>
            </w:tcBorders>
          </w:tcPr>
          <w:p w14:paraId="69591937" w14:textId="77777777" w:rsidR="00410BDF" w:rsidRDefault="00410BDF">
            <w:pPr>
              <w:pStyle w:val="TableParagraph"/>
              <w:rPr>
                <w:rFonts w:ascii="Times New Roman"/>
                <w:sz w:val="18"/>
              </w:rPr>
            </w:pPr>
          </w:p>
        </w:tc>
      </w:tr>
      <w:tr w:rsidR="00410BDF" w14:paraId="74597604" w14:textId="77777777">
        <w:trPr>
          <w:trHeight w:val="890"/>
        </w:trPr>
        <w:tc>
          <w:tcPr>
            <w:tcW w:w="113" w:type="dxa"/>
            <w:tcBorders>
              <w:top w:val="nil"/>
              <w:bottom w:val="nil"/>
            </w:tcBorders>
          </w:tcPr>
          <w:p w14:paraId="3ACE4D43" w14:textId="77777777" w:rsidR="00410BDF" w:rsidRDefault="00410BDF">
            <w:pPr>
              <w:pStyle w:val="TableParagraph"/>
              <w:rPr>
                <w:rFonts w:ascii="Times New Roman"/>
                <w:sz w:val="18"/>
              </w:rPr>
            </w:pPr>
          </w:p>
        </w:tc>
        <w:tc>
          <w:tcPr>
            <w:tcW w:w="1745" w:type="dxa"/>
            <w:shd w:val="clear" w:color="auto" w:fill="F1F1F1"/>
          </w:tcPr>
          <w:p w14:paraId="1776C8E0" w14:textId="77777777" w:rsidR="00410BDF" w:rsidRDefault="00CF7372">
            <w:pPr>
              <w:pStyle w:val="TableParagraph"/>
              <w:spacing w:before="122" w:line="276" w:lineRule="auto"/>
              <w:ind w:left="107" w:right="352"/>
              <w:rPr>
                <w:b/>
                <w:sz w:val="20"/>
              </w:rPr>
            </w:pPr>
            <w:proofErr w:type="spellStart"/>
            <w:r>
              <w:rPr>
                <w:b/>
                <w:sz w:val="20"/>
              </w:rPr>
              <w:t>廃棄物管理</w:t>
            </w:r>
            <w:proofErr w:type="spellEnd"/>
          </w:p>
        </w:tc>
        <w:tc>
          <w:tcPr>
            <w:tcW w:w="4748" w:type="dxa"/>
            <w:shd w:val="clear" w:color="auto" w:fill="F1F1F1"/>
          </w:tcPr>
          <w:p w14:paraId="4305026E" w14:textId="77777777" w:rsidR="00410BDF" w:rsidRDefault="00CF7372">
            <w:pPr>
              <w:pStyle w:val="TableParagraph"/>
              <w:spacing w:before="122"/>
              <w:ind w:left="107"/>
              <w:rPr>
                <w:sz w:val="20"/>
                <w:lang w:eastAsia="ja-JP"/>
              </w:rPr>
            </w:pPr>
            <w:r>
              <w:rPr>
                <w:sz w:val="20"/>
                <w:lang w:eastAsia="ja-JP"/>
              </w:rPr>
              <w:t>収穫後の損失を最小限に抑える</w:t>
            </w:r>
          </w:p>
        </w:tc>
        <w:tc>
          <w:tcPr>
            <w:tcW w:w="823" w:type="dxa"/>
            <w:shd w:val="clear" w:color="auto" w:fill="F1F1F1"/>
          </w:tcPr>
          <w:p w14:paraId="323B139F" w14:textId="77777777" w:rsidR="00410BDF" w:rsidRDefault="00410BDF">
            <w:pPr>
              <w:pStyle w:val="TableParagraph"/>
              <w:spacing w:before="3"/>
              <w:rPr>
                <w:sz w:val="27"/>
                <w:lang w:eastAsia="ja-JP"/>
              </w:rPr>
            </w:pPr>
          </w:p>
          <w:p w14:paraId="1F6C968D" w14:textId="77777777" w:rsidR="00410BDF" w:rsidRDefault="00CF7372">
            <w:pPr>
              <w:pStyle w:val="TableParagraph"/>
              <w:ind w:left="354"/>
              <w:rPr>
                <w:sz w:val="20"/>
              </w:rPr>
            </w:pPr>
            <w:r>
              <w:rPr>
                <w:w w:val="99"/>
                <w:sz w:val="20"/>
              </w:rPr>
              <w:t>√</w:t>
            </w:r>
          </w:p>
        </w:tc>
        <w:tc>
          <w:tcPr>
            <w:tcW w:w="826" w:type="dxa"/>
            <w:shd w:val="clear" w:color="auto" w:fill="F1F1F1"/>
          </w:tcPr>
          <w:p w14:paraId="23D86642" w14:textId="77777777" w:rsidR="00410BDF" w:rsidRDefault="00410BDF">
            <w:pPr>
              <w:pStyle w:val="TableParagraph"/>
              <w:rPr>
                <w:rFonts w:ascii="Times New Roman"/>
                <w:sz w:val="18"/>
              </w:rPr>
            </w:pPr>
          </w:p>
        </w:tc>
        <w:tc>
          <w:tcPr>
            <w:tcW w:w="984" w:type="dxa"/>
            <w:shd w:val="clear" w:color="auto" w:fill="F1F1F1"/>
          </w:tcPr>
          <w:p w14:paraId="3FD7ACF2" w14:textId="77777777" w:rsidR="00410BDF" w:rsidRDefault="00410BDF">
            <w:pPr>
              <w:pStyle w:val="TableParagraph"/>
              <w:rPr>
                <w:rFonts w:ascii="Times New Roman"/>
                <w:sz w:val="18"/>
              </w:rPr>
            </w:pPr>
          </w:p>
        </w:tc>
        <w:tc>
          <w:tcPr>
            <w:tcW w:w="113" w:type="dxa"/>
            <w:tcBorders>
              <w:top w:val="nil"/>
              <w:bottom w:val="nil"/>
            </w:tcBorders>
          </w:tcPr>
          <w:p w14:paraId="501297E1" w14:textId="77777777" w:rsidR="00410BDF" w:rsidRDefault="00410BDF">
            <w:pPr>
              <w:pStyle w:val="TableParagraph"/>
              <w:rPr>
                <w:rFonts w:ascii="Times New Roman"/>
                <w:sz w:val="18"/>
              </w:rPr>
            </w:pPr>
          </w:p>
        </w:tc>
      </w:tr>
      <w:tr w:rsidR="00410BDF" w14:paraId="1B84216F" w14:textId="77777777">
        <w:trPr>
          <w:trHeight w:val="4039"/>
        </w:trPr>
        <w:tc>
          <w:tcPr>
            <w:tcW w:w="113" w:type="dxa"/>
            <w:tcBorders>
              <w:top w:val="nil"/>
            </w:tcBorders>
          </w:tcPr>
          <w:p w14:paraId="27116B25" w14:textId="77777777" w:rsidR="00410BDF" w:rsidRDefault="00410BDF">
            <w:pPr>
              <w:pStyle w:val="TableParagraph"/>
              <w:rPr>
                <w:rFonts w:ascii="Times New Roman"/>
                <w:sz w:val="18"/>
              </w:rPr>
            </w:pPr>
          </w:p>
        </w:tc>
        <w:tc>
          <w:tcPr>
            <w:tcW w:w="1745" w:type="dxa"/>
            <w:tcBorders>
              <w:bottom w:val="single" w:sz="8" w:space="0" w:color="000000"/>
            </w:tcBorders>
            <w:shd w:val="clear" w:color="auto" w:fill="F1F1F1"/>
          </w:tcPr>
          <w:p w14:paraId="62482F4C" w14:textId="77777777" w:rsidR="00410BDF" w:rsidRDefault="00CF7372">
            <w:pPr>
              <w:pStyle w:val="TableParagraph"/>
              <w:spacing w:before="119"/>
              <w:ind w:left="107"/>
              <w:rPr>
                <w:b/>
                <w:sz w:val="20"/>
              </w:rPr>
            </w:pPr>
            <w:proofErr w:type="spellStart"/>
            <w:r>
              <w:rPr>
                <w:b/>
                <w:sz w:val="20"/>
              </w:rPr>
              <w:t>エネルギー使用量</w:t>
            </w:r>
            <w:proofErr w:type="spellEnd"/>
          </w:p>
        </w:tc>
        <w:tc>
          <w:tcPr>
            <w:tcW w:w="4748" w:type="dxa"/>
            <w:tcBorders>
              <w:bottom w:val="single" w:sz="8" w:space="0" w:color="000000"/>
            </w:tcBorders>
            <w:shd w:val="clear" w:color="auto" w:fill="F1F1F1"/>
          </w:tcPr>
          <w:p w14:paraId="064B740B" w14:textId="2E0F23DC" w:rsidR="00410BDF" w:rsidRDefault="00CF7372" w:rsidP="00597918">
            <w:pPr>
              <w:pStyle w:val="TableParagraph"/>
              <w:spacing w:before="119" w:line="276" w:lineRule="auto"/>
              <w:ind w:left="107" w:right="219"/>
              <w:rPr>
                <w:sz w:val="20"/>
                <w:lang w:eastAsia="ja-JP"/>
              </w:rPr>
            </w:pPr>
            <w:r>
              <w:rPr>
                <w:sz w:val="20"/>
                <w:lang w:eastAsia="ja-JP"/>
              </w:rPr>
              <w:t>非多年生作物生産活動からの総排出量の20%以上をエネルギー排出が占める場合には、これらの排出量は、投資期間中に適切に削減されるべきである。すなわち、P11に概説されている</w:t>
            </w:r>
            <w:r w:rsidR="00597918">
              <w:rPr>
                <w:rFonts w:hint="eastAsia"/>
                <w:sz w:val="20"/>
                <w:lang w:eastAsia="ja-JP"/>
              </w:rPr>
              <w:t>手順</w:t>
            </w:r>
            <w:r>
              <w:rPr>
                <w:sz w:val="20"/>
                <w:lang w:eastAsia="ja-JP"/>
              </w:rPr>
              <w:t>に沿って、5年間の投資期間については2020年ベースラインに比べて少なくとも10%、2030年までの10年間の投資期間については2020年ベースラインに比べて20%、2020年ベースラインに比べて30%削減されるべきであり、中期の投資については比例調整が行われるべきである。</w:t>
            </w:r>
          </w:p>
        </w:tc>
        <w:tc>
          <w:tcPr>
            <w:tcW w:w="823" w:type="dxa"/>
            <w:tcBorders>
              <w:bottom w:val="single" w:sz="8" w:space="0" w:color="000000"/>
            </w:tcBorders>
            <w:shd w:val="clear" w:color="auto" w:fill="F1F1F1"/>
          </w:tcPr>
          <w:p w14:paraId="17AF8006" w14:textId="77777777" w:rsidR="00410BDF" w:rsidRDefault="00410BDF">
            <w:pPr>
              <w:pStyle w:val="TableParagraph"/>
              <w:rPr>
                <w:lang w:eastAsia="ja-JP"/>
              </w:rPr>
            </w:pPr>
          </w:p>
          <w:p w14:paraId="42CF183B" w14:textId="77777777" w:rsidR="00410BDF" w:rsidRDefault="00410BDF">
            <w:pPr>
              <w:pStyle w:val="TableParagraph"/>
              <w:rPr>
                <w:lang w:eastAsia="ja-JP"/>
              </w:rPr>
            </w:pPr>
          </w:p>
          <w:p w14:paraId="1DE1762A" w14:textId="77777777" w:rsidR="00410BDF" w:rsidRDefault="00410BDF">
            <w:pPr>
              <w:pStyle w:val="TableParagraph"/>
              <w:rPr>
                <w:lang w:eastAsia="ja-JP"/>
              </w:rPr>
            </w:pPr>
          </w:p>
          <w:p w14:paraId="6D7EDDDB" w14:textId="77777777" w:rsidR="00410BDF" w:rsidRDefault="00410BDF">
            <w:pPr>
              <w:pStyle w:val="TableParagraph"/>
              <w:rPr>
                <w:lang w:eastAsia="ja-JP"/>
              </w:rPr>
            </w:pPr>
          </w:p>
          <w:p w14:paraId="37120808" w14:textId="77777777" w:rsidR="00410BDF" w:rsidRDefault="00410BDF">
            <w:pPr>
              <w:pStyle w:val="TableParagraph"/>
              <w:rPr>
                <w:lang w:eastAsia="ja-JP"/>
              </w:rPr>
            </w:pPr>
          </w:p>
          <w:p w14:paraId="49CADCEB" w14:textId="77777777" w:rsidR="00410BDF" w:rsidRDefault="00410BDF">
            <w:pPr>
              <w:pStyle w:val="TableParagraph"/>
              <w:rPr>
                <w:lang w:eastAsia="ja-JP"/>
              </w:rPr>
            </w:pPr>
          </w:p>
          <w:p w14:paraId="0689FE30" w14:textId="77777777" w:rsidR="00410BDF" w:rsidRDefault="00410BDF">
            <w:pPr>
              <w:pStyle w:val="TableParagraph"/>
              <w:rPr>
                <w:sz w:val="32"/>
                <w:lang w:eastAsia="ja-JP"/>
              </w:rPr>
            </w:pPr>
          </w:p>
          <w:p w14:paraId="76E9309B" w14:textId="77777777" w:rsidR="00410BDF" w:rsidRDefault="00CF7372">
            <w:pPr>
              <w:pStyle w:val="TableParagraph"/>
              <w:ind w:left="354"/>
              <w:rPr>
                <w:sz w:val="20"/>
              </w:rPr>
            </w:pPr>
            <w:r>
              <w:rPr>
                <w:w w:val="99"/>
                <w:sz w:val="20"/>
              </w:rPr>
              <w:t>√</w:t>
            </w:r>
          </w:p>
        </w:tc>
        <w:tc>
          <w:tcPr>
            <w:tcW w:w="826" w:type="dxa"/>
            <w:tcBorders>
              <w:bottom w:val="single" w:sz="8" w:space="0" w:color="000000"/>
            </w:tcBorders>
            <w:shd w:val="clear" w:color="auto" w:fill="F1F1F1"/>
          </w:tcPr>
          <w:p w14:paraId="6AFA9AD9" w14:textId="77777777" w:rsidR="00410BDF" w:rsidRDefault="00410BDF">
            <w:pPr>
              <w:pStyle w:val="TableParagraph"/>
              <w:rPr>
                <w:rFonts w:ascii="Times New Roman"/>
                <w:sz w:val="18"/>
              </w:rPr>
            </w:pPr>
          </w:p>
        </w:tc>
        <w:tc>
          <w:tcPr>
            <w:tcW w:w="984" w:type="dxa"/>
            <w:tcBorders>
              <w:bottom w:val="single" w:sz="8" w:space="0" w:color="000000"/>
            </w:tcBorders>
            <w:shd w:val="clear" w:color="auto" w:fill="F1F1F1"/>
          </w:tcPr>
          <w:p w14:paraId="2B137071" w14:textId="77777777" w:rsidR="00410BDF" w:rsidRDefault="00410BDF">
            <w:pPr>
              <w:pStyle w:val="TableParagraph"/>
              <w:rPr>
                <w:rFonts w:ascii="Times New Roman"/>
                <w:sz w:val="18"/>
              </w:rPr>
            </w:pPr>
          </w:p>
        </w:tc>
        <w:tc>
          <w:tcPr>
            <w:tcW w:w="113" w:type="dxa"/>
            <w:tcBorders>
              <w:top w:val="nil"/>
            </w:tcBorders>
          </w:tcPr>
          <w:p w14:paraId="23CD7166" w14:textId="77777777" w:rsidR="00410BDF" w:rsidRDefault="00410BDF">
            <w:pPr>
              <w:pStyle w:val="TableParagraph"/>
              <w:rPr>
                <w:rFonts w:ascii="Times New Roman"/>
                <w:sz w:val="18"/>
              </w:rPr>
            </w:pPr>
          </w:p>
        </w:tc>
      </w:tr>
      <w:tr w:rsidR="00410BDF" w14:paraId="19BF63C7" w14:textId="77777777">
        <w:trPr>
          <w:trHeight w:val="383"/>
        </w:trPr>
        <w:tc>
          <w:tcPr>
            <w:tcW w:w="9352" w:type="dxa"/>
            <w:gridSpan w:val="7"/>
            <w:tcBorders>
              <w:top w:val="single" w:sz="8" w:space="0" w:color="000000"/>
            </w:tcBorders>
            <w:shd w:val="clear" w:color="auto" w:fill="4471C4"/>
          </w:tcPr>
          <w:p w14:paraId="37036ED3" w14:textId="77777777" w:rsidR="00410BDF" w:rsidRDefault="00CF7372">
            <w:pPr>
              <w:pStyle w:val="TableParagraph"/>
              <w:spacing w:before="40"/>
              <w:ind w:left="107"/>
              <w:rPr>
                <w:b/>
                <w:sz w:val="20"/>
              </w:rPr>
            </w:pPr>
            <w:proofErr w:type="spellStart"/>
            <w:r>
              <w:rPr>
                <w:b/>
                <w:color w:val="FFFFFF"/>
                <w:sz w:val="20"/>
              </w:rPr>
              <w:t>根拠</w:t>
            </w:r>
            <w:proofErr w:type="spellEnd"/>
          </w:p>
        </w:tc>
      </w:tr>
      <w:tr w:rsidR="00410BDF" w14:paraId="6F3E6808" w14:textId="77777777">
        <w:trPr>
          <w:trHeight w:val="2253"/>
        </w:trPr>
        <w:tc>
          <w:tcPr>
            <w:tcW w:w="9352" w:type="dxa"/>
            <w:gridSpan w:val="7"/>
          </w:tcPr>
          <w:p w14:paraId="5E639BF0" w14:textId="15DF882A" w:rsidR="00410BDF" w:rsidRDefault="00CF7372">
            <w:pPr>
              <w:pStyle w:val="TableParagraph"/>
              <w:spacing w:before="43"/>
              <w:ind w:left="107"/>
              <w:rPr>
                <w:b/>
                <w:sz w:val="20"/>
                <w:lang w:eastAsia="ja-JP"/>
              </w:rPr>
            </w:pPr>
            <w:r>
              <w:rPr>
                <w:b/>
                <w:sz w:val="20"/>
                <w:u w:val="thick"/>
                <w:lang w:eastAsia="ja-JP"/>
              </w:rPr>
              <w:t>実質的な緩和と</w:t>
            </w:r>
            <w:r w:rsidR="00597918">
              <w:rPr>
                <w:b/>
                <w:sz w:val="20"/>
                <w:u w:val="thick"/>
                <w:lang w:eastAsia="ja-JP"/>
              </w:rPr>
              <w:t>正味ゼロ</w:t>
            </w:r>
            <w:r>
              <w:rPr>
                <w:b/>
                <w:sz w:val="20"/>
                <w:u w:val="thick"/>
                <w:lang w:eastAsia="ja-JP"/>
              </w:rPr>
              <w:t>炭素経済への貢献の機会</w:t>
            </w:r>
          </w:p>
          <w:p w14:paraId="2E622D71" w14:textId="28B9BDCA" w:rsidR="00410BDF" w:rsidRDefault="00B83F9B">
            <w:pPr>
              <w:pStyle w:val="TableParagraph"/>
              <w:spacing w:before="154" w:line="276" w:lineRule="auto"/>
              <w:ind w:left="107" w:right="220"/>
              <w:rPr>
                <w:sz w:val="20"/>
                <w:lang w:eastAsia="ja-JP"/>
              </w:rPr>
            </w:pPr>
            <w:r>
              <w:rPr>
                <w:sz w:val="20"/>
                <w:lang w:eastAsia="ja-JP"/>
              </w:rPr>
              <w:t>タクソノミー</w:t>
            </w:r>
            <w:r w:rsidR="00CF7372">
              <w:rPr>
                <w:sz w:val="20"/>
                <w:lang w:eastAsia="ja-JP"/>
              </w:rPr>
              <w:t>の包括的な目標は、2050年までの</w:t>
            </w:r>
            <w:r w:rsidR="00597918">
              <w:rPr>
                <w:rFonts w:hint="eastAsia"/>
                <w:sz w:val="20"/>
                <w:lang w:eastAsia="ja-JP"/>
              </w:rPr>
              <w:t>正味</w:t>
            </w:r>
            <w:r w:rsidR="00CF7372">
              <w:rPr>
                <w:sz w:val="20"/>
                <w:lang w:eastAsia="ja-JP"/>
              </w:rPr>
              <w:t>ゼロ炭素経済という根本的な目標と整合的に、経済活動のスクリーニングが実質的な緩和をもたらしているか、もたらしていないか</w:t>
            </w:r>
            <w:r w:rsidR="00597918">
              <w:rPr>
                <w:rFonts w:hint="eastAsia"/>
                <w:sz w:val="20"/>
                <w:lang w:eastAsia="ja-JP"/>
              </w:rPr>
              <w:t>、それは何時か</w:t>
            </w:r>
            <w:r w:rsidR="00CF7372">
              <w:rPr>
                <w:sz w:val="20"/>
                <w:lang w:eastAsia="ja-JP"/>
              </w:rPr>
              <w:t>を判断できるようにすることである。</w:t>
            </w:r>
          </w:p>
          <w:p w14:paraId="07760712" w14:textId="77777777" w:rsidR="00410BDF" w:rsidRDefault="00410BDF">
            <w:pPr>
              <w:pStyle w:val="TableParagraph"/>
              <w:spacing w:before="1"/>
              <w:rPr>
                <w:sz w:val="18"/>
                <w:lang w:eastAsia="ja-JP"/>
              </w:rPr>
            </w:pPr>
          </w:p>
          <w:p w14:paraId="55F9E7CC" w14:textId="0B1EF2FD" w:rsidR="00410BDF" w:rsidRDefault="00CF7372">
            <w:pPr>
              <w:pStyle w:val="TableParagraph"/>
              <w:spacing w:line="260" w:lineRule="atLeast"/>
              <w:ind w:left="107"/>
              <w:rPr>
                <w:sz w:val="20"/>
                <w:lang w:eastAsia="ja-JP"/>
              </w:rPr>
            </w:pPr>
            <w:r>
              <w:rPr>
                <w:sz w:val="20"/>
                <w:lang w:eastAsia="ja-JP"/>
              </w:rPr>
              <w:t>農業の文脈では、ネット・ゼロは、GHG排出量をゼロにすることができない場合であっても、農地での(炭素固定による)除去の増加によって補償することができることを保証する手段である。 ネットゼロが、</w:t>
            </w:r>
            <w:r w:rsidR="00597918" w:rsidRPr="00597918">
              <w:rPr>
                <w:rFonts w:hint="eastAsia"/>
                <w:sz w:val="20"/>
                <w:lang w:eastAsia="ja-JP"/>
              </w:rPr>
              <w:t>農業だけで満たされているの</w:t>
            </w:r>
            <w:r w:rsidR="00597918">
              <w:rPr>
                <w:rFonts w:hint="eastAsia"/>
                <w:sz w:val="20"/>
                <w:lang w:eastAsia="ja-JP"/>
              </w:rPr>
              <w:t>か、</w:t>
            </w:r>
            <w:r>
              <w:rPr>
                <w:sz w:val="20"/>
                <w:lang w:eastAsia="ja-JP"/>
              </w:rPr>
              <w:t>どれくらいの規模であるべきか(また、どれだけあるべきか)についての議論</w:t>
            </w:r>
            <w:r w:rsidR="00597918" w:rsidRPr="00597918">
              <w:rPr>
                <w:rFonts w:hint="eastAsia"/>
                <w:sz w:val="20"/>
                <w:lang w:eastAsia="ja-JP"/>
              </w:rPr>
              <w:t>は開かれたままである。</w:t>
            </w:r>
          </w:p>
        </w:tc>
      </w:tr>
    </w:tbl>
    <w:p w14:paraId="4829DC76" w14:textId="77777777" w:rsidR="00410BDF" w:rsidRDefault="00410BDF">
      <w:pPr>
        <w:spacing w:line="260" w:lineRule="atLeast"/>
        <w:rPr>
          <w:sz w:val="20"/>
          <w:lang w:eastAsia="ja-JP"/>
        </w:rPr>
        <w:sectPr w:rsidR="00410BDF">
          <w:pgSz w:w="12240" w:h="15840"/>
          <w:pgMar w:top="1440" w:right="1320" w:bottom="1560" w:left="1340" w:header="0" w:footer="1372" w:gutter="0"/>
          <w:cols w:space="720"/>
        </w:sectPr>
      </w:pPr>
    </w:p>
    <w:p w14:paraId="08FB87E4" w14:textId="066ED235" w:rsidR="00410BDF" w:rsidRDefault="00196192">
      <w:pPr>
        <w:pStyle w:val="a3"/>
        <w:spacing w:before="69" w:line="276" w:lineRule="auto"/>
        <w:ind w:left="213" w:right="288"/>
        <w:rPr>
          <w:lang w:eastAsia="ja-JP"/>
        </w:rPr>
      </w:pPr>
      <w:r>
        <w:rPr>
          <w:noProof/>
          <w:lang w:val="en-US" w:eastAsia="ja-JP"/>
        </w:rPr>
        <w:lastRenderedPageBreak/>
        <mc:AlternateContent>
          <mc:Choice Requires="wpg">
            <w:drawing>
              <wp:anchor distT="0" distB="0" distL="114300" distR="114300" simplePos="0" relativeHeight="251643392" behindDoc="1" locked="0" layoutInCell="1" allowOverlap="1" wp14:anchorId="38EF2160" wp14:editId="48E035AB">
                <wp:simplePos x="0" y="0"/>
                <wp:positionH relativeFrom="page">
                  <wp:posOffset>914400</wp:posOffset>
                </wp:positionH>
                <wp:positionV relativeFrom="page">
                  <wp:posOffset>914400</wp:posOffset>
                </wp:positionV>
                <wp:extent cx="5944870" cy="7941310"/>
                <wp:effectExtent l="9525" t="9525" r="8255" b="12065"/>
                <wp:wrapNone/>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941310"/>
                          <a:chOff x="1440" y="1440"/>
                          <a:chExt cx="9362" cy="12506"/>
                        </a:xfrm>
                      </wpg:grpSpPr>
                      <wps:wsp>
                        <wps:cNvPr id="96" name="Line 93"/>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2"/>
                        <wps:cNvCnPr>
                          <a:cxnSpLocks noChangeShapeType="1"/>
                        </wps:cNvCnPr>
                        <wps:spPr bwMode="auto">
                          <a:xfrm>
                            <a:off x="1445" y="1440"/>
                            <a:ext cx="0" cy="12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1"/>
                        <wps:cNvCnPr>
                          <a:cxnSpLocks noChangeShapeType="1"/>
                        </wps:cNvCnPr>
                        <wps:spPr bwMode="auto">
                          <a:xfrm>
                            <a:off x="1450" y="13941"/>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0"/>
                        <wps:cNvCnPr>
                          <a:cxnSpLocks noChangeShapeType="1"/>
                        </wps:cNvCnPr>
                        <wps:spPr bwMode="auto">
                          <a:xfrm>
                            <a:off x="10797" y="1440"/>
                            <a:ext cx="0" cy="12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EA0781" id="Group 89" o:spid="_x0000_s1026" style="position:absolute;left:0;text-align:left;margin-left:1in;margin-top:1in;width:468.1pt;height:625.3pt;z-index:-251673088;mso-position-horizontal-relative:page;mso-position-vertical-relative:page" coordorigin="1440,1440" coordsize="9362,1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">
                <v:line id="Line 93"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92" o:spid="_x0000_s1028" style="position:absolute;visibility:visible;mso-wrap-style:square" from="1445,1440" to="1445,1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91" o:spid="_x0000_s1029" style="position:absolute;visibility:visible;mso-wrap-style:square" from="1450,13941" to="10792,1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u8cEAAADbAAAADwAAAGRycy9kb3ducmV2LnhtbERPPWvDMBDdC/0P4gLdajkxmNS1EkIh&#10;0KFQ4mbpdlhX2Vg6GUtxnP76agh0fLzver84K2aaQu9ZwTrLQRC3XvdsFJy/js9bECEia7SeScGN&#10;Aux3jw81Vtpf+URzE41IIRwqVNDFOFZShrYjhyHzI3HifvzkMCY4GaknvKZwZ+Umz0vpsOfU0OFI&#10;bx21Q3NxCorD7XspvN3aX9OXG1MOH59jrtTTajm8goi0xH/x3f2uFbyks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67xwQAAANsAAAAPAAAAAAAAAAAAAAAA&#10;AKECAABkcnMvZG93bnJldi54bWxQSwUGAAAAAAQABAD5AAAAjwMAAAAA&#10;" strokeweight=".16936mm"/>
                <v:line id="Line 90" o:spid="_x0000_s1030" style="position:absolute;visibility:visible;mso-wrap-style:square" from="10797,1440" to="10797,1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w10:wrap anchorx="page" anchory="page"/>
              </v:group>
            </w:pict>
          </mc:Fallback>
        </mc:AlternateContent>
      </w:r>
      <w:r w:rsidR="00CF7372">
        <w:rPr>
          <w:lang w:eastAsia="ja-JP"/>
        </w:rPr>
        <w:t>すべての場合において、個々の農場で</w:t>
      </w:r>
      <w:r w:rsidR="00597918">
        <w:rPr>
          <w:lang w:eastAsia="ja-JP"/>
        </w:rPr>
        <w:t>正味ゼロ</w:t>
      </w:r>
      <w:r w:rsidR="00CF7372">
        <w:rPr>
          <w:lang w:eastAsia="ja-JP"/>
        </w:rPr>
        <w:t>エミッションを達成することは不可能であろう。 他の場合には、それはより実行可能であろう。 集約的なレベルでは、生産システムが集中しており、土地面積が小さい国の中には、農業部門だけで、また国内で、正味のゼロ・エミッションを達成するのに苦労する国もあるかもしれない。 このことは、特定の農場、または農場の集約がどの程度正味ゼロに到達できるか、およびこれらの農場が他の農場または他の部門からの負の排出(隔離)をどの程度適切にすることができるかという問題を提起する。</w:t>
      </w:r>
    </w:p>
    <w:p w14:paraId="3498F452" w14:textId="77777777" w:rsidR="00410BDF" w:rsidRDefault="00410BDF">
      <w:pPr>
        <w:pStyle w:val="a3"/>
        <w:rPr>
          <w:sz w:val="21"/>
          <w:lang w:eastAsia="ja-JP"/>
        </w:rPr>
      </w:pPr>
    </w:p>
    <w:p w14:paraId="6AE1B3FF" w14:textId="4DE1E002" w:rsidR="00410BDF" w:rsidRDefault="00CF7372">
      <w:pPr>
        <w:pStyle w:val="a3"/>
        <w:spacing w:line="276" w:lineRule="auto"/>
        <w:ind w:left="213" w:right="109"/>
        <w:rPr>
          <w:lang w:eastAsia="ja-JP"/>
        </w:rPr>
      </w:pPr>
      <w:r w:rsidRPr="00CA526E">
        <w:rPr>
          <w:rFonts w:hint="eastAsia"/>
          <w:lang w:eastAsia="ja-JP"/>
        </w:rPr>
        <w:t>さらに、農業部門全体での</w:t>
      </w:r>
      <w:r>
        <w:rPr>
          <w:lang w:eastAsia="ja-JP"/>
        </w:rPr>
        <w:t>排出削減の一つの機会は、より高い排出活動からより低い排出活動(例えば、牛の数を減らし、タンパク質の代替供給源としてマメ科植物の生産を増加させること)に切り替えることであり、これに対応して、農産品間の消費の切り替えが行われる。 これらの基準と閾値は、特に多年生作物生産活動における排出に焦点を当てているが、このタイプの</w:t>
      </w:r>
      <w:r w:rsidR="00CA526E">
        <w:rPr>
          <w:rFonts w:hint="eastAsia"/>
          <w:lang w:eastAsia="ja-JP"/>
        </w:rPr>
        <w:t>（ネットゼロを求める）</w:t>
      </w:r>
      <w:r>
        <w:rPr>
          <w:lang w:eastAsia="ja-JP"/>
        </w:rPr>
        <w:t>緩和行動に対処することはできない。</w:t>
      </w:r>
    </w:p>
    <w:p w14:paraId="6FC31F0A" w14:textId="77777777" w:rsidR="00410BDF" w:rsidRDefault="00410BDF">
      <w:pPr>
        <w:pStyle w:val="a3"/>
        <w:spacing w:before="11"/>
        <w:rPr>
          <w:lang w:eastAsia="ja-JP"/>
        </w:rPr>
      </w:pPr>
    </w:p>
    <w:p w14:paraId="2B8AC7EF" w14:textId="77777777" w:rsidR="00410BDF" w:rsidRDefault="00CF7372">
      <w:pPr>
        <w:pStyle w:val="a3"/>
        <w:spacing w:line="276" w:lineRule="auto"/>
        <w:ind w:left="213" w:right="109"/>
        <w:rPr>
          <w:lang w:eastAsia="ja-JP"/>
        </w:rPr>
      </w:pPr>
      <w:r>
        <w:rPr>
          <w:lang w:eastAsia="ja-JP"/>
        </w:rPr>
        <w:t>このため、提案された基準と閾値は、経済活動(NACEコード)レベルでの排出量の大幅な削減と除去の大幅な増加を確実にすることに焦点を当てている。</w:t>
      </w:r>
    </w:p>
    <w:p w14:paraId="0624D4B3" w14:textId="77777777" w:rsidR="00410BDF" w:rsidRDefault="00410BDF">
      <w:pPr>
        <w:pStyle w:val="a3"/>
        <w:spacing w:before="9"/>
        <w:rPr>
          <w:lang w:eastAsia="ja-JP"/>
        </w:rPr>
      </w:pPr>
    </w:p>
    <w:p w14:paraId="4E008555" w14:textId="49198A62" w:rsidR="00410BDF" w:rsidRDefault="00CF7372">
      <w:pPr>
        <w:pStyle w:val="a3"/>
        <w:spacing w:line="276" w:lineRule="auto"/>
        <w:ind w:left="213" w:right="255"/>
        <w:rPr>
          <w:lang w:eastAsia="ja-JP"/>
        </w:rPr>
      </w:pPr>
      <w:r>
        <w:rPr>
          <w:lang w:eastAsia="ja-JP"/>
        </w:rPr>
        <w:t>多年生作物栽培地管理における良好な実践を通じて、排出量を削減し、炭素吸収源を維持し、隔離を増加させる大きな可能性がある。 農業全体が実質的な緩和をもたらし、</w:t>
      </w:r>
      <w:r w:rsidR="00597918">
        <w:rPr>
          <w:lang w:eastAsia="ja-JP"/>
        </w:rPr>
        <w:t>正味ゼロ</w:t>
      </w:r>
      <w:r>
        <w:rPr>
          <w:lang w:eastAsia="ja-JP"/>
        </w:rPr>
        <w:t>炭素経済に貢献することを確実にするために、これらの各々に対処する必要がある。 そうすることによって、多年生耕作地管理の各事例がその貢献を最大化</w:t>
      </w:r>
      <w:r w:rsidR="005A6968">
        <w:rPr>
          <w:rFonts w:hint="eastAsia"/>
          <w:lang w:eastAsia="ja-JP"/>
        </w:rPr>
        <w:t>できる</w:t>
      </w:r>
      <w:r>
        <w:rPr>
          <w:lang w:eastAsia="ja-JP"/>
        </w:rPr>
        <w:t>。この理論的根拠</w:t>
      </w:r>
      <w:r w:rsidR="005A6968">
        <w:rPr>
          <w:rFonts w:hint="eastAsia"/>
          <w:lang w:eastAsia="ja-JP"/>
        </w:rPr>
        <w:t>が</w:t>
      </w:r>
      <w:r>
        <w:rPr>
          <w:lang w:eastAsia="ja-JP"/>
        </w:rPr>
        <w:t>、上述の原則を推進した</w:t>
      </w:r>
      <w:r w:rsidR="005A6968">
        <w:rPr>
          <w:rFonts w:hint="eastAsia"/>
          <w:lang w:eastAsia="ja-JP"/>
        </w:rPr>
        <w:t>のである</w:t>
      </w:r>
      <w:r>
        <w:rPr>
          <w:lang w:eastAsia="ja-JP"/>
        </w:rPr>
        <w:t>。</w:t>
      </w:r>
    </w:p>
    <w:p w14:paraId="0507F176" w14:textId="77777777" w:rsidR="00410BDF" w:rsidRDefault="00410BDF">
      <w:pPr>
        <w:pStyle w:val="a3"/>
        <w:rPr>
          <w:sz w:val="22"/>
          <w:lang w:eastAsia="ja-JP"/>
        </w:rPr>
      </w:pPr>
    </w:p>
    <w:p w14:paraId="1CC6FEB5" w14:textId="77777777" w:rsidR="00410BDF" w:rsidRDefault="00410BDF">
      <w:pPr>
        <w:pStyle w:val="a3"/>
        <w:spacing w:before="8"/>
        <w:rPr>
          <w:sz w:val="28"/>
          <w:lang w:eastAsia="ja-JP"/>
        </w:rPr>
      </w:pPr>
    </w:p>
    <w:p w14:paraId="19261A22" w14:textId="77777777" w:rsidR="00410BDF" w:rsidRDefault="00CF7372">
      <w:pPr>
        <w:ind w:left="213"/>
        <w:rPr>
          <w:b/>
          <w:sz w:val="20"/>
          <w:lang w:eastAsia="ja-JP"/>
        </w:rPr>
      </w:pPr>
      <w:r>
        <w:rPr>
          <w:b/>
          <w:sz w:val="20"/>
          <w:u w:val="thick"/>
          <w:lang w:eastAsia="ja-JP"/>
        </w:rPr>
        <w:t>経済活動の閾値を設定するためのアプローチ</w:t>
      </w:r>
    </w:p>
    <w:p w14:paraId="65C53C8D" w14:textId="77777777" w:rsidR="00410BDF" w:rsidRDefault="00CF7372">
      <w:pPr>
        <w:pStyle w:val="a3"/>
        <w:spacing w:before="156" w:line="276" w:lineRule="auto"/>
        <w:ind w:left="213" w:right="109"/>
        <w:rPr>
          <w:lang w:eastAsia="ja-JP"/>
        </w:rPr>
      </w:pPr>
      <w:r>
        <w:rPr>
          <w:position w:val="1"/>
          <w:lang w:eastAsia="ja-JP"/>
        </w:rPr>
        <w:t>低炭素農業を代表する農業の絶対閾値(例えば、gCO2e/haまたはgCO2e/生産単位)を設定するための情報とデータは依然として相対的に不足している。</w:t>
      </w:r>
      <w:r>
        <w:rPr>
          <w:lang w:eastAsia="ja-JP"/>
        </w:rPr>
        <w:t xml:space="preserve"> たとえそのような情報が集合的なレベルで存在していたとしても、これを実施のための適切な閾値に翻訳することは、農場および農業慣行全体にわたる不均一性を考えると、依然として困難であろう。</w:t>
      </w:r>
    </w:p>
    <w:p w14:paraId="5AB0E1E2" w14:textId="77777777" w:rsidR="00410BDF" w:rsidRDefault="00410BDF">
      <w:pPr>
        <w:pStyle w:val="a3"/>
        <w:spacing w:before="9"/>
        <w:rPr>
          <w:lang w:eastAsia="ja-JP"/>
        </w:rPr>
      </w:pPr>
    </w:p>
    <w:p w14:paraId="4ED6942F" w14:textId="449D7E94" w:rsidR="00410BDF" w:rsidRDefault="00CF7372">
      <w:pPr>
        <w:pStyle w:val="a3"/>
        <w:spacing w:line="276" w:lineRule="auto"/>
        <w:ind w:left="213" w:right="255"/>
        <w:rPr>
          <w:lang w:eastAsia="ja-JP"/>
        </w:rPr>
      </w:pPr>
      <w:r>
        <w:rPr>
          <w:lang w:eastAsia="ja-JP"/>
        </w:rPr>
        <w:t>しかし、相対的なGHG閾値(すなわち、gCO2eの%変化)を設定することは可能であり、この場合、同じ農場またはプロジェクトでの事実</w:t>
      </w:r>
      <w:r w:rsidR="005A6968">
        <w:rPr>
          <w:rFonts w:hint="eastAsia"/>
          <w:lang w:eastAsia="ja-JP"/>
        </w:rPr>
        <w:t>検証</w:t>
      </w:r>
      <w:r>
        <w:rPr>
          <w:lang w:eastAsia="ja-JP"/>
        </w:rPr>
        <w:t>に照らして設定することができる。 これは、緩和</w:t>
      </w:r>
      <w:r w:rsidR="005A6968">
        <w:rPr>
          <w:rFonts w:hint="eastAsia"/>
          <w:lang w:eastAsia="ja-JP"/>
        </w:rPr>
        <w:t>効果</w:t>
      </w:r>
      <w:r>
        <w:rPr>
          <w:lang w:eastAsia="ja-JP"/>
        </w:rPr>
        <w:t>を評価する</w:t>
      </w:r>
      <w:r w:rsidR="005A6968">
        <w:rPr>
          <w:rFonts w:hint="eastAsia"/>
          <w:lang w:eastAsia="ja-JP"/>
        </w:rPr>
        <w:t>ため</w:t>
      </w:r>
      <w:r>
        <w:rPr>
          <w:lang w:eastAsia="ja-JP"/>
        </w:rPr>
        <w:t>の定量的手段を提供</w:t>
      </w:r>
      <w:r w:rsidR="005A6968">
        <w:rPr>
          <w:rFonts w:hint="eastAsia"/>
          <w:lang w:eastAsia="ja-JP"/>
        </w:rPr>
        <w:t>してくれは</w:t>
      </w:r>
      <w:r>
        <w:rPr>
          <w:lang w:eastAsia="ja-JP"/>
        </w:rPr>
        <w:t>するが以前に達成されたであろう排出削減を考慮</w:t>
      </w:r>
      <w:r w:rsidR="005A6968">
        <w:rPr>
          <w:rFonts w:hint="eastAsia"/>
          <w:lang w:eastAsia="ja-JP"/>
        </w:rPr>
        <w:t>することはなく</w:t>
      </w:r>
      <w:r>
        <w:rPr>
          <w:lang w:eastAsia="ja-JP"/>
        </w:rPr>
        <w:t>、また、農場がすでに顕著な緩和をもたらしているのであれば、</w:t>
      </w:r>
      <w:r w:rsidR="005A6968">
        <w:rPr>
          <w:rFonts w:hint="eastAsia"/>
          <w:lang w:eastAsia="ja-JP"/>
        </w:rPr>
        <w:t>あまり意味のない数字に見えるかもしれない</w:t>
      </w:r>
      <w:r>
        <w:rPr>
          <w:lang w:eastAsia="ja-JP"/>
        </w:rPr>
        <w:t>。すでに比較的良好な成績をあげている農家は、現在の成績が比較的不良な</w:t>
      </w:r>
      <w:r w:rsidR="005A6968">
        <w:rPr>
          <w:rFonts w:hint="eastAsia"/>
          <w:lang w:eastAsia="ja-JP"/>
        </w:rPr>
        <w:t>ところ</w:t>
      </w:r>
      <w:r>
        <w:rPr>
          <w:lang w:eastAsia="ja-JP"/>
        </w:rPr>
        <w:t>よりも、排出量をさらにX%削減すること</w:t>
      </w:r>
      <w:r w:rsidR="009002FA">
        <w:rPr>
          <w:rFonts w:hint="eastAsia"/>
          <w:lang w:eastAsia="ja-JP"/>
        </w:rPr>
        <w:t>は難しいだろう</w:t>
      </w:r>
      <w:r>
        <w:rPr>
          <w:lang w:eastAsia="ja-JP"/>
        </w:rPr>
        <w:t>。 さらに、このようなGHG閾値の遵守を決定するためには、農場レベルでのGHG算定が必要である</w:t>
      </w:r>
      <w:r w:rsidR="009002FA">
        <w:rPr>
          <w:rFonts w:hint="eastAsia"/>
          <w:lang w:eastAsia="ja-JP"/>
        </w:rPr>
        <w:t>といえる</w:t>
      </w:r>
      <w:r>
        <w:rPr>
          <w:lang w:eastAsia="ja-JP"/>
        </w:rPr>
        <w:t>。 しかし、さまざまなツールやアプローチが存在するにもかかわらず、これはまだ主流ではない。</w:t>
      </w:r>
    </w:p>
    <w:p w14:paraId="18FFBD4C" w14:textId="77777777" w:rsidR="00410BDF" w:rsidRDefault="00410BDF">
      <w:pPr>
        <w:pStyle w:val="a3"/>
        <w:rPr>
          <w:sz w:val="21"/>
          <w:lang w:eastAsia="ja-JP"/>
        </w:rPr>
      </w:pPr>
    </w:p>
    <w:p w14:paraId="260DC781" w14:textId="481473D0" w:rsidR="00410BDF" w:rsidRDefault="00CF7372">
      <w:pPr>
        <w:pStyle w:val="a3"/>
        <w:spacing w:line="276" w:lineRule="auto"/>
        <w:ind w:left="213" w:right="245"/>
        <w:rPr>
          <w:lang w:eastAsia="ja-JP"/>
        </w:rPr>
      </w:pPr>
      <w:r>
        <w:rPr>
          <w:lang w:eastAsia="ja-JP"/>
        </w:rPr>
        <w:t>これらの提案は</w:t>
      </w:r>
      <w:r w:rsidR="009002FA">
        <w:rPr>
          <w:rFonts w:hint="eastAsia"/>
          <w:lang w:eastAsia="ja-JP"/>
        </w:rPr>
        <w:t>農</w:t>
      </w:r>
      <w:r>
        <w:rPr>
          <w:lang w:eastAsia="ja-JP"/>
        </w:rPr>
        <w:t>業における低炭素生産を実現するために不可欠であると認識されている、特定の管理手法の組み合わせを可能にするものである。 この定性的なアプローチは、比較的簡単にモニタリングすることができ、CAPの下など、既存のメカニズム</w:t>
      </w:r>
      <w:r w:rsidR="009002FA">
        <w:rPr>
          <w:rFonts w:hint="eastAsia"/>
          <w:lang w:eastAsia="ja-JP"/>
        </w:rPr>
        <w:t>を活用できる</w:t>
      </w:r>
      <w:r>
        <w:rPr>
          <w:lang w:eastAsia="ja-JP"/>
        </w:rPr>
        <w:t>。 また、現場でこのような慣行を実施する農家や土地管理者に対して、より直接的に</w:t>
      </w:r>
      <w:r w:rsidR="009002FA">
        <w:rPr>
          <w:rFonts w:hint="eastAsia"/>
          <w:lang w:eastAsia="ja-JP"/>
        </w:rPr>
        <w:t>話しやすい</w:t>
      </w:r>
      <w:r>
        <w:rPr>
          <w:lang w:eastAsia="ja-JP"/>
        </w:rPr>
        <w:t>アプローチを提供する。 このアプローチ</w:t>
      </w:r>
      <w:r w:rsidR="009002FA">
        <w:rPr>
          <w:rFonts w:hint="eastAsia"/>
          <w:lang w:eastAsia="ja-JP"/>
        </w:rPr>
        <w:t>れ</w:t>
      </w:r>
      <w:r>
        <w:rPr>
          <w:lang w:eastAsia="ja-JP"/>
        </w:rPr>
        <w:t>は、すでにこのような慣行を確立している人や、そのための追加投資資金を提供する人にも適用可能であるため、</w:t>
      </w:r>
      <w:r w:rsidR="009002FA">
        <w:rPr>
          <w:rFonts w:hint="eastAsia"/>
          <w:lang w:eastAsia="ja-JP"/>
        </w:rPr>
        <w:t>CO2削減に高い実績をあげているような</w:t>
      </w:r>
      <w:r>
        <w:rPr>
          <w:lang w:eastAsia="ja-JP"/>
        </w:rPr>
        <w:t>農場(および関連資産)</w:t>
      </w:r>
      <w:r w:rsidR="009002FA">
        <w:rPr>
          <w:rFonts w:hint="eastAsia"/>
          <w:lang w:eastAsia="ja-JP"/>
        </w:rPr>
        <w:t>にも認知されやすい。</w:t>
      </w:r>
    </w:p>
    <w:p w14:paraId="79AB70DC" w14:textId="77777777" w:rsidR="00410BDF" w:rsidRDefault="00410BDF">
      <w:pPr>
        <w:spacing w:line="276" w:lineRule="auto"/>
        <w:rPr>
          <w:lang w:eastAsia="ja-JP"/>
        </w:rPr>
        <w:sectPr w:rsidR="00410BDF">
          <w:pgSz w:w="12240" w:h="15840"/>
          <w:pgMar w:top="1380" w:right="1320" w:bottom="1560" w:left="1340" w:header="0" w:footer="1372" w:gutter="0"/>
          <w:cols w:space="720"/>
        </w:sectPr>
      </w:pPr>
    </w:p>
    <w:p w14:paraId="41158F53" w14:textId="14DE101E" w:rsidR="00410BDF" w:rsidRDefault="00196192">
      <w:pPr>
        <w:pStyle w:val="a3"/>
        <w:spacing w:before="69" w:line="276" w:lineRule="auto"/>
        <w:ind w:left="213" w:right="654"/>
        <w:rPr>
          <w:lang w:eastAsia="ja-JP"/>
        </w:rPr>
      </w:pPr>
      <w:r>
        <w:rPr>
          <w:noProof/>
          <w:lang w:val="en-US" w:eastAsia="ja-JP"/>
        </w:rPr>
        <w:lastRenderedPageBreak/>
        <mc:AlternateContent>
          <mc:Choice Requires="wpg">
            <w:drawing>
              <wp:anchor distT="0" distB="0" distL="114300" distR="114300" simplePos="0" relativeHeight="251644416" behindDoc="1" locked="0" layoutInCell="1" allowOverlap="1" wp14:anchorId="5C77BA22" wp14:editId="782CA275">
                <wp:simplePos x="0" y="0"/>
                <wp:positionH relativeFrom="page">
                  <wp:posOffset>914400</wp:posOffset>
                </wp:positionH>
                <wp:positionV relativeFrom="paragraph">
                  <wp:posOffset>38100</wp:posOffset>
                </wp:positionV>
                <wp:extent cx="5944870" cy="6435725"/>
                <wp:effectExtent l="9525" t="9525" r="8255" b="3175"/>
                <wp:wrapNone/>
                <wp:docPr id="8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435725"/>
                          <a:chOff x="1440" y="60"/>
                          <a:chExt cx="9362" cy="10135"/>
                        </a:xfrm>
                      </wpg:grpSpPr>
                      <wps:wsp>
                        <wps:cNvPr id="89" name="Line 88"/>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7"/>
                        <wps:cNvCnPr>
                          <a:cxnSpLocks noChangeShapeType="1"/>
                        </wps:cNvCnPr>
                        <wps:spPr bwMode="auto">
                          <a:xfrm>
                            <a:off x="1445" y="60"/>
                            <a:ext cx="0" cy="101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86"/>
                        <wps:cNvSpPr>
                          <a:spLocks noChangeArrowheads="1"/>
                        </wps:cNvSpPr>
                        <wps:spPr bwMode="auto">
                          <a:xfrm>
                            <a:off x="1440" y="10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85"/>
                        <wps:cNvCnPr>
                          <a:cxnSpLocks noChangeShapeType="1"/>
                        </wps:cNvCnPr>
                        <wps:spPr bwMode="auto">
                          <a:xfrm>
                            <a:off x="1450" y="10189"/>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4"/>
                        <wps:cNvCnPr>
                          <a:cxnSpLocks noChangeShapeType="1"/>
                        </wps:cNvCnPr>
                        <wps:spPr bwMode="auto">
                          <a:xfrm>
                            <a:off x="10797" y="60"/>
                            <a:ext cx="0" cy="101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83"/>
                        <wps:cNvSpPr>
                          <a:spLocks noChangeArrowheads="1"/>
                        </wps:cNvSpPr>
                        <wps:spPr bwMode="auto">
                          <a:xfrm>
                            <a:off x="10792" y="10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0A5D9" id="Group 82" o:spid="_x0000_s1026" style="position:absolute;left:0;text-align:left;margin-left:1in;margin-top:3pt;width:468.1pt;height:506.75pt;z-index:-251672064;mso-position-horizontal-relative:page" coordorigin="1440,60" coordsize="9362,1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">
                <v:line id="Line 88"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87" o:spid="_x0000_s1028" style="position:absolute;visibility:visible;mso-wrap-style:square" from="1445,60" to="1445,1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rect id="Rectangle 86" o:spid="_x0000_s1029" style="position:absolute;left:1440;top:10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85" o:spid="_x0000_s1030" style="position:absolute;visibility:visible;mso-wrap-style:square" from="1450,10189" to="10792,1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84" o:spid="_x0000_s1031" style="position:absolute;visibility:visible;mso-wrap-style:square" from="10797,60" to="10797,1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rect id="Rectangle 83" o:spid="_x0000_s1032" style="position:absolute;left:10792;top:10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w10:wrap anchorx="page"/>
              </v:group>
            </w:pict>
          </mc:Fallback>
        </mc:AlternateContent>
      </w:r>
      <w:r w:rsidR="00CF7372">
        <w:rPr>
          <w:lang w:eastAsia="ja-JP"/>
        </w:rPr>
        <w:t>そのため、上述したように、相対的なGHG閾値に関連する問題を回避することができる</w:t>
      </w:r>
      <w:r w:rsidR="009002FA">
        <w:rPr>
          <w:rFonts w:hint="eastAsia"/>
          <w:lang w:eastAsia="ja-JP"/>
        </w:rPr>
        <w:t>のである</w:t>
      </w:r>
      <w:r w:rsidR="00CF7372">
        <w:rPr>
          <w:lang w:eastAsia="ja-JP"/>
        </w:rPr>
        <w:t>。</w:t>
      </w:r>
    </w:p>
    <w:p w14:paraId="7328301A" w14:textId="77777777" w:rsidR="00410BDF" w:rsidRDefault="00410BDF">
      <w:pPr>
        <w:pStyle w:val="a3"/>
        <w:rPr>
          <w:sz w:val="21"/>
          <w:lang w:eastAsia="ja-JP"/>
        </w:rPr>
      </w:pPr>
    </w:p>
    <w:p w14:paraId="67CA4430" w14:textId="12FEA365" w:rsidR="00410BDF" w:rsidRDefault="00CF7372">
      <w:pPr>
        <w:pStyle w:val="a3"/>
        <w:spacing w:line="276" w:lineRule="auto"/>
        <w:ind w:left="213" w:right="263"/>
        <w:rPr>
          <w:lang w:eastAsia="ja-JP"/>
        </w:rPr>
      </w:pPr>
      <w:r>
        <w:rPr>
          <w:lang w:eastAsia="ja-JP"/>
        </w:rPr>
        <w:t>EUにおける農業からの排出寄与は主に、腸内発酵(42.9%; 0.186 GtCO2e);農業土壌管理(38%; 0.165 GtCO2e);および肥料管理(15.4%; 0.067 GtCO2e)(2014年の数値)の3つの発生源から生じる。 従って、緩和ポテンシャルは、非CO2排出量の削減を主に含んでいる。これは、これらがEUにおける農業排出量の大半を占めており、農場でのエネルギー利用によるCO2は、ごくわずかな構成要素である(2014年のEU28+ISL農業排出総量のわずか0.13%を占めるにすぎない)。 EUの農業非CO2温室効果ガス排出量の最大のシェアは、より強力な亜酸化窒素(N2O)とメタン(CH4)に由来する。</w:t>
      </w:r>
      <w:r>
        <w:rPr>
          <w:position w:val="1"/>
          <w:lang w:eastAsia="ja-JP"/>
        </w:rPr>
        <w:t xml:space="preserve"> 一酸化二窒素は、農業からの非二酸化炭素排出量の58%(主に肥料施用および暴露土壌、放牧動物からの)を占め、残りの42%(主に家畜および稲作からの)はメタンである。</w:t>
      </w:r>
      <w:r>
        <w:rPr>
          <w:lang w:eastAsia="ja-JP"/>
        </w:rPr>
        <w:t xml:space="preserve"> 場合によっては、エネルギー(牽引、暖房、冷房、灌漑)からのGHG排出が、農場から生じる排出のかなりの割合を占めることがある。 したがって、提案されたベストプラクティスには、エネルギーからのGHG排出量が農場からの排出量の20%を超える場合の規定が含まれており、これらは効率とエネルギー源の要件によって20%</w:t>
      </w:r>
      <w:r w:rsidR="009002FA">
        <w:rPr>
          <w:rFonts w:hint="eastAsia"/>
          <w:lang w:eastAsia="ja-JP"/>
        </w:rPr>
        <w:t>まで</w:t>
      </w:r>
      <w:r>
        <w:rPr>
          <w:lang w:eastAsia="ja-JP"/>
        </w:rPr>
        <w:t>削減されるべきである。</w:t>
      </w:r>
    </w:p>
    <w:p w14:paraId="55A6D142" w14:textId="77777777" w:rsidR="00410BDF" w:rsidRDefault="00410BDF">
      <w:pPr>
        <w:pStyle w:val="a3"/>
        <w:spacing w:before="9"/>
        <w:rPr>
          <w:lang w:eastAsia="ja-JP"/>
        </w:rPr>
      </w:pPr>
    </w:p>
    <w:p w14:paraId="7BB6B96C" w14:textId="261D1C9A" w:rsidR="00410BDF" w:rsidRDefault="00CF7372">
      <w:pPr>
        <w:pStyle w:val="a3"/>
        <w:spacing w:line="278" w:lineRule="auto"/>
        <w:ind w:left="213" w:right="255"/>
        <w:rPr>
          <w:lang w:eastAsia="ja-JP"/>
        </w:rPr>
      </w:pPr>
      <w:r>
        <w:rPr>
          <w:lang w:eastAsia="ja-JP"/>
        </w:rPr>
        <w:t>多年生作物栽培地の生産に関して、主要な排出源は、土壌管理と肥料の施用に伴う排出、および収穫後の廃棄物に</w:t>
      </w:r>
      <w:r w:rsidR="009002FA">
        <w:rPr>
          <w:rFonts w:hint="eastAsia"/>
          <w:lang w:eastAsia="ja-JP"/>
        </w:rPr>
        <w:t>埋没的に含まれた</w:t>
      </w:r>
      <w:r>
        <w:rPr>
          <w:lang w:eastAsia="ja-JP"/>
        </w:rPr>
        <w:t>排出である。</w:t>
      </w:r>
    </w:p>
    <w:p w14:paraId="2BF46C61" w14:textId="77777777" w:rsidR="00410BDF" w:rsidRDefault="00410BDF">
      <w:pPr>
        <w:pStyle w:val="a3"/>
        <w:rPr>
          <w:sz w:val="22"/>
          <w:lang w:eastAsia="ja-JP"/>
        </w:rPr>
      </w:pPr>
    </w:p>
    <w:p w14:paraId="5AEEA0B9" w14:textId="77777777" w:rsidR="00410BDF" w:rsidRDefault="00410BDF">
      <w:pPr>
        <w:pStyle w:val="a3"/>
        <w:spacing w:before="5"/>
        <w:rPr>
          <w:sz w:val="28"/>
          <w:lang w:eastAsia="ja-JP"/>
        </w:rPr>
      </w:pPr>
    </w:p>
    <w:p w14:paraId="0F98D118" w14:textId="45DF0148" w:rsidR="00410BDF" w:rsidRDefault="00CF7372">
      <w:pPr>
        <w:ind w:left="213"/>
        <w:rPr>
          <w:b/>
          <w:sz w:val="20"/>
          <w:lang w:eastAsia="ja-JP"/>
        </w:rPr>
      </w:pPr>
      <w:r>
        <w:rPr>
          <w:b/>
          <w:sz w:val="20"/>
          <w:u w:val="thick"/>
          <w:lang w:eastAsia="ja-JP"/>
        </w:rPr>
        <w:t>経済活動の指標と</w:t>
      </w:r>
      <w:r w:rsidR="006012CB">
        <w:rPr>
          <w:rFonts w:hint="eastAsia"/>
          <w:b/>
          <w:sz w:val="20"/>
          <w:u w:val="thick"/>
          <w:lang w:eastAsia="ja-JP"/>
        </w:rPr>
        <w:t>閾</w:t>
      </w:r>
      <w:r>
        <w:rPr>
          <w:b/>
          <w:sz w:val="20"/>
          <w:u w:val="thick"/>
          <w:lang w:eastAsia="ja-JP"/>
        </w:rPr>
        <w:t>値</w:t>
      </w:r>
    </w:p>
    <w:p w14:paraId="749A512B" w14:textId="77777777" w:rsidR="00410BDF" w:rsidRDefault="00CF7372">
      <w:pPr>
        <w:spacing w:before="116"/>
        <w:ind w:left="213"/>
        <w:rPr>
          <w:b/>
          <w:sz w:val="20"/>
          <w:lang w:eastAsia="ja-JP"/>
        </w:rPr>
      </w:pPr>
      <w:r>
        <w:rPr>
          <w:b/>
          <w:sz w:val="20"/>
          <w:lang w:eastAsia="ja-JP"/>
        </w:rPr>
        <w:t>実質的な緩和をもたらす経営慣行について</w:t>
      </w:r>
    </w:p>
    <w:p w14:paraId="5F28DB73" w14:textId="77777777" w:rsidR="00410BDF" w:rsidRPr="006012CB" w:rsidRDefault="00CF7372">
      <w:pPr>
        <w:pStyle w:val="a3"/>
        <w:spacing w:before="113" w:line="276" w:lineRule="auto"/>
        <w:ind w:left="213" w:right="237"/>
        <w:jc w:val="both"/>
        <w:rPr>
          <w:lang w:eastAsia="ja-JP"/>
        </w:rPr>
      </w:pPr>
      <w:r>
        <w:rPr>
          <w:b/>
          <w:lang w:eastAsia="ja-JP"/>
        </w:rPr>
        <w:t>慣行を選択する</w:t>
      </w:r>
      <w:r w:rsidRPr="006012CB">
        <w:rPr>
          <w:b/>
          <w:lang w:eastAsia="ja-JP"/>
        </w:rPr>
        <w:t>根拠:</w:t>
      </w:r>
      <w:r w:rsidRPr="005F0270">
        <w:rPr>
          <w:rFonts w:hint="eastAsia"/>
          <w:lang w:eastAsia="ja-JP"/>
        </w:rPr>
        <w:t>科学文献は、多年生作物栽培地管理におけるさまざまな排出量と隔離の機会に対処するために農業部門で利用できる可能性のある広範な緩和手法を特定している。</w:t>
      </w:r>
    </w:p>
    <w:p w14:paraId="3D77BC4B" w14:textId="17410FFC" w:rsidR="00410BDF" w:rsidRDefault="00CF7372">
      <w:pPr>
        <w:pStyle w:val="a3"/>
        <w:spacing w:before="81" w:line="276" w:lineRule="auto"/>
        <w:ind w:left="213" w:right="229"/>
        <w:jc w:val="both"/>
        <w:rPr>
          <w:lang w:eastAsia="ja-JP"/>
        </w:rPr>
      </w:pPr>
      <w:r>
        <w:rPr>
          <w:lang w:eastAsia="ja-JP"/>
        </w:rPr>
        <w:t>多年生作物栽培地の経済活動がいつ実質的な緩和をもたら</w:t>
      </w:r>
      <w:r w:rsidR="006012CB">
        <w:rPr>
          <w:rFonts w:hint="eastAsia"/>
          <w:lang w:eastAsia="ja-JP"/>
        </w:rPr>
        <w:t>せばよい</w:t>
      </w:r>
      <w:r>
        <w:rPr>
          <w:lang w:eastAsia="ja-JP"/>
        </w:rPr>
        <w:t>かを特定する基準と閾値を設定する目的で、個々の管理慣行が特定された:1)緩和効果に関する十分な既存の科学的知識とコンセンサス、および他の環境と食料安全保障の目的との相互作用;および2)緩和効果の規模、確実性、および一貫性が十分に実証されている(例えば、Smithら)。</w:t>
      </w:r>
      <w:r>
        <w:rPr>
          <w:spacing w:val="-5"/>
          <w:lang w:eastAsia="ja-JP"/>
        </w:rPr>
        <w:t xml:space="preserve"> 2008140, Paustianら</w:t>
      </w:r>
      <w:r>
        <w:rPr>
          <w:lang w:eastAsia="ja-JP"/>
        </w:rPr>
        <w:t xml:space="preserve"> 2016141、Kayら</w:t>
      </w:r>
      <w:r>
        <w:rPr>
          <w:spacing w:val="-4"/>
          <w:lang w:eastAsia="ja-JP"/>
        </w:rPr>
        <w:t xml:space="preserve"> 2019142).</w:t>
      </w:r>
    </w:p>
    <w:p w14:paraId="357F6A34" w14:textId="6D052122" w:rsidR="00410BDF" w:rsidRDefault="00CF7372">
      <w:pPr>
        <w:pStyle w:val="a3"/>
        <w:spacing w:before="81" w:line="276" w:lineRule="auto"/>
        <w:ind w:left="213" w:right="231"/>
        <w:jc w:val="both"/>
        <w:rPr>
          <w:lang w:eastAsia="ja-JP"/>
        </w:rPr>
      </w:pPr>
      <w:r>
        <w:rPr>
          <w:lang w:eastAsia="ja-JP"/>
        </w:rPr>
        <w:t>これらの管理手法</w:t>
      </w:r>
      <w:r w:rsidR="006012CB">
        <w:rPr>
          <w:rFonts w:hint="eastAsia"/>
          <w:lang w:eastAsia="ja-JP"/>
        </w:rPr>
        <w:t>によると</w:t>
      </w:r>
      <w:r>
        <w:rPr>
          <w:lang w:eastAsia="ja-JP"/>
        </w:rPr>
        <w:t>、農業収量を確保し、それによって作物生産の排出原単位を減少させるために、土壌の健康と土壌の生産性改善</w:t>
      </w:r>
      <w:r w:rsidR="006012CB">
        <w:rPr>
          <w:rFonts w:hint="eastAsia"/>
          <w:lang w:eastAsia="ja-JP"/>
        </w:rPr>
        <w:t>が役立つ</w:t>
      </w:r>
      <w:r>
        <w:rPr>
          <w:lang w:eastAsia="ja-JP"/>
        </w:rPr>
        <w:t>ことが実証されている。これは、実質的な緩和を提供するため、および/または農業の炭素集約度を低下させるために重要な結果であり、また、リーケージ効果のリスクをもたらさない。</w:t>
      </w:r>
      <w:r>
        <w:rPr>
          <w:spacing w:val="-5"/>
          <w:lang w:eastAsia="ja-JP"/>
        </w:rPr>
        <w:t xml:space="preserve"> また、負の副次的影響のリスクもなく、</w:t>
      </w:r>
      <w:r w:rsidR="006012CB">
        <w:rPr>
          <w:rFonts w:hint="eastAsia"/>
          <w:spacing w:val="-5"/>
          <w:lang w:eastAsia="ja-JP"/>
        </w:rPr>
        <w:t>EUの</w:t>
      </w:r>
      <w:r>
        <w:rPr>
          <w:spacing w:val="-5"/>
          <w:lang w:eastAsia="ja-JP"/>
        </w:rPr>
        <w:t>法律に抵触することもない。</w:t>
      </w:r>
    </w:p>
    <w:p w14:paraId="741A2860" w14:textId="77777777" w:rsidR="00410BDF" w:rsidRDefault="00410BDF">
      <w:pPr>
        <w:pStyle w:val="a3"/>
        <w:rPr>
          <w:lang w:eastAsia="ja-JP"/>
        </w:rPr>
      </w:pPr>
    </w:p>
    <w:p w14:paraId="2A8BE2C3" w14:textId="77777777" w:rsidR="00410BDF" w:rsidRDefault="00196192">
      <w:pPr>
        <w:pStyle w:val="a3"/>
        <w:spacing w:before="2"/>
        <w:rPr>
          <w:sz w:val="22"/>
          <w:lang w:eastAsia="ja-JP"/>
        </w:rPr>
      </w:pPr>
      <w:r>
        <w:rPr>
          <w:noProof/>
          <w:lang w:val="en-US" w:eastAsia="ja-JP"/>
        </w:rPr>
        <mc:AlternateContent>
          <mc:Choice Requires="wps">
            <w:drawing>
              <wp:anchor distT="0" distB="0" distL="0" distR="0" simplePos="0" relativeHeight="251665920" behindDoc="1" locked="0" layoutInCell="1" allowOverlap="1" wp14:anchorId="63616939" wp14:editId="2B0EA053">
                <wp:simplePos x="0" y="0"/>
                <wp:positionH relativeFrom="page">
                  <wp:posOffset>914400</wp:posOffset>
                </wp:positionH>
                <wp:positionV relativeFrom="paragraph">
                  <wp:posOffset>189865</wp:posOffset>
                </wp:positionV>
                <wp:extent cx="1829435" cy="0"/>
                <wp:effectExtent l="9525" t="8255" r="8890" b="10795"/>
                <wp:wrapTopAndBottom/>
                <wp:docPr id="8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3938" id="Line 81" o:spid="_x0000_s1026" style="position:absolute;left:0;text-align:lef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5pt" to="21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" strokeweight=".48pt">
                <w10:wrap type="topAndBottom" anchorx="page"/>
              </v:line>
            </w:pict>
          </mc:Fallback>
        </mc:AlternateContent>
      </w:r>
    </w:p>
    <w:p w14:paraId="53871E4B" w14:textId="77777777" w:rsidR="00410BDF" w:rsidRDefault="00410BDF">
      <w:pPr>
        <w:pStyle w:val="a3"/>
        <w:spacing w:before="10"/>
        <w:rPr>
          <w:sz w:val="16"/>
          <w:lang w:eastAsia="ja-JP"/>
        </w:rPr>
      </w:pPr>
    </w:p>
    <w:p w14:paraId="01A1F9B8" w14:textId="77777777" w:rsidR="00410BDF" w:rsidRDefault="00CF7372">
      <w:pPr>
        <w:spacing w:before="98"/>
        <w:ind w:left="100" w:right="318"/>
        <w:rPr>
          <w:sz w:val="16"/>
          <w:lang w:eastAsia="ja-JP"/>
        </w:rPr>
      </w:pPr>
      <w:r>
        <w:rPr>
          <w:position w:val="6"/>
          <w:sz w:val="10"/>
          <w:lang w:eastAsia="ja-JP"/>
        </w:rPr>
        <w:t>140 Smith, P.ら</w:t>
      </w:r>
      <w:r>
        <w:rPr>
          <w:sz w:val="16"/>
          <w:lang w:eastAsia="ja-JP"/>
        </w:rPr>
        <w:t xml:space="preserve"> (2008)、「農業における温室効果ガス緩和」、英国王立学会の哲学的取引、B巻363、1495号、英国王立学会、ロンドン、789-813。</w:t>
      </w:r>
    </w:p>
    <w:p w14:paraId="3DF5AC7C" w14:textId="77777777" w:rsidR="00410BDF" w:rsidRDefault="00410BDF">
      <w:pPr>
        <w:pStyle w:val="a3"/>
        <w:spacing w:before="5"/>
        <w:rPr>
          <w:lang w:eastAsia="ja-JP"/>
        </w:rPr>
      </w:pPr>
    </w:p>
    <w:p w14:paraId="14E6E412" w14:textId="77777777" w:rsidR="00410BDF" w:rsidRDefault="00CF7372">
      <w:pPr>
        <w:ind w:left="100"/>
        <w:rPr>
          <w:sz w:val="16"/>
        </w:rPr>
      </w:pPr>
      <w:r>
        <w:rPr>
          <w:position w:val="6"/>
          <w:sz w:val="10"/>
        </w:rPr>
        <w:t xml:space="preserve">141 </w:t>
      </w:r>
      <w:proofErr w:type="spellStart"/>
      <w:r>
        <w:rPr>
          <w:position w:val="6"/>
          <w:sz w:val="10"/>
        </w:rPr>
        <w:t>Paustian</w:t>
      </w:r>
      <w:proofErr w:type="spellEnd"/>
      <w:r>
        <w:rPr>
          <w:position w:val="6"/>
          <w:sz w:val="10"/>
        </w:rPr>
        <w:t xml:space="preserve"> K, Lehmann J, Ogle S, </w:t>
      </w:r>
      <w:proofErr w:type="spellStart"/>
      <w:r>
        <w:rPr>
          <w:position w:val="6"/>
          <w:sz w:val="10"/>
        </w:rPr>
        <w:t>ReayD</w:t>
      </w:r>
      <w:proofErr w:type="spellEnd"/>
      <w:r>
        <w:rPr>
          <w:position w:val="6"/>
          <w:sz w:val="10"/>
        </w:rPr>
        <w:t xml:space="preserve">, </w:t>
      </w:r>
      <w:proofErr w:type="spellStart"/>
      <w:r>
        <w:rPr>
          <w:position w:val="6"/>
          <w:sz w:val="10"/>
        </w:rPr>
        <w:t>RobertsonGP</w:t>
      </w:r>
      <w:proofErr w:type="spellEnd"/>
      <w:r>
        <w:rPr>
          <w:position w:val="6"/>
          <w:sz w:val="10"/>
        </w:rPr>
        <w:t xml:space="preserve"> and Smith P 2016 "Climate-smart soils”, Nature 532 49–57</w:t>
      </w:r>
    </w:p>
    <w:p w14:paraId="78C84F5E" w14:textId="77777777" w:rsidR="00410BDF" w:rsidRDefault="00410BDF">
      <w:pPr>
        <w:pStyle w:val="a3"/>
        <w:spacing w:before="7"/>
      </w:pPr>
    </w:p>
    <w:p w14:paraId="3799B845" w14:textId="77777777" w:rsidR="00410BDF" w:rsidRDefault="00CF7372">
      <w:pPr>
        <w:spacing w:before="1"/>
        <w:ind w:left="100" w:right="462"/>
        <w:rPr>
          <w:sz w:val="16"/>
          <w:lang w:eastAsia="ja-JP"/>
        </w:rPr>
      </w:pPr>
      <w:r>
        <w:rPr>
          <w:position w:val="6"/>
          <w:sz w:val="10"/>
          <w:lang w:eastAsia="ja-JP"/>
        </w:rPr>
        <w:t>142 Kayら</w:t>
      </w:r>
      <w:r>
        <w:rPr>
          <w:sz w:val="16"/>
          <w:lang w:eastAsia="ja-JP"/>
        </w:rPr>
        <w:t xml:space="preserve"> (2019). 「アグロフォレストリーは、ヨーロッパの農業景観の環境を改善しつつ炭素吸収源を創出する」、土地利用政策83 581-593。</w:t>
      </w:r>
    </w:p>
    <w:p w14:paraId="1F3EF0EE" w14:textId="77777777" w:rsidR="00410BDF" w:rsidRDefault="00410BDF">
      <w:pPr>
        <w:rPr>
          <w:sz w:val="16"/>
          <w:lang w:eastAsia="ja-JP"/>
        </w:rPr>
        <w:sectPr w:rsidR="00410BDF">
          <w:pgSz w:w="12240" w:h="15840"/>
          <w:pgMar w:top="1380" w:right="1320" w:bottom="1640" w:left="1340" w:header="0" w:footer="1372" w:gutter="0"/>
          <w:cols w:space="720"/>
        </w:sectPr>
      </w:pPr>
    </w:p>
    <w:p w14:paraId="4CADA756" w14:textId="1D7B6A72" w:rsidR="00410BDF" w:rsidRDefault="00196192">
      <w:pPr>
        <w:pStyle w:val="a3"/>
        <w:spacing w:before="69" w:line="276" w:lineRule="auto"/>
        <w:ind w:left="213"/>
        <w:rPr>
          <w:lang w:eastAsia="ja-JP"/>
        </w:rPr>
      </w:pPr>
      <w:r>
        <w:rPr>
          <w:noProof/>
          <w:lang w:val="en-US" w:eastAsia="ja-JP"/>
        </w:rPr>
        <w:lastRenderedPageBreak/>
        <mc:AlternateContent>
          <mc:Choice Requires="wpg">
            <w:drawing>
              <wp:anchor distT="0" distB="0" distL="114300" distR="114300" simplePos="0" relativeHeight="251645440" behindDoc="1" locked="0" layoutInCell="1" allowOverlap="1" wp14:anchorId="6B296A37" wp14:editId="2EDCA68F">
                <wp:simplePos x="0" y="0"/>
                <wp:positionH relativeFrom="page">
                  <wp:posOffset>914400</wp:posOffset>
                </wp:positionH>
                <wp:positionV relativeFrom="page">
                  <wp:posOffset>914400</wp:posOffset>
                </wp:positionV>
                <wp:extent cx="5944870" cy="7804150"/>
                <wp:effectExtent l="9525" t="9525" r="8255" b="6350"/>
                <wp:wrapNone/>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804150"/>
                          <a:chOff x="1440" y="1440"/>
                          <a:chExt cx="9362" cy="12290"/>
                        </a:xfrm>
                      </wpg:grpSpPr>
                      <wps:wsp>
                        <wps:cNvPr id="83" name="Line 80"/>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9"/>
                        <wps:cNvCnPr>
                          <a:cxnSpLocks noChangeShapeType="1"/>
                        </wps:cNvCnPr>
                        <wps:spPr bwMode="auto">
                          <a:xfrm>
                            <a:off x="1445" y="1440"/>
                            <a:ext cx="0" cy="122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1450" y="13725"/>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7"/>
                        <wps:cNvCnPr>
                          <a:cxnSpLocks noChangeShapeType="1"/>
                        </wps:cNvCnPr>
                        <wps:spPr bwMode="auto">
                          <a:xfrm>
                            <a:off x="10797" y="1440"/>
                            <a:ext cx="0" cy="122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3B7CE" id="Group 76" o:spid="_x0000_s1026" style="position:absolute;left:0;text-align:left;margin-left:1in;margin-top:1in;width:468.1pt;height:614.5pt;z-index:-251671040;mso-position-horizontal-relative:page;mso-position-vertical-relative:page" coordorigin="1440,1440" coordsize="9362,1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">
                <v:line id="Line 80"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9" o:spid="_x0000_s1028" style="position:absolute;visibility:visible;mso-wrap-style:square" from="1445,1440" to="1445,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8" o:spid="_x0000_s1029" style="position:absolute;visibility:visible;mso-wrap-style:square" from="1450,13725" to="10792,1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ssQAAADbAAAADwAAAGRycy9kb3ducmV2LnhtbESPwWrDMBBE74X8g9hCb41cmxr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35eyxAAAANsAAAAPAAAAAAAAAAAA&#10;AAAAAKECAABkcnMvZG93bnJldi54bWxQSwUGAAAAAAQABAD5AAAAkgMAAAAA&#10;" strokeweight=".16936mm"/>
                <v:line id="Line 77" o:spid="_x0000_s1030" style="position:absolute;visibility:visible;mso-wrap-style:square" from="10797,1440" to="10797,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w10:wrap anchorx="page" anchory="page"/>
              </v:group>
            </w:pict>
          </mc:Fallback>
        </mc:AlternateContent>
      </w:r>
      <w:r w:rsidR="00CF7372">
        <w:rPr>
          <w:lang w:eastAsia="ja-JP"/>
        </w:rPr>
        <w:t xml:space="preserve"> これらの手法は、生物物理学的条件および農業条件の範囲にわたって、比較的確実性が高い実質的な緩和をもたらす。</w:t>
      </w:r>
    </w:p>
    <w:p w14:paraId="3CF97605" w14:textId="404D1FD7" w:rsidR="00410BDF" w:rsidRDefault="00CF7372">
      <w:pPr>
        <w:pStyle w:val="a3"/>
        <w:spacing w:before="81" w:line="276" w:lineRule="auto"/>
        <w:ind w:left="213" w:right="229"/>
        <w:jc w:val="both"/>
        <w:rPr>
          <w:lang w:eastAsia="ja-JP"/>
        </w:rPr>
      </w:pPr>
      <w:r>
        <w:rPr>
          <w:lang w:eastAsia="ja-JP"/>
        </w:rPr>
        <w:t>科学文献は、個々の手法のカテゴリーに関する緩和ポテンシャルについての洞察を提供し、また、実質的な緩和につながる広い範囲に適用される手法の組み合わせであること、すなわち、環境的に持続可能なすべての実現可能な緩和手法が追求されるべき場合には、アプローチが必要であることを指摘している(Paustianら)。</w:t>
      </w:r>
      <w:r>
        <w:rPr>
          <w:spacing w:val="-6"/>
          <w:lang w:eastAsia="ja-JP"/>
        </w:rPr>
        <w:t xml:space="preserve"> 2016).</w:t>
      </w:r>
      <w:r>
        <w:rPr>
          <w:spacing w:val="-5"/>
          <w:lang w:eastAsia="ja-JP"/>
        </w:rPr>
        <w:t xml:space="preserve"> しかし、文献は、部門別または活動に基づく緩和ポテンシャルを個々の農場レベルの緩和ポテンシャルに変換する方法、すなわち、実質的な緩和をもたらすために、異なる条件下で農場レベルで最低限、どのような手法の組み合わせを一緒に適用すべきかについて、限られたガイダンス</w:t>
      </w:r>
      <w:r w:rsidR="006012CB">
        <w:rPr>
          <w:rFonts w:hint="eastAsia"/>
          <w:spacing w:val="-5"/>
          <w:lang w:eastAsia="ja-JP"/>
        </w:rPr>
        <w:t>しか</w:t>
      </w:r>
      <w:r>
        <w:rPr>
          <w:spacing w:val="-5"/>
          <w:lang w:eastAsia="ja-JP"/>
        </w:rPr>
        <w:t>提供して</w:t>
      </w:r>
      <w:r w:rsidR="006012CB">
        <w:rPr>
          <w:rFonts w:hint="eastAsia"/>
          <w:spacing w:val="-5"/>
          <w:lang w:eastAsia="ja-JP"/>
        </w:rPr>
        <w:t>いない</w:t>
      </w:r>
      <w:r>
        <w:rPr>
          <w:spacing w:val="-5"/>
          <w:lang w:eastAsia="ja-JP"/>
        </w:rPr>
        <w:t>。</w:t>
      </w:r>
      <w:r>
        <w:rPr>
          <w:lang w:eastAsia="ja-JP"/>
        </w:rPr>
        <w:t xml:space="preserve"> 従って、TEG専門家は、農場レベルで実質的な緩和をもたらすために多年生作物栽培地管理に一緒に適用されるべき慣行の最小限の組み合わせを決定するため</w:t>
      </w:r>
      <w:r w:rsidR="006012CB">
        <w:rPr>
          <w:rFonts w:hint="eastAsia"/>
          <w:lang w:eastAsia="ja-JP"/>
        </w:rPr>
        <w:t>の意見を具申した</w:t>
      </w:r>
      <w:r>
        <w:rPr>
          <w:lang w:eastAsia="ja-JP"/>
        </w:rPr>
        <w:t>。</w:t>
      </w:r>
    </w:p>
    <w:p w14:paraId="4931673F" w14:textId="16FAB4CB" w:rsidR="00410BDF" w:rsidRDefault="00CF7372">
      <w:pPr>
        <w:pStyle w:val="a3"/>
        <w:spacing w:before="120" w:line="276" w:lineRule="auto"/>
        <w:ind w:left="213" w:right="226"/>
        <w:rPr>
          <w:lang w:eastAsia="ja-JP"/>
        </w:rPr>
      </w:pPr>
      <w:r>
        <w:rPr>
          <w:lang w:eastAsia="ja-JP"/>
        </w:rPr>
        <w:t>以下の表は、集合的に展開され、農場レベルで実質的な緩和をもたらす必要不可欠な手法の束として選択された管理手法を示している。 農場が不均一であることを考慮すると、同じ手法の組み合わせの展開は、農場間で異なる排出影響をもたらす可能性があることに留意されたい。しかし、全体的には、この組み合わせの展開は、大多数の場合、実質的な緩和をもたらすであろうと予想される。 管理慣行の適用可能な区域は、その目的を達成するために、これらの慣行が農場でどこに展開できるか、また、どこに展開されるべきかに関係している。 例えば、土壌浸食や流出を防止するために設計された緩衝帯を水路や側溝などの隣に設置する</w:t>
      </w:r>
      <w:r w:rsidR="006012CB">
        <w:rPr>
          <w:rFonts w:hint="eastAsia"/>
          <w:lang w:eastAsia="ja-JP"/>
        </w:rPr>
        <w:t>ことなどである</w:t>
      </w:r>
      <w:r>
        <w:rPr>
          <w:lang w:eastAsia="ja-JP"/>
        </w:rPr>
        <w:t>。 したがって、いくつかの手法は、価値を付加する農場の狭い地域にのみ展開されるかもしれない。</w:t>
      </w:r>
    </w:p>
    <w:p w14:paraId="0752B607" w14:textId="77777777" w:rsidR="00410BDF" w:rsidRDefault="00410BDF">
      <w:pPr>
        <w:pStyle w:val="a3"/>
        <w:spacing w:before="9"/>
        <w:rPr>
          <w:lang w:eastAsia="ja-JP"/>
        </w:rPr>
      </w:pPr>
    </w:p>
    <w:p w14:paraId="0B1DF1BA" w14:textId="654CE82F" w:rsidR="00410BDF" w:rsidRDefault="00CF7372">
      <w:pPr>
        <w:pStyle w:val="a3"/>
        <w:spacing w:line="276" w:lineRule="auto"/>
        <w:ind w:left="213" w:right="231"/>
        <w:jc w:val="both"/>
        <w:rPr>
          <w:lang w:eastAsia="ja-JP"/>
        </w:rPr>
      </w:pPr>
      <w:r>
        <w:rPr>
          <w:lang w:eastAsia="ja-JP"/>
        </w:rPr>
        <w:t>1つのベストプラクティス</w:t>
      </w:r>
      <w:r w:rsidR="006012CB">
        <w:rPr>
          <w:rFonts w:hint="eastAsia"/>
          <w:lang w:eastAsia="ja-JP"/>
        </w:rPr>
        <w:t>ではあるものの</w:t>
      </w:r>
      <w:r>
        <w:rPr>
          <w:lang w:eastAsia="ja-JP"/>
        </w:rPr>
        <w:t>、GHGアセスメントを実施するという要件は、排出量の削減や隔離の増加に直接結びつくものではない。 この実践を含める理由は、主な排出源が農場にある場所、それらの排出を削減する機会がどのようなものか、したがって炭素吸収源の機会を含めて最大の緩和効果が達成できる場所についての認識を高め、それによって緩和行動の目標設定を改善することである。 この精神の下で、このベストプラクティス要件を満たすためには、評価の検証または監査は必要</w:t>
      </w:r>
      <w:r w:rsidR="00030D13">
        <w:rPr>
          <w:rFonts w:hint="eastAsia"/>
          <w:lang w:eastAsia="ja-JP"/>
        </w:rPr>
        <w:t>とされ</w:t>
      </w:r>
      <w:r>
        <w:rPr>
          <w:lang w:eastAsia="ja-JP"/>
        </w:rPr>
        <w:t>ない。 これは、</w:t>
      </w:r>
      <w:r w:rsidR="00030D13" w:rsidRPr="00030D13">
        <w:rPr>
          <w:rFonts w:hint="eastAsia"/>
          <w:lang w:eastAsia="ja-JP"/>
        </w:rPr>
        <w:t>定量的なGHG閾値の遵守を証明する際</w:t>
      </w:r>
      <w:r w:rsidR="00030D13">
        <w:rPr>
          <w:rFonts w:hint="eastAsia"/>
          <w:lang w:eastAsia="ja-JP"/>
        </w:rPr>
        <w:t>に求められるような</w:t>
      </w:r>
      <w:r>
        <w:rPr>
          <w:lang w:eastAsia="ja-JP"/>
        </w:rPr>
        <w:t>定量的なベースライン評価と炭素監査とは異なる</w:t>
      </w:r>
      <w:r w:rsidR="00030D13">
        <w:rPr>
          <w:rFonts w:hint="eastAsia"/>
          <w:lang w:eastAsia="ja-JP"/>
        </w:rPr>
        <w:t>のである</w:t>
      </w:r>
      <w:r>
        <w:rPr>
          <w:lang w:eastAsia="ja-JP"/>
        </w:rPr>
        <w:t>。</w:t>
      </w:r>
      <w:r>
        <w:rPr>
          <w:spacing w:val="-12"/>
          <w:lang w:eastAsia="ja-JP"/>
        </w:rPr>
        <w:t xml:space="preserve"> 評価は、エネルギーと燃料の使用に関連する排出だけでなく、作物、家畜生産に関連する農場での関連するすべての排出をカバーするツールを用いて行われるべきである。</w:t>
      </w:r>
      <w:r>
        <w:rPr>
          <w:spacing w:val="-15"/>
          <w:lang w:eastAsia="ja-JP"/>
        </w:rPr>
        <w:t xml:space="preserve"> ある場所の農業者が(言語や農業助言支援へのアクセスの欠如のために)炭素評価ツールを現在利用できない</w:t>
      </w:r>
      <w:r w:rsidR="00030D13">
        <w:rPr>
          <w:rFonts w:hint="eastAsia"/>
          <w:spacing w:val="-15"/>
          <w:lang w:eastAsia="ja-JP"/>
        </w:rPr>
        <w:t>場合には</w:t>
      </w:r>
      <w:r>
        <w:rPr>
          <w:spacing w:val="-15"/>
          <w:lang w:eastAsia="ja-JP"/>
        </w:rPr>
        <w:t>、</w:t>
      </w:r>
      <w:r w:rsidR="00030D13">
        <w:rPr>
          <w:rFonts w:hint="eastAsia"/>
          <w:spacing w:val="-15"/>
          <w:lang w:eastAsia="ja-JP"/>
        </w:rPr>
        <w:t>最初の段階では取り組みを</w:t>
      </w:r>
      <w:r>
        <w:rPr>
          <w:spacing w:val="-15"/>
          <w:lang w:eastAsia="ja-JP"/>
        </w:rPr>
        <w:t>省略することができる。</w:t>
      </w:r>
      <w:r>
        <w:rPr>
          <w:lang w:eastAsia="ja-JP"/>
        </w:rPr>
        <w:t xml:space="preserve"> ただし、評価は5年以内に</w:t>
      </w:r>
      <w:r w:rsidR="00030D13">
        <w:rPr>
          <w:rFonts w:hint="eastAsia"/>
          <w:lang w:eastAsia="ja-JP"/>
        </w:rPr>
        <w:t>実施することが</w:t>
      </w:r>
      <w:r>
        <w:rPr>
          <w:lang w:eastAsia="ja-JP"/>
        </w:rPr>
        <w:t>必須と</w:t>
      </w:r>
      <w:r w:rsidR="00030D13">
        <w:rPr>
          <w:rFonts w:hint="eastAsia"/>
          <w:lang w:eastAsia="ja-JP"/>
        </w:rPr>
        <w:t>される。</w:t>
      </w:r>
    </w:p>
    <w:p w14:paraId="16CF357A" w14:textId="77777777" w:rsidR="00410BDF" w:rsidRDefault="00410BDF">
      <w:pPr>
        <w:pStyle w:val="a3"/>
        <w:rPr>
          <w:sz w:val="22"/>
          <w:lang w:eastAsia="ja-JP"/>
        </w:rPr>
      </w:pPr>
    </w:p>
    <w:p w14:paraId="2643590C" w14:textId="77777777" w:rsidR="00410BDF" w:rsidRDefault="00410BDF">
      <w:pPr>
        <w:pStyle w:val="a3"/>
        <w:spacing w:before="4"/>
        <w:rPr>
          <w:sz w:val="32"/>
          <w:lang w:eastAsia="ja-JP"/>
        </w:rPr>
      </w:pPr>
    </w:p>
    <w:p w14:paraId="00BBDF08" w14:textId="77777777" w:rsidR="00410BDF" w:rsidRDefault="00CF7372">
      <w:pPr>
        <w:pStyle w:val="2"/>
        <w:spacing w:before="1"/>
        <w:rPr>
          <w:lang w:eastAsia="ja-JP"/>
        </w:rPr>
      </w:pPr>
      <w:r>
        <w:rPr>
          <w:lang w:eastAsia="ja-JP"/>
        </w:rPr>
        <w:t>GHG排出削減基準については</w:t>
      </w:r>
    </w:p>
    <w:p w14:paraId="4267D5D3" w14:textId="1F120A33" w:rsidR="00410BDF" w:rsidRDefault="00CF7372">
      <w:pPr>
        <w:pStyle w:val="a3"/>
        <w:spacing w:before="157" w:line="276" w:lineRule="auto"/>
        <w:ind w:left="213" w:right="264"/>
        <w:rPr>
          <w:lang w:eastAsia="ja-JP"/>
        </w:rPr>
      </w:pPr>
      <w:r>
        <w:rPr>
          <w:lang w:eastAsia="ja-JP"/>
        </w:rPr>
        <w:t>実質的な緩和の文脈では、実質的には、正味のマイナス(除去が排出を上回る場合)、正味のゼロ(除去が排出とバランスする場合)、排出削減の程度の違い</w:t>
      </w:r>
      <w:r w:rsidR="00030D13">
        <w:rPr>
          <w:rFonts w:hint="eastAsia"/>
          <w:lang w:eastAsia="ja-JP"/>
        </w:rPr>
        <w:t>までが</w:t>
      </w:r>
      <w:r>
        <w:rPr>
          <w:lang w:eastAsia="ja-JP"/>
        </w:rPr>
        <w:t>緩和ポテンシャルの範囲に入る。 農業部門全体または多年生作物生産からの排出削減のためのEUまたは世界ベースライン目標がない</w:t>
      </w:r>
      <w:r w:rsidR="00030D13">
        <w:rPr>
          <w:rFonts w:hint="eastAsia"/>
          <w:lang w:eastAsia="ja-JP"/>
        </w:rPr>
        <w:t>ことから</w:t>
      </w:r>
      <w:r>
        <w:rPr>
          <w:lang w:eastAsia="ja-JP"/>
        </w:rPr>
        <w:t>、排出削減と除去がどの程度必要とされるべきかは、野心と必要性の問題となる。 また、</w:t>
      </w:r>
      <w:r w:rsidR="00B83F9B">
        <w:rPr>
          <w:lang w:eastAsia="ja-JP"/>
        </w:rPr>
        <w:t>タクソノミー</w:t>
      </w:r>
      <w:r>
        <w:rPr>
          <w:lang w:eastAsia="ja-JP"/>
        </w:rPr>
        <w:t>は世界的</w:t>
      </w:r>
      <w:r w:rsidR="00030D13">
        <w:rPr>
          <w:rFonts w:hint="eastAsia"/>
          <w:lang w:eastAsia="ja-JP"/>
        </w:rPr>
        <w:t>な視野を持って</w:t>
      </w:r>
      <w:r>
        <w:rPr>
          <w:lang w:eastAsia="ja-JP"/>
        </w:rPr>
        <w:t>おり、したがって「実質的」なレベルは、世界的な文脈において一貫していなければならないことにも留意されたい。</w:t>
      </w:r>
    </w:p>
    <w:p w14:paraId="2482E808" w14:textId="77777777" w:rsidR="00410BDF" w:rsidRDefault="00410BDF">
      <w:pPr>
        <w:spacing w:line="276" w:lineRule="auto"/>
        <w:rPr>
          <w:lang w:eastAsia="ja-JP"/>
        </w:rPr>
        <w:sectPr w:rsidR="00410BDF">
          <w:pgSz w:w="12240" w:h="15840"/>
          <w:pgMar w:top="1380" w:right="1320" w:bottom="1640" w:left="1340" w:header="0" w:footer="1372" w:gutter="0"/>
          <w:cols w:space="720"/>
        </w:sectPr>
      </w:pPr>
    </w:p>
    <w:p w14:paraId="4D0C3AD2" w14:textId="77777777" w:rsidR="00410BDF" w:rsidRDefault="00196192">
      <w:pPr>
        <w:pStyle w:val="a3"/>
        <w:spacing w:before="4"/>
        <w:rPr>
          <w:sz w:val="26"/>
          <w:lang w:eastAsia="ja-JP"/>
        </w:rPr>
      </w:pPr>
      <w:r>
        <w:rPr>
          <w:noProof/>
          <w:lang w:val="en-US" w:eastAsia="ja-JP"/>
        </w:rPr>
        <w:lastRenderedPageBreak/>
        <mc:AlternateContent>
          <mc:Choice Requires="wpg">
            <w:drawing>
              <wp:anchor distT="0" distB="0" distL="114300" distR="114300" simplePos="0" relativeHeight="251646464" behindDoc="1" locked="0" layoutInCell="1" allowOverlap="1" wp14:anchorId="61EE890C" wp14:editId="170C8E0B">
                <wp:simplePos x="0" y="0"/>
                <wp:positionH relativeFrom="page">
                  <wp:posOffset>914400</wp:posOffset>
                </wp:positionH>
                <wp:positionV relativeFrom="page">
                  <wp:posOffset>914400</wp:posOffset>
                </wp:positionV>
                <wp:extent cx="5944870" cy="6074410"/>
                <wp:effectExtent l="9525" t="9525" r="8255" b="12065"/>
                <wp:wrapNone/>
                <wp:docPr id="7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074410"/>
                          <a:chOff x="1440" y="1440"/>
                          <a:chExt cx="9362" cy="9566"/>
                        </a:xfrm>
                      </wpg:grpSpPr>
                      <wps:wsp>
                        <wps:cNvPr id="78" name="Line 75"/>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1445" y="1440"/>
                            <a:ext cx="0" cy="9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1450" y="11001"/>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2"/>
                        <wps:cNvCnPr>
                          <a:cxnSpLocks noChangeShapeType="1"/>
                        </wps:cNvCnPr>
                        <wps:spPr bwMode="auto">
                          <a:xfrm>
                            <a:off x="10797" y="1440"/>
                            <a:ext cx="0" cy="9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6865B" id="Group 71" o:spid="_x0000_s1026" style="position:absolute;left:0;text-align:left;margin-left:1in;margin-top:1in;width:468.1pt;height:478.3pt;z-index:-251670016;mso-position-horizontal-relative:page;mso-position-vertical-relative:page" coordorigin="1440,1440" coordsize="9362,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">
                <v:line id="Line 75"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74" o:spid="_x0000_s1028" style="position:absolute;visibility:visible;mso-wrap-style:square" from="1445,1440" to="1445,1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3" o:spid="_x0000_s1029" style="position:absolute;visibility:visible;mso-wrap-style:square" from="1450,11001" to="10792,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0KsAAAADbAAAADwAAAGRycy9kb3ducmV2LnhtbERPTYvCMBC9C/sfwgjeNFWhlGoqsrDg&#10;YUFWvXgbmtm0NJmUJmrdX785CB4f73u7G50VdxpC61nBcpGBIK69btkouJy/5gWIEJE1Ws+k4EkB&#10;dtXHZIul9g/+ofspGpFCOJSooImxL6UMdUMOw8L3xIn79YPDmOBgpB7wkcKdlassy6XDllNDgz19&#10;NlR3p5tTsN4/r+Pa28L+mTZfmbz7PvaZUrPpuN+AiDTGt/jlPmgFRVqfvqQfIK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oNCrAAAAA2wAAAA8AAAAAAAAAAAAAAAAA&#10;oQIAAGRycy9kb3ducmV2LnhtbFBLBQYAAAAABAAEAPkAAACOAwAAAAA=&#10;" strokeweight=".16936mm"/>
                <v:line id="Line 72" o:spid="_x0000_s1030" style="position:absolute;visibility:visible;mso-wrap-style:square" from="10797,1440" to="10797,1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w10:wrap anchorx="page" anchory="page"/>
              </v:group>
            </w:pict>
          </mc:Fallback>
        </mc:AlternateContent>
      </w:r>
    </w:p>
    <w:p w14:paraId="693961CE" w14:textId="279EB567" w:rsidR="00410BDF" w:rsidRDefault="00CF7372">
      <w:pPr>
        <w:pStyle w:val="a3"/>
        <w:spacing w:before="93"/>
        <w:ind w:left="213"/>
        <w:rPr>
          <w:lang w:eastAsia="ja-JP"/>
        </w:rPr>
      </w:pPr>
      <w:r>
        <w:rPr>
          <w:lang w:eastAsia="ja-JP"/>
        </w:rPr>
        <w:t>Wollenberg et al., 2016143によるレビューは、</w:t>
      </w:r>
      <w:r w:rsidR="00F84997">
        <w:rPr>
          <w:rFonts w:hint="eastAsia"/>
          <w:lang w:eastAsia="ja-JP"/>
        </w:rPr>
        <w:t>以下のとおり</w:t>
      </w:r>
      <w:r>
        <w:rPr>
          <w:lang w:eastAsia="ja-JP"/>
        </w:rPr>
        <w:t>農業</w:t>
      </w:r>
      <w:r w:rsidR="006360C4">
        <w:rPr>
          <w:rFonts w:hint="eastAsia"/>
          <w:lang w:eastAsia="ja-JP"/>
        </w:rPr>
        <w:t>分野による</w:t>
      </w:r>
      <w:r>
        <w:rPr>
          <w:lang w:eastAsia="ja-JP"/>
        </w:rPr>
        <w:t>緩和の必要性を示唆している。</w:t>
      </w:r>
      <w:r w:rsidR="006360C4">
        <w:rPr>
          <w:rFonts w:hint="eastAsia"/>
          <w:lang w:eastAsia="ja-JP"/>
        </w:rPr>
        <w:t>それは</w:t>
      </w:r>
      <w:r w:rsidR="006360C4" w:rsidRPr="006360C4">
        <w:rPr>
          <w:rFonts w:hint="eastAsia"/>
          <w:lang w:eastAsia="ja-JP"/>
        </w:rPr>
        <w:t>0.9~1.4Gt(2030年)</w:t>
      </w:r>
      <w:r w:rsidR="006360C4">
        <w:rPr>
          <w:rFonts w:hint="eastAsia"/>
          <w:lang w:eastAsia="ja-JP"/>
        </w:rPr>
        <w:t>から</w:t>
      </w:r>
    </w:p>
    <w:p w14:paraId="5969FBAB" w14:textId="1404A5DE" w:rsidR="00410BDF" w:rsidRDefault="00CF7372">
      <w:pPr>
        <w:pStyle w:val="a3"/>
        <w:spacing w:before="33" w:line="276" w:lineRule="auto"/>
        <w:ind w:left="213" w:right="295"/>
        <w:rPr>
          <w:lang w:eastAsia="ja-JP"/>
        </w:rPr>
      </w:pPr>
      <w:r>
        <w:rPr>
          <w:position w:val="1"/>
          <w:lang w:eastAsia="ja-JP"/>
        </w:rPr>
        <w:t>2℃目標、を達成するためのCO2排出量</w:t>
      </w:r>
      <w:r w:rsidR="006360C4" w:rsidRPr="006360C4">
        <w:rPr>
          <w:rFonts w:hint="eastAsia"/>
          <w:position w:val="1"/>
          <w:lang w:eastAsia="ja-JP"/>
        </w:rPr>
        <w:t>1 GtCO2e(2030年)</w:t>
      </w:r>
      <w:r w:rsidR="006360C4">
        <w:rPr>
          <w:rFonts w:hint="eastAsia"/>
          <w:position w:val="1"/>
          <w:lang w:eastAsia="ja-JP"/>
        </w:rPr>
        <w:t>の間にあると考えられる</w:t>
      </w:r>
      <w:r>
        <w:rPr>
          <w:position w:val="1"/>
          <w:lang w:eastAsia="ja-JP"/>
        </w:rPr>
        <w:t xml:space="preserve">。 </w:t>
      </w:r>
      <w:r w:rsidR="006360C4">
        <w:rPr>
          <w:rFonts w:hint="eastAsia"/>
          <w:position w:val="1"/>
          <w:lang w:eastAsia="ja-JP"/>
        </w:rPr>
        <w:t>この考え方が</w:t>
      </w:r>
      <w:r>
        <w:rPr>
          <w:position w:val="1"/>
          <w:lang w:eastAsia="ja-JP"/>
        </w:rPr>
        <w:t>近似目標として選択</w:t>
      </w:r>
      <w:r w:rsidR="006360C4">
        <w:rPr>
          <w:rFonts w:hint="eastAsia"/>
          <w:position w:val="1"/>
          <w:lang w:eastAsia="ja-JP"/>
        </w:rPr>
        <w:t>され</w:t>
      </w:r>
      <w:r>
        <w:rPr>
          <w:position w:val="1"/>
          <w:lang w:eastAsia="ja-JP"/>
        </w:rPr>
        <w:t>た。 これらの数字は、主にCO2以外の排出量に関するものであり、累積ではなく「年率」の目標である。</w:t>
      </w:r>
      <w:r>
        <w:rPr>
          <w:lang w:eastAsia="ja-JP"/>
        </w:rPr>
        <w:t xml:space="preserve"> この目標は、2030年における農業の許容排出予算を</w:t>
      </w:r>
      <w:r w:rsidR="006360C4">
        <w:rPr>
          <w:rFonts w:hint="eastAsia"/>
          <w:lang w:eastAsia="ja-JP"/>
        </w:rPr>
        <w:t>初年度</w:t>
      </w:r>
      <w:r>
        <w:rPr>
          <w:lang w:eastAsia="ja-JP"/>
        </w:rPr>
        <w:t>6.15-7.78GtCO2と仮定している。 この目標は、シナリオの2030年の</w:t>
      </w:r>
      <w:r w:rsidR="006360C4">
        <w:rPr>
          <w:rFonts w:hint="eastAsia"/>
          <w:lang w:eastAsia="ja-JP"/>
        </w:rPr>
        <w:t>BAUベースラインと比較して、</w:t>
      </w:r>
      <w:r>
        <w:rPr>
          <w:lang w:eastAsia="ja-JP"/>
        </w:rPr>
        <w:t>各事業に対して11~18%の削減を</w:t>
      </w:r>
      <w:r w:rsidR="006360C4">
        <w:rPr>
          <w:rFonts w:hint="eastAsia"/>
          <w:lang w:eastAsia="ja-JP"/>
        </w:rPr>
        <w:t>課している</w:t>
      </w:r>
      <w:r>
        <w:rPr>
          <w:lang w:eastAsia="ja-JP"/>
        </w:rPr>
        <w:t>。</w:t>
      </w:r>
      <w:r w:rsidR="006360C4">
        <w:rPr>
          <w:rFonts w:hint="eastAsia"/>
          <w:lang w:eastAsia="ja-JP"/>
        </w:rPr>
        <w:t>144</w:t>
      </w:r>
      <w:r>
        <w:rPr>
          <w:position w:val="1"/>
          <w:lang w:eastAsia="ja-JP"/>
        </w:rPr>
        <w:t xml:space="preserve"> これらの数字はCO2以外の排出を表しているため、潜在的な炭素固定の役割と地球規模の緩和目標への貢献</w:t>
      </w:r>
      <w:r w:rsidR="0036048F">
        <w:rPr>
          <w:rFonts w:hint="eastAsia"/>
          <w:position w:val="1"/>
          <w:lang w:eastAsia="ja-JP"/>
        </w:rPr>
        <w:t>について、織り込まれた形では</w:t>
      </w:r>
      <w:r>
        <w:rPr>
          <w:position w:val="1"/>
          <w:lang w:eastAsia="ja-JP"/>
        </w:rPr>
        <w:t>認識していない。</w:t>
      </w:r>
      <w:r w:rsidR="0036048F">
        <w:rPr>
          <w:rFonts w:hint="eastAsia"/>
          <w:lang w:eastAsia="ja-JP"/>
        </w:rPr>
        <w:t>このため</w:t>
      </w:r>
      <w:r>
        <w:rPr>
          <w:lang w:eastAsia="ja-JP"/>
        </w:rPr>
        <w:t>、2020年から2030年までの10年間のGHG排出削減閾値20%</w:t>
      </w:r>
      <w:r w:rsidR="0036048F">
        <w:rPr>
          <w:rFonts w:hint="eastAsia"/>
          <w:lang w:eastAsia="ja-JP"/>
        </w:rPr>
        <w:t>が</w:t>
      </w:r>
      <w:r>
        <w:rPr>
          <w:lang w:eastAsia="ja-JP"/>
        </w:rPr>
        <w:t>、</w:t>
      </w:r>
      <w:r w:rsidR="00B83F9B">
        <w:rPr>
          <w:lang w:eastAsia="ja-JP"/>
        </w:rPr>
        <w:t>タクソノミー</w:t>
      </w:r>
      <w:r>
        <w:rPr>
          <w:lang w:eastAsia="ja-JP"/>
        </w:rPr>
        <w:t>の文脈において「重要な貢献」として提案されている。 これは、Frankら(2018)145、およびIPCCの第4次評価報告書(Smithら、2007)146の研究によって支持されている。</w:t>
      </w:r>
    </w:p>
    <w:p w14:paraId="51E8B52C" w14:textId="77777777" w:rsidR="00410BDF" w:rsidRDefault="00410BDF">
      <w:pPr>
        <w:pStyle w:val="a3"/>
        <w:spacing w:before="9"/>
        <w:rPr>
          <w:lang w:eastAsia="ja-JP"/>
        </w:rPr>
      </w:pPr>
    </w:p>
    <w:p w14:paraId="677B41F5" w14:textId="762F782E" w:rsidR="00410BDF" w:rsidRDefault="00CF7372">
      <w:pPr>
        <w:pStyle w:val="a3"/>
        <w:spacing w:line="276" w:lineRule="auto"/>
        <w:ind w:left="213" w:right="286"/>
        <w:rPr>
          <w:lang w:eastAsia="ja-JP"/>
        </w:rPr>
      </w:pPr>
      <w:r>
        <w:rPr>
          <w:lang w:eastAsia="ja-JP"/>
        </w:rPr>
        <w:t>農業における排出量の減少軌道の確立に関して、Wollenbergら(2016)の研究は、2010年から2100年までの排出量の軌跡に基づいて排出削減ニーズを計算している。 排出曲線(経時的な排出量のレベル)は、既存の取り組み、外部要因の変化予測などと比較して、異なる時点で増減する。 この期間全体で必要とされる平均削減量は、ベースラインと比較して28%の排出削減である。 2040年と2050年に向けて前進するにつれて、必要とされる排出削減のレベルが増加し、2030年の時間枠を超えて設定された閾値にこの影響が及ぶ。 2050年の削減量は大きくなる(約2倍)。 この研究では、必要とされる排出削減のレベルは年々直線的ではないが、単純化のために、2030年までに20%削減、2050年までに40%削減という2つのペッグの間に直線的な削減が描かれている。これは、排出削減の直線的な軌道</w:t>
      </w:r>
      <w:r w:rsidR="00D1575F">
        <w:rPr>
          <w:rFonts w:hint="eastAsia"/>
          <w:lang w:eastAsia="ja-JP"/>
        </w:rPr>
        <w:t>について、</w:t>
      </w:r>
      <w:r>
        <w:rPr>
          <w:lang w:eastAsia="ja-JP"/>
        </w:rPr>
        <w:t>実施とコミュニケーションを簡素化するためである。</w:t>
      </w:r>
    </w:p>
    <w:p w14:paraId="7E9E4032" w14:textId="77777777" w:rsidR="00410BDF" w:rsidRDefault="00410BDF">
      <w:pPr>
        <w:pStyle w:val="a3"/>
        <w:spacing w:before="1"/>
        <w:rPr>
          <w:sz w:val="21"/>
          <w:lang w:eastAsia="ja-JP"/>
        </w:rPr>
      </w:pPr>
    </w:p>
    <w:p w14:paraId="1811C975" w14:textId="16C10659" w:rsidR="00410BDF" w:rsidRDefault="00CF7372">
      <w:pPr>
        <w:pStyle w:val="a3"/>
        <w:spacing w:line="276" w:lineRule="auto"/>
        <w:ind w:left="213" w:right="210"/>
        <w:rPr>
          <w:lang w:eastAsia="ja-JP"/>
        </w:rPr>
      </w:pPr>
      <w:r>
        <w:rPr>
          <w:lang w:eastAsia="ja-JP"/>
        </w:rPr>
        <w:t>この研究では、農業</w:t>
      </w:r>
      <w:r w:rsidR="00D1575F">
        <w:rPr>
          <w:rFonts w:hint="eastAsia"/>
          <w:lang w:eastAsia="ja-JP"/>
        </w:rPr>
        <w:t>に関するBaU</w:t>
      </w:r>
      <w:r>
        <w:rPr>
          <w:lang w:eastAsia="ja-JP"/>
        </w:rPr>
        <w:t>シナリオに照らして、削減量</w:t>
      </w:r>
      <w:r w:rsidR="00D1575F">
        <w:rPr>
          <w:rFonts w:hint="eastAsia"/>
          <w:lang w:eastAsia="ja-JP"/>
        </w:rPr>
        <w:t>が</w:t>
      </w:r>
      <w:r>
        <w:rPr>
          <w:lang w:eastAsia="ja-JP"/>
        </w:rPr>
        <w:t>決定</w:t>
      </w:r>
      <w:r w:rsidR="00D1575F">
        <w:rPr>
          <w:rFonts w:hint="eastAsia"/>
          <w:lang w:eastAsia="ja-JP"/>
        </w:rPr>
        <w:t>され</w:t>
      </w:r>
      <w:r>
        <w:rPr>
          <w:lang w:eastAsia="ja-JP"/>
        </w:rPr>
        <w:t>た。 しかし、BaU排出量は、緩和行動が実施されていないと仮定して算定する必要があるため、各プロジェクトまたは各農場のBaU</w:t>
      </w:r>
      <w:r w:rsidR="00D1575F">
        <w:rPr>
          <w:rFonts w:hint="eastAsia"/>
          <w:lang w:eastAsia="ja-JP"/>
        </w:rPr>
        <w:t>反証</w:t>
      </w:r>
      <w:r>
        <w:rPr>
          <w:lang w:eastAsia="ja-JP"/>
        </w:rPr>
        <w:t>レベルの排出量を設定することは、実施効果を制限</w:t>
      </w:r>
      <w:r w:rsidR="00D1575F">
        <w:rPr>
          <w:rFonts w:hint="eastAsia"/>
          <w:lang w:eastAsia="ja-JP"/>
        </w:rPr>
        <w:t>してしまう</w:t>
      </w:r>
      <w:r>
        <w:rPr>
          <w:lang w:eastAsia="ja-JP"/>
        </w:rPr>
        <w:t xml:space="preserve">可能性がある。 </w:t>
      </w:r>
      <w:r w:rsidR="00D1575F">
        <w:rPr>
          <w:rFonts w:hint="eastAsia"/>
          <w:lang w:eastAsia="ja-JP"/>
        </w:rPr>
        <w:t>この点から、</w:t>
      </w:r>
      <w:r>
        <w:rPr>
          <w:lang w:eastAsia="ja-JP"/>
        </w:rPr>
        <w:t>提案されたアプローチは、期間開始時の排出量を10年後に達成された排出量と比較し、これを目標削減量に対して評価するという単純化</w:t>
      </w:r>
      <w:r w:rsidR="00D1575F">
        <w:rPr>
          <w:rFonts w:hint="eastAsia"/>
          <w:lang w:eastAsia="ja-JP"/>
        </w:rPr>
        <w:t>した要件が採用されている</w:t>
      </w:r>
      <w:r>
        <w:rPr>
          <w:lang w:eastAsia="ja-JP"/>
        </w:rPr>
        <w:t>。</w:t>
      </w:r>
    </w:p>
    <w:p w14:paraId="7D6A5AC0" w14:textId="77777777" w:rsidR="00410BDF" w:rsidRDefault="00410BDF">
      <w:pPr>
        <w:pStyle w:val="a3"/>
        <w:spacing w:before="10"/>
        <w:rPr>
          <w:lang w:eastAsia="ja-JP"/>
        </w:rPr>
      </w:pPr>
    </w:p>
    <w:p w14:paraId="7428825D" w14:textId="181A7F4E" w:rsidR="00410BDF" w:rsidRDefault="00CF7372">
      <w:pPr>
        <w:pStyle w:val="a3"/>
        <w:spacing w:line="276" w:lineRule="auto"/>
        <w:ind w:left="213" w:right="109"/>
        <w:rPr>
          <w:lang w:eastAsia="ja-JP"/>
        </w:rPr>
      </w:pPr>
      <w:r>
        <w:rPr>
          <w:lang w:eastAsia="ja-JP"/>
        </w:rPr>
        <w:t>排出削減のしきい値</w:t>
      </w:r>
      <w:r w:rsidR="00D1575F">
        <w:rPr>
          <w:rFonts w:hint="eastAsia"/>
          <w:lang w:eastAsia="ja-JP"/>
        </w:rPr>
        <w:t>基準</w:t>
      </w:r>
      <w:r>
        <w:rPr>
          <w:lang w:eastAsia="ja-JP"/>
        </w:rPr>
        <w:t>はgCO2eであり、gCO2e/生産量のような排出原単位</w:t>
      </w:r>
      <w:r w:rsidR="00D1575F">
        <w:rPr>
          <w:rFonts w:hint="eastAsia"/>
          <w:lang w:eastAsia="ja-JP"/>
        </w:rPr>
        <w:t>基準</w:t>
      </w:r>
      <w:r>
        <w:rPr>
          <w:lang w:eastAsia="ja-JP"/>
        </w:rPr>
        <w:t>ではない。これにより、排出原単位の削減(例えば、エネルギーや資源の効率)によって</w:t>
      </w:r>
      <w:r w:rsidR="00B83F9B">
        <w:rPr>
          <w:lang w:eastAsia="ja-JP"/>
        </w:rPr>
        <w:t>タクソノミー</w:t>
      </w:r>
      <w:r>
        <w:rPr>
          <w:lang w:eastAsia="ja-JP"/>
        </w:rPr>
        <w:t>を適用することが可能になる一方で、全体的な目標である排出量の削減を義務付けることができるからである。</w:t>
      </w:r>
    </w:p>
    <w:p w14:paraId="511E2B7C" w14:textId="77777777" w:rsidR="00410BDF" w:rsidRDefault="00410BDF">
      <w:pPr>
        <w:pStyle w:val="a3"/>
        <w:rPr>
          <w:lang w:eastAsia="ja-JP"/>
        </w:rPr>
      </w:pPr>
    </w:p>
    <w:p w14:paraId="0D771E13" w14:textId="77777777" w:rsidR="00410BDF" w:rsidRDefault="00410BDF">
      <w:pPr>
        <w:pStyle w:val="a3"/>
        <w:rPr>
          <w:lang w:eastAsia="ja-JP"/>
        </w:rPr>
      </w:pPr>
    </w:p>
    <w:p w14:paraId="2DC97334" w14:textId="77777777" w:rsidR="00410BDF" w:rsidRDefault="00196192">
      <w:pPr>
        <w:pStyle w:val="a3"/>
        <w:spacing w:before="8"/>
        <w:rPr>
          <w:sz w:val="19"/>
          <w:lang w:eastAsia="ja-JP"/>
        </w:rPr>
      </w:pPr>
      <w:r>
        <w:rPr>
          <w:noProof/>
          <w:lang w:val="en-US" w:eastAsia="ja-JP"/>
        </w:rPr>
        <mc:AlternateContent>
          <mc:Choice Requires="wps">
            <w:drawing>
              <wp:anchor distT="0" distB="0" distL="0" distR="0" simplePos="0" relativeHeight="251666944" behindDoc="1" locked="0" layoutInCell="1" allowOverlap="1" wp14:anchorId="57B1F910" wp14:editId="61ACB613">
                <wp:simplePos x="0" y="0"/>
                <wp:positionH relativeFrom="page">
                  <wp:posOffset>914400</wp:posOffset>
                </wp:positionH>
                <wp:positionV relativeFrom="paragraph">
                  <wp:posOffset>172085</wp:posOffset>
                </wp:positionV>
                <wp:extent cx="1829435" cy="0"/>
                <wp:effectExtent l="9525" t="13335" r="8890" b="5715"/>
                <wp:wrapTopAndBottom/>
                <wp:docPr id="7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91A26" id="Line 70" o:spid="_x0000_s1026" style="position:absolute;left:0;text-align:lef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16.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" strokeweight=".16936mm">
                <w10:wrap type="topAndBottom" anchorx="page"/>
              </v:line>
            </w:pict>
          </mc:Fallback>
        </mc:AlternateContent>
      </w:r>
    </w:p>
    <w:p w14:paraId="2455637D" w14:textId="77777777" w:rsidR="00410BDF" w:rsidRDefault="00410BDF">
      <w:pPr>
        <w:pStyle w:val="a3"/>
        <w:spacing w:before="8"/>
        <w:rPr>
          <w:sz w:val="16"/>
          <w:lang w:eastAsia="ja-JP"/>
        </w:rPr>
      </w:pPr>
    </w:p>
    <w:p w14:paraId="7AD684D4" w14:textId="77777777" w:rsidR="00410BDF" w:rsidRDefault="00CF7372">
      <w:pPr>
        <w:spacing w:before="98"/>
        <w:ind w:left="100" w:right="109"/>
        <w:rPr>
          <w:sz w:val="16"/>
          <w:lang w:eastAsia="ja-JP"/>
        </w:rPr>
      </w:pPr>
      <w:r>
        <w:rPr>
          <w:position w:val="6"/>
          <w:sz w:val="10"/>
        </w:rPr>
        <w:t xml:space="preserve">143 </w:t>
      </w:r>
      <w:proofErr w:type="spellStart"/>
      <w:r>
        <w:rPr>
          <w:position w:val="6"/>
          <w:sz w:val="10"/>
        </w:rPr>
        <w:t>Wollenberg</w:t>
      </w:r>
      <w:proofErr w:type="spellEnd"/>
      <w:r>
        <w:rPr>
          <w:position w:val="6"/>
          <w:sz w:val="10"/>
        </w:rPr>
        <w:t xml:space="preserve">, E., Richards, M., Smith, P., </w:t>
      </w:r>
      <w:proofErr w:type="spellStart"/>
      <w:r>
        <w:rPr>
          <w:position w:val="6"/>
          <w:sz w:val="10"/>
        </w:rPr>
        <w:t>Havlík</w:t>
      </w:r>
      <w:proofErr w:type="spellEnd"/>
      <w:r>
        <w:rPr>
          <w:position w:val="6"/>
          <w:sz w:val="10"/>
        </w:rPr>
        <w:t xml:space="preserve">, P., </w:t>
      </w:r>
      <w:proofErr w:type="spellStart"/>
      <w:r>
        <w:rPr>
          <w:position w:val="6"/>
          <w:sz w:val="10"/>
        </w:rPr>
        <w:t>Obersteiner</w:t>
      </w:r>
      <w:proofErr w:type="spellEnd"/>
      <w:r>
        <w:rPr>
          <w:position w:val="6"/>
          <w:sz w:val="10"/>
        </w:rPr>
        <w:t xml:space="preserve">, M., </w:t>
      </w:r>
      <w:proofErr w:type="spellStart"/>
      <w:r>
        <w:rPr>
          <w:position w:val="6"/>
          <w:sz w:val="10"/>
        </w:rPr>
        <w:t>Tubiello</w:t>
      </w:r>
      <w:proofErr w:type="spellEnd"/>
      <w:r>
        <w:rPr>
          <w:position w:val="6"/>
          <w:sz w:val="10"/>
        </w:rPr>
        <w:t>, F. N., ...</w:t>
      </w:r>
      <w:r>
        <w:rPr>
          <w:sz w:val="16"/>
        </w:rPr>
        <w:t xml:space="preserve"> </w:t>
      </w:r>
      <w:r>
        <w:rPr>
          <w:sz w:val="16"/>
          <w:lang w:eastAsia="ja-JP"/>
        </w:rPr>
        <w:t>Campbell, B. M. (2016). 2℃の目標を達成するために、農業からの排出を削減する。 地球変動生物学、22, 3859-3864 doi:10.1111/gcb.13340</w:t>
      </w:r>
    </w:p>
    <w:p w14:paraId="12B2B1BA" w14:textId="77777777" w:rsidR="00410BDF" w:rsidRDefault="00410BDF">
      <w:pPr>
        <w:pStyle w:val="a3"/>
        <w:spacing w:before="8"/>
        <w:rPr>
          <w:lang w:eastAsia="ja-JP"/>
        </w:rPr>
      </w:pPr>
    </w:p>
    <w:p w14:paraId="6C58F805" w14:textId="77777777" w:rsidR="00410BDF" w:rsidRDefault="00CF7372">
      <w:pPr>
        <w:ind w:left="100"/>
        <w:rPr>
          <w:sz w:val="16"/>
          <w:lang w:eastAsia="ja-JP"/>
        </w:rPr>
      </w:pPr>
      <w:r>
        <w:rPr>
          <w:position w:val="6"/>
          <w:sz w:val="10"/>
          <w:lang w:eastAsia="ja-JP"/>
        </w:rPr>
        <w:t>144アイデム</w:t>
      </w:r>
    </w:p>
    <w:p w14:paraId="2C2FD4A6" w14:textId="77777777" w:rsidR="00410BDF" w:rsidRDefault="00410BDF">
      <w:pPr>
        <w:pStyle w:val="a3"/>
        <w:spacing w:before="5"/>
        <w:rPr>
          <w:lang w:eastAsia="ja-JP"/>
        </w:rPr>
      </w:pPr>
    </w:p>
    <w:p w14:paraId="41FDAF75" w14:textId="77777777" w:rsidR="00410BDF" w:rsidRDefault="00CF7372">
      <w:pPr>
        <w:ind w:left="100" w:right="245"/>
        <w:rPr>
          <w:sz w:val="16"/>
          <w:lang w:eastAsia="ja-JP"/>
        </w:rPr>
      </w:pPr>
      <w:r>
        <w:rPr>
          <w:position w:val="6"/>
          <w:sz w:val="10"/>
          <w:lang w:eastAsia="ja-JP"/>
        </w:rPr>
        <w:t>145 Stefan Frank et al., Agricultural non-CO2 排出削減ポテンシャルは、1.5℃という目標、Nature Climate Change (2018)に照らして。</w:t>
      </w:r>
      <w:r>
        <w:rPr>
          <w:sz w:val="16"/>
          <w:lang w:eastAsia="ja-JP"/>
        </w:rPr>
        <w:t xml:space="preserve"> DOI: 10.1038/s4558-018-0358-8</w:t>
      </w:r>
    </w:p>
    <w:p w14:paraId="3C40FC76" w14:textId="77777777" w:rsidR="00410BDF" w:rsidRDefault="00410BDF">
      <w:pPr>
        <w:pStyle w:val="a3"/>
        <w:spacing w:before="8"/>
        <w:rPr>
          <w:lang w:eastAsia="ja-JP"/>
        </w:rPr>
      </w:pPr>
    </w:p>
    <w:p w14:paraId="2422165B" w14:textId="77777777" w:rsidR="00410BDF" w:rsidRDefault="00CF7372">
      <w:pPr>
        <w:ind w:left="100"/>
        <w:rPr>
          <w:sz w:val="16"/>
          <w:lang w:eastAsia="ja-JP"/>
        </w:rPr>
      </w:pPr>
      <w:r>
        <w:rPr>
          <w:position w:val="6"/>
          <w:sz w:val="10"/>
          <w:lang w:eastAsia="ja-JP"/>
        </w:rPr>
        <w:t>146 Smith, P.ら</w:t>
      </w:r>
      <w:r>
        <w:rPr>
          <w:sz w:val="16"/>
          <w:lang w:eastAsia="ja-JP"/>
        </w:rPr>
        <w:t xml:space="preserve"> (2007)「農業」、気候変動:緩和、第3作業部会の気候変動に関する政府間パネル第4次評価報告書への貢献、ケンブリッジ大学出版局、ニューヨーク。</w:t>
      </w:r>
    </w:p>
    <w:p w14:paraId="4AC07295" w14:textId="77777777" w:rsidR="00410BDF" w:rsidRDefault="00410BDF">
      <w:pPr>
        <w:rPr>
          <w:sz w:val="16"/>
          <w:lang w:eastAsia="ja-JP"/>
        </w:rPr>
        <w:sectPr w:rsidR="00410BDF">
          <w:pgSz w:w="12240" w:h="15840"/>
          <w:pgMar w:top="1440" w:right="1320" w:bottom="1640" w:left="1340" w:header="0" w:footer="1372" w:gutter="0"/>
          <w:cols w:space="720"/>
        </w:sectPr>
      </w:pPr>
    </w:p>
    <w:p w14:paraId="53F88995" w14:textId="77777777" w:rsidR="00410BDF" w:rsidRDefault="00196192">
      <w:pPr>
        <w:pStyle w:val="a3"/>
        <w:spacing w:before="9"/>
        <w:rPr>
          <w:sz w:val="22"/>
          <w:lang w:eastAsia="ja-JP"/>
        </w:rPr>
      </w:pPr>
      <w:r>
        <w:rPr>
          <w:noProof/>
          <w:lang w:val="en-US" w:eastAsia="ja-JP"/>
        </w:rPr>
        <w:lastRenderedPageBreak/>
        <mc:AlternateContent>
          <mc:Choice Requires="wpg">
            <w:drawing>
              <wp:anchor distT="0" distB="0" distL="114300" distR="114300" simplePos="0" relativeHeight="251647488" behindDoc="1" locked="0" layoutInCell="1" allowOverlap="1" wp14:anchorId="39D1D9E2" wp14:editId="42A08AEB">
                <wp:simplePos x="0" y="0"/>
                <wp:positionH relativeFrom="page">
                  <wp:posOffset>914400</wp:posOffset>
                </wp:positionH>
                <wp:positionV relativeFrom="page">
                  <wp:posOffset>914400</wp:posOffset>
                </wp:positionV>
                <wp:extent cx="5944870" cy="7865110"/>
                <wp:effectExtent l="9525" t="9525" r="8255" b="12065"/>
                <wp:wrapNone/>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865110"/>
                          <a:chOff x="1440" y="1440"/>
                          <a:chExt cx="9362" cy="12386"/>
                        </a:xfrm>
                      </wpg:grpSpPr>
                      <wps:wsp>
                        <wps:cNvPr id="72" name="Line 69"/>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8"/>
                        <wps:cNvCnPr>
                          <a:cxnSpLocks noChangeShapeType="1"/>
                        </wps:cNvCnPr>
                        <wps:spPr bwMode="auto">
                          <a:xfrm>
                            <a:off x="1445" y="1440"/>
                            <a:ext cx="0" cy="12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7"/>
                        <wps:cNvCnPr>
                          <a:cxnSpLocks noChangeShapeType="1"/>
                        </wps:cNvCnPr>
                        <wps:spPr bwMode="auto">
                          <a:xfrm>
                            <a:off x="1450" y="13821"/>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6"/>
                        <wps:cNvCnPr>
                          <a:cxnSpLocks noChangeShapeType="1"/>
                        </wps:cNvCnPr>
                        <wps:spPr bwMode="auto">
                          <a:xfrm>
                            <a:off x="10797" y="1440"/>
                            <a:ext cx="0" cy="12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6DB6F" id="Group 65" o:spid="_x0000_s1026" style="position:absolute;left:0;text-align:left;margin-left:1in;margin-top:1in;width:468.1pt;height:619.3pt;z-index:-251668992;mso-position-horizontal-relative:page;mso-position-vertical-relative:page" coordorigin="1440,1440" coordsize="9362,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">
                <v:line id="Line 69"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68" o:spid="_x0000_s1028" style="position:absolute;visibility:visible;mso-wrap-style:square" from="1445,1440" to="1445,1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67" o:spid="_x0000_s1029" style="position:absolute;visibility:visible;mso-wrap-style:square" from="1450,13821" to="10792,1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CDsMAAADbAAAADwAAAGRycy9kb3ducmV2LnhtbESPT4vCMBTE78J+h/AW9qapf+hKNYos&#10;CB4EUffi7dE802LyUpqs1v30RhA8DjPzG2a+7JwVV2pD7VnBcJCBIC69rtko+D2u+1MQISJrtJ5J&#10;wZ0CLBcfvTkW2t94T9dDNCJBOBSooIqxKaQMZUUOw8A3xMk7+9ZhTLI1Urd4S3Bn5SjLcumw5rRQ&#10;YUM/FZWXw59TMF7dT93Y26n9N3U+Mvllu2sypb4+u9UMRKQuvsOv9kYr+J7A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Qg7DAAAA2wAAAA8AAAAAAAAAAAAA&#10;AAAAoQIAAGRycy9kb3ducmV2LnhtbFBLBQYAAAAABAAEAPkAAACRAwAAAAA=&#10;" strokeweight=".16936mm"/>
                <v:line id="Line 66" o:spid="_x0000_s1030" style="position:absolute;visibility:visible;mso-wrap-style:square" from="10797,1440" to="10797,1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page" anchory="page"/>
              </v:group>
            </w:pict>
          </mc:Fallback>
        </mc:AlternateContent>
      </w:r>
    </w:p>
    <w:p w14:paraId="00C2EF9A" w14:textId="77777777" w:rsidR="00410BDF" w:rsidRDefault="00CF7372">
      <w:pPr>
        <w:pStyle w:val="2"/>
        <w:spacing w:before="93"/>
        <w:rPr>
          <w:lang w:eastAsia="ja-JP"/>
        </w:rPr>
      </w:pPr>
      <w:r>
        <w:rPr>
          <w:lang w:eastAsia="ja-JP"/>
        </w:rPr>
        <w:t>炭素貯蔵閾値の設定について</w:t>
      </w:r>
    </w:p>
    <w:p w14:paraId="516E8B96" w14:textId="5B52C2EE" w:rsidR="00410BDF" w:rsidRDefault="00CF7372">
      <w:pPr>
        <w:pStyle w:val="a3"/>
        <w:spacing w:before="154" w:line="276" w:lineRule="auto"/>
        <w:ind w:left="213" w:right="255"/>
        <w:rPr>
          <w:lang w:eastAsia="ja-JP"/>
        </w:rPr>
      </w:pPr>
      <w:r>
        <w:rPr>
          <w:lang w:eastAsia="ja-JP"/>
        </w:rPr>
        <w:t>炭素貯蔵のための普遍的(または世界的)絶対閾値(tC/haで表す)を設定することは、炭素隔離と貯蔵ポテンシャルの変動性を考えると、現実的な選択肢</w:t>
      </w:r>
      <w:r w:rsidR="002A6CCD">
        <w:rPr>
          <w:rFonts w:hint="eastAsia"/>
          <w:lang w:eastAsia="ja-JP"/>
        </w:rPr>
        <w:t>とはいえ</w:t>
      </w:r>
      <w:r>
        <w:rPr>
          <w:lang w:eastAsia="ja-JP"/>
        </w:rPr>
        <w:t>ない。これは、</w:t>
      </w:r>
      <w:r w:rsidR="002A6CCD">
        <w:rPr>
          <w:rFonts w:hint="eastAsia"/>
          <w:lang w:eastAsia="ja-JP"/>
        </w:rPr>
        <w:t>個別の</w:t>
      </w:r>
      <w:r>
        <w:rPr>
          <w:lang w:eastAsia="ja-JP"/>
        </w:rPr>
        <w:t>状況に特有のものである。炭素貯蔵ポテンシャル</w:t>
      </w:r>
      <w:r w:rsidR="002A6CCD">
        <w:rPr>
          <w:rFonts w:hint="eastAsia"/>
          <w:lang w:eastAsia="ja-JP"/>
        </w:rPr>
        <w:t>が低い事案では</w:t>
      </w:r>
      <w:r>
        <w:rPr>
          <w:lang w:eastAsia="ja-JP"/>
        </w:rPr>
        <w:t>、普遍的、絶対的な閾値に沿った実質的な隔離を実現することができないだろう。 (その場所での最大炭素貯蔵ポテンシャルに基づいて)</w:t>
      </w:r>
      <w:r w:rsidR="002A6CCD">
        <w:rPr>
          <w:rFonts w:hint="eastAsia"/>
          <w:lang w:eastAsia="ja-JP"/>
        </w:rPr>
        <w:t>たとえ</w:t>
      </w:r>
      <w:r>
        <w:rPr>
          <w:lang w:eastAsia="ja-JP"/>
        </w:rPr>
        <w:t>局地的条件に結びついた絶対閾値を設定</w:t>
      </w:r>
      <w:r w:rsidR="002A6CCD">
        <w:rPr>
          <w:rFonts w:hint="eastAsia"/>
          <w:lang w:eastAsia="ja-JP"/>
        </w:rPr>
        <w:t>すると</w:t>
      </w:r>
      <w:r>
        <w:rPr>
          <w:lang w:eastAsia="ja-JP"/>
        </w:rPr>
        <w:t>しても、現時点では、特定の地域の最大固定ポテンシャル(すなわち飽和点)を試験し推定することは現実的ではない。 このような計算は、現在、土壌タイプに基づくデフォルト値を使用しているため、</w:t>
      </w:r>
      <w:r w:rsidR="002A6CCD">
        <w:rPr>
          <w:rFonts w:hint="eastAsia"/>
          <w:lang w:eastAsia="ja-JP"/>
        </w:rPr>
        <w:t>個別の</w:t>
      </w:r>
      <w:r>
        <w:rPr>
          <w:lang w:eastAsia="ja-JP"/>
        </w:rPr>
        <w:t>状況に特有のもの</w:t>
      </w:r>
      <w:r w:rsidR="002A6CCD">
        <w:rPr>
          <w:rFonts w:hint="eastAsia"/>
          <w:lang w:eastAsia="ja-JP"/>
        </w:rPr>
        <w:t>にはなら</w:t>
      </w:r>
      <w:r>
        <w:rPr>
          <w:lang w:eastAsia="ja-JP"/>
        </w:rPr>
        <w:t>ない</w:t>
      </w:r>
      <w:r w:rsidR="002A6CCD">
        <w:rPr>
          <w:rFonts w:hint="eastAsia"/>
          <w:lang w:eastAsia="ja-JP"/>
        </w:rPr>
        <w:t>のである</w:t>
      </w:r>
      <w:r>
        <w:rPr>
          <w:lang w:eastAsia="ja-JP"/>
        </w:rPr>
        <w:t>。</w:t>
      </w:r>
    </w:p>
    <w:p w14:paraId="18EDCC84" w14:textId="77777777" w:rsidR="00410BDF" w:rsidRDefault="00410BDF">
      <w:pPr>
        <w:pStyle w:val="a3"/>
        <w:spacing w:before="8"/>
        <w:rPr>
          <w:lang w:eastAsia="ja-JP"/>
        </w:rPr>
      </w:pPr>
    </w:p>
    <w:p w14:paraId="75CBACC8" w14:textId="110D0652" w:rsidR="00410BDF" w:rsidRDefault="00CF7372">
      <w:pPr>
        <w:pStyle w:val="a3"/>
        <w:spacing w:before="1" w:line="276" w:lineRule="auto"/>
        <w:ind w:left="213" w:right="309"/>
        <w:rPr>
          <w:lang w:eastAsia="ja-JP"/>
        </w:rPr>
      </w:pPr>
      <w:r>
        <w:rPr>
          <w:lang w:eastAsia="ja-JP"/>
        </w:rPr>
        <w:t>さらに、必要とされる炭素増加の特定の%を定義することでさえ、排出削減の相対的な閾値を設定するよりも困難である。 排出量を削減することは、一定の時点での排出量の水準に常に比例するため、例えば、10年間で20%削減することは、パフォーマンスの悪い農場から「実質的な」貢献をもたらすことが期待できる(結果として、全体的に高い排出削減をもたらす)。 しかし、この前提は、比較的証拠が少なく、研究が少ないため、農地への固定を増加させることを検討する場合は異なっている。というのは、1.5℃または2℃の気候安定化目標シナリオでは、農地への炭素貯蔵の増加がどの程度必要となるかを示唆する研究はほとんどないからである。これは、同じ土地からの排出のレベル(もし</w:t>
      </w:r>
      <w:r w:rsidR="00597918">
        <w:rPr>
          <w:lang w:eastAsia="ja-JP"/>
        </w:rPr>
        <w:t>正味ゼロ</w:t>
      </w:r>
      <w:r>
        <w:rPr>
          <w:lang w:eastAsia="ja-JP"/>
        </w:rPr>
        <w:t>アプローチを追求するなら)または経済の他の部門を相殺するために必要な炭素固定のレベルと比較するためである。 しかし、C隔離は、世界規模で農業部門が利用できる最大の緩和ポテンシャルを表すことが認識されている。一方、EUでは、非CO2排出の排出削減は、一般的な集約的生産システムではより重要になるかもしれない。 Smithら(2007)は、2030年および2050年までのこの部門における排出削減の技術的ポテンシャルの89%は、土壌炭素固定、すなわち、耕作地管理、放牧地管理、耕作有機土壌の回復、劣化した土地の回復を含む農業技術および管理からの</w:t>
      </w:r>
      <w:r w:rsidRPr="005F0270">
        <w:rPr>
          <w:rFonts w:hint="eastAsia"/>
          <w:b/>
          <w:u w:val="single"/>
          <w:lang w:eastAsia="ja-JP"/>
        </w:rPr>
        <w:t>正味の</w:t>
      </w:r>
      <w:r>
        <w:rPr>
          <w:lang w:eastAsia="ja-JP"/>
        </w:rPr>
        <w:t>CO2排出の削減にあると推定している。</w:t>
      </w:r>
    </w:p>
    <w:p w14:paraId="21B063C7" w14:textId="77777777" w:rsidR="00410BDF" w:rsidRDefault="00410BDF">
      <w:pPr>
        <w:pStyle w:val="a3"/>
        <w:spacing w:before="1"/>
        <w:rPr>
          <w:sz w:val="21"/>
          <w:lang w:eastAsia="ja-JP"/>
        </w:rPr>
      </w:pPr>
    </w:p>
    <w:p w14:paraId="06F08B29" w14:textId="3BB833CF" w:rsidR="00410BDF" w:rsidRDefault="00CF7372">
      <w:pPr>
        <w:pStyle w:val="a3"/>
        <w:spacing w:line="276" w:lineRule="auto"/>
        <w:ind w:left="213" w:right="309"/>
        <w:rPr>
          <w:lang w:eastAsia="ja-JP"/>
        </w:rPr>
      </w:pPr>
      <w:r>
        <w:rPr>
          <w:lang w:eastAsia="ja-JP"/>
        </w:rPr>
        <w:t>したがって、この提案では、炭素貯蔵の増加、具体的には20年間にわたる炭素貯蔵の漸進的増加に関して、正の方向性の証拠を必要とする。 IPCCの20年間の土壌C飽和期間に沿って、Cストック飽和維持のための20年間の期間が提案されている。 資金が供与される作物生産の(残りの)ライフサイクルが20年未満の場合、炭素固定の傾向の永続性を促進するために、作物の可能性のある再植に対して保証を求めるべきである。 古い作物を根絶し、新しい若い段階の作物を休耕期間/回復期間の可能性のあるものに置き換えることは、炭素貯蔵の削減と一部の排出をもたらすことが認識されている。 このことを念頭に置いて、炭素貯蔵の全体的な維持および/または固定の増加傾向が、複数のローテーションにわたって追求されることを確実にすることが目的である。</w:t>
      </w:r>
    </w:p>
    <w:p w14:paraId="55174A68" w14:textId="77777777" w:rsidR="00410BDF" w:rsidRDefault="00410BDF">
      <w:pPr>
        <w:pStyle w:val="a3"/>
        <w:spacing w:before="9"/>
        <w:rPr>
          <w:lang w:eastAsia="ja-JP"/>
        </w:rPr>
      </w:pPr>
    </w:p>
    <w:p w14:paraId="798E5F8E" w14:textId="77777777" w:rsidR="00410BDF" w:rsidRDefault="00CF7372">
      <w:pPr>
        <w:pStyle w:val="2"/>
        <w:rPr>
          <w:lang w:eastAsia="ja-JP"/>
        </w:rPr>
      </w:pPr>
      <w:r>
        <w:rPr>
          <w:lang w:eastAsia="ja-JP"/>
        </w:rPr>
        <w:t>高炭素貯蔵地の転換なし</w:t>
      </w:r>
    </w:p>
    <w:p w14:paraId="65F4BA61" w14:textId="1B88E314" w:rsidR="00410BDF" w:rsidRDefault="00CF7372">
      <w:pPr>
        <w:pStyle w:val="a3"/>
        <w:spacing w:before="156" w:line="276" w:lineRule="auto"/>
        <w:ind w:left="213" w:right="255"/>
        <w:rPr>
          <w:lang w:eastAsia="ja-JP"/>
        </w:rPr>
      </w:pPr>
      <w:r>
        <w:rPr>
          <w:lang w:eastAsia="ja-JP"/>
        </w:rPr>
        <w:t>高炭素貯蔵地の転換を</w:t>
      </w:r>
      <w:r w:rsidR="002A6CCD">
        <w:rPr>
          <w:rFonts w:hint="eastAsia"/>
          <w:lang w:eastAsia="ja-JP"/>
        </w:rPr>
        <w:t>禁止するために、</w:t>
      </w:r>
      <w:r>
        <w:rPr>
          <w:lang w:eastAsia="ja-JP"/>
        </w:rPr>
        <w:t>2008年</w:t>
      </w:r>
      <w:r w:rsidR="002A6CCD">
        <w:rPr>
          <w:rFonts w:hint="eastAsia"/>
          <w:lang w:eastAsia="ja-JP"/>
        </w:rPr>
        <w:t>に締め切り日が設定されたが、それは</w:t>
      </w:r>
      <w:r>
        <w:rPr>
          <w:lang w:eastAsia="ja-JP"/>
        </w:rPr>
        <w:t>これらの土地タイプに関連する再生可能エネルギー指令の持続可能性基準の運用と整合するよう</w:t>
      </w:r>
      <w:r w:rsidR="002A6CCD">
        <w:rPr>
          <w:rFonts w:hint="eastAsia"/>
          <w:lang w:eastAsia="ja-JP"/>
        </w:rPr>
        <w:t>配慮された</w:t>
      </w:r>
      <w:r>
        <w:rPr>
          <w:lang w:eastAsia="ja-JP"/>
        </w:rPr>
        <w:t>。この基準の遵守を実証するため</w:t>
      </w:r>
      <w:r w:rsidR="002A6CCD">
        <w:rPr>
          <w:rFonts w:hint="eastAsia"/>
          <w:lang w:eastAsia="ja-JP"/>
        </w:rPr>
        <w:t>、</w:t>
      </w:r>
      <w:r>
        <w:rPr>
          <w:lang w:eastAsia="ja-JP"/>
        </w:rPr>
        <w:t>既存の持続可能性スキームとのリンク</w:t>
      </w:r>
      <w:r w:rsidR="002A6CCD">
        <w:rPr>
          <w:rFonts w:hint="eastAsia"/>
          <w:lang w:eastAsia="ja-JP"/>
        </w:rPr>
        <w:t>が担保されたのである</w:t>
      </w:r>
      <w:r>
        <w:rPr>
          <w:lang w:eastAsia="ja-JP"/>
        </w:rPr>
        <w:t>。</w:t>
      </w:r>
    </w:p>
    <w:p w14:paraId="789EF560" w14:textId="77777777" w:rsidR="00410BDF" w:rsidRDefault="00410BDF">
      <w:pPr>
        <w:spacing w:line="276" w:lineRule="auto"/>
        <w:rPr>
          <w:lang w:eastAsia="ja-JP"/>
        </w:rPr>
        <w:sectPr w:rsidR="00410BDF">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673"/>
        <w:gridCol w:w="7571"/>
      </w:tblGrid>
      <w:tr w:rsidR="00410BDF" w14:paraId="1449348E" w14:textId="77777777">
        <w:trPr>
          <w:trHeight w:val="2716"/>
        </w:trPr>
        <w:tc>
          <w:tcPr>
            <w:tcW w:w="9352" w:type="dxa"/>
            <w:gridSpan w:val="3"/>
          </w:tcPr>
          <w:p w14:paraId="0538516D" w14:textId="77777777" w:rsidR="00410BDF" w:rsidRDefault="00CF7372">
            <w:pPr>
              <w:pStyle w:val="TableParagraph"/>
              <w:spacing w:line="229" w:lineRule="exact"/>
              <w:ind w:left="107"/>
              <w:rPr>
                <w:b/>
                <w:sz w:val="20"/>
                <w:lang w:eastAsia="ja-JP"/>
              </w:rPr>
            </w:pPr>
            <w:r>
              <w:rPr>
                <w:b/>
                <w:sz w:val="20"/>
                <w:lang w:eastAsia="ja-JP"/>
              </w:rPr>
              <w:lastRenderedPageBreak/>
              <w:t>これらの基準および閾値の遵守を実証するにあたり</w:t>
            </w:r>
          </w:p>
          <w:p w14:paraId="5C98654A" w14:textId="77777777" w:rsidR="00410BDF" w:rsidRDefault="00CF7372">
            <w:pPr>
              <w:pStyle w:val="TableParagraph"/>
              <w:spacing w:before="157" w:line="276" w:lineRule="auto"/>
              <w:ind w:left="107" w:right="120"/>
              <w:rPr>
                <w:sz w:val="20"/>
                <w:lang w:eastAsia="ja-JP"/>
              </w:rPr>
            </w:pPr>
            <w:r>
              <w:rPr>
                <w:sz w:val="20"/>
                <w:lang w:eastAsia="ja-JP"/>
              </w:rPr>
              <w:t>3年間のコンプライアンス・チェックを提案し、進捗状況を確認し、実際に軽減策を実施していることを確認するとともに、事業者に必要な負担を軽減する。 このコンプライアンスチェックは、管理慣行のチェック、CO2貯蔵量の変化、GHG削減のために必要である。</w:t>
            </w:r>
          </w:p>
          <w:p w14:paraId="5D72A58B" w14:textId="77777777" w:rsidR="00410BDF" w:rsidRDefault="00410BDF">
            <w:pPr>
              <w:pStyle w:val="TableParagraph"/>
              <w:spacing w:before="8"/>
              <w:rPr>
                <w:sz w:val="20"/>
                <w:lang w:eastAsia="ja-JP"/>
              </w:rPr>
            </w:pPr>
          </w:p>
          <w:p w14:paraId="1245A149" w14:textId="77777777" w:rsidR="00410BDF" w:rsidRDefault="00CF7372">
            <w:pPr>
              <w:pStyle w:val="TableParagraph"/>
              <w:spacing w:line="276" w:lineRule="auto"/>
              <w:ind w:left="107" w:right="255"/>
              <w:jc w:val="both"/>
              <w:rPr>
                <w:sz w:val="20"/>
                <w:lang w:eastAsia="ja-JP"/>
              </w:rPr>
            </w:pPr>
            <w:r>
              <w:rPr>
                <w:sz w:val="20"/>
                <w:lang w:eastAsia="ja-JP"/>
              </w:rPr>
              <w:t>農場の持続可能性管理計画を作成するために、炭素計算器を使用するか、または他の栄養素決定支援ツールを用いて計画を作成することもできる。 計画の作成過程において助言的支援が必要となる可能性が高く、また、計画の適切な実施を確保するために必要となる場合もある。</w:t>
            </w:r>
          </w:p>
        </w:tc>
      </w:tr>
      <w:tr w:rsidR="00410BDF" w14:paraId="605CDD80" w14:textId="77777777">
        <w:trPr>
          <w:trHeight w:val="383"/>
        </w:trPr>
        <w:tc>
          <w:tcPr>
            <w:tcW w:w="108" w:type="dxa"/>
            <w:tcBorders>
              <w:bottom w:val="single" w:sz="8" w:space="0" w:color="000000"/>
              <w:right w:val="nil"/>
            </w:tcBorders>
            <w:shd w:val="clear" w:color="auto" w:fill="4471C4"/>
          </w:tcPr>
          <w:p w14:paraId="5771E68E" w14:textId="77777777" w:rsidR="00410BDF" w:rsidRDefault="00410BDF">
            <w:pPr>
              <w:pStyle w:val="TableParagraph"/>
              <w:rPr>
                <w:rFonts w:ascii="Times New Roman"/>
                <w:sz w:val="18"/>
                <w:lang w:eastAsia="ja-JP"/>
              </w:rPr>
            </w:pPr>
          </w:p>
        </w:tc>
        <w:tc>
          <w:tcPr>
            <w:tcW w:w="9244" w:type="dxa"/>
            <w:gridSpan w:val="2"/>
            <w:tcBorders>
              <w:left w:val="nil"/>
              <w:bottom w:val="single" w:sz="8" w:space="0" w:color="000000"/>
            </w:tcBorders>
            <w:shd w:val="clear" w:color="auto" w:fill="4471C4"/>
          </w:tcPr>
          <w:p w14:paraId="47A6AD8D" w14:textId="6D7C386D" w:rsidR="00410BDF" w:rsidRDefault="00395BDF">
            <w:pPr>
              <w:pStyle w:val="TableParagraph"/>
              <w:spacing w:before="40"/>
              <w:ind w:left="4"/>
              <w:rPr>
                <w:b/>
                <w:sz w:val="20"/>
                <w:lang w:eastAsia="ja-JP"/>
              </w:rPr>
            </w:pPr>
            <w:r>
              <w:rPr>
                <w:b/>
                <w:color w:val="FFFFFF"/>
                <w:sz w:val="20"/>
                <w:lang w:eastAsia="ja-JP"/>
              </w:rPr>
              <w:t>重大な有害性重大な有害性</w:t>
            </w:r>
          </w:p>
        </w:tc>
      </w:tr>
      <w:tr w:rsidR="00410BDF" w14:paraId="2839BC79" w14:textId="77777777">
        <w:trPr>
          <w:trHeight w:val="4279"/>
        </w:trPr>
        <w:tc>
          <w:tcPr>
            <w:tcW w:w="9352" w:type="dxa"/>
            <w:gridSpan w:val="3"/>
            <w:tcBorders>
              <w:top w:val="single" w:sz="8" w:space="0" w:color="000000"/>
            </w:tcBorders>
          </w:tcPr>
          <w:p w14:paraId="65AA6B30" w14:textId="77777777" w:rsidR="00410BDF" w:rsidRDefault="00CF7372">
            <w:pPr>
              <w:pStyle w:val="TableParagraph"/>
              <w:spacing w:before="40" w:line="276" w:lineRule="auto"/>
              <w:ind w:left="107" w:right="121"/>
              <w:rPr>
                <w:sz w:val="20"/>
                <w:lang w:eastAsia="ja-JP"/>
              </w:rPr>
            </w:pPr>
            <w:r>
              <w:rPr>
                <w:sz w:val="20"/>
                <w:lang w:eastAsia="ja-JP"/>
              </w:rPr>
              <w:t>多年生作物の栽培への投資のために考慮すべき主要な環境側面は、他の5つの目的すべてにわたり、以下のように要約される。</w:t>
            </w:r>
          </w:p>
          <w:p w14:paraId="55DEFBA9" w14:textId="77777777" w:rsidR="00410BDF" w:rsidRDefault="00CF7372">
            <w:pPr>
              <w:pStyle w:val="TableParagraph"/>
              <w:numPr>
                <w:ilvl w:val="0"/>
                <w:numId w:val="28"/>
              </w:numPr>
              <w:tabs>
                <w:tab w:val="left" w:pos="827"/>
                <w:tab w:val="left" w:pos="828"/>
              </w:tabs>
              <w:spacing w:before="82"/>
              <w:rPr>
                <w:sz w:val="20"/>
                <w:lang w:eastAsia="ja-JP"/>
              </w:rPr>
            </w:pPr>
            <w:r>
              <w:rPr>
                <w:sz w:val="20"/>
                <w:lang w:eastAsia="ja-JP"/>
              </w:rPr>
              <w:t>変化する気候に適応する農業システムの能力</w:t>
            </w:r>
          </w:p>
          <w:p w14:paraId="66695976" w14:textId="77777777" w:rsidR="00410BDF" w:rsidRDefault="00CF7372">
            <w:pPr>
              <w:pStyle w:val="TableParagraph"/>
              <w:numPr>
                <w:ilvl w:val="0"/>
                <w:numId w:val="28"/>
              </w:numPr>
              <w:tabs>
                <w:tab w:val="left" w:pos="827"/>
                <w:tab w:val="left" w:pos="828"/>
              </w:tabs>
              <w:spacing w:before="112"/>
              <w:rPr>
                <w:sz w:val="20"/>
                <w:lang w:eastAsia="ja-JP"/>
              </w:rPr>
            </w:pPr>
            <w:r>
              <w:rPr>
                <w:sz w:val="20"/>
                <w:lang w:eastAsia="ja-JP"/>
              </w:rPr>
              <w:t>水量、水質、水生態系への影響</w:t>
            </w:r>
          </w:p>
          <w:p w14:paraId="7299E040" w14:textId="77777777" w:rsidR="00410BDF" w:rsidRDefault="00CF7372">
            <w:pPr>
              <w:pStyle w:val="TableParagraph"/>
              <w:numPr>
                <w:ilvl w:val="0"/>
                <w:numId w:val="28"/>
              </w:numPr>
              <w:tabs>
                <w:tab w:val="left" w:pos="827"/>
                <w:tab w:val="left" w:pos="828"/>
              </w:tabs>
              <w:spacing w:before="113"/>
              <w:rPr>
                <w:sz w:val="20"/>
              </w:rPr>
            </w:pPr>
            <w:proofErr w:type="spellStart"/>
            <w:r>
              <w:rPr>
                <w:sz w:val="20"/>
              </w:rPr>
              <w:t>大気質への影響</w:t>
            </w:r>
            <w:proofErr w:type="spellEnd"/>
          </w:p>
          <w:p w14:paraId="143CF608" w14:textId="77777777" w:rsidR="00410BDF" w:rsidRDefault="00CF7372">
            <w:pPr>
              <w:pStyle w:val="TableParagraph"/>
              <w:numPr>
                <w:ilvl w:val="0"/>
                <w:numId w:val="28"/>
              </w:numPr>
              <w:tabs>
                <w:tab w:val="left" w:pos="827"/>
                <w:tab w:val="left" w:pos="828"/>
              </w:tabs>
              <w:spacing w:before="113"/>
              <w:rPr>
                <w:sz w:val="20"/>
                <w:lang w:eastAsia="ja-JP"/>
              </w:rPr>
            </w:pPr>
            <w:r>
              <w:rPr>
                <w:sz w:val="20"/>
                <w:lang w:eastAsia="ja-JP"/>
              </w:rPr>
              <w:t>栄養管理を含む生産システムの非効率性</w:t>
            </w:r>
          </w:p>
          <w:p w14:paraId="01B75146" w14:textId="77777777" w:rsidR="00410BDF" w:rsidRDefault="00CF7372">
            <w:pPr>
              <w:pStyle w:val="TableParagraph"/>
              <w:numPr>
                <w:ilvl w:val="0"/>
                <w:numId w:val="28"/>
              </w:numPr>
              <w:tabs>
                <w:tab w:val="left" w:pos="827"/>
                <w:tab w:val="left" w:pos="828"/>
              </w:tabs>
              <w:spacing w:before="112"/>
              <w:rPr>
                <w:sz w:val="20"/>
                <w:lang w:eastAsia="ja-JP"/>
              </w:rPr>
            </w:pPr>
            <w:r>
              <w:rPr>
                <w:sz w:val="20"/>
                <w:lang w:eastAsia="ja-JP"/>
              </w:rPr>
              <w:t>汚染物質と養分の流出と浸出;</w:t>
            </w:r>
          </w:p>
          <w:p w14:paraId="70B59F07" w14:textId="77777777" w:rsidR="00410BDF" w:rsidRDefault="00CF7372">
            <w:pPr>
              <w:pStyle w:val="TableParagraph"/>
              <w:numPr>
                <w:ilvl w:val="0"/>
                <w:numId w:val="28"/>
              </w:numPr>
              <w:tabs>
                <w:tab w:val="left" w:pos="827"/>
                <w:tab w:val="left" w:pos="828"/>
              </w:tabs>
              <w:spacing w:before="115" w:line="268" w:lineRule="auto"/>
              <w:ind w:right="418"/>
              <w:rPr>
                <w:sz w:val="20"/>
                <w:lang w:eastAsia="ja-JP"/>
              </w:rPr>
            </w:pPr>
            <w:r>
              <w:rPr>
                <w:sz w:val="20"/>
                <w:lang w:eastAsia="ja-JP"/>
              </w:rPr>
              <w:t>例えば、地域の転換、既存の耕地の集約化、および侵略的外来種による、生息地および種への影響。</w:t>
            </w:r>
          </w:p>
          <w:p w14:paraId="02A2BD05" w14:textId="77777777" w:rsidR="00410BDF" w:rsidRDefault="00410BDF">
            <w:pPr>
              <w:pStyle w:val="TableParagraph"/>
              <w:rPr>
                <w:lang w:eastAsia="ja-JP"/>
              </w:rPr>
            </w:pPr>
          </w:p>
          <w:p w14:paraId="383A1B65" w14:textId="77777777" w:rsidR="00410BDF" w:rsidRDefault="00CF7372">
            <w:pPr>
              <w:pStyle w:val="TableParagraph"/>
              <w:spacing w:before="179" w:line="276" w:lineRule="auto"/>
              <w:ind w:left="107" w:right="120"/>
              <w:rPr>
                <w:sz w:val="20"/>
                <w:lang w:eastAsia="ja-JP"/>
              </w:rPr>
            </w:pPr>
            <w:r>
              <w:rPr>
                <w:sz w:val="20"/>
                <w:lang w:eastAsia="ja-JP"/>
              </w:rPr>
              <w:t>環境リスクのある地域は、地理的に非常に多様であることに留意されたい。 関連する地域又はプロジェクト内の重要性及び関連性のある分野又は問題を特定するために、関連する所管の国内又は地域当局から指針が求められるべきである。</w:t>
            </w:r>
          </w:p>
        </w:tc>
      </w:tr>
      <w:tr w:rsidR="00410BDF" w14:paraId="0EEE78F0" w14:textId="77777777">
        <w:trPr>
          <w:trHeight w:val="385"/>
        </w:trPr>
        <w:tc>
          <w:tcPr>
            <w:tcW w:w="1781" w:type="dxa"/>
            <w:gridSpan w:val="2"/>
          </w:tcPr>
          <w:p w14:paraId="4A004313" w14:textId="77777777" w:rsidR="00410BDF" w:rsidRDefault="00CF7372">
            <w:pPr>
              <w:pStyle w:val="TableParagraph"/>
              <w:spacing w:before="42"/>
              <w:ind w:left="107"/>
              <w:rPr>
                <w:b/>
                <w:sz w:val="20"/>
              </w:rPr>
            </w:pPr>
            <w:proofErr w:type="spellStart"/>
            <w:r>
              <w:rPr>
                <w:b/>
                <w:sz w:val="20"/>
              </w:rPr>
              <w:t>DNSHの目的</w:t>
            </w:r>
            <w:proofErr w:type="spellEnd"/>
          </w:p>
        </w:tc>
        <w:tc>
          <w:tcPr>
            <w:tcW w:w="7571" w:type="dxa"/>
          </w:tcPr>
          <w:p w14:paraId="071A16EF" w14:textId="518DA1D9" w:rsidR="00410BDF" w:rsidRDefault="008538ED">
            <w:pPr>
              <w:pStyle w:val="TableParagraph"/>
              <w:spacing w:before="42"/>
              <w:ind w:left="107"/>
              <w:rPr>
                <w:b/>
                <w:sz w:val="20"/>
                <w:lang w:eastAsia="ja-JP"/>
              </w:rPr>
            </w:pPr>
            <w:r>
              <w:rPr>
                <w:b/>
                <w:sz w:val="20"/>
                <w:lang w:eastAsia="ja-JP"/>
              </w:rPr>
              <w:t>基準と閾値</w:t>
            </w:r>
          </w:p>
        </w:tc>
      </w:tr>
      <w:tr w:rsidR="00410BDF" w14:paraId="5BD5C5C2" w14:textId="77777777">
        <w:trPr>
          <w:trHeight w:val="398"/>
        </w:trPr>
        <w:tc>
          <w:tcPr>
            <w:tcW w:w="1781" w:type="dxa"/>
            <w:gridSpan w:val="2"/>
          </w:tcPr>
          <w:p w14:paraId="6DA245CF" w14:textId="77777777" w:rsidR="00410BDF" w:rsidRDefault="00CF7372">
            <w:pPr>
              <w:pStyle w:val="TableParagraph"/>
              <w:spacing w:before="40"/>
              <w:ind w:left="107"/>
              <w:rPr>
                <w:sz w:val="20"/>
              </w:rPr>
            </w:pPr>
            <w:r>
              <w:rPr>
                <w:sz w:val="20"/>
              </w:rPr>
              <w:t>(2)</w:t>
            </w:r>
            <w:proofErr w:type="spellStart"/>
            <w:r>
              <w:rPr>
                <w:sz w:val="20"/>
              </w:rPr>
              <w:t>適応</w:t>
            </w:r>
            <w:proofErr w:type="spellEnd"/>
          </w:p>
        </w:tc>
        <w:tc>
          <w:tcPr>
            <w:tcW w:w="7571" w:type="dxa"/>
          </w:tcPr>
          <w:p w14:paraId="055D0000" w14:textId="77777777" w:rsidR="00410BDF" w:rsidRDefault="00CF7372">
            <w:pPr>
              <w:pStyle w:val="TableParagraph"/>
              <w:numPr>
                <w:ilvl w:val="0"/>
                <w:numId w:val="27"/>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410BDF" w14:paraId="028F3157" w14:textId="77777777">
        <w:trPr>
          <w:trHeight w:val="1547"/>
        </w:trPr>
        <w:tc>
          <w:tcPr>
            <w:tcW w:w="1781" w:type="dxa"/>
            <w:gridSpan w:val="2"/>
          </w:tcPr>
          <w:p w14:paraId="33108170" w14:textId="77777777" w:rsidR="00410BDF" w:rsidRDefault="00CF7372">
            <w:pPr>
              <w:pStyle w:val="TableParagraph"/>
              <w:spacing w:before="40" w:line="276" w:lineRule="auto"/>
              <w:ind w:left="107" w:right="98"/>
              <w:rPr>
                <w:sz w:val="20"/>
                <w:lang w:eastAsia="ja-JP"/>
              </w:rPr>
            </w:pPr>
            <w:r>
              <w:rPr>
                <w:sz w:val="20"/>
                <w:lang w:eastAsia="ja-JP"/>
              </w:rPr>
              <w:t>(3) 水資源及び海洋資源の持続可能な利用及び保護</w:t>
            </w:r>
          </w:p>
        </w:tc>
        <w:tc>
          <w:tcPr>
            <w:tcW w:w="7571" w:type="dxa"/>
          </w:tcPr>
          <w:p w14:paraId="1B4276FD" w14:textId="77777777" w:rsidR="00410BDF" w:rsidRDefault="00CF7372">
            <w:pPr>
              <w:pStyle w:val="TableParagraph"/>
              <w:numPr>
                <w:ilvl w:val="0"/>
                <w:numId w:val="26"/>
              </w:numPr>
              <w:tabs>
                <w:tab w:val="left" w:pos="467"/>
                <w:tab w:val="left" w:pos="468"/>
              </w:tabs>
              <w:spacing w:before="41" w:line="273" w:lineRule="auto"/>
              <w:ind w:right="169"/>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5FDB7E75" w14:textId="77777777" w:rsidR="00410BDF" w:rsidRDefault="00CF7372">
            <w:pPr>
              <w:pStyle w:val="TableParagraph"/>
              <w:numPr>
                <w:ilvl w:val="0"/>
                <w:numId w:val="26"/>
              </w:numPr>
              <w:tabs>
                <w:tab w:val="left" w:pos="467"/>
                <w:tab w:val="left" w:pos="468"/>
              </w:tabs>
              <w:spacing w:before="84"/>
              <w:rPr>
                <w:sz w:val="20"/>
                <w:lang w:eastAsia="ja-JP"/>
              </w:rPr>
            </w:pPr>
            <w:r>
              <w:rPr>
                <w:sz w:val="20"/>
                <w:lang w:eastAsia="ja-JP"/>
              </w:rPr>
              <w:t>EUでは、EU水関連法規の要件を満たす。</w:t>
            </w:r>
          </w:p>
        </w:tc>
      </w:tr>
      <w:tr w:rsidR="00410BDF" w14:paraId="6647131E" w14:textId="77777777">
        <w:trPr>
          <w:trHeight w:val="1180"/>
        </w:trPr>
        <w:tc>
          <w:tcPr>
            <w:tcW w:w="1781" w:type="dxa"/>
            <w:gridSpan w:val="2"/>
          </w:tcPr>
          <w:p w14:paraId="4A647A1F" w14:textId="4186E7CF" w:rsidR="00410BDF" w:rsidRDefault="00CF7372">
            <w:pPr>
              <w:pStyle w:val="TableParagraph"/>
              <w:spacing w:before="42" w:line="276" w:lineRule="auto"/>
              <w:ind w:left="107" w:right="131"/>
              <w:rPr>
                <w:sz w:val="20"/>
                <w:lang w:eastAsia="ja-JP"/>
              </w:rPr>
            </w:pPr>
            <w:r>
              <w:rPr>
                <w:sz w:val="20"/>
                <w:lang w:eastAsia="ja-JP"/>
              </w:rPr>
              <w:t xml:space="preserve">4. </w:t>
            </w:r>
            <w:r w:rsidR="00395BDF">
              <w:rPr>
                <w:sz w:val="20"/>
                <w:lang w:eastAsia="ja-JP"/>
              </w:rPr>
              <w:t>サーキュラーエコノミー</w:t>
            </w:r>
            <w:r>
              <w:rPr>
                <w:sz w:val="20"/>
                <w:lang w:eastAsia="ja-JP"/>
              </w:rPr>
              <w:t>・廃棄物の予防・リサイクル</w:t>
            </w:r>
          </w:p>
        </w:tc>
        <w:tc>
          <w:tcPr>
            <w:tcW w:w="7571" w:type="dxa"/>
          </w:tcPr>
          <w:p w14:paraId="0BADD4DA" w14:textId="77777777" w:rsidR="00410BDF" w:rsidRDefault="00CF7372">
            <w:pPr>
              <w:pStyle w:val="TableParagraph"/>
              <w:numPr>
                <w:ilvl w:val="0"/>
                <w:numId w:val="25"/>
              </w:numPr>
              <w:tabs>
                <w:tab w:val="left" w:pos="484"/>
                <w:tab w:val="left" w:pos="485"/>
              </w:tabs>
              <w:spacing w:before="10" w:line="230" w:lineRule="auto"/>
              <w:ind w:right="157"/>
              <w:rPr>
                <w:rFonts w:ascii="Symbol" w:hAnsi="Symbol" w:hint="eastAsia"/>
                <w:sz w:val="24"/>
                <w:lang w:eastAsia="ja-JP"/>
              </w:rPr>
            </w:pPr>
            <w:r>
              <w:rPr>
                <w:sz w:val="20"/>
                <w:lang w:eastAsia="ja-JP"/>
              </w:rPr>
              <w:t>活動は、資源利用効率の向上によるエネルギーを含め、生産量当たりの原材料の使用を最小限に抑えるべきである。</w:t>
            </w:r>
          </w:p>
          <w:p w14:paraId="26CB74A8" w14:textId="77777777" w:rsidR="00410BDF" w:rsidRDefault="00CF7372">
            <w:pPr>
              <w:pStyle w:val="TableParagraph"/>
              <w:numPr>
                <w:ilvl w:val="0"/>
                <w:numId w:val="25"/>
              </w:numPr>
              <w:tabs>
                <w:tab w:val="left" w:pos="465"/>
                <w:tab w:val="left" w:pos="466"/>
              </w:tabs>
              <w:spacing w:before="44" w:line="268" w:lineRule="auto"/>
              <w:ind w:left="465" w:right="401" w:hanging="358"/>
              <w:rPr>
                <w:rFonts w:ascii="Symbol" w:hAnsi="Symbol" w:hint="eastAsia"/>
                <w:sz w:val="20"/>
                <w:lang w:eastAsia="ja-JP"/>
              </w:rPr>
            </w:pPr>
            <w:r>
              <w:rPr>
                <w:sz w:val="20"/>
                <w:lang w:eastAsia="ja-JP"/>
              </w:rPr>
              <w:t>活動は、生産システムから環境に溶出する栄養素(特に窒素とリン酸塩)の損失を最小限に抑えるべきである148。</w:t>
            </w:r>
          </w:p>
        </w:tc>
      </w:tr>
    </w:tbl>
    <w:p w14:paraId="4FB547AE" w14:textId="77777777" w:rsidR="00410BDF" w:rsidRDefault="00196192">
      <w:pPr>
        <w:pStyle w:val="a3"/>
        <w:spacing w:before="6"/>
        <w:rPr>
          <w:lang w:eastAsia="ja-JP"/>
        </w:rPr>
      </w:pPr>
      <w:r>
        <w:rPr>
          <w:noProof/>
          <w:lang w:val="en-US" w:eastAsia="ja-JP"/>
        </w:rPr>
        <mc:AlternateContent>
          <mc:Choice Requires="wps">
            <w:drawing>
              <wp:anchor distT="0" distB="0" distL="0" distR="0" simplePos="0" relativeHeight="251667968" behindDoc="1" locked="0" layoutInCell="1" allowOverlap="1" wp14:anchorId="23FE2EB7" wp14:editId="6952F80C">
                <wp:simplePos x="0" y="0"/>
                <wp:positionH relativeFrom="page">
                  <wp:posOffset>914400</wp:posOffset>
                </wp:positionH>
                <wp:positionV relativeFrom="paragraph">
                  <wp:posOffset>178435</wp:posOffset>
                </wp:positionV>
                <wp:extent cx="1829435" cy="0"/>
                <wp:effectExtent l="9525" t="5715" r="8890" b="13335"/>
                <wp:wrapTopAndBottom/>
                <wp:docPr id="7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F7CEF" id="Line 64" o:spid="_x0000_s1026" style="position:absolute;left:0;text-align:lef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5pt" to="216.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9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" strokeweight=".48pt">
                <w10:wrap type="topAndBottom" anchorx="page"/>
              </v:line>
            </w:pict>
          </mc:Fallback>
        </mc:AlternateContent>
      </w:r>
    </w:p>
    <w:p w14:paraId="788BB99F" w14:textId="77777777" w:rsidR="00410BDF" w:rsidRDefault="00410BDF">
      <w:pPr>
        <w:pStyle w:val="a3"/>
        <w:spacing w:before="8"/>
        <w:rPr>
          <w:sz w:val="16"/>
          <w:lang w:eastAsia="ja-JP"/>
        </w:rPr>
      </w:pPr>
    </w:p>
    <w:p w14:paraId="235CF9AE" w14:textId="77777777" w:rsidR="00410BDF" w:rsidRDefault="00CF7372">
      <w:pPr>
        <w:spacing w:before="98"/>
        <w:ind w:left="100"/>
        <w:rPr>
          <w:sz w:val="16"/>
          <w:lang w:eastAsia="ja-JP"/>
        </w:rPr>
      </w:pPr>
      <w:r>
        <w:rPr>
          <w:position w:val="6"/>
          <w:sz w:val="10"/>
          <w:lang w:eastAsia="ja-JP"/>
        </w:rPr>
        <w:t>147 原材料使用量が減少しない生産効率の向上を考慮した「生産量原単位」</w:t>
      </w:r>
    </w:p>
    <w:p w14:paraId="40E357DC" w14:textId="77777777" w:rsidR="00410BDF" w:rsidRDefault="00410BDF">
      <w:pPr>
        <w:pStyle w:val="a3"/>
        <w:spacing w:before="6"/>
        <w:rPr>
          <w:lang w:eastAsia="ja-JP"/>
        </w:rPr>
      </w:pPr>
    </w:p>
    <w:p w14:paraId="6CAE6FFB" w14:textId="77777777" w:rsidR="00410BDF" w:rsidRDefault="00CF7372">
      <w:pPr>
        <w:spacing w:before="1"/>
        <w:ind w:left="100" w:right="203"/>
        <w:rPr>
          <w:sz w:val="16"/>
          <w:lang w:eastAsia="ja-JP"/>
        </w:rPr>
      </w:pPr>
      <w:r>
        <w:rPr>
          <w:position w:val="6"/>
          <w:sz w:val="10"/>
          <w:lang w:eastAsia="ja-JP"/>
        </w:rPr>
        <w:t>148 COM(2018)392の附属書IIIのGAEC 5と一致。</w:t>
      </w:r>
      <w:r>
        <w:rPr>
          <w:sz w:val="16"/>
          <w:lang w:eastAsia="ja-JP"/>
        </w:rPr>
        <w:t xml:space="preserve"> その目的は、農業者に、環境上および農業上の利益につながる養分の利用を最適化するのに役立つデジタルツールを提供することである。</w:t>
      </w:r>
    </w:p>
    <w:p w14:paraId="7B0AE0F3" w14:textId="77777777" w:rsidR="00410BDF" w:rsidRDefault="00410BDF">
      <w:pPr>
        <w:rPr>
          <w:sz w:val="16"/>
          <w:lang w:eastAsia="ja-JP"/>
        </w:rPr>
        <w:sectPr w:rsidR="00410BDF">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7571"/>
      </w:tblGrid>
      <w:tr w:rsidR="00410BDF" w14:paraId="55AB0599" w14:textId="77777777">
        <w:trPr>
          <w:trHeight w:val="887"/>
        </w:trPr>
        <w:tc>
          <w:tcPr>
            <w:tcW w:w="1781" w:type="dxa"/>
          </w:tcPr>
          <w:p w14:paraId="6B64B25A" w14:textId="77777777" w:rsidR="00410BDF" w:rsidRDefault="00410BDF">
            <w:pPr>
              <w:pStyle w:val="TableParagraph"/>
              <w:rPr>
                <w:rFonts w:ascii="Times New Roman"/>
                <w:sz w:val="16"/>
                <w:lang w:eastAsia="ja-JP"/>
              </w:rPr>
            </w:pPr>
          </w:p>
        </w:tc>
        <w:tc>
          <w:tcPr>
            <w:tcW w:w="7571" w:type="dxa"/>
          </w:tcPr>
          <w:p w14:paraId="111B0C14" w14:textId="77777777" w:rsidR="00410BDF" w:rsidRDefault="00CF7372">
            <w:pPr>
              <w:pStyle w:val="TableParagraph"/>
              <w:numPr>
                <w:ilvl w:val="0"/>
                <w:numId w:val="24"/>
              </w:numPr>
              <w:tabs>
                <w:tab w:val="left" w:pos="465"/>
                <w:tab w:val="left" w:pos="466"/>
              </w:tabs>
              <w:spacing w:line="273" w:lineRule="auto"/>
              <w:ind w:right="171"/>
              <w:rPr>
                <w:sz w:val="10"/>
                <w:lang w:eastAsia="ja-JP"/>
              </w:rPr>
            </w:pPr>
            <w:r>
              <w:rPr>
                <w:sz w:val="20"/>
                <w:lang w:eastAsia="ja-JP"/>
              </w:rPr>
              <w:t>活動は、良好な農業慣行149に従い、一次資源の需要を減らすために、作物の生産又は収穫の残渣及び副産物を使用すべきである。</w:t>
            </w:r>
          </w:p>
        </w:tc>
      </w:tr>
      <w:tr w:rsidR="00410BDF" w14:paraId="0DF44052" w14:textId="77777777">
        <w:trPr>
          <w:trHeight w:val="2406"/>
        </w:trPr>
        <w:tc>
          <w:tcPr>
            <w:tcW w:w="1781" w:type="dxa"/>
          </w:tcPr>
          <w:p w14:paraId="1D02B07A" w14:textId="62C80535" w:rsidR="00410BDF" w:rsidRDefault="00CF7372" w:rsidP="00395BDF">
            <w:pPr>
              <w:pStyle w:val="TableParagraph"/>
              <w:spacing w:before="40" w:line="276" w:lineRule="auto"/>
              <w:ind w:left="107"/>
              <w:rPr>
                <w:sz w:val="10"/>
              </w:rPr>
            </w:pPr>
            <w:r>
              <w:rPr>
                <w:sz w:val="20"/>
              </w:rPr>
              <w:t>(5) 公害防止管理150</w:t>
            </w:r>
          </w:p>
        </w:tc>
        <w:tc>
          <w:tcPr>
            <w:tcW w:w="7571" w:type="dxa"/>
          </w:tcPr>
          <w:p w14:paraId="0B38EF65" w14:textId="2E7CA6E2" w:rsidR="00410BDF" w:rsidRDefault="00CF7372">
            <w:pPr>
              <w:pStyle w:val="TableParagraph"/>
              <w:numPr>
                <w:ilvl w:val="0"/>
                <w:numId w:val="23"/>
              </w:numPr>
              <w:tabs>
                <w:tab w:val="left" w:pos="467"/>
                <w:tab w:val="left" w:pos="468"/>
              </w:tabs>
              <w:spacing w:line="276" w:lineRule="auto"/>
              <w:ind w:right="167"/>
              <w:rPr>
                <w:sz w:val="10"/>
                <w:lang w:eastAsia="ja-JP"/>
              </w:rPr>
            </w:pPr>
            <w:r w:rsidRPr="00720D67">
              <w:rPr>
                <w:sz w:val="20"/>
                <w:lang w:eastAsia="ja-JP"/>
              </w:rPr>
              <w:t>活動は、栄養素(肥料)</w:t>
            </w:r>
            <w:r>
              <w:rPr>
                <w:sz w:val="20"/>
                <w:lang w:eastAsia="ja-JP"/>
              </w:rPr>
              <w:t>および植物保護製品(例えば、殺虫剤および除草剤)が、それらの用途(時間と処理地域)の対象とされ、適切なレベル(可能であれば、持続可能な生物学的、物理学的またはその他の非化学的方法を優先して)で、また、農薬使用が人の健康と環境(例えば、水と大気汚染)および過剰な栄養素の喪失に対するリスクと影響を低減するための適切な設備と技術を用いて、供給される</w:t>
            </w:r>
            <w:r w:rsidR="00720D67">
              <w:rPr>
                <w:rFonts w:hint="eastAsia"/>
                <w:sz w:val="20"/>
                <w:lang w:eastAsia="ja-JP"/>
              </w:rPr>
              <w:t>よう</w:t>
            </w:r>
            <w:r>
              <w:rPr>
                <w:sz w:val="20"/>
                <w:lang w:eastAsia="ja-JP"/>
              </w:rPr>
              <w:t>にする。</w:t>
            </w:r>
          </w:p>
          <w:p w14:paraId="2244BC93" w14:textId="77777777" w:rsidR="00410BDF" w:rsidRDefault="00CF7372">
            <w:pPr>
              <w:pStyle w:val="TableParagraph"/>
              <w:numPr>
                <w:ilvl w:val="0"/>
                <w:numId w:val="23"/>
              </w:numPr>
              <w:tabs>
                <w:tab w:val="left" w:pos="467"/>
                <w:tab w:val="left" w:pos="468"/>
              </w:tabs>
              <w:spacing w:line="241" w:lineRule="exact"/>
              <w:rPr>
                <w:sz w:val="20"/>
                <w:lang w:eastAsia="ja-JP"/>
              </w:rPr>
            </w:pPr>
            <w:r>
              <w:rPr>
                <w:sz w:val="20"/>
                <w:lang w:eastAsia="ja-JP"/>
              </w:rPr>
              <w:t>以下のことを確実にする活性物質を含む植物保護製品のみの使用</w:t>
            </w:r>
          </w:p>
          <w:p w14:paraId="420326CC" w14:textId="77777777" w:rsidR="00410BDF" w:rsidRDefault="00CF7372">
            <w:pPr>
              <w:pStyle w:val="TableParagraph"/>
              <w:spacing w:before="32"/>
              <w:ind w:left="467"/>
              <w:rPr>
                <w:sz w:val="10"/>
                <w:lang w:eastAsia="ja-JP"/>
              </w:rPr>
            </w:pPr>
            <w:r>
              <w:rPr>
                <w:sz w:val="20"/>
                <w:lang w:eastAsia="ja-JP"/>
              </w:rPr>
              <w:t>ヒトおよび動物の健康と環境の高い保護.152</w:t>
            </w:r>
          </w:p>
        </w:tc>
      </w:tr>
      <w:tr w:rsidR="00410BDF" w14:paraId="3AD3E46A" w14:textId="77777777">
        <w:trPr>
          <w:trHeight w:val="4087"/>
        </w:trPr>
        <w:tc>
          <w:tcPr>
            <w:tcW w:w="1781" w:type="dxa"/>
          </w:tcPr>
          <w:p w14:paraId="6E5445F4" w14:textId="77777777" w:rsidR="00410BDF" w:rsidRDefault="00CF7372">
            <w:pPr>
              <w:pStyle w:val="TableParagraph"/>
              <w:spacing w:before="40" w:line="276" w:lineRule="auto"/>
              <w:ind w:left="107"/>
              <w:rPr>
                <w:sz w:val="20"/>
              </w:rPr>
            </w:pPr>
            <w:r>
              <w:rPr>
                <w:sz w:val="20"/>
              </w:rPr>
              <w:t>(6)</w:t>
            </w:r>
            <w:proofErr w:type="spellStart"/>
            <w:r>
              <w:rPr>
                <w:sz w:val="20"/>
              </w:rPr>
              <w:t>健全な生態系</w:t>
            </w:r>
            <w:proofErr w:type="spellEnd"/>
          </w:p>
        </w:tc>
        <w:tc>
          <w:tcPr>
            <w:tcW w:w="7571" w:type="dxa"/>
          </w:tcPr>
          <w:p w14:paraId="320C9C60" w14:textId="77777777" w:rsidR="00410BDF" w:rsidRDefault="00CF7372">
            <w:pPr>
              <w:pStyle w:val="TableParagraph"/>
              <w:numPr>
                <w:ilvl w:val="0"/>
                <w:numId w:val="22"/>
              </w:numPr>
              <w:tabs>
                <w:tab w:val="left" w:pos="468"/>
              </w:tabs>
              <w:spacing w:line="273" w:lineRule="auto"/>
              <w:ind w:right="578"/>
              <w:jc w:val="both"/>
              <w:rPr>
                <w:sz w:val="10"/>
                <w:lang w:eastAsia="ja-JP"/>
              </w:rPr>
            </w:pPr>
            <w:r>
              <w:rPr>
                <w:sz w:val="20"/>
                <w:lang w:eastAsia="ja-JP"/>
              </w:rPr>
              <w:t>活動は、特に冬季に土壌の保護を確保し、浸食および水路/水域への流出を防止し、土壌有機物を維持するためのものである153。</w:t>
            </w:r>
          </w:p>
          <w:p w14:paraId="28D7D6BC" w14:textId="7F1B03C4" w:rsidR="00410BDF" w:rsidRDefault="00CF7372">
            <w:pPr>
              <w:pStyle w:val="TableParagraph"/>
              <w:numPr>
                <w:ilvl w:val="0"/>
                <w:numId w:val="22"/>
              </w:numPr>
              <w:tabs>
                <w:tab w:val="left" w:pos="467"/>
                <w:tab w:val="left" w:pos="468"/>
              </w:tabs>
              <w:spacing w:before="3" w:line="273" w:lineRule="auto"/>
              <w:ind w:right="230"/>
              <w:rPr>
                <w:sz w:val="20"/>
                <w:lang w:eastAsia="ja-JP"/>
              </w:rPr>
            </w:pPr>
            <w:r>
              <w:rPr>
                <w:sz w:val="20"/>
                <w:lang w:eastAsia="ja-JP"/>
              </w:rPr>
              <w:t>活動は、自然価値の高い土地、湿地、森林、または生物多様性の価値が高い他の地域の転換、分断化、または持続不可能な強化をもたらさない154。 これには、</w:t>
            </w:r>
            <w:r w:rsidR="00720D67">
              <w:rPr>
                <w:rFonts w:hint="eastAsia"/>
                <w:sz w:val="20"/>
                <w:lang w:eastAsia="ja-JP"/>
              </w:rPr>
              <w:t>1</w:t>
            </w:r>
            <w:r>
              <w:rPr>
                <w:sz w:val="20"/>
                <w:lang w:eastAsia="ja-JP"/>
              </w:rPr>
              <w:t>ヘクタール以上に及ぶ生物多様性の高い草地が含まれる。</w:t>
            </w:r>
          </w:p>
          <w:p w14:paraId="7B55A530" w14:textId="258B32BE" w:rsidR="00410BDF" w:rsidRDefault="00CF7372">
            <w:pPr>
              <w:pStyle w:val="TableParagraph"/>
              <w:numPr>
                <w:ilvl w:val="1"/>
                <w:numId w:val="22"/>
              </w:numPr>
              <w:tabs>
                <w:tab w:val="left" w:pos="1188"/>
                <w:tab w:val="left" w:pos="1189"/>
              </w:tabs>
              <w:spacing w:before="6" w:line="276" w:lineRule="auto"/>
              <w:ind w:right="174"/>
              <w:rPr>
                <w:sz w:val="20"/>
                <w:lang w:eastAsia="ja-JP"/>
              </w:rPr>
            </w:pPr>
            <w:r>
              <w:rPr>
                <w:sz w:val="20"/>
                <w:lang w:eastAsia="ja-JP"/>
              </w:rPr>
              <w:t>すなわち、人間の介入がなく、自然の種の構成と生態学的特徴とプロセスを維持する、草地として残る自然の草地;</w:t>
            </w:r>
            <w:r w:rsidR="00720D67">
              <w:rPr>
                <w:rFonts w:hint="eastAsia"/>
                <w:sz w:val="20"/>
                <w:lang w:eastAsia="ja-JP"/>
              </w:rPr>
              <w:t>または、</w:t>
            </w:r>
          </w:p>
          <w:p w14:paraId="1FAF19CD" w14:textId="77777777" w:rsidR="00410BDF" w:rsidRDefault="00CF7372">
            <w:pPr>
              <w:pStyle w:val="TableParagraph"/>
              <w:numPr>
                <w:ilvl w:val="1"/>
                <w:numId w:val="22"/>
              </w:numPr>
              <w:tabs>
                <w:tab w:val="left" w:pos="1188"/>
                <w:tab w:val="left" w:pos="1189"/>
              </w:tabs>
              <w:spacing w:line="276" w:lineRule="auto"/>
              <w:ind w:right="164"/>
              <w:rPr>
                <w:sz w:val="20"/>
                <w:lang w:eastAsia="ja-JP"/>
              </w:rPr>
            </w:pPr>
            <w:r>
              <w:rPr>
                <w:sz w:val="20"/>
                <w:lang w:eastAsia="ja-JP"/>
              </w:rPr>
              <w:t>すなわち、人間の介入がなければ草地ではなくなり、種が豊富で劣化しておらず、関連する所管官庁によって高度に生物多様性であると確認されている非自然的な草地。</w:t>
            </w:r>
          </w:p>
          <w:p w14:paraId="1B7D8E97" w14:textId="3B442558" w:rsidR="00410BDF" w:rsidRDefault="00CF7372" w:rsidP="00720D67">
            <w:pPr>
              <w:pStyle w:val="TableParagraph"/>
              <w:numPr>
                <w:ilvl w:val="0"/>
                <w:numId w:val="22"/>
              </w:numPr>
              <w:tabs>
                <w:tab w:val="left" w:pos="465"/>
                <w:tab w:val="left" w:pos="466"/>
              </w:tabs>
              <w:spacing w:before="1"/>
              <w:rPr>
                <w:sz w:val="20"/>
                <w:lang w:eastAsia="ja-JP"/>
              </w:rPr>
            </w:pPr>
            <w:r>
              <w:rPr>
                <w:sz w:val="20"/>
                <w:lang w:eastAsia="ja-JP"/>
              </w:rPr>
              <w:t>活動は</w:t>
            </w:r>
            <w:r w:rsidR="00720D67">
              <w:rPr>
                <w:rFonts w:hint="eastAsia"/>
                <w:sz w:val="20"/>
                <w:lang w:eastAsia="ja-JP"/>
              </w:rPr>
              <w:t>以下を禁止する</w:t>
            </w:r>
            <w:r w:rsidR="00720D67" w:rsidRPr="00720D67">
              <w:rPr>
                <w:sz w:val="20"/>
                <w:lang w:eastAsia="ja-JP"/>
              </w:rPr>
              <w:t>155</w:t>
            </w:r>
          </w:p>
        </w:tc>
      </w:tr>
    </w:tbl>
    <w:p w14:paraId="6DEE7AC4" w14:textId="77777777" w:rsidR="00410BDF" w:rsidRDefault="00410BDF">
      <w:pPr>
        <w:pStyle w:val="a3"/>
        <w:rPr>
          <w:lang w:eastAsia="ja-JP"/>
        </w:rPr>
      </w:pPr>
    </w:p>
    <w:p w14:paraId="70E89D3F" w14:textId="77777777" w:rsidR="00410BDF" w:rsidRDefault="00196192">
      <w:pPr>
        <w:pStyle w:val="a3"/>
        <w:rPr>
          <w:sz w:val="26"/>
          <w:lang w:eastAsia="ja-JP"/>
        </w:rPr>
      </w:pPr>
      <w:r>
        <w:rPr>
          <w:noProof/>
          <w:lang w:val="en-US" w:eastAsia="ja-JP"/>
        </w:rPr>
        <mc:AlternateContent>
          <mc:Choice Requires="wps">
            <w:drawing>
              <wp:anchor distT="0" distB="0" distL="0" distR="0" simplePos="0" relativeHeight="251668992" behindDoc="1" locked="0" layoutInCell="1" allowOverlap="1" wp14:anchorId="2F02CED5" wp14:editId="19C59F7E">
                <wp:simplePos x="0" y="0"/>
                <wp:positionH relativeFrom="page">
                  <wp:posOffset>914400</wp:posOffset>
                </wp:positionH>
                <wp:positionV relativeFrom="paragraph">
                  <wp:posOffset>218440</wp:posOffset>
                </wp:positionV>
                <wp:extent cx="1829435" cy="0"/>
                <wp:effectExtent l="9525" t="8255" r="8890" b="10795"/>
                <wp:wrapTopAndBottom/>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D68FE" id="Line 63" o:spid="_x0000_s1026" style="position:absolute;left:0;text-align:lef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pt" to="216.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qY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" strokeweight=".48pt">
                <w10:wrap type="topAndBottom" anchorx="page"/>
              </v:line>
            </w:pict>
          </mc:Fallback>
        </mc:AlternateContent>
      </w:r>
    </w:p>
    <w:p w14:paraId="26E57765" w14:textId="77777777" w:rsidR="00410BDF" w:rsidRDefault="00410BDF">
      <w:pPr>
        <w:pStyle w:val="a3"/>
        <w:spacing w:before="4"/>
        <w:rPr>
          <w:sz w:val="17"/>
          <w:lang w:eastAsia="ja-JP"/>
        </w:rPr>
      </w:pPr>
    </w:p>
    <w:p w14:paraId="4C221AC2" w14:textId="77777777" w:rsidR="00410BDF" w:rsidRDefault="00CF7372">
      <w:pPr>
        <w:pStyle w:val="a4"/>
        <w:numPr>
          <w:ilvl w:val="0"/>
          <w:numId w:val="21"/>
        </w:numPr>
        <w:tabs>
          <w:tab w:val="left" w:pos="413"/>
        </w:tabs>
        <w:spacing w:before="96" w:line="259" w:lineRule="auto"/>
        <w:ind w:right="130" w:firstLine="0"/>
        <w:rPr>
          <w:sz w:val="16"/>
          <w:lang w:eastAsia="ja-JP"/>
        </w:rPr>
      </w:pPr>
      <w:r>
        <w:rPr>
          <w:sz w:val="16"/>
          <w:lang w:eastAsia="ja-JP"/>
        </w:rPr>
        <w:t>EU循環経済戦略および対応する行動計画からの行動の多くは、ここで指針を提供する農業と関連性があることに留意されたい(例えば、農業用灌漑のための再利用水の最低要件を設定する法律の提案、農業副産物や生物廃棄物のような二次原料から製造される有機肥料の調和規則を導入する新しい肥料規制)。</w:t>
      </w:r>
    </w:p>
    <w:p w14:paraId="53695FBD" w14:textId="77777777" w:rsidR="00410BDF" w:rsidRDefault="00CF7372">
      <w:pPr>
        <w:pStyle w:val="a4"/>
        <w:numPr>
          <w:ilvl w:val="0"/>
          <w:numId w:val="21"/>
        </w:numPr>
        <w:tabs>
          <w:tab w:val="left" w:pos="413"/>
        </w:tabs>
        <w:spacing w:before="161" w:line="256" w:lineRule="auto"/>
        <w:ind w:right="565" w:firstLine="0"/>
        <w:rPr>
          <w:sz w:val="16"/>
          <w:lang w:eastAsia="ja-JP"/>
        </w:rPr>
      </w:pPr>
      <w:r>
        <w:rPr>
          <w:sz w:val="16"/>
          <w:lang w:eastAsia="ja-JP"/>
        </w:rPr>
        <w:t>各国排出上限指令(EU)2016/2284(特に付属書III、パート2)、および本指令に基づき各加盟国が制定した国家大気汚染防止計画の関連規定も参照のこと。</w:t>
      </w:r>
    </w:p>
    <w:p w14:paraId="0C8AB8A5" w14:textId="77777777" w:rsidR="00410BDF" w:rsidRDefault="00410BDF">
      <w:pPr>
        <w:pStyle w:val="a3"/>
        <w:spacing w:before="1"/>
        <w:rPr>
          <w:sz w:val="14"/>
          <w:lang w:eastAsia="ja-JP"/>
        </w:rPr>
      </w:pPr>
    </w:p>
    <w:p w14:paraId="40DA4365" w14:textId="77777777" w:rsidR="00410BDF" w:rsidRDefault="00CF7372">
      <w:pPr>
        <w:pStyle w:val="a4"/>
        <w:numPr>
          <w:ilvl w:val="0"/>
          <w:numId w:val="21"/>
        </w:numPr>
        <w:tabs>
          <w:tab w:val="left" w:pos="413"/>
        </w:tabs>
        <w:spacing w:before="1" w:line="256" w:lineRule="auto"/>
        <w:ind w:right="297" w:firstLine="0"/>
        <w:rPr>
          <w:sz w:val="16"/>
          <w:lang w:eastAsia="ja-JP"/>
        </w:rPr>
      </w:pPr>
      <w:r>
        <w:rPr>
          <w:sz w:val="16"/>
          <w:lang w:eastAsia="ja-JP"/>
        </w:rPr>
        <w:t>農薬の持続可能な使用に関する指令2009/128/ECおよび硝酸塩指令を参照。 CAPポスト2020のSMR 13は、農薬指令の実施とクロスコンプライアンス下での直接支払いとを結びつけ、</w:t>
      </w:r>
    </w:p>
    <w:p w14:paraId="10584F0A" w14:textId="77777777" w:rsidR="00410BDF" w:rsidRDefault="00410BDF">
      <w:pPr>
        <w:pStyle w:val="a3"/>
        <w:spacing w:before="2"/>
        <w:rPr>
          <w:sz w:val="14"/>
          <w:lang w:eastAsia="ja-JP"/>
        </w:rPr>
      </w:pPr>
    </w:p>
    <w:p w14:paraId="26DCE1D7" w14:textId="77777777" w:rsidR="00410BDF" w:rsidRDefault="00CF7372">
      <w:pPr>
        <w:pStyle w:val="a4"/>
        <w:numPr>
          <w:ilvl w:val="0"/>
          <w:numId w:val="21"/>
        </w:numPr>
        <w:tabs>
          <w:tab w:val="left" w:pos="413"/>
        </w:tabs>
        <w:spacing w:line="259" w:lineRule="auto"/>
        <w:ind w:right="692" w:firstLine="0"/>
        <w:rPr>
          <w:sz w:val="16"/>
          <w:lang w:eastAsia="ja-JP"/>
        </w:rPr>
      </w:pPr>
      <w:r>
        <w:rPr>
          <w:sz w:val="16"/>
          <w:lang w:eastAsia="ja-JP"/>
        </w:rPr>
        <w:t>EUでは、これは、指令(EU)2019/782(表1)の下で、危険有害性の重み付けに関してグループ1、2または3に分類される植物保護製品の使用を意味する。</w:t>
      </w:r>
    </w:p>
    <w:p w14:paraId="02D0B938" w14:textId="77777777" w:rsidR="00410BDF" w:rsidRDefault="00CF7372">
      <w:pPr>
        <w:pStyle w:val="a4"/>
        <w:numPr>
          <w:ilvl w:val="0"/>
          <w:numId w:val="21"/>
        </w:numPr>
        <w:tabs>
          <w:tab w:val="left" w:pos="413"/>
        </w:tabs>
        <w:spacing w:before="160"/>
        <w:ind w:left="412"/>
        <w:rPr>
          <w:sz w:val="16"/>
          <w:lang w:eastAsia="ja-JP"/>
        </w:rPr>
      </w:pPr>
      <w:r>
        <w:rPr>
          <w:sz w:val="16"/>
          <w:lang w:eastAsia="ja-JP"/>
        </w:rPr>
        <w:t>COM(2018)392付属書IIIのGAEC6および7に準拠</w:t>
      </w:r>
    </w:p>
    <w:p w14:paraId="1C5E5118" w14:textId="77777777" w:rsidR="00410BDF" w:rsidRDefault="00410BDF">
      <w:pPr>
        <w:pStyle w:val="a3"/>
        <w:spacing w:before="1"/>
        <w:rPr>
          <w:sz w:val="15"/>
          <w:lang w:eastAsia="ja-JP"/>
        </w:rPr>
      </w:pPr>
    </w:p>
    <w:p w14:paraId="6959BE97" w14:textId="77777777" w:rsidR="00410BDF" w:rsidRDefault="00CF7372">
      <w:pPr>
        <w:pStyle w:val="a4"/>
        <w:numPr>
          <w:ilvl w:val="0"/>
          <w:numId w:val="21"/>
        </w:numPr>
        <w:tabs>
          <w:tab w:val="left" w:pos="413"/>
        </w:tabs>
        <w:ind w:left="412"/>
        <w:rPr>
          <w:sz w:val="16"/>
          <w:lang w:eastAsia="ja-JP"/>
        </w:rPr>
      </w:pPr>
      <w:r>
        <w:rPr>
          <w:sz w:val="16"/>
          <w:lang w:eastAsia="ja-JP"/>
        </w:rPr>
        <w:t>生物多様性の価値が高い地域は、指令EU(2018)2001の第29条(3)に規定されているように定義することができる。</w:t>
      </w:r>
    </w:p>
    <w:p w14:paraId="32F19287" w14:textId="77777777" w:rsidR="00410BDF" w:rsidRDefault="00410BDF">
      <w:pPr>
        <w:pStyle w:val="a3"/>
        <w:spacing w:before="3"/>
        <w:rPr>
          <w:sz w:val="15"/>
          <w:lang w:eastAsia="ja-JP"/>
        </w:rPr>
      </w:pPr>
    </w:p>
    <w:p w14:paraId="788F1F8E" w14:textId="77777777" w:rsidR="00410BDF" w:rsidRDefault="00CF7372">
      <w:pPr>
        <w:pStyle w:val="a4"/>
        <w:numPr>
          <w:ilvl w:val="0"/>
          <w:numId w:val="21"/>
        </w:numPr>
        <w:tabs>
          <w:tab w:val="left" w:pos="413"/>
        </w:tabs>
        <w:spacing w:line="259" w:lineRule="auto"/>
        <w:ind w:right="192" w:firstLine="0"/>
        <w:rPr>
          <w:sz w:val="16"/>
        </w:rPr>
      </w:pPr>
      <w:r>
        <w:rPr>
          <w:sz w:val="16"/>
          <w:lang w:eastAsia="ja-JP"/>
        </w:rPr>
        <w:t>2020年以降のCAPの法的管理指令3および4、ならびに自然生息地および野生動植物の保護に関する1992年5月21日の理事会指令92/43/EEC(OJ L 206, 22.7.1992, p)に準拠する。 7):野鳥の保護に関する2009年11月30日の欧州議会および理事会の第6条(1)および(2)なら</w:t>
      </w:r>
      <w:r>
        <w:rPr>
          <w:sz w:val="16"/>
          <w:lang w:eastAsia="ja-JP"/>
        </w:rPr>
        <w:lastRenderedPageBreak/>
        <w:t xml:space="preserve">びに指令2009/147/EC(OJ L 20, 26.1.2010, p.)。 </w:t>
      </w:r>
      <w:r>
        <w:rPr>
          <w:sz w:val="16"/>
        </w:rPr>
        <w:t>7. 第3条(1)、第3条(2)(b)、第4条(1)、(2)</w:t>
      </w:r>
      <w:proofErr w:type="spellStart"/>
      <w:r>
        <w:rPr>
          <w:sz w:val="16"/>
        </w:rPr>
        <w:t>及び</w:t>
      </w:r>
      <w:proofErr w:type="spellEnd"/>
      <w:r>
        <w:rPr>
          <w:sz w:val="16"/>
        </w:rPr>
        <w:t>(4)</w:t>
      </w:r>
    </w:p>
    <w:p w14:paraId="25BA749D" w14:textId="77777777" w:rsidR="00410BDF" w:rsidRDefault="00410BDF">
      <w:pPr>
        <w:spacing w:line="259" w:lineRule="auto"/>
        <w:rPr>
          <w:sz w:val="16"/>
        </w:rPr>
        <w:sectPr w:rsidR="00410BDF">
          <w:pgSz w:w="12240" w:h="15840"/>
          <w:pgMar w:top="1440" w:right="1320" w:bottom="1640" w:left="1340" w:header="0" w:footer="1372" w:gutter="0"/>
          <w:cols w:space="720"/>
        </w:sectPr>
      </w:pPr>
    </w:p>
    <w:p w14:paraId="7D185F68" w14:textId="77777777" w:rsidR="00410BDF" w:rsidRDefault="00196192">
      <w:pPr>
        <w:pStyle w:val="a3"/>
        <w:ind w:left="1881"/>
      </w:pPr>
      <w:r>
        <w:rPr>
          <w:noProof/>
          <w:lang w:val="en-US" w:eastAsia="ja-JP"/>
        </w:rPr>
        <w:lastRenderedPageBreak/>
        <mc:AlternateContent>
          <mc:Choice Requires="wps">
            <w:drawing>
              <wp:anchor distT="0" distB="0" distL="114300" distR="114300" simplePos="0" relativeHeight="251638272" behindDoc="0" locked="0" layoutInCell="1" allowOverlap="1" wp14:anchorId="4D845DA5" wp14:editId="6A09579C">
                <wp:simplePos x="0" y="0"/>
                <wp:positionH relativeFrom="page">
                  <wp:posOffset>917575</wp:posOffset>
                </wp:positionH>
                <wp:positionV relativeFrom="page">
                  <wp:posOffset>914400</wp:posOffset>
                </wp:positionV>
                <wp:extent cx="0" cy="1348740"/>
                <wp:effectExtent l="12700" t="9525" r="6350" b="13335"/>
                <wp:wrapNone/>
                <wp:docPr id="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87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F2ACC" id="Line 62"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1HQIAAEMEAAAOAAAAZHJzL2Uyb0RvYy54bWysU82O2jAQvlfqO1i+QxI2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" strokeweight=".48pt">
                <w10:wrap anchorx="page" anchory="page"/>
              </v:line>
            </w:pict>
          </mc:Fallback>
        </mc:AlternateContent>
      </w:r>
      <w:r>
        <w:rPr>
          <w:noProof/>
          <w:lang w:val="en-US" w:eastAsia="ja-JP"/>
        </w:rPr>
        <mc:AlternateContent>
          <mc:Choice Requires="wps">
            <w:drawing>
              <wp:inline distT="0" distB="0" distL="0" distR="0" wp14:anchorId="0372DF41" wp14:editId="68EB8372">
                <wp:extent cx="4808220" cy="1343025"/>
                <wp:effectExtent l="6985" t="9525" r="13970" b="9525"/>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13430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A0FD97" w14:textId="77777777" w:rsidR="005F0270" w:rsidRDefault="005F0270">
                            <w:pPr>
                              <w:pStyle w:val="a3"/>
                              <w:numPr>
                                <w:ilvl w:val="0"/>
                                <w:numId w:val="20"/>
                              </w:numPr>
                              <w:tabs>
                                <w:tab w:val="left" w:pos="1027"/>
                                <w:tab w:val="left" w:pos="1028"/>
                              </w:tabs>
                              <w:spacing w:line="256" w:lineRule="auto"/>
                              <w:ind w:right="836" w:hanging="357"/>
                              <w:rPr>
                                <w:lang w:eastAsia="ja-JP"/>
                              </w:rPr>
                            </w:pPr>
                            <w:r>
                              <w:rPr>
                                <w:lang w:eastAsia="ja-JP"/>
                              </w:rPr>
                              <w:t>保全の重要性又は懸念を有する種及び生息地の多様性又は存在量の減少をもたらすこと。</w:t>
                            </w:r>
                          </w:p>
                          <w:p w14:paraId="112D5F47" w14:textId="4DF614E3" w:rsidR="005F0270" w:rsidRDefault="005F0270">
                            <w:pPr>
                              <w:pStyle w:val="a3"/>
                              <w:numPr>
                                <w:ilvl w:val="0"/>
                                <w:numId w:val="20"/>
                              </w:numPr>
                              <w:tabs>
                                <w:tab w:val="left" w:pos="1027"/>
                                <w:tab w:val="left" w:pos="1028"/>
                              </w:tabs>
                              <w:spacing w:before="99"/>
                              <w:ind w:hanging="357"/>
                              <w:rPr>
                                <w:lang w:eastAsia="ja-JP"/>
                              </w:rPr>
                            </w:pPr>
                            <w:r>
                              <w:rPr>
                                <w:lang w:eastAsia="ja-JP"/>
                              </w:rPr>
                              <w:t>既存の管理計画または保全目標に違反する</w:t>
                            </w:r>
                            <w:r>
                              <w:rPr>
                                <w:rFonts w:hint="eastAsia"/>
                                <w:lang w:eastAsia="ja-JP"/>
                              </w:rPr>
                              <w:t>こと</w:t>
                            </w:r>
                            <w:r>
                              <w:rPr>
                                <w:lang w:eastAsia="ja-JP"/>
                              </w:rPr>
                              <w:t>。</w:t>
                            </w:r>
                          </w:p>
                          <w:p w14:paraId="14ACDCF8" w14:textId="14FAA813" w:rsidR="005F0270" w:rsidRDefault="005F0270">
                            <w:pPr>
                              <w:pStyle w:val="a3"/>
                              <w:numPr>
                                <w:ilvl w:val="0"/>
                                <w:numId w:val="19"/>
                              </w:numPr>
                              <w:tabs>
                                <w:tab w:val="left" w:pos="460"/>
                                <w:tab w:val="left" w:pos="461"/>
                              </w:tabs>
                              <w:spacing w:before="97" w:line="276" w:lineRule="auto"/>
                              <w:ind w:right="130" w:hanging="357"/>
                              <w:rPr>
                                <w:lang w:eastAsia="ja-JP"/>
                              </w:rPr>
                            </w:pPr>
                            <w:r>
                              <w:rPr>
                                <w:lang w:eastAsia="ja-JP"/>
                              </w:rPr>
                              <w:t>活動に新規の非在来種又は侵略的外来種の生産が含まれる場合には、その栽培は、環境への逃避を防止するために十分な保護措置が講じられていることを確保するために、初期のリスク評価及び継続</w:t>
                            </w:r>
                            <w:r>
                              <w:rPr>
                                <w:rFonts w:hint="eastAsia"/>
                                <w:lang w:eastAsia="ja-JP"/>
                              </w:rPr>
                              <w:t>的な</w:t>
                            </w:r>
                            <w:r>
                              <w:rPr>
                                <w:lang w:eastAsia="ja-JP"/>
                              </w:rPr>
                              <w:t>監視を受けるべきである。</w:t>
                            </w:r>
                          </w:p>
                        </w:txbxContent>
                      </wps:txbx>
                      <wps:bodyPr rot="0" vert="horz" wrap="square" lIns="0" tIns="0" rIns="0" bIns="0" anchor="t" anchorCtr="0" upright="1">
                        <a:noAutofit/>
                      </wps:bodyPr>
                    </wps:wsp>
                  </a:graphicData>
                </a:graphic>
              </wp:inline>
            </w:drawing>
          </mc:Choice>
          <mc:Fallback>
            <w:pict>
              <v:shapetype w14:anchorId="0372DF41" id="_x0000_t202" coordsize="21600,21600" o:spt="202" path="m,l,21600r21600,l21600,xe">
                <v:stroke joinstyle="miter"/>
                <v:path gradientshapeok="t" o:connecttype="rect"/>
              </v:shapetype>
              <v:shape id="Text Box 61" o:spid="_x0000_s1026" type="#_x0000_t202" style="width:378.6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" filled="f" strokeweight=".48pt">
                <v:textbox inset="0,0,0,0">
                  <w:txbxContent>
                    <w:p w14:paraId="4EA0FD97" w14:textId="77777777" w:rsidR="005F0270" w:rsidRDefault="005F0270">
                      <w:pPr>
                        <w:pStyle w:val="a3"/>
                        <w:numPr>
                          <w:ilvl w:val="0"/>
                          <w:numId w:val="20"/>
                        </w:numPr>
                        <w:tabs>
                          <w:tab w:val="left" w:pos="1027"/>
                          <w:tab w:val="left" w:pos="1028"/>
                        </w:tabs>
                        <w:spacing w:line="256" w:lineRule="auto"/>
                        <w:ind w:right="836" w:hanging="357"/>
                        <w:rPr>
                          <w:lang w:eastAsia="ja-JP"/>
                        </w:rPr>
                      </w:pPr>
                      <w:r>
                        <w:rPr>
                          <w:lang w:eastAsia="ja-JP"/>
                        </w:rPr>
                        <w:t>保全の重要性又は懸念を有する種及び生息地の多様性又は存在量の減少をもたらすこと。</w:t>
                      </w:r>
                    </w:p>
                    <w:p w14:paraId="112D5F47" w14:textId="4DF614E3" w:rsidR="005F0270" w:rsidRDefault="005F0270">
                      <w:pPr>
                        <w:pStyle w:val="a3"/>
                        <w:numPr>
                          <w:ilvl w:val="0"/>
                          <w:numId w:val="20"/>
                        </w:numPr>
                        <w:tabs>
                          <w:tab w:val="left" w:pos="1027"/>
                          <w:tab w:val="left" w:pos="1028"/>
                        </w:tabs>
                        <w:spacing w:before="99"/>
                        <w:ind w:hanging="357"/>
                        <w:rPr>
                          <w:lang w:eastAsia="ja-JP"/>
                        </w:rPr>
                      </w:pPr>
                      <w:r>
                        <w:rPr>
                          <w:lang w:eastAsia="ja-JP"/>
                        </w:rPr>
                        <w:t>既存の管理計画または保全目標に違反する</w:t>
                      </w:r>
                      <w:r>
                        <w:rPr>
                          <w:rFonts w:hint="eastAsia"/>
                          <w:lang w:eastAsia="ja-JP"/>
                        </w:rPr>
                        <w:t>こと</w:t>
                      </w:r>
                      <w:r>
                        <w:rPr>
                          <w:lang w:eastAsia="ja-JP"/>
                        </w:rPr>
                        <w:t>。</w:t>
                      </w:r>
                    </w:p>
                    <w:p w14:paraId="14ACDCF8" w14:textId="14FAA813" w:rsidR="005F0270" w:rsidRDefault="005F0270">
                      <w:pPr>
                        <w:pStyle w:val="a3"/>
                        <w:numPr>
                          <w:ilvl w:val="0"/>
                          <w:numId w:val="19"/>
                        </w:numPr>
                        <w:tabs>
                          <w:tab w:val="left" w:pos="460"/>
                          <w:tab w:val="left" w:pos="461"/>
                        </w:tabs>
                        <w:spacing w:before="97" w:line="276" w:lineRule="auto"/>
                        <w:ind w:right="130" w:hanging="357"/>
                        <w:rPr>
                          <w:lang w:eastAsia="ja-JP"/>
                        </w:rPr>
                      </w:pPr>
                      <w:r>
                        <w:rPr>
                          <w:lang w:eastAsia="ja-JP"/>
                        </w:rPr>
                        <w:t>活動に新規の非在来種又は侵略的外来種の生産が含まれる場合には、その栽培は、環境への逃避を防止するために十分な保護措置が講じられていることを確保するために、初期のリスク評価及び継続</w:t>
                      </w:r>
                      <w:r>
                        <w:rPr>
                          <w:rFonts w:hint="eastAsia"/>
                          <w:lang w:eastAsia="ja-JP"/>
                        </w:rPr>
                        <w:t>的な</w:t>
                      </w:r>
                      <w:r>
                        <w:rPr>
                          <w:lang w:eastAsia="ja-JP"/>
                        </w:rPr>
                        <w:t>監視を受けるべきである。</w:t>
                      </w:r>
                    </w:p>
                  </w:txbxContent>
                </v:textbox>
                <w10:wrap anchorx="page" anchory="page"/>
                <w10:anchorlock/>
              </v:shape>
            </w:pict>
          </mc:Fallback>
        </mc:AlternateContent>
      </w:r>
    </w:p>
    <w:p w14:paraId="2B1117B6" w14:textId="77777777" w:rsidR="00410BDF" w:rsidRDefault="00410BDF">
      <w:pPr>
        <w:sectPr w:rsidR="00410BDF">
          <w:pgSz w:w="12240" w:h="15840"/>
          <w:pgMar w:top="1440" w:right="1320" w:bottom="1640" w:left="1340" w:header="0" w:footer="1372" w:gutter="0"/>
          <w:cols w:space="720"/>
        </w:sectPr>
      </w:pPr>
    </w:p>
    <w:p w14:paraId="49C76F91" w14:textId="77777777" w:rsidR="00410BDF" w:rsidRDefault="00CF7372">
      <w:pPr>
        <w:pStyle w:val="1"/>
        <w:tabs>
          <w:tab w:val="left" w:pos="820"/>
        </w:tabs>
        <w:ind w:firstLine="0"/>
      </w:pPr>
      <w:r>
        <w:rPr>
          <w:color w:val="006FC0"/>
        </w:rPr>
        <w:lastRenderedPageBreak/>
        <w:t>2.3</w:t>
      </w:r>
      <w:r>
        <w:rPr>
          <w:color w:val="006FC0"/>
        </w:rPr>
        <w:tab/>
      </w:r>
      <w:proofErr w:type="spellStart"/>
      <w:r>
        <w:rPr>
          <w:color w:val="006FC0"/>
        </w:rPr>
        <w:t>非多年生作物の栽培</w:t>
      </w:r>
      <w:proofErr w:type="spellEnd"/>
    </w:p>
    <w:p w14:paraId="030FEE56" w14:textId="77777777" w:rsidR="00410BDF" w:rsidRDefault="00410BD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7267"/>
      </w:tblGrid>
      <w:tr w:rsidR="00410BDF" w14:paraId="7DC16B90" w14:textId="77777777">
        <w:trPr>
          <w:trHeight w:val="383"/>
        </w:trPr>
        <w:tc>
          <w:tcPr>
            <w:tcW w:w="9353" w:type="dxa"/>
            <w:gridSpan w:val="2"/>
            <w:shd w:val="clear" w:color="auto" w:fill="4471C4"/>
          </w:tcPr>
          <w:p w14:paraId="153718DC" w14:textId="77777777" w:rsidR="00410BDF" w:rsidRDefault="00CF7372">
            <w:pPr>
              <w:pStyle w:val="TableParagraph"/>
              <w:spacing w:before="40"/>
              <w:ind w:left="107"/>
              <w:rPr>
                <w:b/>
                <w:sz w:val="20"/>
              </w:rPr>
            </w:pPr>
            <w:proofErr w:type="spellStart"/>
            <w:r>
              <w:rPr>
                <w:b/>
                <w:color w:val="FFFFFF"/>
                <w:sz w:val="20"/>
              </w:rPr>
              <w:t>セクター分類と活動</w:t>
            </w:r>
            <w:proofErr w:type="spellEnd"/>
          </w:p>
        </w:tc>
      </w:tr>
      <w:tr w:rsidR="00410BDF" w14:paraId="3BA2BEDF" w14:textId="77777777">
        <w:trPr>
          <w:trHeight w:val="386"/>
        </w:trPr>
        <w:tc>
          <w:tcPr>
            <w:tcW w:w="2086" w:type="dxa"/>
          </w:tcPr>
          <w:p w14:paraId="00487AA3" w14:textId="77777777" w:rsidR="00410BDF" w:rsidRDefault="00CF7372">
            <w:pPr>
              <w:pStyle w:val="TableParagraph"/>
              <w:spacing w:before="40"/>
              <w:ind w:left="107"/>
              <w:rPr>
                <w:sz w:val="20"/>
              </w:rPr>
            </w:pPr>
            <w:proofErr w:type="spellStart"/>
            <w:r>
              <w:rPr>
                <w:sz w:val="20"/>
              </w:rPr>
              <w:t>マクロセクタ</w:t>
            </w:r>
            <w:proofErr w:type="spellEnd"/>
            <w:r>
              <w:rPr>
                <w:sz w:val="20"/>
              </w:rPr>
              <w:t>ー</w:t>
            </w:r>
          </w:p>
        </w:tc>
        <w:tc>
          <w:tcPr>
            <w:tcW w:w="7267" w:type="dxa"/>
          </w:tcPr>
          <w:p w14:paraId="7795747C" w14:textId="77777777" w:rsidR="00410BDF" w:rsidRDefault="00CF7372">
            <w:pPr>
              <w:pStyle w:val="TableParagraph"/>
              <w:spacing w:before="40"/>
              <w:ind w:left="107"/>
              <w:rPr>
                <w:sz w:val="20"/>
              </w:rPr>
            </w:pPr>
            <w:r>
              <w:rPr>
                <w:sz w:val="20"/>
              </w:rPr>
              <w:t>A-</w:t>
            </w:r>
            <w:proofErr w:type="spellStart"/>
            <w:r>
              <w:rPr>
                <w:sz w:val="20"/>
              </w:rPr>
              <w:t>農林漁業</w:t>
            </w:r>
            <w:proofErr w:type="spellEnd"/>
          </w:p>
        </w:tc>
      </w:tr>
      <w:tr w:rsidR="00410BDF" w14:paraId="7CFFC410" w14:textId="77777777">
        <w:trPr>
          <w:trHeight w:val="383"/>
        </w:trPr>
        <w:tc>
          <w:tcPr>
            <w:tcW w:w="2086" w:type="dxa"/>
          </w:tcPr>
          <w:p w14:paraId="6D81429B" w14:textId="77777777" w:rsidR="00410BDF" w:rsidRDefault="00CF7372">
            <w:pPr>
              <w:pStyle w:val="TableParagraph"/>
              <w:spacing w:before="40"/>
              <w:ind w:left="107"/>
              <w:rPr>
                <w:sz w:val="20"/>
              </w:rPr>
            </w:pPr>
            <w:proofErr w:type="spellStart"/>
            <w:r>
              <w:rPr>
                <w:sz w:val="20"/>
              </w:rPr>
              <w:t>NACEレベル</w:t>
            </w:r>
            <w:proofErr w:type="spellEnd"/>
          </w:p>
        </w:tc>
        <w:tc>
          <w:tcPr>
            <w:tcW w:w="7267" w:type="dxa"/>
          </w:tcPr>
          <w:p w14:paraId="12E52D19" w14:textId="77777777" w:rsidR="00410BDF" w:rsidRDefault="00CF7372">
            <w:pPr>
              <w:pStyle w:val="TableParagraph"/>
              <w:spacing w:before="40"/>
              <w:ind w:left="107"/>
              <w:rPr>
                <w:sz w:val="20"/>
              </w:rPr>
            </w:pPr>
            <w:r>
              <w:rPr>
                <w:w w:val="99"/>
                <w:sz w:val="20"/>
              </w:rPr>
              <w:t>3</w:t>
            </w:r>
          </w:p>
        </w:tc>
      </w:tr>
      <w:tr w:rsidR="00410BDF" w14:paraId="4F4758EF" w14:textId="77777777">
        <w:trPr>
          <w:trHeight w:val="383"/>
        </w:trPr>
        <w:tc>
          <w:tcPr>
            <w:tcW w:w="2086" w:type="dxa"/>
          </w:tcPr>
          <w:p w14:paraId="7B118B8D" w14:textId="77777777" w:rsidR="00410BDF" w:rsidRDefault="00CF7372">
            <w:pPr>
              <w:pStyle w:val="TableParagraph"/>
              <w:spacing w:before="40"/>
              <w:ind w:left="107"/>
              <w:rPr>
                <w:sz w:val="20"/>
              </w:rPr>
            </w:pPr>
            <w:proofErr w:type="spellStart"/>
            <w:r>
              <w:rPr>
                <w:sz w:val="20"/>
              </w:rPr>
              <w:t>コード</w:t>
            </w:r>
            <w:proofErr w:type="spellEnd"/>
          </w:p>
        </w:tc>
        <w:tc>
          <w:tcPr>
            <w:tcW w:w="7267" w:type="dxa"/>
          </w:tcPr>
          <w:p w14:paraId="6B23963B" w14:textId="77777777" w:rsidR="00410BDF" w:rsidRDefault="00CF7372">
            <w:pPr>
              <w:pStyle w:val="TableParagraph"/>
              <w:spacing w:before="40"/>
              <w:ind w:left="107"/>
              <w:rPr>
                <w:sz w:val="20"/>
              </w:rPr>
            </w:pPr>
            <w:r>
              <w:rPr>
                <w:sz w:val="20"/>
              </w:rPr>
              <w:t>A1.1</w:t>
            </w:r>
          </w:p>
        </w:tc>
      </w:tr>
      <w:tr w:rsidR="00410BDF" w14:paraId="563672BF" w14:textId="77777777">
        <w:trPr>
          <w:trHeight w:val="385"/>
        </w:trPr>
        <w:tc>
          <w:tcPr>
            <w:tcW w:w="2086" w:type="dxa"/>
          </w:tcPr>
          <w:p w14:paraId="7F2B9A45" w14:textId="77777777" w:rsidR="00410BDF" w:rsidRDefault="00CF7372">
            <w:pPr>
              <w:pStyle w:val="TableParagraph"/>
              <w:spacing w:before="42"/>
              <w:ind w:left="107"/>
              <w:rPr>
                <w:sz w:val="20"/>
              </w:rPr>
            </w:pPr>
            <w:proofErr w:type="spellStart"/>
            <w:r>
              <w:rPr>
                <w:sz w:val="20"/>
              </w:rPr>
              <w:t>内容</w:t>
            </w:r>
            <w:proofErr w:type="spellEnd"/>
          </w:p>
        </w:tc>
        <w:tc>
          <w:tcPr>
            <w:tcW w:w="7267" w:type="dxa"/>
          </w:tcPr>
          <w:p w14:paraId="46CA33EA" w14:textId="77777777" w:rsidR="00410BDF" w:rsidRDefault="00CF7372">
            <w:pPr>
              <w:pStyle w:val="TableParagraph"/>
              <w:spacing w:before="42"/>
              <w:ind w:left="107"/>
              <w:rPr>
                <w:sz w:val="20"/>
              </w:rPr>
            </w:pPr>
            <w:proofErr w:type="spellStart"/>
            <w:r>
              <w:rPr>
                <w:sz w:val="20"/>
              </w:rPr>
              <w:t>非多年生作物の栽培</w:t>
            </w:r>
            <w:proofErr w:type="spellEnd"/>
          </w:p>
        </w:tc>
      </w:tr>
      <w:tr w:rsidR="00410BDF" w14:paraId="11D51BF2" w14:textId="77777777">
        <w:trPr>
          <w:trHeight w:val="383"/>
        </w:trPr>
        <w:tc>
          <w:tcPr>
            <w:tcW w:w="9353" w:type="dxa"/>
            <w:gridSpan w:val="2"/>
            <w:shd w:val="clear" w:color="auto" w:fill="4471C4"/>
          </w:tcPr>
          <w:p w14:paraId="01DCE1F5" w14:textId="77777777" w:rsidR="00410BDF" w:rsidRDefault="00CF7372">
            <w:pPr>
              <w:pStyle w:val="TableParagraph"/>
              <w:spacing w:before="40"/>
              <w:ind w:left="107"/>
              <w:rPr>
                <w:b/>
                <w:sz w:val="20"/>
              </w:rPr>
            </w:pPr>
            <w:proofErr w:type="spellStart"/>
            <w:r>
              <w:rPr>
                <w:b/>
                <w:color w:val="FFFFFF"/>
                <w:sz w:val="20"/>
              </w:rPr>
              <w:t>緩和基準</w:t>
            </w:r>
            <w:proofErr w:type="spellEnd"/>
          </w:p>
        </w:tc>
      </w:tr>
      <w:tr w:rsidR="00410BDF" w14:paraId="6049C488" w14:textId="77777777">
        <w:trPr>
          <w:trHeight w:val="1788"/>
        </w:trPr>
        <w:tc>
          <w:tcPr>
            <w:tcW w:w="2086" w:type="dxa"/>
          </w:tcPr>
          <w:p w14:paraId="379DBF46" w14:textId="77777777" w:rsidR="00410BDF" w:rsidRDefault="00CF7372">
            <w:pPr>
              <w:pStyle w:val="TableParagraph"/>
              <w:spacing w:before="40"/>
              <w:ind w:left="107"/>
              <w:rPr>
                <w:sz w:val="20"/>
              </w:rPr>
            </w:pPr>
            <w:proofErr w:type="spellStart"/>
            <w:r>
              <w:rPr>
                <w:sz w:val="20"/>
              </w:rPr>
              <w:t>原則</w:t>
            </w:r>
            <w:proofErr w:type="spellEnd"/>
          </w:p>
        </w:tc>
        <w:tc>
          <w:tcPr>
            <w:tcW w:w="7267" w:type="dxa"/>
          </w:tcPr>
          <w:p w14:paraId="39BFBF4A" w14:textId="77777777" w:rsidR="00410BDF" w:rsidRDefault="00CF7372">
            <w:pPr>
              <w:pStyle w:val="TableParagraph"/>
              <w:spacing w:before="40"/>
              <w:ind w:left="107"/>
              <w:rPr>
                <w:sz w:val="20"/>
                <w:lang w:eastAsia="ja-JP"/>
              </w:rPr>
            </w:pPr>
            <w:r>
              <w:rPr>
                <w:sz w:val="20"/>
                <w:lang w:eastAsia="ja-JP"/>
              </w:rPr>
              <w:t>ここに示された原則は、どちらも満たされなければならない。</w:t>
            </w:r>
          </w:p>
          <w:p w14:paraId="0C1A5214" w14:textId="77777777" w:rsidR="00410BDF" w:rsidRDefault="00CF7372">
            <w:pPr>
              <w:pStyle w:val="TableParagraph"/>
              <w:numPr>
                <w:ilvl w:val="0"/>
                <w:numId w:val="18"/>
              </w:numPr>
              <w:tabs>
                <w:tab w:val="left" w:pos="828"/>
              </w:tabs>
              <w:spacing w:before="113" w:line="278" w:lineRule="auto"/>
              <w:ind w:right="519"/>
              <w:rPr>
                <w:sz w:val="20"/>
                <w:lang w:eastAsia="ja-JP"/>
              </w:rPr>
            </w:pPr>
            <w:r>
              <w:rPr>
                <w:sz w:val="20"/>
                <w:lang w:eastAsia="ja-JP"/>
              </w:rPr>
              <w:t>生産および関連する慣行からのGHG排出の実質的な回避または削減を実証する。</w:t>
            </w:r>
          </w:p>
          <w:p w14:paraId="68CB74B9" w14:textId="77777777" w:rsidR="00410BDF" w:rsidRDefault="00CF7372">
            <w:pPr>
              <w:pStyle w:val="TableParagraph"/>
              <w:numPr>
                <w:ilvl w:val="0"/>
                <w:numId w:val="18"/>
              </w:numPr>
              <w:tabs>
                <w:tab w:val="left" w:pos="828"/>
              </w:tabs>
              <w:spacing w:line="276" w:lineRule="auto"/>
              <w:ind w:right="475"/>
              <w:rPr>
                <w:sz w:val="20"/>
                <w:lang w:eastAsia="ja-JP"/>
              </w:rPr>
            </w:pPr>
            <w:r>
              <w:rPr>
                <w:sz w:val="20"/>
                <w:lang w:eastAsia="ja-JP"/>
              </w:rPr>
              <w:t>既存の吸収源を維持し、地上および地下の炭素貯蔵における隔離(飽和点まで)を増加させる。</w:t>
            </w:r>
          </w:p>
        </w:tc>
      </w:tr>
      <w:tr w:rsidR="00410BDF" w14:paraId="15EDC773" w14:textId="77777777">
        <w:trPr>
          <w:trHeight w:val="7944"/>
        </w:trPr>
        <w:tc>
          <w:tcPr>
            <w:tcW w:w="2086" w:type="dxa"/>
          </w:tcPr>
          <w:p w14:paraId="090581C2" w14:textId="417623A4" w:rsidR="00410BDF" w:rsidRDefault="008538ED">
            <w:pPr>
              <w:pStyle w:val="TableParagraph"/>
              <w:spacing w:before="40"/>
              <w:ind w:left="107"/>
              <w:rPr>
                <w:sz w:val="20"/>
                <w:lang w:eastAsia="ja-JP"/>
              </w:rPr>
            </w:pPr>
            <w:r>
              <w:rPr>
                <w:sz w:val="20"/>
                <w:lang w:eastAsia="ja-JP"/>
              </w:rPr>
              <w:t>基準と閾値</w:t>
            </w:r>
          </w:p>
        </w:tc>
        <w:tc>
          <w:tcPr>
            <w:tcW w:w="7267" w:type="dxa"/>
          </w:tcPr>
          <w:p w14:paraId="334F959E" w14:textId="77777777" w:rsidR="00410BDF" w:rsidRDefault="00CF7372">
            <w:pPr>
              <w:pStyle w:val="TableParagraph"/>
              <w:numPr>
                <w:ilvl w:val="0"/>
                <w:numId w:val="17"/>
              </w:numPr>
              <w:tabs>
                <w:tab w:val="left" w:pos="468"/>
              </w:tabs>
              <w:spacing w:before="40" w:line="276" w:lineRule="auto"/>
              <w:ind w:right="150" w:hanging="360"/>
              <w:rPr>
                <w:b/>
                <w:sz w:val="20"/>
                <w:lang w:eastAsia="ja-JP"/>
              </w:rPr>
            </w:pPr>
            <w:r>
              <w:rPr>
                <w:b/>
                <w:sz w:val="20"/>
                <w:lang w:eastAsia="ja-JP"/>
              </w:rPr>
              <w:t>適切な管理手法の適用を通じて、GHG排出(農場で使用される投入材からの排出を含む)を回避または削減する。</w:t>
            </w:r>
          </w:p>
          <w:p w14:paraId="0F2B9356" w14:textId="41C67FAC" w:rsidR="00410BDF" w:rsidRDefault="00CF7372">
            <w:pPr>
              <w:pStyle w:val="TableParagraph"/>
              <w:spacing w:before="80"/>
              <w:ind w:left="107"/>
              <w:rPr>
                <w:sz w:val="20"/>
                <w:lang w:eastAsia="ja-JP"/>
              </w:rPr>
            </w:pPr>
            <w:r>
              <w:rPr>
                <w:sz w:val="20"/>
                <w:lang w:eastAsia="ja-JP"/>
              </w:rPr>
              <w:t>次のいずれかの方法で実証</w:t>
            </w:r>
            <w:r w:rsidR="00720D67">
              <w:rPr>
                <w:rFonts w:hint="eastAsia"/>
                <w:sz w:val="20"/>
                <w:lang w:eastAsia="ja-JP"/>
              </w:rPr>
              <w:t>できること</w:t>
            </w:r>
            <w:r>
              <w:rPr>
                <w:sz w:val="20"/>
                <w:lang w:eastAsia="ja-JP"/>
              </w:rPr>
              <w:t>。</w:t>
            </w:r>
          </w:p>
          <w:p w14:paraId="15C001EB" w14:textId="77777777" w:rsidR="00410BDF" w:rsidRDefault="00CF7372">
            <w:pPr>
              <w:pStyle w:val="TableParagraph"/>
              <w:numPr>
                <w:ilvl w:val="1"/>
                <w:numId w:val="17"/>
              </w:numPr>
              <w:tabs>
                <w:tab w:val="left" w:pos="827"/>
                <w:tab w:val="left" w:pos="828"/>
              </w:tabs>
              <w:spacing w:before="113" w:line="261" w:lineRule="auto"/>
              <w:ind w:right="404"/>
              <w:rPr>
                <w:sz w:val="20"/>
                <w:lang w:eastAsia="ja-JP"/>
              </w:rPr>
            </w:pPr>
            <w:r>
              <w:rPr>
                <w:sz w:val="20"/>
                <w:lang w:eastAsia="ja-JP"/>
              </w:rPr>
              <w:t>必要不可欠な管理手法は、毎年、適用可能な非通年作物生産地域に一貫して展開されている。</w:t>
            </w:r>
          </w:p>
          <w:p w14:paraId="02164647" w14:textId="771CB562" w:rsidR="00410BDF" w:rsidRDefault="00720D67">
            <w:pPr>
              <w:pStyle w:val="TableParagraph"/>
              <w:spacing w:before="16"/>
              <w:ind w:left="3842"/>
              <w:rPr>
                <w:sz w:val="20"/>
              </w:rPr>
            </w:pPr>
            <w:r>
              <w:rPr>
                <w:rFonts w:hint="eastAsia"/>
                <w:sz w:val="20"/>
                <w:lang w:eastAsia="ja-JP"/>
              </w:rPr>
              <w:t>または</w:t>
            </w:r>
          </w:p>
          <w:p w14:paraId="2B92C439" w14:textId="52624061" w:rsidR="00410BDF" w:rsidRDefault="00CF7372">
            <w:pPr>
              <w:pStyle w:val="TableParagraph"/>
              <w:numPr>
                <w:ilvl w:val="1"/>
                <w:numId w:val="17"/>
              </w:numPr>
              <w:tabs>
                <w:tab w:val="left" w:pos="827"/>
                <w:tab w:val="left" w:pos="828"/>
              </w:tabs>
              <w:spacing w:before="34" w:line="261" w:lineRule="auto"/>
              <w:ind w:right="456"/>
              <w:rPr>
                <w:sz w:val="20"/>
                <w:lang w:eastAsia="ja-JP"/>
              </w:rPr>
            </w:pPr>
            <w:r>
              <w:rPr>
                <w:sz w:val="20"/>
                <w:lang w:eastAsia="ja-JP"/>
              </w:rPr>
              <w:t>非通年生産地域のGHG排出量(gCO2e)の削減。以下の軌道に沿ったもの。</w:t>
            </w:r>
          </w:p>
          <w:p w14:paraId="387E7B8D" w14:textId="77777777" w:rsidR="00410BDF" w:rsidRDefault="00410BDF">
            <w:pPr>
              <w:pStyle w:val="TableParagraph"/>
              <w:rPr>
                <w:b/>
                <w:sz w:val="21"/>
                <w:lang w:eastAsia="ja-JP"/>
              </w:rPr>
            </w:pPr>
          </w:p>
          <w:p w14:paraId="6756AD95" w14:textId="77777777" w:rsidR="00410BDF" w:rsidRDefault="00CF7372">
            <w:pPr>
              <w:pStyle w:val="TableParagraph"/>
              <w:ind w:left="148"/>
              <w:rPr>
                <w:sz w:val="20"/>
              </w:rPr>
            </w:pPr>
            <w:r>
              <w:rPr>
                <w:noProof/>
                <w:sz w:val="20"/>
                <w:lang w:val="en-US" w:eastAsia="ja-JP"/>
              </w:rPr>
              <w:drawing>
                <wp:inline distT="0" distB="0" distL="0" distR="0" wp14:anchorId="2E1EAD84" wp14:editId="69F37984">
                  <wp:extent cx="4264899" cy="235458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4264899" cy="2354580"/>
                          </a:xfrm>
                          <a:prstGeom prst="rect">
                            <a:avLst/>
                          </a:prstGeom>
                        </pic:spPr>
                      </pic:pic>
                    </a:graphicData>
                  </a:graphic>
                </wp:inline>
              </w:drawing>
            </w:r>
          </w:p>
          <w:p w14:paraId="034E1369" w14:textId="77777777" w:rsidR="00410BDF" w:rsidRDefault="00CF7372">
            <w:pPr>
              <w:pStyle w:val="TableParagraph"/>
              <w:spacing w:before="3"/>
              <w:ind w:left="467"/>
              <w:rPr>
                <w:rFonts w:ascii="Calibri"/>
                <w:sz w:val="20"/>
                <w:lang w:eastAsia="ja-JP"/>
              </w:rPr>
            </w:pPr>
            <w:r>
              <w:rPr>
                <w:rFonts w:ascii="Calibri"/>
                <w:w w:val="99"/>
                <w:sz w:val="20"/>
                <w:lang w:eastAsia="ja-JP"/>
              </w:rPr>
              <w:t>-</w:t>
            </w:r>
          </w:p>
          <w:p w14:paraId="654B544C" w14:textId="77777777" w:rsidR="00410BDF" w:rsidRDefault="00CF7372">
            <w:pPr>
              <w:pStyle w:val="TableParagraph"/>
              <w:spacing w:before="145" w:line="276" w:lineRule="auto"/>
              <w:ind w:left="107"/>
              <w:rPr>
                <w:sz w:val="20"/>
                <w:lang w:eastAsia="ja-JP"/>
              </w:rPr>
            </w:pPr>
            <w:r>
              <w:rPr>
                <w:sz w:val="20"/>
                <w:lang w:eastAsia="ja-JP"/>
              </w:rPr>
              <w:t>例えば、2020~2030年の10年間に、GHG排出量を20%削減する必要がある。 2020~2040年の20年間に、GHG排出量を30%削減する必要がある。</w:t>
            </w:r>
          </w:p>
        </w:tc>
      </w:tr>
    </w:tbl>
    <w:p w14:paraId="5E09371B" w14:textId="77777777" w:rsidR="00410BDF" w:rsidRDefault="00410BDF">
      <w:pPr>
        <w:spacing w:line="276" w:lineRule="auto"/>
        <w:rPr>
          <w:sz w:val="20"/>
          <w:lang w:eastAsia="ja-JP"/>
        </w:rPr>
        <w:sectPr w:rsidR="00410BDF">
          <w:pgSz w:w="12240" w:h="15840"/>
          <w:pgMar w:top="1360" w:right="1320" w:bottom="1640" w:left="1340" w:header="0" w:footer="1372" w:gutter="0"/>
          <w:cols w:space="720"/>
        </w:sectPr>
      </w:pPr>
    </w:p>
    <w:p w14:paraId="2293E6B8" w14:textId="77777777" w:rsidR="00410BDF" w:rsidRDefault="00196192">
      <w:pPr>
        <w:pStyle w:val="a3"/>
        <w:spacing w:before="9"/>
        <w:rPr>
          <w:b/>
          <w:sz w:val="22"/>
          <w:lang w:eastAsia="ja-JP"/>
        </w:rPr>
      </w:pPr>
      <w:r>
        <w:rPr>
          <w:noProof/>
          <w:lang w:val="en-US" w:eastAsia="ja-JP"/>
        </w:rPr>
        <w:lastRenderedPageBreak/>
        <mc:AlternateContent>
          <mc:Choice Requires="wpg">
            <w:drawing>
              <wp:anchor distT="0" distB="0" distL="114300" distR="114300" simplePos="0" relativeHeight="251648512" behindDoc="1" locked="0" layoutInCell="1" allowOverlap="1" wp14:anchorId="3C89B19E" wp14:editId="096FCD1F">
                <wp:simplePos x="0" y="0"/>
                <wp:positionH relativeFrom="page">
                  <wp:posOffset>914400</wp:posOffset>
                </wp:positionH>
                <wp:positionV relativeFrom="page">
                  <wp:posOffset>914400</wp:posOffset>
                </wp:positionV>
                <wp:extent cx="5944870" cy="6390005"/>
                <wp:effectExtent l="9525" t="9525" r="8255" b="127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390005"/>
                          <a:chOff x="1440" y="1440"/>
                          <a:chExt cx="9362" cy="10063"/>
                        </a:xfrm>
                      </wpg:grpSpPr>
                      <wps:wsp>
                        <wps:cNvPr id="57" name="Line 60"/>
                        <wps:cNvCnPr>
                          <a:cxnSpLocks noChangeShapeType="1"/>
                        </wps:cNvCnPr>
                        <wps:spPr bwMode="auto">
                          <a:xfrm>
                            <a:off x="1450" y="1445"/>
                            <a:ext cx="2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3536" y="1445"/>
                            <a:ext cx="7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8"/>
                        <wps:cNvCnPr>
                          <a:cxnSpLocks noChangeShapeType="1"/>
                        </wps:cNvCnPr>
                        <wps:spPr bwMode="auto">
                          <a:xfrm>
                            <a:off x="1445" y="1440"/>
                            <a:ext cx="0" cy="100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7"/>
                        <wps:cNvSpPr>
                          <a:spLocks noChangeArrowheads="1"/>
                        </wps:cNvSpPr>
                        <wps:spPr bwMode="auto">
                          <a:xfrm>
                            <a:off x="1440" y="114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6"/>
                        <wps:cNvCnPr>
                          <a:cxnSpLocks noChangeShapeType="1"/>
                        </wps:cNvCnPr>
                        <wps:spPr bwMode="auto">
                          <a:xfrm>
                            <a:off x="1450" y="11497"/>
                            <a:ext cx="2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a:off x="3531" y="1440"/>
                            <a:ext cx="0" cy="100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4"/>
                        <wps:cNvSpPr>
                          <a:spLocks noChangeArrowheads="1"/>
                        </wps:cNvSpPr>
                        <wps:spPr bwMode="auto">
                          <a:xfrm>
                            <a:off x="3526" y="114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3"/>
                        <wps:cNvCnPr>
                          <a:cxnSpLocks noChangeShapeType="1"/>
                        </wps:cNvCnPr>
                        <wps:spPr bwMode="auto">
                          <a:xfrm>
                            <a:off x="3536" y="11497"/>
                            <a:ext cx="7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2"/>
                        <wps:cNvCnPr>
                          <a:cxnSpLocks noChangeShapeType="1"/>
                        </wps:cNvCnPr>
                        <wps:spPr bwMode="auto">
                          <a:xfrm>
                            <a:off x="10797" y="1440"/>
                            <a:ext cx="0" cy="100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51"/>
                        <wps:cNvSpPr>
                          <a:spLocks noChangeArrowheads="1"/>
                        </wps:cNvSpPr>
                        <wps:spPr bwMode="auto">
                          <a:xfrm>
                            <a:off x="10792" y="114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F9BD1" id="Group 50" o:spid="_x0000_s1026" style="position:absolute;left:0;text-align:left;margin-left:1in;margin-top:1in;width:468.1pt;height:503.15pt;z-index:-251667968;mso-position-horizontal-relative:page;mso-position-vertical-relative:page" coordorigin="1440,1440" coordsize="9362,1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">
                <v:line id="Line 60" o:spid="_x0000_s1027" style="position:absolute;visibility:visible;mso-wrap-style:square" from="1450,1445" to="3526,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9" o:spid="_x0000_s1028" style="position:absolute;visibility:visible;mso-wrap-style:square" from="3536,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58" o:spid="_x0000_s1029" style="position:absolute;visibility:visible;mso-wrap-style:square" from="1445,1440" to="1445,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rect id="Rectangle 57" o:spid="_x0000_s1030" style="position:absolute;left:1440;top:114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56" o:spid="_x0000_s1031" style="position:absolute;visibility:visible;mso-wrap-style:square" from="1450,11497" to="3526,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5" o:spid="_x0000_s1032" style="position:absolute;visibility:visible;mso-wrap-style:square" from="3531,1440" to="3531,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54" o:spid="_x0000_s1033" style="position:absolute;left:3526;top:114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53" o:spid="_x0000_s1034" style="position:absolute;visibility:visible;mso-wrap-style:square" from="3536,11497" to="10792,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52" o:spid="_x0000_s1035" style="position:absolute;visibility:visible;mso-wrap-style:square" from="10797,1440" to="10797,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51" o:spid="_x0000_s1036" style="position:absolute;left:10792;top:114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w10:wrap anchorx="page" anchory="page"/>
              </v:group>
            </w:pict>
          </mc:Fallback>
        </mc:AlternateContent>
      </w:r>
    </w:p>
    <w:p w14:paraId="1F06E781" w14:textId="363856CF" w:rsidR="00410BDF" w:rsidRDefault="00CF7372">
      <w:pPr>
        <w:pStyle w:val="2"/>
        <w:numPr>
          <w:ilvl w:val="0"/>
          <w:numId w:val="16"/>
        </w:numPr>
        <w:tabs>
          <w:tab w:val="left" w:pos="2660"/>
        </w:tabs>
        <w:spacing w:before="93" w:line="276" w:lineRule="auto"/>
        <w:ind w:right="373"/>
        <w:rPr>
          <w:lang w:eastAsia="ja-JP"/>
        </w:rPr>
      </w:pPr>
      <w:r>
        <w:rPr>
          <w:lang w:eastAsia="ja-JP"/>
        </w:rPr>
        <w:t>適切な管理手法の適用を通じて、20年以上の期間、既存の炭素貯蔵を維持し、増加させる</w:t>
      </w:r>
      <w:r w:rsidR="00720D67">
        <w:rPr>
          <w:rFonts w:hint="eastAsia"/>
          <w:lang w:eastAsia="ja-JP"/>
        </w:rPr>
        <w:t>こと</w:t>
      </w:r>
      <w:r>
        <w:rPr>
          <w:lang w:eastAsia="ja-JP"/>
        </w:rPr>
        <w:t>。</w:t>
      </w:r>
    </w:p>
    <w:p w14:paraId="66EBFE5A" w14:textId="1E4C9E82" w:rsidR="00410BDF" w:rsidRDefault="00CF7372">
      <w:pPr>
        <w:pStyle w:val="a3"/>
        <w:spacing w:before="80"/>
        <w:ind w:left="2298"/>
        <w:rPr>
          <w:lang w:eastAsia="ja-JP"/>
        </w:rPr>
      </w:pPr>
      <w:r>
        <w:rPr>
          <w:lang w:eastAsia="ja-JP"/>
        </w:rPr>
        <w:t>次のいずれかの方法で実証することができる</w:t>
      </w:r>
      <w:r w:rsidR="00720D67">
        <w:rPr>
          <w:rFonts w:hint="eastAsia"/>
          <w:lang w:eastAsia="ja-JP"/>
        </w:rPr>
        <w:t>こと</w:t>
      </w:r>
      <w:r>
        <w:rPr>
          <w:lang w:eastAsia="ja-JP"/>
        </w:rPr>
        <w:t>。</w:t>
      </w:r>
    </w:p>
    <w:p w14:paraId="0689AF45" w14:textId="7C69AFD3" w:rsidR="00410BDF" w:rsidRDefault="00CF7372">
      <w:pPr>
        <w:pStyle w:val="a4"/>
        <w:numPr>
          <w:ilvl w:val="1"/>
          <w:numId w:val="16"/>
        </w:numPr>
        <w:tabs>
          <w:tab w:val="left" w:pos="3019"/>
          <w:tab w:val="left" w:pos="3020"/>
        </w:tabs>
        <w:spacing w:before="113" w:line="264" w:lineRule="auto"/>
        <w:ind w:right="540"/>
        <w:rPr>
          <w:sz w:val="20"/>
          <w:lang w:eastAsia="ja-JP"/>
        </w:rPr>
      </w:pPr>
      <w:r>
        <w:rPr>
          <w:sz w:val="20"/>
          <w:lang w:eastAsia="ja-JP"/>
        </w:rPr>
        <w:t>必要不可欠な管理手法</w:t>
      </w:r>
      <w:r w:rsidR="00720D67">
        <w:rPr>
          <w:rFonts w:hint="eastAsia"/>
          <w:sz w:val="20"/>
          <w:lang w:eastAsia="ja-JP"/>
        </w:rPr>
        <w:t>が</w:t>
      </w:r>
      <w:r>
        <w:rPr>
          <w:sz w:val="20"/>
          <w:lang w:eastAsia="ja-JP"/>
        </w:rPr>
        <w:t>、毎年、適用可能な非通年作物地域に一貫して展開されている。</w:t>
      </w:r>
    </w:p>
    <w:p w14:paraId="6B15A51C" w14:textId="7D8B203E" w:rsidR="00410BDF" w:rsidRDefault="00720D67">
      <w:pPr>
        <w:pStyle w:val="a3"/>
        <w:spacing w:before="91"/>
        <w:ind w:left="5854"/>
      </w:pPr>
      <w:r>
        <w:rPr>
          <w:rFonts w:hint="eastAsia"/>
          <w:lang w:eastAsia="ja-JP"/>
        </w:rPr>
        <w:t>または</w:t>
      </w:r>
    </w:p>
    <w:p w14:paraId="386C021B" w14:textId="5D60EE9F" w:rsidR="00410BDF" w:rsidRDefault="00CF7372">
      <w:pPr>
        <w:pStyle w:val="a4"/>
        <w:numPr>
          <w:ilvl w:val="1"/>
          <w:numId w:val="16"/>
        </w:numPr>
        <w:tabs>
          <w:tab w:val="left" w:pos="3019"/>
          <w:tab w:val="left" w:pos="3020"/>
        </w:tabs>
        <w:spacing w:before="115" w:line="261" w:lineRule="auto"/>
        <w:ind w:right="967"/>
        <w:rPr>
          <w:sz w:val="20"/>
          <w:lang w:eastAsia="ja-JP"/>
        </w:rPr>
      </w:pPr>
      <w:r>
        <w:rPr>
          <w:sz w:val="20"/>
          <w:lang w:eastAsia="ja-JP"/>
        </w:rPr>
        <w:t>地上及び地下の炭素貯蔵量(tC/ha)</w:t>
      </w:r>
      <w:r w:rsidR="00720D67">
        <w:rPr>
          <w:rFonts w:hint="eastAsia"/>
          <w:sz w:val="20"/>
          <w:lang w:eastAsia="ja-JP"/>
        </w:rPr>
        <w:t>が</w:t>
      </w:r>
      <w:r>
        <w:rPr>
          <w:sz w:val="20"/>
          <w:lang w:eastAsia="ja-JP"/>
        </w:rPr>
        <w:t>、最低20年間にわたり漸進的に増加する*</w:t>
      </w:r>
    </w:p>
    <w:p w14:paraId="2299A50B" w14:textId="77777777" w:rsidR="00410BDF" w:rsidRDefault="00410BDF">
      <w:pPr>
        <w:pStyle w:val="a3"/>
        <w:rPr>
          <w:sz w:val="22"/>
          <w:lang w:eastAsia="ja-JP"/>
        </w:rPr>
      </w:pPr>
    </w:p>
    <w:p w14:paraId="7B5D6BA9" w14:textId="2987D5AB" w:rsidR="00410BDF" w:rsidRDefault="00CF7372">
      <w:pPr>
        <w:pStyle w:val="a3"/>
        <w:spacing w:before="186" w:line="276" w:lineRule="auto"/>
        <w:ind w:left="2298" w:right="391"/>
        <w:rPr>
          <w:lang w:eastAsia="ja-JP"/>
        </w:rPr>
      </w:pPr>
      <w:r>
        <w:rPr>
          <w:lang w:eastAsia="ja-JP"/>
        </w:rPr>
        <w:t>* 以下の例外に留意する:特に土壌については、飽和レベルに達していることが実証できる場合、炭素含有量のさらなる増加は</w:t>
      </w:r>
      <w:r w:rsidR="00720D67">
        <w:rPr>
          <w:rFonts w:hint="eastAsia"/>
          <w:lang w:eastAsia="ja-JP"/>
        </w:rPr>
        <w:t>期待</w:t>
      </w:r>
      <w:r>
        <w:rPr>
          <w:lang w:eastAsia="ja-JP"/>
        </w:rPr>
        <w:t>されない。 この場合、既存のレベル</w:t>
      </w:r>
      <w:r w:rsidR="00720D67">
        <w:rPr>
          <w:rFonts w:hint="eastAsia"/>
          <w:lang w:eastAsia="ja-JP"/>
        </w:rPr>
        <w:t>が</w:t>
      </w:r>
      <w:r>
        <w:rPr>
          <w:lang w:eastAsia="ja-JP"/>
        </w:rPr>
        <w:t>維持され</w:t>
      </w:r>
      <w:r w:rsidR="00720D67">
        <w:rPr>
          <w:rFonts w:hint="eastAsia"/>
          <w:lang w:eastAsia="ja-JP"/>
        </w:rPr>
        <w:t>ればよい</w:t>
      </w:r>
      <w:r>
        <w:rPr>
          <w:lang w:eastAsia="ja-JP"/>
        </w:rPr>
        <w:t>。</w:t>
      </w:r>
    </w:p>
    <w:p w14:paraId="49F83C56" w14:textId="77777777" w:rsidR="00410BDF" w:rsidRDefault="00410BDF">
      <w:pPr>
        <w:pStyle w:val="a3"/>
        <w:rPr>
          <w:sz w:val="22"/>
          <w:lang w:eastAsia="ja-JP"/>
        </w:rPr>
      </w:pPr>
    </w:p>
    <w:p w14:paraId="532F9884" w14:textId="77777777" w:rsidR="00410BDF" w:rsidRDefault="00CF7372">
      <w:pPr>
        <w:pStyle w:val="2"/>
        <w:numPr>
          <w:ilvl w:val="0"/>
          <w:numId w:val="16"/>
        </w:numPr>
        <w:tabs>
          <w:tab w:val="left" w:pos="2660"/>
        </w:tabs>
        <w:spacing w:before="173" w:line="271" w:lineRule="auto"/>
        <w:ind w:right="614"/>
        <w:rPr>
          <w:sz w:val="13"/>
          <w:lang w:eastAsia="ja-JP"/>
        </w:rPr>
      </w:pPr>
      <w:r>
        <w:rPr>
          <w:lang w:eastAsia="ja-JP"/>
        </w:rPr>
        <w:t>生産は、2008年1月以降に以下のいずれかの地位を有し、もはやその地位を有していない土地では行われない。</w:t>
      </w:r>
    </w:p>
    <w:p w14:paraId="63FAE1A8" w14:textId="77777777" w:rsidR="00410BDF" w:rsidRDefault="00410BDF">
      <w:pPr>
        <w:pStyle w:val="a3"/>
        <w:spacing w:before="3"/>
        <w:rPr>
          <w:b/>
          <w:sz w:val="23"/>
          <w:lang w:eastAsia="ja-JP"/>
        </w:rPr>
      </w:pPr>
    </w:p>
    <w:p w14:paraId="2AAFE4D7" w14:textId="77777777" w:rsidR="00410BDF" w:rsidRDefault="00CF7372">
      <w:pPr>
        <w:pStyle w:val="a4"/>
        <w:numPr>
          <w:ilvl w:val="0"/>
          <w:numId w:val="15"/>
        </w:numPr>
        <w:tabs>
          <w:tab w:val="left" w:pos="3020"/>
        </w:tabs>
        <w:spacing w:before="1" w:line="276" w:lineRule="auto"/>
        <w:ind w:right="839"/>
        <w:rPr>
          <w:sz w:val="20"/>
          <w:lang w:eastAsia="ja-JP"/>
        </w:rPr>
      </w:pPr>
      <w:r>
        <w:rPr>
          <w:sz w:val="20"/>
          <w:lang w:eastAsia="ja-JP"/>
        </w:rPr>
        <w:t>湿地、すなわち、水で覆われているか、または恒久的に水によって飽和されている土地、または年間のかなりの部分を占める土地</w:t>
      </w:r>
    </w:p>
    <w:p w14:paraId="38EADAC8" w14:textId="77777777" w:rsidR="00410BDF" w:rsidRDefault="00CF7372">
      <w:pPr>
        <w:pStyle w:val="a4"/>
        <w:numPr>
          <w:ilvl w:val="0"/>
          <w:numId w:val="15"/>
        </w:numPr>
        <w:tabs>
          <w:tab w:val="left" w:pos="3020"/>
        </w:tabs>
        <w:spacing w:before="1" w:line="276" w:lineRule="auto"/>
        <w:ind w:right="364"/>
        <w:rPr>
          <w:sz w:val="20"/>
          <w:lang w:eastAsia="ja-JP"/>
        </w:rPr>
      </w:pPr>
      <w:r>
        <w:rPr>
          <w:sz w:val="20"/>
          <w:lang w:eastAsia="ja-JP"/>
        </w:rPr>
        <w:t>連続的に森林化されている地域、すなわち、5mを超える樹木と30%を超える樹冠のある1ヘクタールを超える土地、または現場でこれらの閾値に達することができる樹木。</w:t>
      </w:r>
    </w:p>
    <w:p w14:paraId="24D7F9DC" w14:textId="7C405F58" w:rsidR="00410BDF" w:rsidRDefault="00CF7372">
      <w:pPr>
        <w:pStyle w:val="a4"/>
        <w:numPr>
          <w:ilvl w:val="0"/>
          <w:numId w:val="15"/>
        </w:numPr>
        <w:tabs>
          <w:tab w:val="left" w:pos="3020"/>
        </w:tabs>
        <w:spacing w:line="276" w:lineRule="auto"/>
        <w:ind w:right="263"/>
        <w:rPr>
          <w:sz w:val="13"/>
          <w:lang w:eastAsia="ja-JP"/>
        </w:rPr>
      </w:pPr>
      <w:r>
        <w:rPr>
          <w:sz w:val="20"/>
          <w:lang w:eastAsia="ja-JP"/>
        </w:rPr>
        <w:t>二ヘクタールを超える土地であって、五メートルを超える樹木及び一〇パーセントから三〇パーセントまでの樹冠被覆を有するもの又はその敷地内においてこれらの閾値に達することができる樹木</w:t>
      </w:r>
      <w:r w:rsidR="00F42407">
        <w:rPr>
          <w:rFonts w:hint="eastAsia"/>
          <w:sz w:val="20"/>
          <w:lang w:eastAsia="ja-JP"/>
        </w:rPr>
        <w:t>157</w:t>
      </w:r>
    </w:p>
    <w:p w14:paraId="0C99202D" w14:textId="77777777" w:rsidR="00410BDF" w:rsidRDefault="00CF7372">
      <w:pPr>
        <w:pStyle w:val="a4"/>
        <w:numPr>
          <w:ilvl w:val="0"/>
          <w:numId w:val="15"/>
        </w:numPr>
        <w:tabs>
          <w:tab w:val="left" w:pos="3020"/>
        </w:tabs>
        <w:spacing w:line="276" w:lineRule="auto"/>
        <w:ind w:right="371"/>
        <w:rPr>
          <w:sz w:val="20"/>
          <w:lang w:eastAsia="ja-JP"/>
        </w:rPr>
      </w:pPr>
      <w:r>
        <w:rPr>
          <w:sz w:val="20"/>
          <w:lang w:eastAsia="ja-JP"/>
        </w:rPr>
        <w:t>ピートランド。ただし、その原料の耕作及び収穫が、これまで雨が降っていない土壌の排水を伴わないことを示す証拠がある場合はこの限りではない。</w:t>
      </w:r>
    </w:p>
    <w:p w14:paraId="69741B1D" w14:textId="77777777" w:rsidR="00410BDF" w:rsidRDefault="00410BDF">
      <w:pPr>
        <w:pStyle w:val="a3"/>
        <w:rPr>
          <w:sz w:val="22"/>
          <w:lang w:eastAsia="ja-JP"/>
        </w:rPr>
      </w:pPr>
    </w:p>
    <w:p w14:paraId="26410D4A" w14:textId="77777777" w:rsidR="00410BDF" w:rsidRDefault="00CF7372">
      <w:pPr>
        <w:pStyle w:val="2"/>
        <w:spacing w:before="170"/>
        <w:ind w:left="2298"/>
        <w:rPr>
          <w:lang w:eastAsia="ja-JP"/>
        </w:rPr>
      </w:pPr>
      <w:r>
        <w:rPr>
          <w:lang w:eastAsia="ja-JP"/>
        </w:rPr>
        <w:t>方法論上の注意:</w:t>
      </w:r>
    </w:p>
    <w:p w14:paraId="28A79CFC" w14:textId="77777777" w:rsidR="00410BDF" w:rsidRDefault="00CF7372">
      <w:pPr>
        <w:pStyle w:val="a3"/>
        <w:spacing w:before="116"/>
        <w:ind w:left="2298"/>
        <w:rPr>
          <w:lang w:eastAsia="ja-JP"/>
        </w:rPr>
      </w:pPr>
      <w:r>
        <w:rPr>
          <w:lang w:eastAsia="ja-JP"/>
        </w:rPr>
        <w:t>本質的な管理慣行に準拠していることを示す者については、次のとおりとする。</w:t>
      </w:r>
    </w:p>
    <w:p w14:paraId="413E45DD" w14:textId="77777777" w:rsidR="00410BDF" w:rsidRDefault="00CF7372">
      <w:pPr>
        <w:pStyle w:val="a4"/>
        <w:numPr>
          <w:ilvl w:val="1"/>
          <w:numId w:val="16"/>
        </w:numPr>
        <w:tabs>
          <w:tab w:val="left" w:pos="3019"/>
          <w:tab w:val="left" w:pos="3020"/>
        </w:tabs>
        <w:spacing w:before="113" w:line="264" w:lineRule="auto"/>
        <w:ind w:right="258"/>
        <w:rPr>
          <w:sz w:val="20"/>
          <w:lang w:eastAsia="ja-JP"/>
        </w:rPr>
      </w:pPr>
      <w:r>
        <w:rPr>
          <w:sz w:val="20"/>
          <w:lang w:eastAsia="ja-JP"/>
        </w:rPr>
        <w:t>基本的な管理方法を下表に示す。 特に必要な場合を除き、すべての必須業務を展開する必要がある。</w:t>
      </w:r>
    </w:p>
    <w:p w14:paraId="0D0B12B8" w14:textId="77777777" w:rsidR="00410BDF" w:rsidRDefault="00410BDF">
      <w:pPr>
        <w:pStyle w:val="a3"/>
        <w:rPr>
          <w:lang w:eastAsia="ja-JP"/>
        </w:rPr>
      </w:pPr>
    </w:p>
    <w:p w14:paraId="7CD9D1BD" w14:textId="77777777" w:rsidR="00410BDF" w:rsidRDefault="00410BDF">
      <w:pPr>
        <w:pStyle w:val="a3"/>
        <w:rPr>
          <w:lang w:eastAsia="ja-JP"/>
        </w:rPr>
      </w:pPr>
    </w:p>
    <w:p w14:paraId="4B504901" w14:textId="77777777" w:rsidR="00410BDF" w:rsidRDefault="00410BDF">
      <w:pPr>
        <w:pStyle w:val="a3"/>
        <w:rPr>
          <w:lang w:eastAsia="ja-JP"/>
        </w:rPr>
      </w:pPr>
    </w:p>
    <w:p w14:paraId="620D8341" w14:textId="77777777" w:rsidR="00410BDF" w:rsidRDefault="00196192">
      <w:pPr>
        <w:pStyle w:val="a3"/>
        <w:spacing w:before="3"/>
        <w:rPr>
          <w:sz w:val="10"/>
          <w:lang w:eastAsia="ja-JP"/>
        </w:rPr>
      </w:pPr>
      <w:r>
        <w:rPr>
          <w:noProof/>
          <w:lang w:val="en-US" w:eastAsia="ja-JP"/>
        </w:rPr>
        <mc:AlternateContent>
          <mc:Choice Requires="wps">
            <w:drawing>
              <wp:anchor distT="0" distB="0" distL="0" distR="0" simplePos="0" relativeHeight="251670016" behindDoc="1" locked="0" layoutInCell="1" allowOverlap="1" wp14:anchorId="211CE61F" wp14:editId="6CB4EE27">
                <wp:simplePos x="0" y="0"/>
                <wp:positionH relativeFrom="page">
                  <wp:posOffset>914400</wp:posOffset>
                </wp:positionH>
                <wp:positionV relativeFrom="paragraph">
                  <wp:posOffset>103505</wp:posOffset>
                </wp:positionV>
                <wp:extent cx="1829435" cy="0"/>
                <wp:effectExtent l="9525" t="10160" r="8890" b="8890"/>
                <wp:wrapTopAndBottom/>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77580" id="Line 49" o:spid="_x0000_s1026" style="position:absolute;left:0;text-align:lef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21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ns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" strokeweight=".48pt">
                <w10:wrap type="topAndBottom" anchorx="page"/>
              </v:line>
            </w:pict>
          </mc:Fallback>
        </mc:AlternateContent>
      </w:r>
    </w:p>
    <w:p w14:paraId="3B7130ED" w14:textId="77777777" w:rsidR="00410BDF" w:rsidRDefault="00410BDF">
      <w:pPr>
        <w:pStyle w:val="a3"/>
        <w:spacing w:before="10"/>
        <w:rPr>
          <w:sz w:val="16"/>
          <w:lang w:eastAsia="ja-JP"/>
        </w:rPr>
      </w:pPr>
    </w:p>
    <w:p w14:paraId="006EC58D" w14:textId="77777777" w:rsidR="00410BDF" w:rsidRDefault="00CF7372">
      <w:pPr>
        <w:spacing w:before="98"/>
        <w:ind w:left="100" w:right="219"/>
        <w:rPr>
          <w:sz w:val="16"/>
          <w:lang w:eastAsia="ja-JP"/>
        </w:rPr>
      </w:pPr>
      <w:r>
        <w:rPr>
          <w:position w:val="6"/>
          <w:sz w:val="10"/>
          <w:lang w:eastAsia="ja-JP"/>
        </w:rPr>
        <w:t>156 この要件はRED II、第29条4項および5項から引用される。</w:t>
      </w:r>
      <w:r>
        <w:rPr>
          <w:sz w:val="16"/>
          <w:lang w:eastAsia="ja-JP"/>
        </w:rPr>
        <w:t xml:space="preserve"> これは、バイオ燃料、バイオ液体またはバイオマス、あるいは食料または飼料用に関わらず、すべての多年生作物生産に適用される。 その意図は、RED IIに従ったものである。すなわち、高い炭素貯蔵地が農業生産の目的のために転換されないことを保証することである。</w:t>
      </w:r>
    </w:p>
    <w:p w14:paraId="349D5058" w14:textId="77777777" w:rsidR="00410BDF" w:rsidRDefault="00410BDF">
      <w:pPr>
        <w:pStyle w:val="a3"/>
        <w:spacing w:before="6"/>
        <w:rPr>
          <w:lang w:eastAsia="ja-JP"/>
        </w:rPr>
      </w:pPr>
    </w:p>
    <w:p w14:paraId="12201A90" w14:textId="77777777" w:rsidR="00410BDF" w:rsidRDefault="00CF7372">
      <w:pPr>
        <w:ind w:left="100" w:right="211"/>
        <w:rPr>
          <w:sz w:val="16"/>
          <w:lang w:eastAsia="ja-JP"/>
        </w:rPr>
      </w:pPr>
      <w:r>
        <w:rPr>
          <w:position w:val="6"/>
          <w:sz w:val="10"/>
          <w:lang w:eastAsia="ja-JP"/>
        </w:rPr>
        <w:t>変換前後の面積の炭素貯蔵がRED II附属書VのパートCの方法論が適用される場合には、RED IIの第29条第10項に規定された条件が満たされることを示す証拠がない限り、157。</w:t>
      </w:r>
    </w:p>
    <w:p w14:paraId="74A7B614" w14:textId="77777777" w:rsidR="00410BDF" w:rsidRDefault="00410BDF">
      <w:pPr>
        <w:rPr>
          <w:sz w:val="16"/>
          <w:lang w:eastAsia="ja-JP"/>
        </w:rPr>
        <w:sectPr w:rsidR="00410BDF">
          <w:pgSz w:w="12240" w:h="15840"/>
          <w:pgMar w:top="1440" w:right="1320" w:bottom="1640" w:left="1340" w:header="0" w:footer="1372" w:gutter="0"/>
          <w:cols w:space="720"/>
        </w:sectPr>
      </w:pPr>
    </w:p>
    <w:p w14:paraId="61010274" w14:textId="77777777" w:rsidR="00410BDF" w:rsidRDefault="00196192">
      <w:pPr>
        <w:pStyle w:val="a3"/>
        <w:spacing w:before="69" w:line="276" w:lineRule="auto"/>
        <w:ind w:left="3019"/>
        <w:rPr>
          <w:lang w:eastAsia="ja-JP"/>
        </w:rPr>
      </w:pPr>
      <w:r>
        <w:rPr>
          <w:noProof/>
          <w:lang w:val="en-US" w:eastAsia="ja-JP"/>
        </w:rPr>
        <w:lastRenderedPageBreak/>
        <mc:AlternateContent>
          <mc:Choice Requires="wpg">
            <w:drawing>
              <wp:anchor distT="0" distB="0" distL="114300" distR="114300" simplePos="0" relativeHeight="251649536" behindDoc="1" locked="0" layoutInCell="1" allowOverlap="1" wp14:anchorId="74214587" wp14:editId="3B753385">
                <wp:simplePos x="0" y="0"/>
                <wp:positionH relativeFrom="page">
                  <wp:posOffset>914400</wp:posOffset>
                </wp:positionH>
                <wp:positionV relativeFrom="page">
                  <wp:posOffset>914400</wp:posOffset>
                </wp:positionV>
                <wp:extent cx="5944870" cy="7990205"/>
                <wp:effectExtent l="9525" t="9525" r="8255" b="10795"/>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990205"/>
                          <a:chOff x="1440" y="1440"/>
                          <a:chExt cx="9362" cy="12583"/>
                        </a:xfrm>
                      </wpg:grpSpPr>
                      <wps:wsp>
                        <wps:cNvPr id="45" name="Line 48"/>
                        <wps:cNvCnPr>
                          <a:cxnSpLocks noChangeShapeType="1"/>
                        </wps:cNvCnPr>
                        <wps:spPr bwMode="auto">
                          <a:xfrm>
                            <a:off x="1450" y="1445"/>
                            <a:ext cx="2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3536" y="1445"/>
                            <a:ext cx="7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1445" y="1440"/>
                            <a:ext cx="0" cy="125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45"/>
                        <wps:cNvSpPr>
                          <a:spLocks noChangeArrowheads="1"/>
                        </wps:cNvSpPr>
                        <wps:spPr bwMode="auto">
                          <a:xfrm>
                            <a:off x="1440" y="140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4"/>
                        <wps:cNvCnPr>
                          <a:cxnSpLocks noChangeShapeType="1"/>
                        </wps:cNvCnPr>
                        <wps:spPr bwMode="auto">
                          <a:xfrm>
                            <a:off x="1450" y="14018"/>
                            <a:ext cx="2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3531" y="1440"/>
                            <a:ext cx="0" cy="125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42"/>
                        <wps:cNvSpPr>
                          <a:spLocks noChangeArrowheads="1"/>
                        </wps:cNvSpPr>
                        <wps:spPr bwMode="auto">
                          <a:xfrm>
                            <a:off x="3526" y="140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1"/>
                        <wps:cNvCnPr>
                          <a:cxnSpLocks noChangeShapeType="1"/>
                        </wps:cNvCnPr>
                        <wps:spPr bwMode="auto">
                          <a:xfrm>
                            <a:off x="3536" y="14018"/>
                            <a:ext cx="7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0"/>
                        <wps:cNvCnPr>
                          <a:cxnSpLocks noChangeShapeType="1"/>
                        </wps:cNvCnPr>
                        <wps:spPr bwMode="auto">
                          <a:xfrm>
                            <a:off x="10797" y="1440"/>
                            <a:ext cx="0" cy="125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39"/>
                        <wps:cNvSpPr>
                          <a:spLocks noChangeArrowheads="1"/>
                        </wps:cNvSpPr>
                        <wps:spPr bwMode="auto">
                          <a:xfrm>
                            <a:off x="10792" y="140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0A03C" id="Group 38" o:spid="_x0000_s1026" style="position:absolute;left:0;text-align:left;margin-left:1in;margin-top:1in;width:468.1pt;height:629.15pt;z-index:-251666944;mso-position-horizontal-relative:page;mso-position-vertical-relative:page" coordorigin="1440,1440" coordsize="9362,1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">
                <v:line id="Line 48" o:spid="_x0000_s1027" style="position:absolute;visibility:visible;mso-wrap-style:square" from="1450,1445" to="3526,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7" o:spid="_x0000_s1028" style="position:absolute;visibility:visible;mso-wrap-style:square" from="3536,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6" o:spid="_x0000_s1029" style="position:absolute;visibility:visible;mso-wrap-style:square" from="1445,1440" to="1445,1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rect id="Rectangle 45" o:spid="_x0000_s1030" style="position:absolute;left:1440;top:140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44" o:spid="_x0000_s1031" style="position:absolute;visibility:visible;mso-wrap-style:square" from="1450,14018" to="3526,1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43" o:spid="_x0000_s1032" style="position:absolute;visibility:visible;mso-wrap-style:square" from="3531,1440" to="3531,1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rect id="Rectangle 42" o:spid="_x0000_s1033" style="position:absolute;left:3526;top:140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41" o:spid="_x0000_s1034" style="position:absolute;visibility:visible;mso-wrap-style:square" from="3536,14018" to="10792,1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40" o:spid="_x0000_s1035" style="position:absolute;visibility:visible;mso-wrap-style:square" from="10797,1440" to="10797,1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rect id="Rectangle 39" o:spid="_x0000_s1036" style="position:absolute;left:10792;top:140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wrap anchorx="page" anchory="page"/>
              </v:group>
            </w:pict>
          </mc:Fallback>
        </mc:AlternateContent>
      </w:r>
      <w:r w:rsidR="00CF7372">
        <w:rPr>
          <w:lang w:eastAsia="ja-JP"/>
        </w:rPr>
        <w:t>その農場での特定の生物物理学的条件を考慮すると、その農場には適用できないことが実証されている。</w:t>
      </w:r>
    </w:p>
    <w:p w14:paraId="7EC814FF" w14:textId="77777777" w:rsidR="00410BDF" w:rsidRDefault="00CF7372">
      <w:pPr>
        <w:pStyle w:val="a4"/>
        <w:numPr>
          <w:ilvl w:val="1"/>
          <w:numId w:val="16"/>
        </w:numPr>
        <w:tabs>
          <w:tab w:val="left" w:pos="3019"/>
          <w:tab w:val="left" w:pos="3020"/>
        </w:tabs>
        <w:spacing w:before="81" w:line="273" w:lineRule="auto"/>
        <w:ind w:right="263"/>
        <w:rPr>
          <w:sz w:val="20"/>
          <w:lang w:eastAsia="ja-JP"/>
        </w:rPr>
      </w:pPr>
      <w:r>
        <w:rPr>
          <w:sz w:val="20"/>
          <w:lang w:eastAsia="ja-JP"/>
        </w:rPr>
        <w:t>GHG評価に関連する本質的な実践に関しては、この評価は、エネルギーと燃料の使用に関連する排出だけでなく、生産に関連する農場でのすべての関連する排出をカバーするツールを用いて行われるべきである(関連するGHGカテゴリーについては下記を参照)。 ある場所の農業者が(言語や農業助言支援へのアクセスの欠如のために)炭素評価ツールを現在利用できないことが実証できれば、この慣行は第一に省略することができる。 ただし、評価は5年以内に必須となる。 評価は、適切なツールを用いた自己評価であり、GHG評価の独立した監査や検証は必要ない。</w:t>
      </w:r>
    </w:p>
    <w:p w14:paraId="5CDA7A50" w14:textId="77777777" w:rsidR="00410BDF" w:rsidRDefault="00CF7372">
      <w:pPr>
        <w:pStyle w:val="a4"/>
        <w:numPr>
          <w:ilvl w:val="1"/>
          <w:numId w:val="16"/>
        </w:numPr>
        <w:tabs>
          <w:tab w:val="left" w:pos="3019"/>
          <w:tab w:val="left" w:pos="3020"/>
        </w:tabs>
        <w:spacing w:before="93" w:line="273" w:lineRule="auto"/>
        <w:ind w:right="378"/>
        <w:rPr>
          <w:sz w:val="20"/>
          <w:lang w:eastAsia="ja-JP"/>
        </w:rPr>
      </w:pPr>
      <w:r>
        <w:rPr>
          <w:sz w:val="20"/>
          <w:lang w:eastAsia="ja-JP"/>
        </w:rPr>
        <w:t>他のすべての必須慣行の遵守を実証するために、作物栽培の必要性、農場のペド気候条件、および農場でのそれらのカバレッジを考慮に入れた、展開されている管理慣行を記述した農業持続可能性管理計画を確立する必要がある。 農場の持続可能性管理計画を作成するために、炭素計算器を使用するか、または他の栄養素決定支援ツールを用いて計画を作成することもできる。</w:t>
      </w:r>
    </w:p>
    <w:p w14:paraId="44933CAF" w14:textId="77777777" w:rsidR="00410BDF" w:rsidRDefault="00CF7372">
      <w:pPr>
        <w:pStyle w:val="a4"/>
        <w:numPr>
          <w:ilvl w:val="1"/>
          <w:numId w:val="16"/>
        </w:numPr>
        <w:tabs>
          <w:tab w:val="left" w:pos="3019"/>
          <w:tab w:val="left" w:pos="3020"/>
        </w:tabs>
        <w:spacing w:before="83"/>
        <w:rPr>
          <w:sz w:val="20"/>
          <w:lang w:eastAsia="ja-JP"/>
        </w:rPr>
      </w:pPr>
      <w:r>
        <w:rPr>
          <w:sz w:val="20"/>
          <w:lang w:eastAsia="ja-JP"/>
        </w:rPr>
        <w:t>GHG閾値の遵守を実証する者については:</w:t>
      </w:r>
    </w:p>
    <w:p w14:paraId="5F8BD572" w14:textId="77777777" w:rsidR="00410BDF" w:rsidRDefault="00CF7372">
      <w:pPr>
        <w:pStyle w:val="a4"/>
        <w:numPr>
          <w:ilvl w:val="1"/>
          <w:numId w:val="16"/>
        </w:numPr>
        <w:tabs>
          <w:tab w:val="left" w:pos="3019"/>
          <w:tab w:val="left" w:pos="3020"/>
        </w:tabs>
        <w:spacing w:before="101" w:line="273" w:lineRule="auto"/>
        <w:ind w:right="294"/>
        <w:rPr>
          <w:sz w:val="20"/>
          <w:lang w:eastAsia="ja-JP"/>
        </w:rPr>
      </w:pPr>
      <w:r>
        <w:rPr>
          <w:sz w:val="20"/>
          <w:lang w:eastAsia="ja-JP"/>
        </w:rPr>
        <w:t>量的GHG閾値の遵守を実証するためには、農場の炭素ストックとGHG排出量ベースラインを確立する必要がある(関連するGHGカテゴリーについては下記を参照)。 このようなベースラインデータに照らして、炭素増加の排出削減量を測定することができる。 炭素監査は、行動が必要な場所を評価するためにも必要であり、これには、GHG排出削減/炭素隔離をもたらす管理手法を規定する炭素管理計画を伴わなければならない。 この炭素管理計画は、より広範な農業の持続可能性計画の一部である。</w:t>
      </w:r>
    </w:p>
    <w:p w14:paraId="12886862" w14:textId="77777777" w:rsidR="00410BDF" w:rsidRDefault="00CF7372">
      <w:pPr>
        <w:pStyle w:val="a4"/>
        <w:numPr>
          <w:ilvl w:val="1"/>
          <w:numId w:val="16"/>
        </w:numPr>
        <w:tabs>
          <w:tab w:val="left" w:pos="3019"/>
          <w:tab w:val="left" w:pos="3020"/>
        </w:tabs>
        <w:spacing w:before="90" w:line="273" w:lineRule="auto"/>
        <w:ind w:right="242"/>
        <w:rPr>
          <w:sz w:val="20"/>
          <w:lang w:eastAsia="ja-JP"/>
        </w:rPr>
      </w:pPr>
      <w:r>
        <w:rPr>
          <w:sz w:val="20"/>
          <w:lang w:eastAsia="ja-JP"/>
        </w:rPr>
        <w:t>資金が供与されている作物生産の(残りの)ライフサイクルが20年未満である場合、炭素貯蔵が20年間にわたって漸進的に増加するという要件に幅広く準拠していることを示すためには、炭素隔離傾向の永続性を促進するために、可能性の高い作物の再植に対する保証が求められるべきである。 古い作物を根絶し、新しい若い段階の作物を休耕期間/回復期間の可能性のあるものに置き換えることは、炭素貯蔵の削減と一部の排出をもたらすことが認識されている。 このことを念頭に置いて、炭素貯蔵の全体的な維持および/または固定の増加傾向が、複数のローテーションにわたって追求されることを確実にすることが目的である。</w:t>
      </w:r>
    </w:p>
    <w:p w14:paraId="161935A5" w14:textId="77777777" w:rsidR="00410BDF" w:rsidRDefault="00CF7372">
      <w:pPr>
        <w:pStyle w:val="a4"/>
        <w:numPr>
          <w:ilvl w:val="1"/>
          <w:numId w:val="16"/>
        </w:numPr>
        <w:tabs>
          <w:tab w:val="left" w:pos="3019"/>
          <w:tab w:val="left" w:pos="3020"/>
        </w:tabs>
        <w:spacing w:before="89"/>
        <w:rPr>
          <w:sz w:val="20"/>
          <w:lang w:eastAsia="ja-JP"/>
        </w:rPr>
      </w:pPr>
      <w:r>
        <w:rPr>
          <w:sz w:val="20"/>
          <w:lang w:eastAsia="ja-JP"/>
        </w:rPr>
        <w:t>すべてのユーザーについて:</w:t>
      </w:r>
    </w:p>
    <w:p w14:paraId="602BBDB3" w14:textId="77777777" w:rsidR="00410BDF" w:rsidRDefault="00CF7372">
      <w:pPr>
        <w:pStyle w:val="a4"/>
        <w:numPr>
          <w:ilvl w:val="1"/>
          <w:numId w:val="16"/>
        </w:numPr>
        <w:tabs>
          <w:tab w:val="left" w:pos="3019"/>
          <w:tab w:val="left" w:pos="3020"/>
        </w:tabs>
        <w:spacing w:before="104" w:line="271" w:lineRule="auto"/>
        <w:ind w:right="308"/>
        <w:rPr>
          <w:sz w:val="20"/>
          <w:lang w:eastAsia="ja-JP"/>
        </w:rPr>
      </w:pPr>
      <w:r>
        <w:rPr>
          <w:sz w:val="20"/>
          <w:lang w:eastAsia="ja-JP"/>
        </w:rPr>
        <w:t>炭素貯蔵量とGHG排出レベルの算定には、以下のものを含めるべきであるが、実際には、算定されるGHGの範囲は、使用されるGHG算定ツールの技術的能力の対象となることが認識されている。</w:t>
      </w:r>
    </w:p>
    <w:p w14:paraId="0919762A" w14:textId="77777777" w:rsidR="00410BDF" w:rsidRDefault="00410BDF">
      <w:pPr>
        <w:spacing w:line="271" w:lineRule="auto"/>
        <w:rPr>
          <w:sz w:val="20"/>
          <w:lang w:eastAsia="ja-JP"/>
        </w:rPr>
        <w:sectPr w:rsidR="00410BDF">
          <w:pgSz w:w="12240" w:h="15840"/>
          <w:pgMar w:top="138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67"/>
        <w:gridCol w:w="207"/>
        <w:gridCol w:w="4754"/>
        <w:gridCol w:w="673"/>
        <w:gridCol w:w="746"/>
        <w:gridCol w:w="985"/>
        <w:gridCol w:w="114"/>
      </w:tblGrid>
      <w:tr w:rsidR="00410BDF" w14:paraId="0E9052FB" w14:textId="77777777">
        <w:trPr>
          <w:trHeight w:val="4613"/>
        </w:trPr>
        <w:tc>
          <w:tcPr>
            <w:tcW w:w="2087" w:type="dxa"/>
            <w:gridSpan w:val="3"/>
            <w:tcBorders>
              <w:bottom w:val="single" w:sz="8" w:space="0" w:color="000000"/>
            </w:tcBorders>
          </w:tcPr>
          <w:p w14:paraId="30D6DF95" w14:textId="77777777" w:rsidR="00410BDF" w:rsidRDefault="00410BDF">
            <w:pPr>
              <w:pStyle w:val="TableParagraph"/>
              <w:rPr>
                <w:rFonts w:ascii="Times New Roman"/>
                <w:sz w:val="18"/>
                <w:lang w:eastAsia="ja-JP"/>
              </w:rPr>
            </w:pPr>
          </w:p>
        </w:tc>
        <w:tc>
          <w:tcPr>
            <w:tcW w:w="7272" w:type="dxa"/>
            <w:gridSpan w:val="5"/>
            <w:tcBorders>
              <w:bottom w:val="single" w:sz="8" w:space="0" w:color="000000"/>
            </w:tcBorders>
          </w:tcPr>
          <w:p w14:paraId="3E4C250E" w14:textId="77777777" w:rsidR="00410BDF" w:rsidRDefault="00CF7372">
            <w:pPr>
              <w:pStyle w:val="TableParagraph"/>
              <w:numPr>
                <w:ilvl w:val="0"/>
                <w:numId w:val="14"/>
              </w:numPr>
              <w:tabs>
                <w:tab w:val="left" w:pos="1546"/>
                <w:tab w:val="left" w:pos="1547"/>
              </w:tabs>
              <w:spacing w:line="247" w:lineRule="exact"/>
              <w:rPr>
                <w:sz w:val="20"/>
                <w:lang w:eastAsia="ja-JP"/>
              </w:rPr>
            </w:pPr>
            <w:r>
              <w:rPr>
                <w:sz w:val="20"/>
                <w:lang w:eastAsia="ja-JP"/>
              </w:rPr>
              <w:t>地上バイオマスのCO2排出量と吸収量</w:t>
            </w:r>
          </w:p>
          <w:p w14:paraId="0A366055" w14:textId="77777777" w:rsidR="00410BDF" w:rsidRDefault="00CF7372">
            <w:pPr>
              <w:pStyle w:val="TableParagraph"/>
              <w:numPr>
                <w:ilvl w:val="0"/>
                <w:numId w:val="14"/>
              </w:numPr>
              <w:tabs>
                <w:tab w:val="left" w:pos="1546"/>
                <w:tab w:val="left" w:pos="1547"/>
              </w:tabs>
              <w:spacing w:before="98" w:line="256" w:lineRule="auto"/>
              <w:ind w:right="448"/>
              <w:rPr>
                <w:sz w:val="20"/>
                <w:lang w:eastAsia="ja-JP"/>
              </w:rPr>
            </w:pPr>
            <w:r>
              <w:rPr>
                <w:sz w:val="20"/>
                <w:lang w:eastAsia="ja-JP"/>
              </w:rPr>
              <w:t>地下バイオマスと土壌中のCO2排出量と除去量</w:t>
            </w:r>
          </w:p>
          <w:p w14:paraId="631A52FA" w14:textId="77777777" w:rsidR="00410BDF" w:rsidRDefault="00CF7372">
            <w:pPr>
              <w:pStyle w:val="TableParagraph"/>
              <w:numPr>
                <w:ilvl w:val="0"/>
                <w:numId w:val="14"/>
              </w:numPr>
              <w:tabs>
                <w:tab w:val="left" w:pos="1546"/>
                <w:tab w:val="left" w:pos="1547"/>
              </w:tabs>
              <w:spacing w:before="97" w:line="259" w:lineRule="auto"/>
              <w:ind w:right="115"/>
              <w:rPr>
                <w:sz w:val="20"/>
                <w:lang w:eastAsia="ja-JP"/>
              </w:rPr>
            </w:pPr>
            <w:r>
              <w:rPr>
                <w:sz w:val="20"/>
                <w:lang w:eastAsia="ja-JP"/>
              </w:rPr>
              <w:t>暴露された土壌、肥料施用、肥料生産および肥料施用に埋め込まれた土壌からのN2O排出</w:t>
            </w:r>
          </w:p>
          <w:p w14:paraId="03EE2035" w14:textId="77777777" w:rsidR="00410BDF" w:rsidRDefault="00CF7372">
            <w:pPr>
              <w:pStyle w:val="TableParagraph"/>
              <w:numPr>
                <w:ilvl w:val="0"/>
                <w:numId w:val="14"/>
              </w:numPr>
              <w:tabs>
                <w:tab w:val="left" w:pos="1546"/>
                <w:tab w:val="left" w:pos="1547"/>
              </w:tabs>
              <w:spacing w:before="96" w:line="256" w:lineRule="auto"/>
              <w:ind w:right="814"/>
              <w:rPr>
                <w:sz w:val="20"/>
                <w:lang w:eastAsia="ja-JP"/>
              </w:rPr>
            </w:pPr>
            <w:r>
              <w:rPr>
                <w:sz w:val="20"/>
                <w:lang w:eastAsia="ja-JP"/>
              </w:rPr>
              <w:t>家畜(腸内発酵および肥料管理)および一部の土壌(湿地など)からのメタン排出量</w:t>
            </w:r>
          </w:p>
          <w:p w14:paraId="61564D7F" w14:textId="77777777" w:rsidR="00410BDF" w:rsidRDefault="00CF7372">
            <w:pPr>
              <w:pStyle w:val="TableParagraph"/>
              <w:numPr>
                <w:ilvl w:val="0"/>
                <w:numId w:val="14"/>
              </w:numPr>
              <w:tabs>
                <w:tab w:val="left" w:pos="1546"/>
                <w:tab w:val="left" w:pos="1547"/>
              </w:tabs>
              <w:spacing w:before="99"/>
              <w:rPr>
                <w:sz w:val="20"/>
                <w:lang w:eastAsia="ja-JP"/>
              </w:rPr>
            </w:pPr>
            <w:r>
              <w:rPr>
                <w:sz w:val="20"/>
                <w:lang w:eastAsia="ja-JP"/>
              </w:rPr>
              <w:t>燃料・電力使用によるCO2排出量</w:t>
            </w:r>
          </w:p>
          <w:p w14:paraId="46E7DC79" w14:textId="77777777" w:rsidR="00410BDF" w:rsidRDefault="00CF7372">
            <w:pPr>
              <w:pStyle w:val="TableParagraph"/>
              <w:numPr>
                <w:ilvl w:val="0"/>
                <w:numId w:val="13"/>
              </w:numPr>
              <w:tabs>
                <w:tab w:val="left" w:pos="826"/>
                <w:tab w:val="left" w:pos="827"/>
              </w:tabs>
              <w:spacing w:before="95" w:line="264" w:lineRule="auto"/>
              <w:ind w:right="219"/>
              <w:rPr>
                <w:sz w:val="20"/>
                <w:lang w:eastAsia="ja-JP"/>
              </w:rPr>
            </w:pPr>
            <w:r>
              <w:rPr>
                <w:sz w:val="20"/>
                <w:lang w:eastAsia="ja-JP"/>
              </w:rPr>
              <w:t>排出、吸収、管理慣行はすべて、これらの要件の継続的な遵守を確認するために、3年間隔で監査される。</w:t>
            </w:r>
          </w:p>
          <w:p w14:paraId="4801F7E8" w14:textId="77777777" w:rsidR="00410BDF" w:rsidRDefault="00CF7372">
            <w:pPr>
              <w:pStyle w:val="TableParagraph"/>
              <w:numPr>
                <w:ilvl w:val="0"/>
                <w:numId w:val="13"/>
              </w:numPr>
              <w:tabs>
                <w:tab w:val="left" w:pos="826"/>
                <w:tab w:val="left" w:pos="827"/>
              </w:tabs>
              <w:spacing w:before="91" w:line="271" w:lineRule="auto"/>
              <w:ind w:right="166"/>
              <w:rPr>
                <w:sz w:val="20"/>
                <w:lang w:eastAsia="ja-JP"/>
              </w:rPr>
            </w:pPr>
            <w:r>
              <w:rPr>
                <w:sz w:val="20"/>
                <w:lang w:eastAsia="ja-JP"/>
              </w:rPr>
              <w:t>不可抗力の場合、自然の攪乱に起因する排出は、閾値の達成に影響を及ぼすことから除外することができ、これらの要件の適用に影響を及ぼさず、また、これらの基準に違反する結果とならない。</w:t>
            </w:r>
          </w:p>
        </w:tc>
      </w:tr>
      <w:tr w:rsidR="00410BDF" w14:paraId="2F741F11" w14:textId="77777777">
        <w:trPr>
          <w:trHeight w:val="1170"/>
        </w:trPr>
        <w:tc>
          <w:tcPr>
            <w:tcW w:w="113" w:type="dxa"/>
            <w:tcBorders>
              <w:bottom w:val="nil"/>
            </w:tcBorders>
          </w:tcPr>
          <w:p w14:paraId="51CC168A" w14:textId="77777777" w:rsidR="00410BDF" w:rsidRDefault="00410BDF">
            <w:pPr>
              <w:pStyle w:val="TableParagraph"/>
              <w:rPr>
                <w:rFonts w:ascii="Times New Roman"/>
                <w:sz w:val="18"/>
                <w:lang w:eastAsia="ja-JP"/>
              </w:rPr>
            </w:pPr>
          </w:p>
        </w:tc>
        <w:tc>
          <w:tcPr>
            <w:tcW w:w="1767" w:type="dxa"/>
            <w:tcBorders>
              <w:top w:val="single" w:sz="8" w:space="0" w:color="000000"/>
            </w:tcBorders>
            <w:shd w:val="clear" w:color="auto" w:fill="F1F1F1"/>
          </w:tcPr>
          <w:p w14:paraId="1D897E2F" w14:textId="77777777" w:rsidR="00410BDF" w:rsidRDefault="00CF7372">
            <w:pPr>
              <w:pStyle w:val="TableParagraph"/>
              <w:spacing w:before="121" w:line="276" w:lineRule="auto"/>
              <w:ind w:left="107" w:right="106"/>
              <w:rPr>
                <w:b/>
                <w:sz w:val="20"/>
              </w:rPr>
            </w:pPr>
            <w:proofErr w:type="spellStart"/>
            <w:r>
              <w:rPr>
                <w:b/>
                <w:w w:val="95"/>
                <w:sz w:val="20"/>
              </w:rPr>
              <w:t>管理区分</w:t>
            </w:r>
            <w:proofErr w:type="spellEnd"/>
          </w:p>
        </w:tc>
        <w:tc>
          <w:tcPr>
            <w:tcW w:w="4961" w:type="dxa"/>
            <w:gridSpan w:val="2"/>
            <w:tcBorders>
              <w:top w:val="single" w:sz="8" w:space="0" w:color="000000"/>
            </w:tcBorders>
            <w:shd w:val="clear" w:color="auto" w:fill="F1F1F1"/>
          </w:tcPr>
          <w:p w14:paraId="3EBA8094" w14:textId="77777777" w:rsidR="00410BDF" w:rsidRDefault="00CF7372">
            <w:pPr>
              <w:pStyle w:val="TableParagraph"/>
              <w:spacing w:before="121"/>
              <w:ind w:left="106"/>
              <w:rPr>
                <w:b/>
                <w:sz w:val="20"/>
              </w:rPr>
            </w:pPr>
            <w:proofErr w:type="spellStart"/>
            <w:r>
              <w:rPr>
                <w:b/>
                <w:sz w:val="20"/>
              </w:rPr>
              <w:t>重要な管理慣行</w:t>
            </w:r>
            <w:proofErr w:type="spellEnd"/>
          </w:p>
        </w:tc>
        <w:tc>
          <w:tcPr>
            <w:tcW w:w="673" w:type="dxa"/>
            <w:tcBorders>
              <w:top w:val="single" w:sz="8" w:space="0" w:color="000000"/>
            </w:tcBorders>
            <w:shd w:val="clear" w:color="auto" w:fill="F1F1F1"/>
          </w:tcPr>
          <w:p w14:paraId="13E38DC0" w14:textId="77777777" w:rsidR="00410BDF" w:rsidRDefault="00410BDF">
            <w:pPr>
              <w:pStyle w:val="TableParagraph"/>
            </w:pPr>
          </w:p>
          <w:p w14:paraId="1BC1CC61" w14:textId="77777777" w:rsidR="00410BDF" w:rsidRDefault="00CF7372">
            <w:pPr>
              <w:pStyle w:val="TableParagraph"/>
              <w:ind w:left="84" w:right="82"/>
              <w:jc w:val="center"/>
              <w:rPr>
                <w:b/>
                <w:sz w:val="20"/>
              </w:rPr>
            </w:pPr>
            <w:r>
              <w:rPr>
                <w:b/>
                <w:sz w:val="20"/>
              </w:rPr>
              <w:t>GHG</w:t>
            </w:r>
          </w:p>
          <w:p w14:paraId="74CA5F9B" w14:textId="77777777" w:rsidR="00410BDF" w:rsidRDefault="00CF7372">
            <w:pPr>
              <w:pStyle w:val="TableParagraph"/>
              <w:spacing w:before="35"/>
              <w:ind w:left="3"/>
              <w:jc w:val="center"/>
              <w:rPr>
                <w:rFonts w:ascii="Symbol" w:hAnsi="Symbol" w:hint="eastAsia"/>
                <w:b/>
                <w:sz w:val="20"/>
              </w:rPr>
            </w:pPr>
            <w:r>
              <w:rPr>
                <w:rFonts w:ascii="minorHAnsi" w:hAnsi="minorHAnsi"/>
                <w:b/>
                <w:w w:val="99"/>
                <w:sz w:val="20"/>
              </w:rPr>
              <w:t>↓</w:t>
            </w:r>
          </w:p>
        </w:tc>
        <w:tc>
          <w:tcPr>
            <w:tcW w:w="746" w:type="dxa"/>
            <w:tcBorders>
              <w:top w:val="single" w:sz="8" w:space="0" w:color="000000"/>
            </w:tcBorders>
            <w:shd w:val="clear" w:color="auto" w:fill="F1F1F1"/>
          </w:tcPr>
          <w:p w14:paraId="12C2AA42" w14:textId="77777777" w:rsidR="00410BDF" w:rsidRDefault="00CF7372">
            <w:pPr>
              <w:pStyle w:val="TableParagraph"/>
              <w:spacing w:before="121"/>
              <w:ind w:left="164" w:right="164"/>
              <w:jc w:val="center"/>
              <w:rPr>
                <w:b/>
                <w:sz w:val="20"/>
              </w:rPr>
            </w:pPr>
            <w:r>
              <w:rPr>
                <w:b/>
                <w:sz w:val="20"/>
              </w:rPr>
              <w:t>C-</w:t>
            </w:r>
          </w:p>
          <w:p w14:paraId="510A5DA6" w14:textId="77777777" w:rsidR="00410BDF" w:rsidRDefault="00CF7372">
            <w:pPr>
              <w:pStyle w:val="TableParagraph"/>
              <w:spacing w:before="34"/>
              <w:ind w:left="165" w:right="164"/>
              <w:jc w:val="center"/>
              <w:rPr>
                <w:b/>
                <w:sz w:val="20"/>
              </w:rPr>
            </w:pPr>
            <w:proofErr w:type="spellStart"/>
            <w:r>
              <w:rPr>
                <w:b/>
                <w:sz w:val="20"/>
              </w:rPr>
              <w:t>順序</w:t>
            </w:r>
            <w:proofErr w:type="spellEnd"/>
          </w:p>
          <w:p w14:paraId="15B78193" w14:textId="77777777" w:rsidR="00410BDF" w:rsidRDefault="00CF7372">
            <w:pPr>
              <w:pStyle w:val="TableParagraph"/>
              <w:spacing w:before="35"/>
              <w:ind w:left="1"/>
              <w:jc w:val="center"/>
              <w:rPr>
                <w:rFonts w:ascii="Symbol" w:hAnsi="Symbol" w:hint="eastAsia"/>
                <w:b/>
                <w:sz w:val="20"/>
              </w:rPr>
            </w:pPr>
            <w:r>
              <w:rPr>
                <w:rFonts w:ascii="minorHAnsi" w:hAnsi="minorHAnsi"/>
                <w:b/>
                <w:w w:val="99"/>
                <w:sz w:val="20"/>
              </w:rPr>
              <w:t>↑</w:t>
            </w:r>
          </w:p>
        </w:tc>
        <w:tc>
          <w:tcPr>
            <w:tcW w:w="985" w:type="dxa"/>
            <w:tcBorders>
              <w:top w:val="single" w:sz="8" w:space="0" w:color="000000"/>
            </w:tcBorders>
            <w:shd w:val="clear" w:color="auto" w:fill="F1F1F1"/>
          </w:tcPr>
          <w:p w14:paraId="3BF296D4" w14:textId="77777777" w:rsidR="00410BDF" w:rsidRDefault="00CF7372">
            <w:pPr>
              <w:pStyle w:val="TableParagraph"/>
              <w:spacing w:before="121" w:line="276" w:lineRule="auto"/>
              <w:ind w:left="102" w:right="86" w:firstLine="216"/>
              <w:rPr>
                <w:b/>
                <w:sz w:val="20"/>
              </w:rPr>
            </w:pPr>
            <w:proofErr w:type="spellStart"/>
            <w:r>
              <w:rPr>
                <w:b/>
                <w:sz w:val="20"/>
              </w:rPr>
              <w:t>共同便益</w:t>
            </w:r>
            <w:proofErr w:type="spellEnd"/>
          </w:p>
        </w:tc>
        <w:tc>
          <w:tcPr>
            <w:tcW w:w="114" w:type="dxa"/>
            <w:tcBorders>
              <w:bottom w:val="nil"/>
            </w:tcBorders>
          </w:tcPr>
          <w:p w14:paraId="64912638" w14:textId="77777777" w:rsidR="00410BDF" w:rsidRDefault="00410BDF">
            <w:pPr>
              <w:pStyle w:val="TableParagraph"/>
              <w:rPr>
                <w:rFonts w:ascii="Times New Roman"/>
                <w:sz w:val="18"/>
              </w:rPr>
            </w:pPr>
          </w:p>
        </w:tc>
      </w:tr>
      <w:tr w:rsidR="00410BDF" w14:paraId="5554361F" w14:textId="77777777">
        <w:trPr>
          <w:trHeight w:val="1418"/>
        </w:trPr>
        <w:tc>
          <w:tcPr>
            <w:tcW w:w="113" w:type="dxa"/>
            <w:tcBorders>
              <w:top w:val="nil"/>
              <w:bottom w:val="nil"/>
            </w:tcBorders>
          </w:tcPr>
          <w:p w14:paraId="14D89829" w14:textId="77777777" w:rsidR="00410BDF" w:rsidRDefault="00410BDF">
            <w:pPr>
              <w:pStyle w:val="TableParagraph"/>
              <w:rPr>
                <w:rFonts w:ascii="Times New Roman"/>
                <w:sz w:val="18"/>
              </w:rPr>
            </w:pPr>
          </w:p>
        </w:tc>
        <w:tc>
          <w:tcPr>
            <w:tcW w:w="1767" w:type="dxa"/>
            <w:shd w:val="clear" w:color="auto" w:fill="F1F1F1"/>
          </w:tcPr>
          <w:p w14:paraId="54520D39" w14:textId="77777777" w:rsidR="00410BDF" w:rsidRDefault="00CF7372">
            <w:pPr>
              <w:pStyle w:val="TableParagraph"/>
              <w:spacing w:before="119" w:line="278" w:lineRule="auto"/>
              <w:ind w:left="107" w:right="106"/>
              <w:rPr>
                <w:b/>
                <w:sz w:val="20"/>
                <w:lang w:eastAsia="ja-JP"/>
              </w:rPr>
            </w:pPr>
            <w:r>
              <w:rPr>
                <w:b/>
                <w:sz w:val="20"/>
                <w:lang w:eastAsia="ja-JP"/>
              </w:rPr>
              <w:t>農業部門のGHG評価</w:t>
            </w:r>
          </w:p>
        </w:tc>
        <w:tc>
          <w:tcPr>
            <w:tcW w:w="4961" w:type="dxa"/>
            <w:gridSpan w:val="2"/>
            <w:shd w:val="clear" w:color="auto" w:fill="F1F1F1"/>
          </w:tcPr>
          <w:p w14:paraId="6AD2239D" w14:textId="77777777" w:rsidR="00410BDF" w:rsidRDefault="00CF7372">
            <w:pPr>
              <w:pStyle w:val="TableParagraph"/>
              <w:spacing w:before="119" w:line="276" w:lineRule="auto"/>
              <w:ind w:left="106" w:right="120"/>
              <w:rPr>
                <w:sz w:val="20"/>
                <w:lang w:eastAsia="ja-JP"/>
              </w:rPr>
            </w:pPr>
            <w:r>
              <w:rPr>
                <w:sz w:val="20"/>
                <w:lang w:eastAsia="ja-JP"/>
              </w:rPr>
              <w:t>農場における排出源と吸収源のGHG評価を実施する。 既存の検証済みツールを使用すべきである。 GHG評価の監査は必要ない。</w:t>
            </w:r>
          </w:p>
        </w:tc>
        <w:tc>
          <w:tcPr>
            <w:tcW w:w="673" w:type="dxa"/>
            <w:shd w:val="clear" w:color="auto" w:fill="F1F1F1"/>
          </w:tcPr>
          <w:p w14:paraId="1AAD2B0F" w14:textId="77777777" w:rsidR="00410BDF" w:rsidRDefault="00410BDF">
            <w:pPr>
              <w:pStyle w:val="TableParagraph"/>
              <w:rPr>
                <w:lang w:eastAsia="ja-JP"/>
              </w:rPr>
            </w:pPr>
          </w:p>
          <w:p w14:paraId="00599D05" w14:textId="77777777" w:rsidR="00410BDF" w:rsidRDefault="00410BDF">
            <w:pPr>
              <w:pStyle w:val="TableParagraph"/>
              <w:spacing w:before="2"/>
              <w:rPr>
                <w:sz w:val="28"/>
                <w:lang w:eastAsia="ja-JP"/>
              </w:rPr>
            </w:pPr>
          </w:p>
          <w:p w14:paraId="08E96FA2" w14:textId="77777777" w:rsidR="00410BDF" w:rsidRDefault="00CF7372">
            <w:pPr>
              <w:pStyle w:val="TableParagraph"/>
              <w:spacing w:before="1"/>
              <w:ind w:left="278"/>
              <w:rPr>
                <w:sz w:val="20"/>
              </w:rPr>
            </w:pPr>
            <w:r>
              <w:rPr>
                <w:w w:val="99"/>
                <w:sz w:val="20"/>
              </w:rPr>
              <w:t>√</w:t>
            </w:r>
          </w:p>
        </w:tc>
        <w:tc>
          <w:tcPr>
            <w:tcW w:w="746" w:type="dxa"/>
            <w:shd w:val="clear" w:color="auto" w:fill="F1F1F1"/>
          </w:tcPr>
          <w:p w14:paraId="7E6C50C6" w14:textId="77777777" w:rsidR="00410BDF" w:rsidRDefault="00410BDF">
            <w:pPr>
              <w:pStyle w:val="TableParagraph"/>
            </w:pPr>
          </w:p>
          <w:p w14:paraId="1C63A99E" w14:textId="77777777" w:rsidR="00410BDF" w:rsidRDefault="00410BDF">
            <w:pPr>
              <w:pStyle w:val="TableParagraph"/>
              <w:spacing w:before="2"/>
              <w:rPr>
                <w:sz w:val="28"/>
              </w:rPr>
            </w:pPr>
          </w:p>
          <w:p w14:paraId="366EDA1B" w14:textId="77777777" w:rsidR="00410BDF" w:rsidRDefault="00CF7372">
            <w:pPr>
              <w:pStyle w:val="TableParagraph"/>
              <w:spacing w:before="1"/>
              <w:jc w:val="center"/>
              <w:rPr>
                <w:sz w:val="20"/>
              </w:rPr>
            </w:pPr>
            <w:r>
              <w:rPr>
                <w:w w:val="99"/>
                <w:sz w:val="20"/>
              </w:rPr>
              <w:t>√</w:t>
            </w:r>
          </w:p>
        </w:tc>
        <w:tc>
          <w:tcPr>
            <w:tcW w:w="985" w:type="dxa"/>
            <w:shd w:val="clear" w:color="auto" w:fill="F1F1F1"/>
          </w:tcPr>
          <w:p w14:paraId="55B21121" w14:textId="77777777" w:rsidR="00410BDF" w:rsidRDefault="00410BDF">
            <w:pPr>
              <w:pStyle w:val="TableParagraph"/>
            </w:pPr>
          </w:p>
          <w:p w14:paraId="2B47F83B" w14:textId="77777777" w:rsidR="00410BDF" w:rsidRDefault="00410BDF">
            <w:pPr>
              <w:pStyle w:val="TableParagraph"/>
              <w:spacing w:before="2"/>
              <w:rPr>
                <w:sz w:val="28"/>
              </w:rPr>
            </w:pPr>
          </w:p>
          <w:p w14:paraId="030AAFBA" w14:textId="77777777" w:rsidR="00410BDF" w:rsidRDefault="00CF7372">
            <w:pPr>
              <w:pStyle w:val="TableParagraph"/>
              <w:spacing w:before="1"/>
              <w:jc w:val="center"/>
              <w:rPr>
                <w:sz w:val="20"/>
              </w:rPr>
            </w:pPr>
            <w:r>
              <w:rPr>
                <w:w w:val="99"/>
                <w:sz w:val="20"/>
              </w:rPr>
              <w:t>√</w:t>
            </w:r>
          </w:p>
        </w:tc>
        <w:tc>
          <w:tcPr>
            <w:tcW w:w="114" w:type="dxa"/>
            <w:tcBorders>
              <w:top w:val="nil"/>
              <w:bottom w:val="nil"/>
            </w:tcBorders>
          </w:tcPr>
          <w:p w14:paraId="4C042034" w14:textId="77777777" w:rsidR="00410BDF" w:rsidRDefault="00410BDF">
            <w:pPr>
              <w:pStyle w:val="TableParagraph"/>
              <w:rPr>
                <w:rFonts w:ascii="Times New Roman"/>
                <w:sz w:val="18"/>
              </w:rPr>
            </w:pPr>
          </w:p>
        </w:tc>
      </w:tr>
      <w:tr w:rsidR="00410BDF" w14:paraId="2D13410B" w14:textId="77777777">
        <w:trPr>
          <w:trHeight w:val="2476"/>
        </w:trPr>
        <w:tc>
          <w:tcPr>
            <w:tcW w:w="113" w:type="dxa"/>
            <w:tcBorders>
              <w:top w:val="nil"/>
              <w:bottom w:val="nil"/>
            </w:tcBorders>
          </w:tcPr>
          <w:p w14:paraId="1AAD1BD4" w14:textId="77777777" w:rsidR="00410BDF" w:rsidRDefault="00410BDF">
            <w:pPr>
              <w:pStyle w:val="TableParagraph"/>
              <w:rPr>
                <w:rFonts w:ascii="Times New Roman"/>
                <w:sz w:val="18"/>
              </w:rPr>
            </w:pPr>
          </w:p>
        </w:tc>
        <w:tc>
          <w:tcPr>
            <w:tcW w:w="1767" w:type="dxa"/>
            <w:shd w:val="clear" w:color="auto" w:fill="F1F1F1"/>
          </w:tcPr>
          <w:p w14:paraId="7E116250" w14:textId="77777777" w:rsidR="00410BDF" w:rsidRDefault="00CF7372">
            <w:pPr>
              <w:pStyle w:val="TableParagraph"/>
              <w:spacing w:before="119" w:line="276" w:lineRule="auto"/>
              <w:ind w:left="107" w:right="106"/>
              <w:rPr>
                <w:b/>
                <w:sz w:val="20"/>
                <w:lang w:eastAsia="ja-JP"/>
              </w:rPr>
            </w:pPr>
            <w:r>
              <w:rPr>
                <w:b/>
                <w:sz w:val="20"/>
                <w:lang w:eastAsia="ja-JP"/>
              </w:rPr>
              <w:t>作物の選択と輪作(土壌中の炭素固定を増やし、肥料の必要性を減らし、N20排出量を減らすため)</w:t>
            </w:r>
          </w:p>
        </w:tc>
        <w:tc>
          <w:tcPr>
            <w:tcW w:w="4961" w:type="dxa"/>
            <w:gridSpan w:val="2"/>
            <w:shd w:val="clear" w:color="auto" w:fill="F1F1F1"/>
          </w:tcPr>
          <w:p w14:paraId="7BF59025" w14:textId="77777777" w:rsidR="00410BDF" w:rsidRDefault="00CF7372">
            <w:pPr>
              <w:pStyle w:val="TableParagraph"/>
              <w:spacing w:before="119" w:line="276" w:lineRule="auto"/>
              <w:ind w:left="106"/>
              <w:rPr>
                <w:sz w:val="20"/>
                <w:lang w:eastAsia="ja-JP"/>
              </w:rPr>
            </w:pPr>
            <w:r>
              <w:rPr>
                <w:sz w:val="20"/>
                <w:lang w:eastAsia="ja-JP"/>
              </w:rPr>
              <w:t>少なくとも5回の輪作(少なくとも1つのマメ科植物を含む)で、換金作物間の多種被覆作物が1個の場合</w:t>
            </w:r>
          </w:p>
        </w:tc>
        <w:tc>
          <w:tcPr>
            <w:tcW w:w="673" w:type="dxa"/>
            <w:shd w:val="clear" w:color="auto" w:fill="F1F1F1"/>
          </w:tcPr>
          <w:p w14:paraId="16A7C9AA" w14:textId="77777777" w:rsidR="00410BDF" w:rsidRDefault="00410BDF">
            <w:pPr>
              <w:pStyle w:val="TableParagraph"/>
              <w:rPr>
                <w:lang w:eastAsia="ja-JP"/>
              </w:rPr>
            </w:pPr>
          </w:p>
          <w:p w14:paraId="3DF039BA" w14:textId="77777777" w:rsidR="00410BDF" w:rsidRDefault="00410BDF">
            <w:pPr>
              <w:pStyle w:val="TableParagraph"/>
              <w:rPr>
                <w:lang w:eastAsia="ja-JP"/>
              </w:rPr>
            </w:pPr>
          </w:p>
          <w:p w14:paraId="43E36C89" w14:textId="77777777" w:rsidR="00410BDF" w:rsidRDefault="00410BDF">
            <w:pPr>
              <w:pStyle w:val="TableParagraph"/>
              <w:rPr>
                <w:lang w:eastAsia="ja-JP"/>
              </w:rPr>
            </w:pPr>
          </w:p>
          <w:p w14:paraId="06C7A70E" w14:textId="77777777" w:rsidR="00410BDF" w:rsidRDefault="00410BDF">
            <w:pPr>
              <w:pStyle w:val="TableParagraph"/>
              <w:spacing w:before="1"/>
              <w:rPr>
                <w:sz w:val="30"/>
                <w:lang w:eastAsia="ja-JP"/>
              </w:rPr>
            </w:pPr>
          </w:p>
          <w:p w14:paraId="34606B0D" w14:textId="77777777" w:rsidR="00410BDF" w:rsidRDefault="00CF7372">
            <w:pPr>
              <w:pStyle w:val="TableParagraph"/>
              <w:spacing w:before="1"/>
              <w:ind w:left="278"/>
              <w:rPr>
                <w:sz w:val="20"/>
              </w:rPr>
            </w:pPr>
            <w:r>
              <w:rPr>
                <w:w w:val="99"/>
                <w:sz w:val="20"/>
              </w:rPr>
              <w:t>√</w:t>
            </w:r>
          </w:p>
        </w:tc>
        <w:tc>
          <w:tcPr>
            <w:tcW w:w="746" w:type="dxa"/>
            <w:shd w:val="clear" w:color="auto" w:fill="F1F1F1"/>
          </w:tcPr>
          <w:p w14:paraId="71F79694" w14:textId="77777777" w:rsidR="00410BDF" w:rsidRDefault="00410BDF">
            <w:pPr>
              <w:pStyle w:val="TableParagraph"/>
            </w:pPr>
          </w:p>
          <w:p w14:paraId="4258A932" w14:textId="77777777" w:rsidR="00410BDF" w:rsidRDefault="00410BDF">
            <w:pPr>
              <w:pStyle w:val="TableParagraph"/>
            </w:pPr>
          </w:p>
          <w:p w14:paraId="5E5FBFB3" w14:textId="77777777" w:rsidR="00410BDF" w:rsidRDefault="00410BDF">
            <w:pPr>
              <w:pStyle w:val="TableParagraph"/>
            </w:pPr>
          </w:p>
          <w:p w14:paraId="1A4A1C62" w14:textId="77777777" w:rsidR="00410BDF" w:rsidRDefault="00410BDF">
            <w:pPr>
              <w:pStyle w:val="TableParagraph"/>
              <w:spacing w:before="1"/>
              <w:rPr>
                <w:sz w:val="30"/>
              </w:rPr>
            </w:pPr>
          </w:p>
          <w:p w14:paraId="282F93BA" w14:textId="77777777" w:rsidR="00410BDF" w:rsidRDefault="00CF7372">
            <w:pPr>
              <w:pStyle w:val="TableParagraph"/>
              <w:spacing w:before="1"/>
              <w:jc w:val="center"/>
              <w:rPr>
                <w:sz w:val="20"/>
              </w:rPr>
            </w:pPr>
            <w:r>
              <w:rPr>
                <w:w w:val="99"/>
                <w:sz w:val="20"/>
              </w:rPr>
              <w:t>√</w:t>
            </w:r>
          </w:p>
        </w:tc>
        <w:tc>
          <w:tcPr>
            <w:tcW w:w="985" w:type="dxa"/>
            <w:shd w:val="clear" w:color="auto" w:fill="F1F1F1"/>
          </w:tcPr>
          <w:p w14:paraId="4442FBEB" w14:textId="77777777" w:rsidR="00410BDF" w:rsidRDefault="00410BDF">
            <w:pPr>
              <w:pStyle w:val="TableParagraph"/>
            </w:pPr>
          </w:p>
          <w:p w14:paraId="58C74CCC" w14:textId="77777777" w:rsidR="00410BDF" w:rsidRDefault="00410BDF">
            <w:pPr>
              <w:pStyle w:val="TableParagraph"/>
            </w:pPr>
          </w:p>
          <w:p w14:paraId="70DA138F" w14:textId="77777777" w:rsidR="00410BDF" w:rsidRDefault="00410BDF">
            <w:pPr>
              <w:pStyle w:val="TableParagraph"/>
            </w:pPr>
          </w:p>
          <w:p w14:paraId="792D52E7" w14:textId="77777777" w:rsidR="00410BDF" w:rsidRDefault="00410BDF">
            <w:pPr>
              <w:pStyle w:val="TableParagraph"/>
              <w:spacing w:before="1"/>
              <w:rPr>
                <w:sz w:val="30"/>
              </w:rPr>
            </w:pPr>
          </w:p>
          <w:p w14:paraId="5AD24ECB" w14:textId="77777777" w:rsidR="00410BDF" w:rsidRDefault="00CF7372">
            <w:pPr>
              <w:pStyle w:val="TableParagraph"/>
              <w:spacing w:before="1"/>
              <w:jc w:val="center"/>
              <w:rPr>
                <w:sz w:val="20"/>
              </w:rPr>
            </w:pPr>
            <w:r>
              <w:rPr>
                <w:w w:val="99"/>
                <w:sz w:val="20"/>
              </w:rPr>
              <w:t>√</w:t>
            </w:r>
          </w:p>
        </w:tc>
        <w:tc>
          <w:tcPr>
            <w:tcW w:w="114" w:type="dxa"/>
            <w:tcBorders>
              <w:top w:val="nil"/>
              <w:bottom w:val="nil"/>
            </w:tcBorders>
          </w:tcPr>
          <w:p w14:paraId="5125AAB8" w14:textId="77777777" w:rsidR="00410BDF" w:rsidRDefault="00410BDF">
            <w:pPr>
              <w:pStyle w:val="TableParagraph"/>
              <w:rPr>
                <w:rFonts w:ascii="Times New Roman"/>
                <w:sz w:val="18"/>
              </w:rPr>
            </w:pPr>
          </w:p>
        </w:tc>
      </w:tr>
      <w:tr w:rsidR="00410BDF" w14:paraId="3DC45651" w14:textId="77777777">
        <w:trPr>
          <w:trHeight w:val="1682"/>
        </w:trPr>
        <w:tc>
          <w:tcPr>
            <w:tcW w:w="113" w:type="dxa"/>
            <w:tcBorders>
              <w:top w:val="nil"/>
              <w:bottom w:val="nil"/>
            </w:tcBorders>
          </w:tcPr>
          <w:p w14:paraId="56B3018F" w14:textId="77777777" w:rsidR="00410BDF" w:rsidRDefault="00410BDF">
            <w:pPr>
              <w:pStyle w:val="TableParagraph"/>
              <w:rPr>
                <w:rFonts w:ascii="Times New Roman"/>
                <w:sz w:val="18"/>
              </w:rPr>
            </w:pPr>
          </w:p>
        </w:tc>
        <w:tc>
          <w:tcPr>
            <w:tcW w:w="1767" w:type="dxa"/>
            <w:shd w:val="clear" w:color="auto" w:fill="F1F1F1"/>
          </w:tcPr>
          <w:p w14:paraId="2C4FBE7D" w14:textId="77777777" w:rsidR="00410BDF" w:rsidRDefault="00410BDF">
            <w:pPr>
              <w:pStyle w:val="TableParagraph"/>
              <w:rPr>
                <w:rFonts w:ascii="Times New Roman"/>
                <w:sz w:val="18"/>
              </w:rPr>
            </w:pPr>
          </w:p>
        </w:tc>
        <w:tc>
          <w:tcPr>
            <w:tcW w:w="4961" w:type="dxa"/>
            <w:gridSpan w:val="2"/>
            <w:shd w:val="clear" w:color="auto" w:fill="F1F1F1"/>
          </w:tcPr>
          <w:p w14:paraId="0A4B9EB3" w14:textId="1ADF83AB" w:rsidR="00410BDF" w:rsidRDefault="00CF7372">
            <w:pPr>
              <w:pStyle w:val="TableParagraph"/>
              <w:spacing w:before="119" w:line="276" w:lineRule="auto"/>
              <w:ind w:left="106" w:right="84"/>
              <w:rPr>
                <w:sz w:val="20"/>
                <w:lang w:eastAsia="ja-JP"/>
              </w:rPr>
            </w:pPr>
            <w:r>
              <w:rPr>
                <w:sz w:val="20"/>
                <w:lang w:eastAsia="ja-JP"/>
              </w:rPr>
              <w:t>少なくとも1種のマメ科植物を含む地域的に適切な種の混合物を用いて</w:t>
            </w:r>
            <w:r w:rsidR="00F42407">
              <w:rPr>
                <w:rFonts w:hint="eastAsia"/>
                <w:sz w:val="20"/>
                <w:lang w:eastAsia="ja-JP"/>
              </w:rPr>
              <w:t>間作</w:t>
            </w:r>
            <w:r>
              <w:rPr>
                <w:sz w:val="20"/>
                <w:lang w:eastAsia="ja-JP"/>
              </w:rPr>
              <w:t>作物を播種し、裸地土壌を、年間農場レベルで少なくとも75%の生きている植物被覆率を有する地点まで減少させる。</w:t>
            </w:r>
          </w:p>
        </w:tc>
        <w:tc>
          <w:tcPr>
            <w:tcW w:w="673" w:type="dxa"/>
            <w:shd w:val="clear" w:color="auto" w:fill="F1F1F1"/>
          </w:tcPr>
          <w:p w14:paraId="1213F1FA" w14:textId="77777777" w:rsidR="00410BDF" w:rsidRDefault="00410BDF">
            <w:pPr>
              <w:pStyle w:val="TableParagraph"/>
              <w:rPr>
                <w:lang w:eastAsia="ja-JP"/>
              </w:rPr>
            </w:pPr>
          </w:p>
          <w:p w14:paraId="2236B919" w14:textId="77777777" w:rsidR="00410BDF" w:rsidRDefault="00410BDF">
            <w:pPr>
              <w:pStyle w:val="TableParagraph"/>
              <w:rPr>
                <w:lang w:eastAsia="ja-JP"/>
              </w:rPr>
            </w:pPr>
          </w:p>
          <w:p w14:paraId="2867AD2E" w14:textId="77777777" w:rsidR="00410BDF" w:rsidRDefault="00410BDF">
            <w:pPr>
              <w:pStyle w:val="TableParagraph"/>
              <w:spacing w:before="8"/>
              <w:rPr>
                <w:sz w:val="17"/>
                <w:lang w:eastAsia="ja-JP"/>
              </w:rPr>
            </w:pPr>
          </w:p>
          <w:p w14:paraId="2C6B80EC" w14:textId="77777777" w:rsidR="00410BDF" w:rsidRDefault="00CF7372">
            <w:pPr>
              <w:pStyle w:val="TableParagraph"/>
              <w:spacing w:before="1"/>
              <w:ind w:left="278"/>
              <w:rPr>
                <w:sz w:val="20"/>
              </w:rPr>
            </w:pPr>
            <w:r>
              <w:rPr>
                <w:w w:val="99"/>
                <w:sz w:val="20"/>
              </w:rPr>
              <w:t>√</w:t>
            </w:r>
          </w:p>
        </w:tc>
        <w:tc>
          <w:tcPr>
            <w:tcW w:w="746" w:type="dxa"/>
            <w:shd w:val="clear" w:color="auto" w:fill="F1F1F1"/>
          </w:tcPr>
          <w:p w14:paraId="333DB4F4" w14:textId="77777777" w:rsidR="00410BDF" w:rsidRDefault="00410BDF">
            <w:pPr>
              <w:pStyle w:val="TableParagraph"/>
            </w:pPr>
          </w:p>
          <w:p w14:paraId="6153B899" w14:textId="77777777" w:rsidR="00410BDF" w:rsidRDefault="00410BDF">
            <w:pPr>
              <w:pStyle w:val="TableParagraph"/>
            </w:pPr>
          </w:p>
          <w:p w14:paraId="63DDBC1E" w14:textId="77777777" w:rsidR="00410BDF" w:rsidRDefault="00410BDF">
            <w:pPr>
              <w:pStyle w:val="TableParagraph"/>
              <w:spacing w:before="8"/>
              <w:rPr>
                <w:sz w:val="17"/>
              </w:rPr>
            </w:pPr>
          </w:p>
          <w:p w14:paraId="4C86B260" w14:textId="77777777" w:rsidR="00410BDF" w:rsidRDefault="00CF7372">
            <w:pPr>
              <w:pStyle w:val="TableParagraph"/>
              <w:spacing w:before="1"/>
              <w:jc w:val="center"/>
              <w:rPr>
                <w:sz w:val="20"/>
              </w:rPr>
            </w:pPr>
            <w:r>
              <w:rPr>
                <w:w w:val="99"/>
                <w:sz w:val="20"/>
              </w:rPr>
              <w:t>√</w:t>
            </w:r>
          </w:p>
        </w:tc>
        <w:tc>
          <w:tcPr>
            <w:tcW w:w="985" w:type="dxa"/>
            <w:shd w:val="clear" w:color="auto" w:fill="F1F1F1"/>
          </w:tcPr>
          <w:p w14:paraId="6675E0CB" w14:textId="77777777" w:rsidR="00410BDF" w:rsidRDefault="00410BDF">
            <w:pPr>
              <w:pStyle w:val="TableParagraph"/>
            </w:pPr>
          </w:p>
          <w:p w14:paraId="533DB65E" w14:textId="77777777" w:rsidR="00410BDF" w:rsidRDefault="00410BDF">
            <w:pPr>
              <w:pStyle w:val="TableParagraph"/>
            </w:pPr>
          </w:p>
          <w:p w14:paraId="018A2033" w14:textId="77777777" w:rsidR="00410BDF" w:rsidRDefault="00410BDF">
            <w:pPr>
              <w:pStyle w:val="TableParagraph"/>
              <w:spacing w:before="8"/>
              <w:rPr>
                <w:sz w:val="17"/>
              </w:rPr>
            </w:pPr>
          </w:p>
          <w:p w14:paraId="2B01F528" w14:textId="77777777" w:rsidR="00410BDF" w:rsidRDefault="00CF7372">
            <w:pPr>
              <w:pStyle w:val="TableParagraph"/>
              <w:spacing w:before="1"/>
              <w:jc w:val="center"/>
              <w:rPr>
                <w:sz w:val="20"/>
              </w:rPr>
            </w:pPr>
            <w:r>
              <w:rPr>
                <w:w w:val="99"/>
                <w:sz w:val="20"/>
              </w:rPr>
              <w:t>√</w:t>
            </w:r>
          </w:p>
        </w:tc>
        <w:tc>
          <w:tcPr>
            <w:tcW w:w="114" w:type="dxa"/>
            <w:tcBorders>
              <w:top w:val="nil"/>
              <w:bottom w:val="nil"/>
            </w:tcBorders>
          </w:tcPr>
          <w:p w14:paraId="0526D4F4" w14:textId="77777777" w:rsidR="00410BDF" w:rsidRDefault="00410BDF">
            <w:pPr>
              <w:pStyle w:val="TableParagraph"/>
              <w:rPr>
                <w:rFonts w:ascii="Times New Roman"/>
                <w:sz w:val="18"/>
              </w:rPr>
            </w:pPr>
          </w:p>
        </w:tc>
      </w:tr>
      <w:tr w:rsidR="00410BDF" w14:paraId="62FD29E7" w14:textId="77777777">
        <w:trPr>
          <w:trHeight w:val="625"/>
        </w:trPr>
        <w:tc>
          <w:tcPr>
            <w:tcW w:w="113" w:type="dxa"/>
            <w:tcBorders>
              <w:top w:val="nil"/>
            </w:tcBorders>
          </w:tcPr>
          <w:p w14:paraId="30303010" w14:textId="77777777" w:rsidR="00410BDF" w:rsidRDefault="00410BDF">
            <w:pPr>
              <w:pStyle w:val="TableParagraph"/>
              <w:rPr>
                <w:rFonts w:ascii="Times New Roman"/>
                <w:sz w:val="18"/>
              </w:rPr>
            </w:pPr>
          </w:p>
        </w:tc>
        <w:tc>
          <w:tcPr>
            <w:tcW w:w="1767" w:type="dxa"/>
            <w:tcBorders>
              <w:bottom w:val="single" w:sz="8" w:space="0" w:color="000000"/>
            </w:tcBorders>
            <w:shd w:val="clear" w:color="auto" w:fill="F1F1F1"/>
          </w:tcPr>
          <w:p w14:paraId="43B0B4AC" w14:textId="77777777" w:rsidR="00410BDF" w:rsidRDefault="00410BDF">
            <w:pPr>
              <w:pStyle w:val="TableParagraph"/>
              <w:rPr>
                <w:rFonts w:ascii="Times New Roman"/>
                <w:sz w:val="18"/>
              </w:rPr>
            </w:pPr>
          </w:p>
        </w:tc>
        <w:tc>
          <w:tcPr>
            <w:tcW w:w="4961" w:type="dxa"/>
            <w:gridSpan w:val="2"/>
            <w:tcBorders>
              <w:bottom w:val="single" w:sz="8" w:space="0" w:color="000000"/>
            </w:tcBorders>
            <w:shd w:val="clear" w:color="auto" w:fill="F1F1F1"/>
          </w:tcPr>
          <w:p w14:paraId="6D1002AC" w14:textId="77777777" w:rsidR="00410BDF" w:rsidRDefault="00CF7372">
            <w:pPr>
              <w:pStyle w:val="TableParagraph"/>
              <w:spacing w:before="119"/>
              <w:ind w:left="106"/>
              <w:rPr>
                <w:sz w:val="20"/>
              </w:rPr>
            </w:pPr>
            <w:proofErr w:type="spellStart"/>
            <w:r>
              <w:rPr>
                <w:sz w:val="20"/>
              </w:rPr>
              <w:t>残留管理</w:t>
            </w:r>
            <w:proofErr w:type="spellEnd"/>
          </w:p>
        </w:tc>
        <w:tc>
          <w:tcPr>
            <w:tcW w:w="673" w:type="dxa"/>
            <w:tcBorders>
              <w:bottom w:val="single" w:sz="8" w:space="0" w:color="000000"/>
            </w:tcBorders>
            <w:shd w:val="clear" w:color="auto" w:fill="F1F1F1"/>
          </w:tcPr>
          <w:p w14:paraId="1A4378AC" w14:textId="77777777" w:rsidR="00410BDF" w:rsidRDefault="00CF7372">
            <w:pPr>
              <w:pStyle w:val="TableParagraph"/>
              <w:spacing w:before="179"/>
              <w:ind w:left="278"/>
              <w:rPr>
                <w:sz w:val="20"/>
              </w:rPr>
            </w:pPr>
            <w:r>
              <w:rPr>
                <w:w w:val="99"/>
                <w:sz w:val="20"/>
              </w:rPr>
              <w:t>√</w:t>
            </w:r>
          </w:p>
        </w:tc>
        <w:tc>
          <w:tcPr>
            <w:tcW w:w="746" w:type="dxa"/>
            <w:tcBorders>
              <w:bottom w:val="single" w:sz="8" w:space="0" w:color="000000"/>
            </w:tcBorders>
            <w:shd w:val="clear" w:color="auto" w:fill="F1F1F1"/>
          </w:tcPr>
          <w:p w14:paraId="29791F73" w14:textId="77777777" w:rsidR="00410BDF" w:rsidRDefault="00410BDF">
            <w:pPr>
              <w:pStyle w:val="TableParagraph"/>
              <w:rPr>
                <w:rFonts w:ascii="Times New Roman"/>
                <w:sz w:val="18"/>
              </w:rPr>
            </w:pPr>
          </w:p>
        </w:tc>
        <w:tc>
          <w:tcPr>
            <w:tcW w:w="985" w:type="dxa"/>
            <w:tcBorders>
              <w:bottom w:val="single" w:sz="8" w:space="0" w:color="000000"/>
            </w:tcBorders>
            <w:shd w:val="clear" w:color="auto" w:fill="F1F1F1"/>
          </w:tcPr>
          <w:p w14:paraId="26B844C3" w14:textId="77777777" w:rsidR="00410BDF" w:rsidRDefault="00410BDF">
            <w:pPr>
              <w:pStyle w:val="TableParagraph"/>
              <w:rPr>
                <w:rFonts w:ascii="Times New Roman"/>
                <w:sz w:val="18"/>
              </w:rPr>
            </w:pPr>
          </w:p>
        </w:tc>
        <w:tc>
          <w:tcPr>
            <w:tcW w:w="114" w:type="dxa"/>
            <w:tcBorders>
              <w:top w:val="nil"/>
            </w:tcBorders>
          </w:tcPr>
          <w:p w14:paraId="0632B958" w14:textId="77777777" w:rsidR="00410BDF" w:rsidRDefault="00410BDF">
            <w:pPr>
              <w:pStyle w:val="TableParagraph"/>
              <w:rPr>
                <w:rFonts w:ascii="Times New Roman"/>
                <w:sz w:val="18"/>
              </w:rPr>
            </w:pPr>
          </w:p>
        </w:tc>
      </w:tr>
    </w:tbl>
    <w:p w14:paraId="253D60F4" w14:textId="77777777" w:rsidR="00410BDF" w:rsidRDefault="00410BDF">
      <w:pPr>
        <w:rPr>
          <w:rFonts w:ascii="Times New Roman"/>
          <w:sz w:val="18"/>
        </w:rPr>
        <w:sectPr w:rsidR="00410BD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67"/>
        <w:gridCol w:w="4960"/>
        <w:gridCol w:w="673"/>
        <w:gridCol w:w="746"/>
        <w:gridCol w:w="985"/>
        <w:gridCol w:w="114"/>
      </w:tblGrid>
      <w:tr w:rsidR="00410BDF" w14:paraId="31AA0F1D" w14:textId="77777777">
        <w:trPr>
          <w:trHeight w:val="366"/>
        </w:trPr>
        <w:tc>
          <w:tcPr>
            <w:tcW w:w="113" w:type="dxa"/>
            <w:vMerge w:val="restart"/>
            <w:tcBorders>
              <w:bottom w:val="nil"/>
            </w:tcBorders>
          </w:tcPr>
          <w:p w14:paraId="3EBD48E8" w14:textId="77777777" w:rsidR="00410BDF" w:rsidRDefault="00410BDF">
            <w:pPr>
              <w:pStyle w:val="TableParagraph"/>
              <w:rPr>
                <w:rFonts w:ascii="Times New Roman"/>
                <w:sz w:val="18"/>
              </w:rPr>
            </w:pPr>
          </w:p>
        </w:tc>
        <w:tc>
          <w:tcPr>
            <w:tcW w:w="1767" w:type="dxa"/>
            <w:tcBorders>
              <w:top w:val="single" w:sz="8" w:space="0" w:color="000000"/>
              <w:bottom w:val="nil"/>
            </w:tcBorders>
            <w:shd w:val="clear" w:color="auto" w:fill="F1F1F1"/>
          </w:tcPr>
          <w:p w14:paraId="7EA2C511" w14:textId="77777777" w:rsidR="00410BDF" w:rsidRDefault="00CF7372">
            <w:pPr>
              <w:pStyle w:val="TableParagraph"/>
              <w:spacing w:before="119" w:line="227" w:lineRule="exact"/>
              <w:ind w:left="107"/>
              <w:rPr>
                <w:b/>
                <w:sz w:val="20"/>
              </w:rPr>
            </w:pPr>
            <w:proofErr w:type="spellStart"/>
            <w:r>
              <w:rPr>
                <w:b/>
                <w:sz w:val="20"/>
              </w:rPr>
              <w:t>土壌</w:t>
            </w:r>
            <w:proofErr w:type="spellEnd"/>
          </w:p>
        </w:tc>
        <w:tc>
          <w:tcPr>
            <w:tcW w:w="4960" w:type="dxa"/>
            <w:tcBorders>
              <w:top w:val="single" w:sz="8" w:space="0" w:color="000000"/>
              <w:bottom w:val="nil"/>
            </w:tcBorders>
            <w:shd w:val="clear" w:color="auto" w:fill="F1F1F1"/>
          </w:tcPr>
          <w:p w14:paraId="456F26BE" w14:textId="77777777" w:rsidR="00410BDF" w:rsidRDefault="00CF7372">
            <w:pPr>
              <w:pStyle w:val="TableParagraph"/>
              <w:spacing w:before="119" w:line="227" w:lineRule="exact"/>
              <w:ind w:left="106"/>
              <w:rPr>
                <w:sz w:val="20"/>
                <w:lang w:eastAsia="ja-JP"/>
              </w:rPr>
            </w:pPr>
            <w:r>
              <w:rPr>
                <w:sz w:val="20"/>
                <w:lang w:eastAsia="ja-JP"/>
              </w:rPr>
              <w:t>締固め防止(頻度・時期)</w:t>
            </w:r>
          </w:p>
        </w:tc>
        <w:tc>
          <w:tcPr>
            <w:tcW w:w="673" w:type="dxa"/>
            <w:tcBorders>
              <w:top w:val="single" w:sz="8" w:space="0" w:color="000000"/>
              <w:bottom w:val="nil"/>
            </w:tcBorders>
            <w:shd w:val="clear" w:color="auto" w:fill="F1F1F1"/>
          </w:tcPr>
          <w:p w14:paraId="542E33BE" w14:textId="77777777" w:rsidR="00410BDF" w:rsidRDefault="00410BDF">
            <w:pPr>
              <w:pStyle w:val="TableParagraph"/>
              <w:rPr>
                <w:rFonts w:ascii="Times New Roman"/>
                <w:sz w:val="18"/>
                <w:lang w:eastAsia="ja-JP"/>
              </w:rPr>
            </w:pPr>
          </w:p>
        </w:tc>
        <w:tc>
          <w:tcPr>
            <w:tcW w:w="746" w:type="dxa"/>
            <w:vMerge w:val="restart"/>
            <w:tcBorders>
              <w:top w:val="single" w:sz="8" w:space="0" w:color="000000"/>
            </w:tcBorders>
            <w:shd w:val="clear" w:color="auto" w:fill="F1F1F1"/>
          </w:tcPr>
          <w:p w14:paraId="0B83EF5F" w14:textId="77777777" w:rsidR="00410BDF" w:rsidRDefault="00410BDF">
            <w:pPr>
              <w:pStyle w:val="TableParagraph"/>
              <w:rPr>
                <w:rFonts w:ascii="Times New Roman"/>
                <w:sz w:val="18"/>
                <w:lang w:eastAsia="ja-JP"/>
              </w:rPr>
            </w:pPr>
          </w:p>
        </w:tc>
        <w:tc>
          <w:tcPr>
            <w:tcW w:w="985" w:type="dxa"/>
            <w:tcBorders>
              <w:top w:val="single" w:sz="8" w:space="0" w:color="000000"/>
              <w:bottom w:val="nil"/>
            </w:tcBorders>
            <w:shd w:val="clear" w:color="auto" w:fill="F1F1F1"/>
          </w:tcPr>
          <w:p w14:paraId="5F82BFD7" w14:textId="77777777" w:rsidR="00410BDF" w:rsidRDefault="00410BDF">
            <w:pPr>
              <w:pStyle w:val="TableParagraph"/>
              <w:rPr>
                <w:rFonts w:ascii="Times New Roman"/>
                <w:sz w:val="18"/>
                <w:lang w:eastAsia="ja-JP"/>
              </w:rPr>
            </w:pPr>
          </w:p>
        </w:tc>
        <w:tc>
          <w:tcPr>
            <w:tcW w:w="114" w:type="dxa"/>
            <w:vMerge w:val="restart"/>
            <w:tcBorders>
              <w:bottom w:val="nil"/>
            </w:tcBorders>
          </w:tcPr>
          <w:p w14:paraId="36067B04" w14:textId="77777777" w:rsidR="00410BDF" w:rsidRDefault="00410BDF">
            <w:pPr>
              <w:pStyle w:val="TableParagraph"/>
              <w:rPr>
                <w:rFonts w:ascii="Times New Roman"/>
                <w:sz w:val="18"/>
                <w:lang w:eastAsia="ja-JP"/>
              </w:rPr>
            </w:pPr>
          </w:p>
        </w:tc>
      </w:tr>
      <w:tr w:rsidR="00410BDF" w14:paraId="37B3A521" w14:textId="77777777">
        <w:trPr>
          <w:trHeight w:val="255"/>
        </w:trPr>
        <w:tc>
          <w:tcPr>
            <w:tcW w:w="113" w:type="dxa"/>
            <w:vMerge/>
            <w:tcBorders>
              <w:top w:val="nil"/>
              <w:bottom w:val="nil"/>
            </w:tcBorders>
          </w:tcPr>
          <w:p w14:paraId="64128A06" w14:textId="77777777" w:rsidR="00410BDF" w:rsidRDefault="00410BDF">
            <w:pPr>
              <w:rPr>
                <w:sz w:val="2"/>
                <w:szCs w:val="2"/>
                <w:lang w:eastAsia="ja-JP"/>
              </w:rPr>
            </w:pPr>
          </w:p>
        </w:tc>
        <w:tc>
          <w:tcPr>
            <w:tcW w:w="1767" w:type="dxa"/>
            <w:tcBorders>
              <w:top w:val="nil"/>
              <w:bottom w:val="nil"/>
            </w:tcBorders>
            <w:shd w:val="clear" w:color="auto" w:fill="F1F1F1"/>
          </w:tcPr>
          <w:p w14:paraId="3645F4C0" w14:textId="349341DD" w:rsidR="00410BDF" w:rsidRDefault="00CF7372" w:rsidP="00F42407">
            <w:pPr>
              <w:pStyle w:val="TableParagraph"/>
              <w:spacing w:before="9" w:line="226" w:lineRule="exact"/>
              <w:ind w:left="107"/>
              <w:rPr>
                <w:b/>
                <w:sz w:val="20"/>
              </w:rPr>
            </w:pPr>
            <w:proofErr w:type="spellStart"/>
            <w:r>
              <w:rPr>
                <w:b/>
                <w:sz w:val="20"/>
              </w:rPr>
              <w:t>管理</w:t>
            </w:r>
            <w:proofErr w:type="spellEnd"/>
          </w:p>
        </w:tc>
        <w:tc>
          <w:tcPr>
            <w:tcW w:w="4960" w:type="dxa"/>
            <w:tcBorders>
              <w:top w:val="nil"/>
              <w:bottom w:val="nil"/>
            </w:tcBorders>
            <w:shd w:val="clear" w:color="auto" w:fill="F1F1F1"/>
          </w:tcPr>
          <w:p w14:paraId="34CB4B28" w14:textId="77777777" w:rsidR="00410BDF" w:rsidRDefault="00CF7372">
            <w:pPr>
              <w:pStyle w:val="TableParagraph"/>
              <w:spacing w:before="9" w:line="226" w:lineRule="exact"/>
              <w:ind w:left="106"/>
              <w:rPr>
                <w:sz w:val="20"/>
                <w:lang w:eastAsia="ja-JP"/>
              </w:rPr>
            </w:pPr>
            <w:r>
              <w:rPr>
                <w:sz w:val="20"/>
                <w:lang w:eastAsia="ja-JP"/>
              </w:rPr>
              <w:t>トラフィックを避けるために、フィールド操作を計画する必要があります。</w:t>
            </w:r>
          </w:p>
        </w:tc>
        <w:tc>
          <w:tcPr>
            <w:tcW w:w="673" w:type="dxa"/>
            <w:tcBorders>
              <w:top w:val="nil"/>
              <w:bottom w:val="nil"/>
            </w:tcBorders>
            <w:shd w:val="clear" w:color="auto" w:fill="F1F1F1"/>
          </w:tcPr>
          <w:p w14:paraId="760F1C76" w14:textId="77777777" w:rsidR="00410BDF" w:rsidRDefault="00410BDF">
            <w:pPr>
              <w:pStyle w:val="TableParagraph"/>
              <w:rPr>
                <w:rFonts w:ascii="Times New Roman"/>
                <w:sz w:val="18"/>
                <w:lang w:eastAsia="ja-JP"/>
              </w:rPr>
            </w:pPr>
          </w:p>
        </w:tc>
        <w:tc>
          <w:tcPr>
            <w:tcW w:w="746" w:type="dxa"/>
            <w:vMerge/>
            <w:tcBorders>
              <w:top w:val="nil"/>
            </w:tcBorders>
            <w:shd w:val="clear" w:color="auto" w:fill="F1F1F1"/>
          </w:tcPr>
          <w:p w14:paraId="3CC3E064" w14:textId="77777777" w:rsidR="00410BDF" w:rsidRDefault="00410BDF">
            <w:pPr>
              <w:rPr>
                <w:sz w:val="2"/>
                <w:szCs w:val="2"/>
                <w:lang w:eastAsia="ja-JP"/>
              </w:rPr>
            </w:pPr>
          </w:p>
        </w:tc>
        <w:tc>
          <w:tcPr>
            <w:tcW w:w="985" w:type="dxa"/>
            <w:tcBorders>
              <w:top w:val="nil"/>
              <w:bottom w:val="nil"/>
            </w:tcBorders>
            <w:shd w:val="clear" w:color="auto" w:fill="F1F1F1"/>
          </w:tcPr>
          <w:p w14:paraId="41842A2E" w14:textId="77777777" w:rsidR="00410BDF" w:rsidRDefault="00410BDF">
            <w:pPr>
              <w:pStyle w:val="TableParagraph"/>
              <w:rPr>
                <w:rFonts w:ascii="Times New Roman"/>
                <w:sz w:val="18"/>
                <w:lang w:eastAsia="ja-JP"/>
              </w:rPr>
            </w:pPr>
          </w:p>
        </w:tc>
        <w:tc>
          <w:tcPr>
            <w:tcW w:w="114" w:type="dxa"/>
            <w:vMerge/>
            <w:tcBorders>
              <w:top w:val="nil"/>
              <w:bottom w:val="nil"/>
            </w:tcBorders>
          </w:tcPr>
          <w:p w14:paraId="0652F5FD" w14:textId="77777777" w:rsidR="00410BDF" w:rsidRDefault="00410BDF">
            <w:pPr>
              <w:rPr>
                <w:sz w:val="2"/>
                <w:szCs w:val="2"/>
                <w:lang w:eastAsia="ja-JP"/>
              </w:rPr>
            </w:pPr>
          </w:p>
        </w:tc>
      </w:tr>
      <w:tr w:rsidR="00410BDF" w14:paraId="02E162AB" w14:textId="77777777">
        <w:trPr>
          <w:trHeight w:val="254"/>
        </w:trPr>
        <w:tc>
          <w:tcPr>
            <w:tcW w:w="113" w:type="dxa"/>
            <w:vMerge/>
            <w:tcBorders>
              <w:top w:val="nil"/>
              <w:bottom w:val="nil"/>
            </w:tcBorders>
          </w:tcPr>
          <w:p w14:paraId="01D2C200" w14:textId="77777777" w:rsidR="00410BDF" w:rsidRDefault="00410BDF">
            <w:pPr>
              <w:rPr>
                <w:sz w:val="2"/>
                <w:szCs w:val="2"/>
                <w:lang w:eastAsia="ja-JP"/>
              </w:rPr>
            </w:pPr>
          </w:p>
        </w:tc>
        <w:tc>
          <w:tcPr>
            <w:tcW w:w="1767" w:type="dxa"/>
            <w:tcBorders>
              <w:top w:val="nil"/>
              <w:bottom w:val="nil"/>
            </w:tcBorders>
            <w:shd w:val="clear" w:color="auto" w:fill="F1F1F1"/>
          </w:tcPr>
          <w:p w14:paraId="0D6939C4" w14:textId="10528E29" w:rsidR="00410BDF" w:rsidRDefault="00410BDF">
            <w:pPr>
              <w:pStyle w:val="TableParagraph"/>
              <w:spacing w:before="8" w:line="226" w:lineRule="exact"/>
              <w:ind w:left="107"/>
              <w:rPr>
                <w:b/>
                <w:sz w:val="20"/>
                <w:lang w:eastAsia="ja-JP"/>
              </w:rPr>
            </w:pPr>
          </w:p>
        </w:tc>
        <w:tc>
          <w:tcPr>
            <w:tcW w:w="4960" w:type="dxa"/>
            <w:tcBorders>
              <w:top w:val="nil"/>
              <w:bottom w:val="nil"/>
            </w:tcBorders>
            <w:shd w:val="clear" w:color="auto" w:fill="F1F1F1"/>
          </w:tcPr>
          <w:p w14:paraId="18D9DDCA" w14:textId="77777777" w:rsidR="00410BDF" w:rsidRDefault="00CF7372">
            <w:pPr>
              <w:pStyle w:val="TableParagraph"/>
              <w:spacing w:before="8" w:line="226" w:lineRule="exact"/>
              <w:ind w:left="106"/>
              <w:rPr>
                <w:sz w:val="20"/>
                <w:lang w:eastAsia="ja-JP"/>
              </w:rPr>
            </w:pPr>
            <w:r>
              <w:rPr>
                <w:sz w:val="20"/>
                <w:lang w:eastAsia="ja-JP"/>
              </w:rPr>
              <w:t>湿潤土壌;耕起作業は避けるか、または</w:t>
            </w:r>
          </w:p>
        </w:tc>
        <w:tc>
          <w:tcPr>
            <w:tcW w:w="673" w:type="dxa"/>
            <w:tcBorders>
              <w:top w:val="nil"/>
              <w:bottom w:val="nil"/>
            </w:tcBorders>
            <w:shd w:val="clear" w:color="auto" w:fill="F1F1F1"/>
          </w:tcPr>
          <w:p w14:paraId="791E40BB" w14:textId="77777777" w:rsidR="00410BDF" w:rsidRDefault="00410BDF">
            <w:pPr>
              <w:pStyle w:val="TableParagraph"/>
              <w:rPr>
                <w:rFonts w:ascii="Times New Roman"/>
                <w:sz w:val="18"/>
                <w:lang w:eastAsia="ja-JP"/>
              </w:rPr>
            </w:pPr>
          </w:p>
        </w:tc>
        <w:tc>
          <w:tcPr>
            <w:tcW w:w="746" w:type="dxa"/>
            <w:vMerge/>
            <w:tcBorders>
              <w:top w:val="nil"/>
            </w:tcBorders>
            <w:shd w:val="clear" w:color="auto" w:fill="F1F1F1"/>
          </w:tcPr>
          <w:p w14:paraId="18A64889" w14:textId="77777777" w:rsidR="00410BDF" w:rsidRDefault="00410BDF">
            <w:pPr>
              <w:rPr>
                <w:sz w:val="2"/>
                <w:szCs w:val="2"/>
                <w:lang w:eastAsia="ja-JP"/>
              </w:rPr>
            </w:pPr>
          </w:p>
        </w:tc>
        <w:tc>
          <w:tcPr>
            <w:tcW w:w="985" w:type="dxa"/>
            <w:tcBorders>
              <w:top w:val="nil"/>
              <w:bottom w:val="nil"/>
            </w:tcBorders>
            <w:shd w:val="clear" w:color="auto" w:fill="F1F1F1"/>
          </w:tcPr>
          <w:p w14:paraId="3E397A53" w14:textId="77777777" w:rsidR="00410BDF" w:rsidRDefault="00410BDF">
            <w:pPr>
              <w:pStyle w:val="TableParagraph"/>
              <w:rPr>
                <w:rFonts w:ascii="Times New Roman"/>
                <w:sz w:val="18"/>
                <w:lang w:eastAsia="ja-JP"/>
              </w:rPr>
            </w:pPr>
          </w:p>
        </w:tc>
        <w:tc>
          <w:tcPr>
            <w:tcW w:w="114" w:type="dxa"/>
            <w:vMerge/>
            <w:tcBorders>
              <w:top w:val="nil"/>
              <w:bottom w:val="nil"/>
            </w:tcBorders>
          </w:tcPr>
          <w:p w14:paraId="3E1691BA" w14:textId="77777777" w:rsidR="00410BDF" w:rsidRDefault="00410BDF">
            <w:pPr>
              <w:rPr>
                <w:sz w:val="2"/>
                <w:szCs w:val="2"/>
                <w:lang w:eastAsia="ja-JP"/>
              </w:rPr>
            </w:pPr>
          </w:p>
        </w:tc>
      </w:tr>
      <w:tr w:rsidR="00410BDF" w14:paraId="54D6D616" w14:textId="77777777">
        <w:trPr>
          <w:trHeight w:val="253"/>
        </w:trPr>
        <w:tc>
          <w:tcPr>
            <w:tcW w:w="113" w:type="dxa"/>
            <w:vMerge/>
            <w:tcBorders>
              <w:top w:val="nil"/>
              <w:bottom w:val="nil"/>
            </w:tcBorders>
          </w:tcPr>
          <w:p w14:paraId="1B92E249" w14:textId="77777777" w:rsidR="00410BDF" w:rsidRDefault="00410BDF">
            <w:pPr>
              <w:rPr>
                <w:sz w:val="2"/>
                <w:szCs w:val="2"/>
                <w:lang w:eastAsia="ja-JP"/>
              </w:rPr>
            </w:pPr>
          </w:p>
        </w:tc>
        <w:tc>
          <w:tcPr>
            <w:tcW w:w="1767" w:type="dxa"/>
            <w:tcBorders>
              <w:top w:val="nil"/>
              <w:bottom w:val="nil"/>
            </w:tcBorders>
            <w:shd w:val="clear" w:color="auto" w:fill="F1F1F1"/>
          </w:tcPr>
          <w:p w14:paraId="6CFFCBC8" w14:textId="77777777" w:rsidR="00410BDF" w:rsidRDefault="00CF7372">
            <w:pPr>
              <w:pStyle w:val="TableParagraph"/>
              <w:spacing w:before="8" w:line="226" w:lineRule="exact"/>
              <w:ind w:left="107"/>
              <w:rPr>
                <w:b/>
                <w:sz w:val="20"/>
              </w:rPr>
            </w:pPr>
            <w:proofErr w:type="spellStart"/>
            <w:r>
              <w:rPr>
                <w:b/>
                <w:sz w:val="20"/>
              </w:rPr>
              <w:t>土壌浸食と</w:t>
            </w:r>
            <w:proofErr w:type="spellEnd"/>
          </w:p>
        </w:tc>
        <w:tc>
          <w:tcPr>
            <w:tcW w:w="4960" w:type="dxa"/>
            <w:tcBorders>
              <w:top w:val="nil"/>
              <w:bottom w:val="nil"/>
            </w:tcBorders>
            <w:shd w:val="clear" w:color="auto" w:fill="F1F1F1"/>
          </w:tcPr>
          <w:p w14:paraId="2C39B084" w14:textId="77777777" w:rsidR="00410BDF" w:rsidRDefault="00CF7372">
            <w:pPr>
              <w:pStyle w:val="TableParagraph"/>
              <w:spacing w:before="8" w:line="226" w:lineRule="exact"/>
              <w:ind w:left="106"/>
              <w:rPr>
                <w:sz w:val="20"/>
                <w:lang w:eastAsia="ja-JP"/>
              </w:rPr>
            </w:pPr>
            <w:r>
              <w:rPr>
                <w:sz w:val="20"/>
                <w:lang w:eastAsia="ja-JP"/>
              </w:rPr>
              <w:t>湿潤土壌では強力に減少し、貯蔵密度は低下するはずである。</w:t>
            </w:r>
          </w:p>
        </w:tc>
        <w:tc>
          <w:tcPr>
            <w:tcW w:w="673" w:type="dxa"/>
            <w:tcBorders>
              <w:top w:val="nil"/>
              <w:bottom w:val="nil"/>
            </w:tcBorders>
            <w:shd w:val="clear" w:color="auto" w:fill="F1F1F1"/>
          </w:tcPr>
          <w:p w14:paraId="3C359158" w14:textId="77777777" w:rsidR="00410BDF" w:rsidRDefault="00410BDF">
            <w:pPr>
              <w:pStyle w:val="TableParagraph"/>
              <w:rPr>
                <w:rFonts w:ascii="Times New Roman"/>
                <w:sz w:val="18"/>
                <w:lang w:eastAsia="ja-JP"/>
              </w:rPr>
            </w:pPr>
          </w:p>
        </w:tc>
        <w:tc>
          <w:tcPr>
            <w:tcW w:w="746" w:type="dxa"/>
            <w:vMerge/>
            <w:tcBorders>
              <w:top w:val="nil"/>
            </w:tcBorders>
            <w:shd w:val="clear" w:color="auto" w:fill="F1F1F1"/>
          </w:tcPr>
          <w:p w14:paraId="6E15AB31" w14:textId="77777777" w:rsidR="00410BDF" w:rsidRDefault="00410BDF">
            <w:pPr>
              <w:rPr>
                <w:sz w:val="2"/>
                <w:szCs w:val="2"/>
                <w:lang w:eastAsia="ja-JP"/>
              </w:rPr>
            </w:pPr>
          </w:p>
        </w:tc>
        <w:tc>
          <w:tcPr>
            <w:tcW w:w="985" w:type="dxa"/>
            <w:tcBorders>
              <w:top w:val="nil"/>
              <w:bottom w:val="nil"/>
            </w:tcBorders>
            <w:shd w:val="clear" w:color="auto" w:fill="F1F1F1"/>
          </w:tcPr>
          <w:p w14:paraId="505568EA" w14:textId="77777777" w:rsidR="00410BDF" w:rsidRDefault="00410BDF">
            <w:pPr>
              <w:pStyle w:val="TableParagraph"/>
              <w:rPr>
                <w:rFonts w:ascii="Times New Roman"/>
                <w:sz w:val="18"/>
                <w:lang w:eastAsia="ja-JP"/>
              </w:rPr>
            </w:pPr>
          </w:p>
        </w:tc>
        <w:tc>
          <w:tcPr>
            <w:tcW w:w="114" w:type="dxa"/>
            <w:vMerge/>
            <w:tcBorders>
              <w:top w:val="nil"/>
              <w:bottom w:val="nil"/>
            </w:tcBorders>
          </w:tcPr>
          <w:p w14:paraId="77A6CB6C" w14:textId="77777777" w:rsidR="00410BDF" w:rsidRDefault="00410BDF">
            <w:pPr>
              <w:rPr>
                <w:sz w:val="2"/>
                <w:szCs w:val="2"/>
                <w:lang w:eastAsia="ja-JP"/>
              </w:rPr>
            </w:pPr>
          </w:p>
        </w:tc>
      </w:tr>
      <w:tr w:rsidR="00410BDF" w14:paraId="68FC0AD4" w14:textId="77777777">
        <w:trPr>
          <w:trHeight w:val="519"/>
        </w:trPr>
        <w:tc>
          <w:tcPr>
            <w:tcW w:w="113" w:type="dxa"/>
            <w:vMerge/>
            <w:tcBorders>
              <w:top w:val="nil"/>
              <w:bottom w:val="nil"/>
            </w:tcBorders>
          </w:tcPr>
          <w:p w14:paraId="50DFDA8A" w14:textId="77777777" w:rsidR="00410BDF" w:rsidRDefault="00410BDF">
            <w:pPr>
              <w:rPr>
                <w:sz w:val="2"/>
                <w:szCs w:val="2"/>
                <w:lang w:eastAsia="ja-JP"/>
              </w:rPr>
            </w:pPr>
          </w:p>
        </w:tc>
        <w:tc>
          <w:tcPr>
            <w:tcW w:w="1767" w:type="dxa"/>
            <w:tcBorders>
              <w:top w:val="nil"/>
              <w:bottom w:val="nil"/>
            </w:tcBorders>
            <w:shd w:val="clear" w:color="auto" w:fill="F1F1F1"/>
          </w:tcPr>
          <w:p w14:paraId="36CFC417" w14:textId="77777777" w:rsidR="00410BDF" w:rsidRDefault="00CF7372">
            <w:pPr>
              <w:pStyle w:val="TableParagraph"/>
              <w:spacing w:before="8"/>
              <w:ind w:left="107"/>
              <w:rPr>
                <w:b/>
                <w:sz w:val="20"/>
              </w:rPr>
            </w:pPr>
            <w:proofErr w:type="spellStart"/>
            <w:r>
              <w:rPr>
                <w:b/>
                <w:sz w:val="20"/>
              </w:rPr>
              <w:t>炭素損失</w:t>
            </w:r>
            <w:proofErr w:type="spellEnd"/>
          </w:p>
          <w:p w14:paraId="5BA265AB" w14:textId="77777777" w:rsidR="00410BDF" w:rsidRDefault="00CF7372">
            <w:pPr>
              <w:pStyle w:val="TableParagraph"/>
              <w:spacing w:before="34" w:line="227" w:lineRule="exact"/>
              <w:ind w:left="107"/>
              <w:rPr>
                <w:b/>
                <w:sz w:val="20"/>
              </w:rPr>
            </w:pPr>
            <w:proofErr w:type="spellStart"/>
            <w:r>
              <w:rPr>
                <w:b/>
                <w:sz w:val="20"/>
              </w:rPr>
              <w:t>土壌から</w:t>
            </w:r>
            <w:proofErr w:type="spellEnd"/>
          </w:p>
        </w:tc>
        <w:tc>
          <w:tcPr>
            <w:tcW w:w="4960" w:type="dxa"/>
            <w:tcBorders>
              <w:top w:val="nil"/>
              <w:bottom w:val="nil"/>
            </w:tcBorders>
            <w:shd w:val="clear" w:color="auto" w:fill="F1F1F1"/>
          </w:tcPr>
          <w:p w14:paraId="00233D9F" w14:textId="77777777" w:rsidR="00410BDF" w:rsidRDefault="00CF7372">
            <w:pPr>
              <w:pStyle w:val="TableParagraph"/>
              <w:spacing w:before="8"/>
              <w:ind w:left="106"/>
              <w:rPr>
                <w:sz w:val="20"/>
                <w:lang w:eastAsia="ja-JP"/>
              </w:rPr>
            </w:pPr>
            <w:r>
              <w:rPr>
                <w:sz w:val="20"/>
                <w:lang w:eastAsia="ja-JP"/>
              </w:rPr>
              <w:t>圧縮を避けるため、特に湿潤状態では減少する</w:t>
            </w:r>
          </w:p>
          <w:p w14:paraId="62FFB0D6" w14:textId="77777777" w:rsidR="00410BDF" w:rsidRDefault="00CF7372">
            <w:pPr>
              <w:pStyle w:val="TableParagraph"/>
              <w:spacing w:before="34" w:line="227" w:lineRule="exact"/>
              <w:ind w:left="106"/>
              <w:rPr>
                <w:sz w:val="20"/>
              </w:rPr>
            </w:pPr>
            <w:r>
              <w:rPr>
                <w:sz w:val="20"/>
                <w:lang w:eastAsia="ja-JP"/>
              </w:rPr>
              <w:t xml:space="preserve">土壌;管理された交通計画を用いることができる。 </w:t>
            </w:r>
            <w:r>
              <w:rPr>
                <w:sz w:val="20"/>
              </w:rPr>
              <w:t>用</w:t>
            </w:r>
          </w:p>
        </w:tc>
        <w:tc>
          <w:tcPr>
            <w:tcW w:w="673" w:type="dxa"/>
            <w:tcBorders>
              <w:top w:val="nil"/>
              <w:bottom w:val="nil"/>
            </w:tcBorders>
            <w:shd w:val="clear" w:color="auto" w:fill="F1F1F1"/>
          </w:tcPr>
          <w:p w14:paraId="062FE4CD" w14:textId="77777777" w:rsidR="00410BDF" w:rsidRDefault="00410BDF">
            <w:pPr>
              <w:pStyle w:val="TableParagraph"/>
              <w:spacing w:before="4"/>
              <w:rPr>
                <w:sz w:val="17"/>
              </w:rPr>
            </w:pPr>
          </w:p>
          <w:p w14:paraId="76695347" w14:textId="77777777" w:rsidR="00410BDF" w:rsidRDefault="00CF7372">
            <w:pPr>
              <w:pStyle w:val="TableParagraph"/>
              <w:spacing w:before="1"/>
              <w:ind w:left="279"/>
              <w:rPr>
                <w:sz w:val="20"/>
              </w:rPr>
            </w:pPr>
            <w:r>
              <w:rPr>
                <w:w w:val="99"/>
                <w:sz w:val="20"/>
              </w:rPr>
              <w:t>√</w:t>
            </w:r>
          </w:p>
        </w:tc>
        <w:tc>
          <w:tcPr>
            <w:tcW w:w="746" w:type="dxa"/>
            <w:vMerge/>
            <w:tcBorders>
              <w:top w:val="nil"/>
            </w:tcBorders>
            <w:shd w:val="clear" w:color="auto" w:fill="F1F1F1"/>
          </w:tcPr>
          <w:p w14:paraId="41ACBD95" w14:textId="77777777" w:rsidR="00410BDF" w:rsidRDefault="00410BDF">
            <w:pPr>
              <w:rPr>
                <w:sz w:val="2"/>
                <w:szCs w:val="2"/>
              </w:rPr>
            </w:pPr>
          </w:p>
        </w:tc>
        <w:tc>
          <w:tcPr>
            <w:tcW w:w="985" w:type="dxa"/>
            <w:tcBorders>
              <w:top w:val="nil"/>
              <w:bottom w:val="nil"/>
            </w:tcBorders>
            <w:shd w:val="clear" w:color="auto" w:fill="F1F1F1"/>
          </w:tcPr>
          <w:p w14:paraId="1AF1E176" w14:textId="77777777" w:rsidR="00410BDF" w:rsidRDefault="00410BDF">
            <w:pPr>
              <w:pStyle w:val="TableParagraph"/>
              <w:spacing w:before="4"/>
              <w:rPr>
                <w:sz w:val="17"/>
              </w:rPr>
            </w:pPr>
          </w:p>
          <w:p w14:paraId="4C6327A9" w14:textId="77777777" w:rsidR="00410BDF" w:rsidRDefault="00CF7372">
            <w:pPr>
              <w:pStyle w:val="TableParagraph"/>
              <w:spacing w:before="1"/>
              <w:jc w:val="center"/>
              <w:rPr>
                <w:sz w:val="20"/>
              </w:rPr>
            </w:pPr>
            <w:r>
              <w:rPr>
                <w:w w:val="99"/>
                <w:sz w:val="20"/>
              </w:rPr>
              <w:t>√</w:t>
            </w:r>
          </w:p>
        </w:tc>
        <w:tc>
          <w:tcPr>
            <w:tcW w:w="114" w:type="dxa"/>
            <w:vMerge/>
            <w:tcBorders>
              <w:top w:val="nil"/>
              <w:bottom w:val="nil"/>
            </w:tcBorders>
          </w:tcPr>
          <w:p w14:paraId="12F5564A" w14:textId="77777777" w:rsidR="00410BDF" w:rsidRDefault="00410BDF">
            <w:pPr>
              <w:rPr>
                <w:sz w:val="2"/>
                <w:szCs w:val="2"/>
              </w:rPr>
            </w:pPr>
          </w:p>
        </w:tc>
      </w:tr>
      <w:tr w:rsidR="00410BDF" w14:paraId="39D5AF81" w14:textId="77777777">
        <w:trPr>
          <w:trHeight w:val="255"/>
        </w:trPr>
        <w:tc>
          <w:tcPr>
            <w:tcW w:w="113" w:type="dxa"/>
            <w:vMerge/>
            <w:tcBorders>
              <w:top w:val="nil"/>
              <w:bottom w:val="nil"/>
            </w:tcBorders>
          </w:tcPr>
          <w:p w14:paraId="28385ED4" w14:textId="77777777" w:rsidR="00410BDF" w:rsidRDefault="00410BDF">
            <w:pPr>
              <w:rPr>
                <w:sz w:val="2"/>
                <w:szCs w:val="2"/>
              </w:rPr>
            </w:pPr>
          </w:p>
        </w:tc>
        <w:tc>
          <w:tcPr>
            <w:tcW w:w="1767" w:type="dxa"/>
            <w:tcBorders>
              <w:top w:val="nil"/>
              <w:bottom w:val="nil"/>
            </w:tcBorders>
            <w:shd w:val="clear" w:color="auto" w:fill="F1F1F1"/>
          </w:tcPr>
          <w:p w14:paraId="159AAF81" w14:textId="77777777" w:rsidR="00410BDF" w:rsidRDefault="00CF7372">
            <w:pPr>
              <w:pStyle w:val="TableParagraph"/>
              <w:spacing w:before="9" w:line="226" w:lineRule="exact"/>
              <w:ind w:left="107"/>
              <w:rPr>
                <w:b/>
                <w:sz w:val="20"/>
              </w:rPr>
            </w:pPr>
            <w:proofErr w:type="spellStart"/>
            <w:r>
              <w:rPr>
                <w:b/>
                <w:sz w:val="20"/>
              </w:rPr>
              <w:t>土を維持する</w:t>
            </w:r>
            <w:proofErr w:type="spellEnd"/>
          </w:p>
        </w:tc>
        <w:tc>
          <w:tcPr>
            <w:tcW w:w="4960" w:type="dxa"/>
            <w:tcBorders>
              <w:top w:val="nil"/>
              <w:bottom w:val="nil"/>
            </w:tcBorders>
            <w:shd w:val="clear" w:color="auto" w:fill="F1F1F1"/>
          </w:tcPr>
          <w:p w14:paraId="6A4B9C16" w14:textId="77777777" w:rsidR="00410BDF" w:rsidRDefault="00CF7372">
            <w:pPr>
              <w:pStyle w:val="TableParagraph"/>
              <w:spacing w:before="9" w:line="226" w:lineRule="exact"/>
              <w:ind w:left="106"/>
              <w:rPr>
                <w:sz w:val="20"/>
                <w:lang w:eastAsia="ja-JP"/>
              </w:rPr>
            </w:pPr>
            <w:r>
              <w:rPr>
                <w:sz w:val="20"/>
                <w:lang w:eastAsia="ja-JP"/>
              </w:rPr>
              <w:t>最良の長期成績、排水の評価、および</w:t>
            </w:r>
          </w:p>
        </w:tc>
        <w:tc>
          <w:tcPr>
            <w:tcW w:w="673" w:type="dxa"/>
            <w:tcBorders>
              <w:top w:val="nil"/>
              <w:bottom w:val="nil"/>
            </w:tcBorders>
            <w:shd w:val="clear" w:color="auto" w:fill="F1F1F1"/>
          </w:tcPr>
          <w:p w14:paraId="71AFE8FB" w14:textId="77777777" w:rsidR="00410BDF" w:rsidRDefault="00410BDF">
            <w:pPr>
              <w:pStyle w:val="TableParagraph"/>
              <w:rPr>
                <w:rFonts w:ascii="Times New Roman"/>
                <w:sz w:val="18"/>
                <w:lang w:eastAsia="ja-JP"/>
              </w:rPr>
            </w:pPr>
          </w:p>
        </w:tc>
        <w:tc>
          <w:tcPr>
            <w:tcW w:w="746" w:type="dxa"/>
            <w:vMerge/>
            <w:tcBorders>
              <w:top w:val="nil"/>
            </w:tcBorders>
            <w:shd w:val="clear" w:color="auto" w:fill="F1F1F1"/>
          </w:tcPr>
          <w:p w14:paraId="0489E218" w14:textId="77777777" w:rsidR="00410BDF" w:rsidRDefault="00410BDF">
            <w:pPr>
              <w:rPr>
                <w:sz w:val="2"/>
                <w:szCs w:val="2"/>
                <w:lang w:eastAsia="ja-JP"/>
              </w:rPr>
            </w:pPr>
          </w:p>
        </w:tc>
        <w:tc>
          <w:tcPr>
            <w:tcW w:w="985" w:type="dxa"/>
            <w:tcBorders>
              <w:top w:val="nil"/>
              <w:bottom w:val="nil"/>
            </w:tcBorders>
            <w:shd w:val="clear" w:color="auto" w:fill="F1F1F1"/>
          </w:tcPr>
          <w:p w14:paraId="38B35E67" w14:textId="77777777" w:rsidR="00410BDF" w:rsidRDefault="00410BDF">
            <w:pPr>
              <w:pStyle w:val="TableParagraph"/>
              <w:rPr>
                <w:rFonts w:ascii="Times New Roman"/>
                <w:sz w:val="18"/>
                <w:lang w:eastAsia="ja-JP"/>
              </w:rPr>
            </w:pPr>
          </w:p>
        </w:tc>
        <w:tc>
          <w:tcPr>
            <w:tcW w:w="114" w:type="dxa"/>
            <w:vMerge/>
            <w:tcBorders>
              <w:top w:val="nil"/>
              <w:bottom w:val="nil"/>
            </w:tcBorders>
          </w:tcPr>
          <w:p w14:paraId="54396B49" w14:textId="77777777" w:rsidR="00410BDF" w:rsidRDefault="00410BDF">
            <w:pPr>
              <w:rPr>
                <w:sz w:val="2"/>
                <w:szCs w:val="2"/>
                <w:lang w:eastAsia="ja-JP"/>
              </w:rPr>
            </w:pPr>
          </w:p>
        </w:tc>
      </w:tr>
      <w:tr w:rsidR="00410BDF" w14:paraId="74521150" w14:textId="77777777">
        <w:trPr>
          <w:trHeight w:val="253"/>
        </w:trPr>
        <w:tc>
          <w:tcPr>
            <w:tcW w:w="113" w:type="dxa"/>
            <w:vMerge/>
            <w:tcBorders>
              <w:top w:val="nil"/>
              <w:bottom w:val="nil"/>
            </w:tcBorders>
          </w:tcPr>
          <w:p w14:paraId="55BAB57D" w14:textId="77777777" w:rsidR="00410BDF" w:rsidRDefault="00410BDF">
            <w:pPr>
              <w:rPr>
                <w:sz w:val="2"/>
                <w:szCs w:val="2"/>
                <w:lang w:eastAsia="ja-JP"/>
              </w:rPr>
            </w:pPr>
          </w:p>
        </w:tc>
        <w:tc>
          <w:tcPr>
            <w:tcW w:w="1767" w:type="dxa"/>
            <w:tcBorders>
              <w:top w:val="nil"/>
              <w:bottom w:val="nil"/>
            </w:tcBorders>
            <w:shd w:val="clear" w:color="auto" w:fill="F1F1F1"/>
          </w:tcPr>
          <w:p w14:paraId="76D15D24" w14:textId="77777777" w:rsidR="00410BDF" w:rsidRDefault="00CF7372">
            <w:pPr>
              <w:pStyle w:val="TableParagraph"/>
              <w:spacing w:before="8" w:line="226" w:lineRule="exact"/>
              <w:ind w:left="107"/>
              <w:rPr>
                <w:b/>
                <w:sz w:val="20"/>
              </w:rPr>
            </w:pPr>
            <w:proofErr w:type="spellStart"/>
            <w:r>
              <w:rPr>
                <w:b/>
                <w:sz w:val="20"/>
              </w:rPr>
              <w:t>健康と</w:t>
            </w:r>
            <w:proofErr w:type="spellEnd"/>
          </w:p>
        </w:tc>
        <w:tc>
          <w:tcPr>
            <w:tcW w:w="4960" w:type="dxa"/>
            <w:tcBorders>
              <w:top w:val="nil"/>
              <w:bottom w:val="nil"/>
            </w:tcBorders>
            <w:shd w:val="clear" w:color="auto" w:fill="F1F1F1"/>
          </w:tcPr>
          <w:p w14:paraId="58EF1B06" w14:textId="77777777" w:rsidR="00410BDF" w:rsidRDefault="00CF7372">
            <w:pPr>
              <w:pStyle w:val="TableParagraph"/>
              <w:spacing w:before="8" w:line="226" w:lineRule="exact"/>
              <w:ind w:left="106"/>
              <w:rPr>
                <w:sz w:val="20"/>
              </w:rPr>
            </w:pPr>
            <w:proofErr w:type="spellStart"/>
            <w:r>
              <w:rPr>
                <w:sz w:val="20"/>
              </w:rPr>
              <w:t>定期的な改善</w:t>
            </w:r>
            <w:proofErr w:type="spellEnd"/>
          </w:p>
        </w:tc>
        <w:tc>
          <w:tcPr>
            <w:tcW w:w="673" w:type="dxa"/>
            <w:tcBorders>
              <w:top w:val="nil"/>
              <w:bottom w:val="nil"/>
            </w:tcBorders>
            <w:shd w:val="clear" w:color="auto" w:fill="F1F1F1"/>
          </w:tcPr>
          <w:p w14:paraId="67EC9336" w14:textId="77777777" w:rsidR="00410BDF" w:rsidRDefault="00410BDF">
            <w:pPr>
              <w:pStyle w:val="TableParagraph"/>
              <w:rPr>
                <w:rFonts w:ascii="Times New Roman"/>
                <w:sz w:val="18"/>
              </w:rPr>
            </w:pPr>
          </w:p>
        </w:tc>
        <w:tc>
          <w:tcPr>
            <w:tcW w:w="746" w:type="dxa"/>
            <w:vMerge/>
            <w:tcBorders>
              <w:top w:val="nil"/>
            </w:tcBorders>
            <w:shd w:val="clear" w:color="auto" w:fill="F1F1F1"/>
          </w:tcPr>
          <w:p w14:paraId="79D87D3E" w14:textId="77777777" w:rsidR="00410BDF" w:rsidRDefault="00410BDF">
            <w:pPr>
              <w:rPr>
                <w:sz w:val="2"/>
                <w:szCs w:val="2"/>
              </w:rPr>
            </w:pPr>
          </w:p>
        </w:tc>
        <w:tc>
          <w:tcPr>
            <w:tcW w:w="985" w:type="dxa"/>
            <w:tcBorders>
              <w:top w:val="nil"/>
              <w:bottom w:val="nil"/>
            </w:tcBorders>
            <w:shd w:val="clear" w:color="auto" w:fill="F1F1F1"/>
          </w:tcPr>
          <w:p w14:paraId="0149B2AE" w14:textId="77777777" w:rsidR="00410BDF" w:rsidRDefault="00410BDF">
            <w:pPr>
              <w:pStyle w:val="TableParagraph"/>
              <w:rPr>
                <w:rFonts w:ascii="Times New Roman"/>
                <w:sz w:val="18"/>
              </w:rPr>
            </w:pPr>
          </w:p>
        </w:tc>
        <w:tc>
          <w:tcPr>
            <w:tcW w:w="114" w:type="dxa"/>
            <w:vMerge/>
            <w:tcBorders>
              <w:top w:val="nil"/>
              <w:bottom w:val="nil"/>
            </w:tcBorders>
          </w:tcPr>
          <w:p w14:paraId="03587A22" w14:textId="77777777" w:rsidR="00410BDF" w:rsidRDefault="00410BDF">
            <w:pPr>
              <w:rPr>
                <w:sz w:val="2"/>
                <w:szCs w:val="2"/>
              </w:rPr>
            </w:pPr>
          </w:p>
        </w:tc>
      </w:tr>
      <w:tr w:rsidR="00410BDF" w14:paraId="4BB4EF9B" w14:textId="77777777">
        <w:trPr>
          <w:trHeight w:val="254"/>
        </w:trPr>
        <w:tc>
          <w:tcPr>
            <w:tcW w:w="113" w:type="dxa"/>
            <w:vMerge/>
            <w:tcBorders>
              <w:top w:val="nil"/>
              <w:bottom w:val="nil"/>
            </w:tcBorders>
          </w:tcPr>
          <w:p w14:paraId="0B6F20C9" w14:textId="77777777" w:rsidR="00410BDF" w:rsidRDefault="00410BDF">
            <w:pPr>
              <w:rPr>
                <w:sz w:val="2"/>
                <w:szCs w:val="2"/>
              </w:rPr>
            </w:pPr>
          </w:p>
        </w:tc>
        <w:tc>
          <w:tcPr>
            <w:tcW w:w="1767" w:type="dxa"/>
            <w:tcBorders>
              <w:top w:val="nil"/>
              <w:bottom w:val="nil"/>
            </w:tcBorders>
            <w:shd w:val="clear" w:color="auto" w:fill="F1F1F1"/>
          </w:tcPr>
          <w:p w14:paraId="414976D7" w14:textId="77777777" w:rsidR="00410BDF" w:rsidRDefault="00CF7372">
            <w:pPr>
              <w:pStyle w:val="TableParagraph"/>
              <w:spacing w:before="8" w:line="226" w:lineRule="exact"/>
              <w:ind w:left="107"/>
              <w:rPr>
                <w:b/>
                <w:sz w:val="20"/>
              </w:rPr>
            </w:pPr>
            <w:proofErr w:type="spellStart"/>
            <w:r>
              <w:rPr>
                <w:b/>
                <w:sz w:val="20"/>
              </w:rPr>
              <w:t>農業</w:t>
            </w:r>
            <w:proofErr w:type="spellEnd"/>
          </w:p>
        </w:tc>
        <w:tc>
          <w:tcPr>
            <w:tcW w:w="4960" w:type="dxa"/>
            <w:tcBorders>
              <w:top w:val="nil"/>
              <w:bottom w:val="nil"/>
            </w:tcBorders>
            <w:shd w:val="clear" w:color="auto" w:fill="F1F1F1"/>
          </w:tcPr>
          <w:p w14:paraId="3A60FC4F" w14:textId="77777777" w:rsidR="00410BDF" w:rsidRDefault="00410BDF">
            <w:pPr>
              <w:pStyle w:val="TableParagraph"/>
              <w:rPr>
                <w:rFonts w:ascii="Times New Roman"/>
                <w:sz w:val="18"/>
              </w:rPr>
            </w:pPr>
          </w:p>
        </w:tc>
        <w:tc>
          <w:tcPr>
            <w:tcW w:w="673" w:type="dxa"/>
            <w:tcBorders>
              <w:top w:val="nil"/>
              <w:bottom w:val="nil"/>
            </w:tcBorders>
            <w:shd w:val="clear" w:color="auto" w:fill="F1F1F1"/>
          </w:tcPr>
          <w:p w14:paraId="35BC3340" w14:textId="77777777" w:rsidR="00410BDF" w:rsidRDefault="00410BDF">
            <w:pPr>
              <w:pStyle w:val="TableParagraph"/>
              <w:rPr>
                <w:rFonts w:ascii="Times New Roman"/>
                <w:sz w:val="18"/>
              </w:rPr>
            </w:pPr>
          </w:p>
        </w:tc>
        <w:tc>
          <w:tcPr>
            <w:tcW w:w="746" w:type="dxa"/>
            <w:vMerge/>
            <w:tcBorders>
              <w:top w:val="nil"/>
            </w:tcBorders>
            <w:shd w:val="clear" w:color="auto" w:fill="F1F1F1"/>
          </w:tcPr>
          <w:p w14:paraId="1006DBD8" w14:textId="77777777" w:rsidR="00410BDF" w:rsidRDefault="00410BDF">
            <w:pPr>
              <w:rPr>
                <w:sz w:val="2"/>
                <w:szCs w:val="2"/>
              </w:rPr>
            </w:pPr>
          </w:p>
        </w:tc>
        <w:tc>
          <w:tcPr>
            <w:tcW w:w="985" w:type="dxa"/>
            <w:tcBorders>
              <w:top w:val="nil"/>
              <w:bottom w:val="nil"/>
            </w:tcBorders>
            <w:shd w:val="clear" w:color="auto" w:fill="F1F1F1"/>
          </w:tcPr>
          <w:p w14:paraId="722CACC8" w14:textId="77777777" w:rsidR="00410BDF" w:rsidRDefault="00410BDF">
            <w:pPr>
              <w:pStyle w:val="TableParagraph"/>
              <w:rPr>
                <w:rFonts w:ascii="Times New Roman"/>
                <w:sz w:val="18"/>
              </w:rPr>
            </w:pPr>
          </w:p>
        </w:tc>
        <w:tc>
          <w:tcPr>
            <w:tcW w:w="114" w:type="dxa"/>
            <w:vMerge/>
            <w:tcBorders>
              <w:top w:val="nil"/>
              <w:bottom w:val="nil"/>
            </w:tcBorders>
          </w:tcPr>
          <w:p w14:paraId="36ED6127" w14:textId="77777777" w:rsidR="00410BDF" w:rsidRDefault="00410BDF">
            <w:pPr>
              <w:rPr>
                <w:sz w:val="2"/>
                <w:szCs w:val="2"/>
              </w:rPr>
            </w:pPr>
          </w:p>
        </w:tc>
      </w:tr>
      <w:tr w:rsidR="00410BDF" w14:paraId="1738E20F" w14:textId="77777777">
        <w:trPr>
          <w:trHeight w:val="512"/>
        </w:trPr>
        <w:tc>
          <w:tcPr>
            <w:tcW w:w="113" w:type="dxa"/>
            <w:vMerge/>
            <w:tcBorders>
              <w:top w:val="nil"/>
              <w:bottom w:val="nil"/>
            </w:tcBorders>
          </w:tcPr>
          <w:p w14:paraId="7758F05C" w14:textId="77777777" w:rsidR="00410BDF" w:rsidRDefault="00410BDF">
            <w:pPr>
              <w:rPr>
                <w:sz w:val="2"/>
                <w:szCs w:val="2"/>
              </w:rPr>
            </w:pPr>
          </w:p>
        </w:tc>
        <w:tc>
          <w:tcPr>
            <w:tcW w:w="1767" w:type="dxa"/>
            <w:tcBorders>
              <w:top w:val="nil"/>
            </w:tcBorders>
            <w:shd w:val="clear" w:color="auto" w:fill="F1F1F1"/>
          </w:tcPr>
          <w:p w14:paraId="2A09FE92" w14:textId="77777777" w:rsidR="00410BDF" w:rsidRDefault="00CF7372">
            <w:pPr>
              <w:pStyle w:val="TableParagraph"/>
              <w:spacing w:before="8"/>
              <w:ind w:left="107"/>
              <w:rPr>
                <w:b/>
                <w:sz w:val="20"/>
              </w:rPr>
            </w:pPr>
            <w:proofErr w:type="spellStart"/>
            <w:r>
              <w:rPr>
                <w:b/>
                <w:sz w:val="20"/>
              </w:rPr>
              <w:t>生産性</w:t>
            </w:r>
            <w:proofErr w:type="spellEnd"/>
          </w:p>
        </w:tc>
        <w:tc>
          <w:tcPr>
            <w:tcW w:w="4960" w:type="dxa"/>
            <w:tcBorders>
              <w:top w:val="nil"/>
            </w:tcBorders>
            <w:shd w:val="clear" w:color="auto" w:fill="F1F1F1"/>
          </w:tcPr>
          <w:p w14:paraId="5C77F856" w14:textId="77777777" w:rsidR="00410BDF" w:rsidRDefault="00410BDF">
            <w:pPr>
              <w:pStyle w:val="TableParagraph"/>
              <w:rPr>
                <w:rFonts w:ascii="Times New Roman"/>
                <w:sz w:val="18"/>
              </w:rPr>
            </w:pPr>
          </w:p>
        </w:tc>
        <w:tc>
          <w:tcPr>
            <w:tcW w:w="673" w:type="dxa"/>
            <w:tcBorders>
              <w:top w:val="nil"/>
            </w:tcBorders>
            <w:shd w:val="clear" w:color="auto" w:fill="F1F1F1"/>
          </w:tcPr>
          <w:p w14:paraId="017ED828" w14:textId="77777777" w:rsidR="00410BDF" w:rsidRDefault="00410BDF">
            <w:pPr>
              <w:pStyle w:val="TableParagraph"/>
              <w:rPr>
                <w:rFonts w:ascii="Times New Roman"/>
                <w:sz w:val="18"/>
              </w:rPr>
            </w:pPr>
          </w:p>
        </w:tc>
        <w:tc>
          <w:tcPr>
            <w:tcW w:w="746" w:type="dxa"/>
            <w:vMerge/>
            <w:tcBorders>
              <w:top w:val="nil"/>
            </w:tcBorders>
            <w:shd w:val="clear" w:color="auto" w:fill="F1F1F1"/>
          </w:tcPr>
          <w:p w14:paraId="7A3732FF" w14:textId="77777777" w:rsidR="00410BDF" w:rsidRDefault="00410BDF">
            <w:pPr>
              <w:rPr>
                <w:sz w:val="2"/>
                <w:szCs w:val="2"/>
              </w:rPr>
            </w:pPr>
          </w:p>
        </w:tc>
        <w:tc>
          <w:tcPr>
            <w:tcW w:w="985" w:type="dxa"/>
            <w:tcBorders>
              <w:top w:val="nil"/>
            </w:tcBorders>
            <w:shd w:val="clear" w:color="auto" w:fill="F1F1F1"/>
          </w:tcPr>
          <w:p w14:paraId="32AC50E2" w14:textId="77777777" w:rsidR="00410BDF" w:rsidRDefault="00410BDF">
            <w:pPr>
              <w:pStyle w:val="TableParagraph"/>
              <w:rPr>
                <w:rFonts w:ascii="Times New Roman"/>
                <w:sz w:val="18"/>
              </w:rPr>
            </w:pPr>
          </w:p>
        </w:tc>
        <w:tc>
          <w:tcPr>
            <w:tcW w:w="114" w:type="dxa"/>
            <w:vMerge/>
            <w:tcBorders>
              <w:top w:val="nil"/>
              <w:bottom w:val="nil"/>
            </w:tcBorders>
          </w:tcPr>
          <w:p w14:paraId="17A7B0DE" w14:textId="77777777" w:rsidR="00410BDF" w:rsidRDefault="00410BDF">
            <w:pPr>
              <w:rPr>
                <w:sz w:val="2"/>
                <w:szCs w:val="2"/>
              </w:rPr>
            </w:pPr>
          </w:p>
        </w:tc>
      </w:tr>
      <w:tr w:rsidR="00410BDF" w14:paraId="30380478" w14:textId="77777777">
        <w:trPr>
          <w:trHeight w:val="1598"/>
        </w:trPr>
        <w:tc>
          <w:tcPr>
            <w:tcW w:w="113" w:type="dxa"/>
            <w:tcBorders>
              <w:top w:val="nil"/>
              <w:bottom w:val="nil"/>
            </w:tcBorders>
          </w:tcPr>
          <w:p w14:paraId="7C450FC5" w14:textId="77777777" w:rsidR="00410BDF" w:rsidRDefault="00410BDF">
            <w:pPr>
              <w:pStyle w:val="TableParagraph"/>
              <w:rPr>
                <w:rFonts w:ascii="Times New Roman"/>
                <w:sz w:val="18"/>
              </w:rPr>
            </w:pPr>
          </w:p>
        </w:tc>
        <w:tc>
          <w:tcPr>
            <w:tcW w:w="1767" w:type="dxa"/>
            <w:shd w:val="clear" w:color="auto" w:fill="F1F1F1"/>
          </w:tcPr>
          <w:p w14:paraId="007AECDC" w14:textId="77777777" w:rsidR="00410BDF" w:rsidRDefault="00410BDF">
            <w:pPr>
              <w:pStyle w:val="TableParagraph"/>
              <w:rPr>
                <w:rFonts w:ascii="Times New Roman"/>
                <w:sz w:val="18"/>
              </w:rPr>
            </w:pPr>
          </w:p>
        </w:tc>
        <w:tc>
          <w:tcPr>
            <w:tcW w:w="4960" w:type="dxa"/>
            <w:shd w:val="clear" w:color="auto" w:fill="F1F1F1"/>
          </w:tcPr>
          <w:p w14:paraId="06DD63CE" w14:textId="77777777" w:rsidR="00410BDF" w:rsidRDefault="00CF7372">
            <w:pPr>
              <w:pStyle w:val="TableParagraph"/>
              <w:spacing w:before="119"/>
              <w:ind w:left="106"/>
              <w:rPr>
                <w:sz w:val="20"/>
              </w:rPr>
            </w:pPr>
            <w:proofErr w:type="spellStart"/>
            <w:r>
              <w:rPr>
                <w:sz w:val="20"/>
              </w:rPr>
              <w:t>炭素に富む土壌の管理</w:t>
            </w:r>
            <w:proofErr w:type="spellEnd"/>
          </w:p>
          <w:p w14:paraId="764A8BEF" w14:textId="77777777" w:rsidR="00410BDF" w:rsidRDefault="00410BDF">
            <w:pPr>
              <w:pStyle w:val="TableParagraph"/>
              <w:spacing w:before="2"/>
              <w:rPr>
                <w:sz w:val="24"/>
              </w:rPr>
            </w:pPr>
          </w:p>
          <w:p w14:paraId="24E73AB6" w14:textId="77777777" w:rsidR="00410BDF" w:rsidRDefault="00CF7372">
            <w:pPr>
              <w:pStyle w:val="TableParagraph"/>
              <w:numPr>
                <w:ilvl w:val="0"/>
                <w:numId w:val="12"/>
              </w:numPr>
              <w:tabs>
                <w:tab w:val="left" w:pos="827"/>
                <w:tab w:val="left" w:pos="828"/>
              </w:tabs>
              <w:spacing w:line="244" w:lineRule="exact"/>
              <w:rPr>
                <w:sz w:val="20"/>
                <w:lang w:eastAsia="ja-JP"/>
              </w:rPr>
            </w:pPr>
            <w:r>
              <w:rPr>
                <w:sz w:val="20"/>
                <w:lang w:eastAsia="ja-JP"/>
              </w:rPr>
              <w:t>炭素の豊富な土壌での深耕の回避</w:t>
            </w:r>
          </w:p>
          <w:p w14:paraId="55C4231F" w14:textId="4A246A53" w:rsidR="00410BDF" w:rsidRDefault="00F42407">
            <w:pPr>
              <w:pStyle w:val="TableParagraph"/>
              <w:numPr>
                <w:ilvl w:val="0"/>
                <w:numId w:val="12"/>
              </w:numPr>
              <w:tabs>
                <w:tab w:val="left" w:pos="827"/>
                <w:tab w:val="left" w:pos="828"/>
              </w:tabs>
              <w:spacing w:line="244" w:lineRule="exact"/>
              <w:rPr>
                <w:sz w:val="20"/>
                <w:lang w:eastAsia="ja-JP"/>
              </w:rPr>
            </w:pPr>
            <w:r>
              <w:rPr>
                <w:rFonts w:hint="eastAsia"/>
                <w:sz w:val="20"/>
                <w:lang w:eastAsia="ja-JP"/>
              </w:rPr>
              <w:t>畝立て</w:t>
            </w:r>
            <w:r w:rsidR="00CF7372">
              <w:rPr>
                <w:sz w:val="20"/>
                <w:lang w:eastAsia="ja-JP"/>
              </w:rPr>
              <w:t>作物や塊茎の回避</w:t>
            </w:r>
          </w:p>
          <w:p w14:paraId="60842F48" w14:textId="77777777" w:rsidR="00410BDF" w:rsidRDefault="00CF7372">
            <w:pPr>
              <w:pStyle w:val="TableParagraph"/>
              <w:numPr>
                <w:ilvl w:val="0"/>
                <w:numId w:val="12"/>
              </w:numPr>
              <w:tabs>
                <w:tab w:val="left" w:pos="827"/>
                <w:tab w:val="left" w:pos="828"/>
              </w:tabs>
              <w:spacing w:line="244" w:lineRule="exact"/>
              <w:rPr>
                <w:sz w:val="20"/>
              </w:rPr>
            </w:pPr>
            <w:proofErr w:type="spellStart"/>
            <w:r>
              <w:rPr>
                <w:sz w:val="20"/>
              </w:rPr>
              <w:t>浅い水位の維持-泥炭</w:t>
            </w:r>
            <w:proofErr w:type="spellEnd"/>
          </w:p>
          <w:p w14:paraId="4A16C0E3" w14:textId="77777777" w:rsidR="00410BDF" w:rsidRDefault="00CF7372">
            <w:pPr>
              <w:pStyle w:val="TableParagraph"/>
              <w:numPr>
                <w:ilvl w:val="0"/>
                <w:numId w:val="12"/>
              </w:numPr>
              <w:tabs>
                <w:tab w:val="left" w:pos="827"/>
                <w:tab w:val="left" w:pos="828"/>
              </w:tabs>
              <w:spacing w:line="220" w:lineRule="exact"/>
              <w:rPr>
                <w:sz w:val="20"/>
                <w:lang w:eastAsia="ja-JP"/>
              </w:rPr>
            </w:pPr>
            <w:r>
              <w:rPr>
                <w:sz w:val="20"/>
                <w:lang w:eastAsia="ja-JP"/>
              </w:rPr>
              <w:t>浅い地下水の維持-耕地</w:t>
            </w:r>
          </w:p>
        </w:tc>
        <w:tc>
          <w:tcPr>
            <w:tcW w:w="673" w:type="dxa"/>
            <w:shd w:val="clear" w:color="auto" w:fill="F1F1F1"/>
          </w:tcPr>
          <w:p w14:paraId="65F2953C" w14:textId="77777777" w:rsidR="00410BDF" w:rsidRDefault="00410BDF">
            <w:pPr>
              <w:pStyle w:val="TableParagraph"/>
              <w:rPr>
                <w:lang w:eastAsia="ja-JP"/>
              </w:rPr>
            </w:pPr>
          </w:p>
          <w:p w14:paraId="265417A8" w14:textId="77777777" w:rsidR="00410BDF" w:rsidRDefault="00410BDF">
            <w:pPr>
              <w:pStyle w:val="TableParagraph"/>
              <w:rPr>
                <w:lang w:eastAsia="ja-JP"/>
              </w:rPr>
            </w:pPr>
          </w:p>
          <w:p w14:paraId="031C615A" w14:textId="77777777" w:rsidR="00410BDF" w:rsidRDefault="00CF7372">
            <w:pPr>
              <w:pStyle w:val="TableParagraph"/>
              <w:spacing w:before="161"/>
              <w:ind w:left="279"/>
              <w:rPr>
                <w:sz w:val="20"/>
              </w:rPr>
            </w:pPr>
            <w:r>
              <w:rPr>
                <w:w w:val="99"/>
                <w:sz w:val="20"/>
              </w:rPr>
              <w:t>√</w:t>
            </w:r>
          </w:p>
        </w:tc>
        <w:tc>
          <w:tcPr>
            <w:tcW w:w="746" w:type="dxa"/>
            <w:shd w:val="clear" w:color="auto" w:fill="F1F1F1"/>
          </w:tcPr>
          <w:p w14:paraId="72CF5A96" w14:textId="77777777" w:rsidR="00410BDF" w:rsidRDefault="00410BDF">
            <w:pPr>
              <w:pStyle w:val="TableParagraph"/>
              <w:rPr>
                <w:rFonts w:ascii="Times New Roman"/>
                <w:sz w:val="18"/>
              </w:rPr>
            </w:pPr>
          </w:p>
        </w:tc>
        <w:tc>
          <w:tcPr>
            <w:tcW w:w="985" w:type="dxa"/>
            <w:shd w:val="clear" w:color="auto" w:fill="F1F1F1"/>
          </w:tcPr>
          <w:p w14:paraId="17D322BC" w14:textId="77777777" w:rsidR="00410BDF" w:rsidRDefault="00410BDF">
            <w:pPr>
              <w:pStyle w:val="TableParagraph"/>
            </w:pPr>
          </w:p>
          <w:p w14:paraId="19E8429E" w14:textId="77777777" w:rsidR="00410BDF" w:rsidRDefault="00410BDF">
            <w:pPr>
              <w:pStyle w:val="TableParagraph"/>
            </w:pPr>
          </w:p>
          <w:p w14:paraId="7E506356" w14:textId="77777777" w:rsidR="00410BDF" w:rsidRDefault="00CF7372">
            <w:pPr>
              <w:pStyle w:val="TableParagraph"/>
              <w:spacing w:before="161"/>
              <w:jc w:val="center"/>
              <w:rPr>
                <w:sz w:val="20"/>
              </w:rPr>
            </w:pPr>
            <w:r>
              <w:rPr>
                <w:w w:val="99"/>
                <w:sz w:val="20"/>
              </w:rPr>
              <w:t>√</w:t>
            </w:r>
          </w:p>
        </w:tc>
        <w:tc>
          <w:tcPr>
            <w:tcW w:w="114" w:type="dxa"/>
            <w:tcBorders>
              <w:top w:val="nil"/>
              <w:bottom w:val="nil"/>
            </w:tcBorders>
          </w:tcPr>
          <w:p w14:paraId="6CFFE66E" w14:textId="77777777" w:rsidR="00410BDF" w:rsidRDefault="00410BDF">
            <w:pPr>
              <w:pStyle w:val="TableParagraph"/>
              <w:rPr>
                <w:rFonts w:ascii="Times New Roman"/>
                <w:sz w:val="18"/>
              </w:rPr>
            </w:pPr>
          </w:p>
        </w:tc>
      </w:tr>
      <w:tr w:rsidR="00410BDF" w14:paraId="48BE9304" w14:textId="77777777">
        <w:trPr>
          <w:trHeight w:val="625"/>
        </w:trPr>
        <w:tc>
          <w:tcPr>
            <w:tcW w:w="113" w:type="dxa"/>
            <w:tcBorders>
              <w:top w:val="nil"/>
              <w:bottom w:val="nil"/>
            </w:tcBorders>
          </w:tcPr>
          <w:p w14:paraId="701048D5" w14:textId="77777777" w:rsidR="00410BDF" w:rsidRDefault="00410BDF">
            <w:pPr>
              <w:pStyle w:val="TableParagraph"/>
              <w:rPr>
                <w:rFonts w:ascii="Times New Roman"/>
                <w:sz w:val="18"/>
              </w:rPr>
            </w:pPr>
          </w:p>
        </w:tc>
        <w:tc>
          <w:tcPr>
            <w:tcW w:w="1767" w:type="dxa"/>
            <w:shd w:val="clear" w:color="auto" w:fill="F1F1F1"/>
          </w:tcPr>
          <w:p w14:paraId="3BC6FA08" w14:textId="77777777" w:rsidR="00410BDF" w:rsidRDefault="00410BDF">
            <w:pPr>
              <w:pStyle w:val="TableParagraph"/>
              <w:rPr>
                <w:rFonts w:ascii="Times New Roman"/>
                <w:sz w:val="18"/>
              </w:rPr>
            </w:pPr>
          </w:p>
        </w:tc>
        <w:tc>
          <w:tcPr>
            <w:tcW w:w="4960" w:type="dxa"/>
            <w:shd w:val="clear" w:color="auto" w:fill="F1F1F1"/>
          </w:tcPr>
          <w:p w14:paraId="5B72D90D" w14:textId="77777777" w:rsidR="00410BDF" w:rsidRDefault="00CF7372">
            <w:pPr>
              <w:pStyle w:val="TableParagraph"/>
              <w:spacing w:before="122"/>
              <w:ind w:left="106"/>
              <w:rPr>
                <w:sz w:val="20"/>
                <w:lang w:eastAsia="ja-JP"/>
              </w:rPr>
            </w:pPr>
            <w:r>
              <w:rPr>
                <w:sz w:val="20"/>
                <w:lang w:eastAsia="ja-JP"/>
              </w:rPr>
              <w:t>排水された土壌への浸水および圧縮を避ける。</w:t>
            </w:r>
          </w:p>
        </w:tc>
        <w:tc>
          <w:tcPr>
            <w:tcW w:w="673" w:type="dxa"/>
            <w:shd w:val="clear" w:color="auto" w:fill="F1F1F1"/>
          </w:tcPr>
          <w:p w14:paraId="5FFDA0E3" w14:textId="77777777" w:rsidR="00410BDF" w:rsidRDefault="00CF7372">
            <w:pPr>
              <w:pStyle w:val="TableParagraph"/>
              <w:spacing w:before="182"/>
              <w:ind w:left="279"/>
              <w:rPr>
                <w:sz w:val="20"/>
              </w:rPr>
            </w:pPr>
            <w:r>
              <w:rPr>
                <w:w w:val="99"/>
                <w:sz w:val="20"/>
              </w:rPr>
              <w:t>√</w:t>
            </w:r>
          </w:p>
        </w:tc>
        <w:tc>
          <w:tcPr>
            <w:tcW w:w="746" w:type="dxa"/>
            <w:shd w:val="clear" w:color="auto" w:fill="F1F1F1"/>
          </w:tcPr>
          <w:p w14:paraId="20120427" w14:textId="77777777" w:rsidR="00410BDF" w:rsidRDefault="00410BDF">
            <w:pPr>
              <w:pStyle w:val="TableParagraph"/>
              <w:rPr>
                <w:rFonts w:ascii="Times New Roman"/>
                <w:sz w:val="18"/>
              </w:rPr>
            </w:pPr>
          </w:p>
        </w:tc>
        <w:tc>
          <w:tcPr>
            <w:tcW w:w="985" w:type="dxa"/>
            <w:shd w:val="clear" w:color="auto" w:fill="F1F1F1"/>
          </w:tcPr>
          <w:p w14:paraId="6E35FDEB" w14:textId="77777777" w:rsidR="00410BDF" w:rsidRDefault="00410BDF">
            <w:pPr>
              <w:pStyle w:val="TableParagraph"/>
              <w:rPr>
                <w:rFonts w:ascii="Times New Roman"/>
                <w:sz w:val="18"/>
              </w:rPr>
            </w:pPr>
          </w:p>
        </w:tc>
        <w:tc>
          <w:tcPr>
            <w:tcW w:w="114" w:type="dxa"/>
            <w:tcBorders>
              <w:top w:val="nil"/>
              <w:bottom w:val="nil"/>
            </w:tcBorders>
          </w:tcPr>
          <w:p w14:paraId="285B1197" w14:textId="77777777" w:rsidR="00410BDF" w:rsidRDefault="00410BDF">
            <w:pPr>
              <w:pStyle w:val="TableParagraph"/>
              <w:rPr>
                <w:rFonts w:ascii="Times New Roman"/>
                <w:sz w:val="18"/>
              </w:rPr>
            </w:pPr>
          </w:p>
        </w:tc>
      </w:tr>
      <w:tr w:rsidR="00410BDF" w14:paraId="222AAB2C" w14:textId="77777777">
        <w:trPr>
          <w:trHeight w:val="623"/>
        </w:trPr>
        <w:tc>
          <w:tcPr>
            <w:tcW w:w="113" w:type="dxa"/>
            <w:tcBorders>
              <w:top w:val="nil"/>
              <w:bottom w:val="nil"/>
            </w:tcBorders>
          </w:tcPr>
          <w:p w14:paraId="521ACD07" w14:textId="77777777" w:rsidR="00410BDF" w:rsidRDefault="00410BDF">
            <w:pPr>
              <w:pStyle w:val="TableParagraph"/>
              <w:rPr>
                <w:rFonts w:ascii="Times New Roman"/>
                <w:sz w:val="18"/>
              </w:rPr>
            </w:pPr>
          </w:p>
        </w:tc>
        <w:tc>
          <w:tcPr>
            <w:tcW w:w="1767" w:type="dxa"/>
            <w:shd w:val="clear" w:color="auto" w:fill="F1F1F1"/>
          </w:tcPr>
          <w:p w14:paraId="693877CE" w14:textId="77777777" w:rsidR="00410BDF" w:rsidRDefault="00410BDF">
            <w:pPr>
              <w:pStyle w:val="TableParagraph"/>
              <w:rPr>
                <w:rFonts w:ascii="Times New Roman"/>
                <w:sz w:val="18"/>
              </w:rPr>
            </w:pPr>
          </w:p>
        </w:tc>
        <w:tc>
          <w:tcPr>
            <w:tcW w:w="4960" w:type="dxa"/>
            <w:shd w:val="clear" w:color="auto" w:fill="F1F1F1"/>
          </w:tcPr>
          <w:p w14:paraId="36591A1D" w14:textId="77777777" w:rsidR="00410BDF" w:rsidRDefault="00CF7372">
            <w:pPr>
              <w:pStyle w:val="TableParagraph"/>
              <w:spacing w:before="119"/>
              <w:ind w:left="106"/>
              <w:rPr>
                <w:sz w:val="13"/>
              </w:rPr>
            </w:pPr>
            <w:r>
              <w:rPr>
                <w:sz w:val="20"/>
              </w:rPr>
              <w:t>永久草原158の維持</w:t>
            </w:r>
          </w:p>
        </w:tc>
        <w:tc>
          <w:tcPr>
            <w:tcW w:w="673" w:type="dxa"/>
            <w:shd w:val="clear" w:color="auto" w:fill="F1F1F1"/>
          </w:tcPr>
          <w:p w14:paraId="134BA32E" w14:textId="77777777" w:rsidR="00410BDF" w:rsidRDefault="00CF7372">
            <w:pPr>
              <w:pStyle w:val="TableParagraph"/>
              <w:spacing w:before="179"/>
              <w:ind w:left="279"/>
              <w:rPr>
                <w:sz w:val="20"/>
              </w:rPr>
            </w:pPr>
            <w:r>
              <w:rPr>
                <w:w w:val="99"/>
                <w:sz w:val="20"/>
              </w:rPr>
              <w:t>√</w:t>
            </w:r>
          </w:p>
        </w:tc>
        <w:tc>
          <w:tcPr>
            <w:tcW w:w="746" w:type="dxa"/>
            <w:shd w:val="clear" w:color="auto" w:fill="F1F1F1"/>
          </w:tcPr>
          <w:p w14:paraId="57BFCA9D" w14:textId="77777777" w:rsidR="00410BDF" w:rsidRDefault="00CF7372">
            <w:pPr>
              <w:pStyle w:val="TableParagraph"/>
              <w:spacing w:before="179"/>
              <w:ind w:left="2"/>
              <w:jc w:val="center"/>
              <w:rPr>
                <w:sz w:val="20"/>
              </w:rPr>
            </w:pPr>
            <w:r>
              <w:rPr>
                <w:w w:val="99"/>
                <w:sz w:val="20"/>
              </w:rPr>
              <w:t>√</w:t>
            </w:r>
          </w:p>
        </w:tc>
        <w:tc>
          <w:tcPr>
            <w:tcW w:w="985" w:type="dxa"/>
            <w:shd w:val="clear" w:color="auto" w:fill="F1F1F1"/>
          </w:tcPr>
          <w:p w14:paraId="73CCDDFF" w14:textId="77777777" w:rsidR="00410BDF" w:rsidRDefault="00CF7372">
            <w:pPr>
              <w:pStyle w:val="TableParagraph"/>
              <w:spacing w:before="179"/>
              <w:jc w:val="center"/>
              <w:rPr>
                <w:sz w:val="20"/>
              </w:rPr>
            </w:pPr>
            <w:r>
              <w:rPr>
                <w:w w:val="99"/>
                <w:sz w:val="20"/>
              </w:rPr>
              <w:t>√</w:t>
            </w:r>
          </w:p>
        </w:tc>
        <w:tc>
          <w:tcPr>
            <w:tcW w:w="114" w:type="dxa"/>
            <w:tcBorders>
              <w:top w:val="nil"/>
              <w:bottom w:val="nil"/>
            </w:tcBorders>
          </w:tcPr>
          <w:p w14:paraId="156D6E3C" w14:textId="77777777" w:rsidR="00410BDF" w:rsidRDefault="00410BDF">
            <w:pPr>
              <w:pStyle w:val="TableParagraph"/>
              <w:rPr>
                <w:rFonts w:ascii="Times New Roman"/>
                <w:sz w:val="18"/>
              </w:rPr>
            </w:pPr>
          </w:p>
        </w:tc>
      </w:tr>
      <w:tr w:rsidR="00410BDF" w14:paraId="21B18478" w14:textId="77777777">
        <w:trPr>
          <w:trHeight w:val="890"/>
        </w:trPr>
        <w:tc>
          <w:tcPr>
            <w:tcW w:w="113" w:type="dxa"/>
            <w:tcBorders>
              <w:top w:val="nil"/>
              <w:bottom w:val="nil"/>
            </w:tcBorders>
          </w:tcPr>
          <w:p w14:paraId="59F57360" w14:textId="77777777" w:rsidR="00410BDF" w:rsidRDefault="00410BDF">
            <w:pPr>
              <w:pStyle w:val="TableParagraph"/>
              <w:rPr>
                <w:rFonts w:ascii="Times New Roman"/>
                <w:sz w:val="18"/>
              </w:rPr>
            </w:pPr>
          </w:p>
        </w:tc>
        <w:tc>
          <w:tcPr>
            <w:tcW w:w="1767" w:type="dxa"/>
            <w:shd w:val="clear" w:color="auto" w:fill="F1F1F1"/>
          </w:tcPr>
          <w:p w14:paraId="38581326" w14:textId="77777777" w:rsidR="00410BDF" w:rsidRDefault="00410BDF">
            <w:pPr>
              <w:pStyle w:val="TableParagraph"/>
              <w:rPr>
                <w:rFonts w:ascii="Times New Roman"/>
                <w:sz w:val="18"/>
              </w:rPr>
            </w:pPr>
          </w:p>
        </w:tc>
        <w:tc>
          <w:tcPr>
            <w:tcW w:w="4960" w:type="dxa"/>
            <w:shd w:val="clear" w:color="auto" w:fill="F1F1F1"/>
          </w:tcPr>
          <w:p w14:paraId="25E37A83" w14:textId="720FCB2A" w:rsidR="00410BDF" w:rsidRDefault="00CF7372">
            <w:pPr>
              <w:pStyle w:val="TableParagraph"/>
              <w:spacing w:before="119" w:line="278" w:lineRule="auto"/>
              <w:ind w:left="106" w:right="93"/>
              <w:rPr>
                <w:sz w:val="13"/>
              </w:rPr>
            </w:pPr>
            <w:r>
              <w:rPr>
                <w:sz w:val="20"/>
                <w:lang w:eastAsia="ja-JP"/>
              </w:rPr>
              <w:t>当局が植物の健康上の理由により免除を与えている場合を除き、耕作可能な</w:t>
            </w:r>
            <w:r w:rsidR="005E0318">
              <w:rPr>
                <w:rFonts w:hint="eastAsia"/>
                <w:sz w:val="20"/>
                <w:lang w:eastAsia="ja-JP"/>
              </w:rPr>
              <w:t>刈り株</w:t>
            </w:r>
            <w:r>
              <w:rPr>
                <w:sz w:val="20"/>
                <w:lang w:eastAsia="ja-JP"/>
              </w:rPr>
              <w:t>の燃焼は行わない。</w:t>
            </w:r>
            <w:r>
              <w:rPr>
                <w:sz w:val="20"/>
              </w:rPr>
              <w:t>159。</w:t>
            </w:r>
          </w:p>
        </w:tc>
        <w:tc>
          <w:tcPr>
            <w:tcW w:w="673" w:type="dxa"/>
            <w:shd w:val="clear" w:color="auto" w:fill="F1F1F1"/>
          </w:tcPr>
          <w:p w14:paraId="22DFC809" w14:textId="77777777" w:rsidR="00410BDF" w:rsidRDefault="00410BDF">
            <w:pPr>
              <w:pStyle w:val="TableParagraph"/>
              <w:rPr>
                <w:sz w:val="27"/>
              </w:rPr>
            </w:pPr>
          </w:p>
          <w:p w14:paraId="7E09CFF1" w14:textId="77777777" w:rsidR="00410BDF" w:rsidRDefault="00CF7372">
            <w:pPr>
              <w:pStyle w:val="TableParagraph"/>
              <w:spacing w:before="1"/>
              <w:ind w:left="279"/>
              <w:rPr>
                <w:sz w:val="20"/>
              </w:rPr>
            </w:pPr>
            <w:r>
              <w:rPr>
                <w:w w:val="99"/>
                <w:sz w:val="20"/>
              </w:rPr>
              <w:t>√</w:t>
            </w:r>
          </w:p>
        </w:tc>
        <w:tc>
          <w:tcPr>
            <w:tcW w:w="746" w:type="dxa"/>
            <w:shd w:val="clear" w:color="auto" w:fill="F1F1F1"/>
          </w:tcPr>
          <w:p w14:paraId="597B461D" w14:textId="77777777" w:rsidR="00410BDF" w:rsidRDefault="00410BDF">
            <w:pPr>
              <w:pStyle w:val="TableParagraph"/>
              <w:rPr>
                <w:rFonts w:ascii="Times New Roman"/>
                <w:sz w:val="18"/>
              </w:rPr>
            </w:pPr>
          </w:p>
        </w:tc>
        <w:tc>
          <w:tcPr>
            <w:tcW w:w="985" w:type="dxa"/>
            <w:shd w:val="clear" w:color="auto" w:fill="F1F1F1"/>
          </w:tcPr>
          <w:p w14:paraId="693DA039" w14:textId="77777777" w:rsidR="00410BDF" w:rsidRDefault="00410BDF">
            <w:pPr>
              <w:pStyle w:val="TableParagraph"/>
              <w:rPr>
                <w:rFonts w:ascii="Times New Roman"/>
                <w:sz w:val="18"/>
              </w:rPr>
            </w:pPr>
          </w:p>
        </w:tc>
        <w:tc>
          <w:tcPr>
            <w:tcW w:w="114" w:type="dxa"/>
            <w:tcBorders>
              <w:top w:val="nil"/>
              <w:bottom w:val="nil"/>
            </w:tcBorders>
          </w:tcPr>
          <w:p w14:paraId="7C3894CD" w14:textId="77777777" w:rsidR="00410BDF" w:rsidRDefault="00410BDF">
            <w:pPr>
              <w:pStyle w:val="TableParagraph"/>
              <w:rPr>
                <w:rFonts w:ascii="Times New Roman"/>
                <w:sz w:val="18"/>
              </w:rPr>
            </w:pPr>
          </w:p>
        </w:tc>
      </w:tr>
      <w:tr w:rsidR="00410BDF" w14:paraId="515AF149" w14:textId="77777777">
        <w:trPr>
          <w:trHeight w:val="2336"/>
        </w:trPr>
        <w:tc>
          <w:tcPr>
            <w:tcW w:w="113" w:type="dxa"/>
            <w:vMerge w:val="restart"/>
            <w:tcBorders>
              <w:top w:val="nil"/>
            </w:tcBorders>
          </w:tcPr>
          <w:p w14:paraId="3233BD25" w14:textId="77777777" w:rsidR="00410BDF" w:rsidRDefault="00410BDF">
            <w:pPr>
              <w:pStyle w:val="TableParagraph"/>
              <w:rPr>
                <w:rFonts w:ascii="Times New Roman"/>
                <w:sz w:val="18"/>
              </w:rPr>
            </w:pPr>
          </w:p>
        </w:tc>
        <w:tc>
          <w:tcPr>
            <w:tcW w:w="1767" w:type="dxa"/>
            <w:tcBorders>
              <w:bottom w:val="nil"/>
            </w:tcBorders>
            <w:shd w:val="clear" w:color="auto" w:fill="F1F1F1"/>
          </w:tcPr>
          <w:p w14:paraId="05EC0E36" w14:textId="77777777" w:rsidR="00410BDF" w:rsidRDefault="00CF7372">
            <w:pPr>
              <w:pStyle w:val="TableParagraph"/>
              <w:spacing w:before="120" w:line="276" w:lineRule="auto"/>
              <w:ind w:left="107"/>
              <w:rPr>
                <w:b/>
                <w:sz w:val="20"/>
                <w:lang w:eastAsia="ja-JP"/>
              </w:rPr>
            </w:pPr>
            <w:r>
              <w:rPr>
                <w:b/>
                <w:sz w:val="20"/>
                <w:lang w:eastAsia="ja-JP"/>
              </w:rPr>
              <w:t>栄養管理(N20排出量削減のため)</w:t>
            </w:r>
          </w:p>
        </w:tc>
        <w:tc>
          <w:tcPr>
            <w:tcW w:w="4960" w:type="dxa"/>
            <w:tcBorders>
              <w:bottom w:val="nil"/>
            </w:tcBorders>
            <w:shd w:val="clear" w:color="auto" w:fill="F1F1F1"/>
          </w:tcPr>
          <w:p w14:paraId="4BE9D1F5" w14:textId="77777777" w:rsidR="00410BDF" w:rsidRDefault="00CF7372">
            <w:pPr>
              <w:pStyle w:val="TableParagraph"/>
              <w:spacing w:before="120" w:line="276" w:lineRule="auto"/>
              <w:ind w:left="106" w:right="119"/>
              <w:rPr>
                <w:sz w:val="20"/>
                <w:lang w:eastAsia="ja-JP"/>
              </w:rPr>
            </w:pPr>
            <w:r>
              <w:rPr>
                <w:sz w:val="20"/>
                <w:lang w:eastAsia="ja-JP"/>
              </w:rPr>
              <w:t>肥沃化を最適化し、窒素利用効率を改善するための栄養管理計画。 計画は、土壌試験、作物の養分要求量の推定、養分施用の記録、野外特性と土壌のタイプを考慮したもの、土壌窒素供給の推定、適用前の肥料養分含量の分析に基づくべきである。</w:t>
            </w:r>
          </w:p>
        </w:tc>
        <w:tc>
          <w:tcPr>
            <w:tcW w:w="673" w:type="dxa"/>
            <w:tcBorders>
              <w:bottom w:val="nil"/>
            </w:tcBorders>
            <w:shd w:val="clear" w:color="auto" w:fill="F1F1F1"/>
          </w:tcPr>
          <w:p w14:paraId="64288183" w14:textId="77777777" w:rsidR="00410BDF" w:rsidRDefault="00410BDF">
            <w:pPr>
              <w:pStyle w:val="TableParagraph"/>
              <w:rPr>
                <w:lang w:eastAsia="ja-JP"/>
              </w:rPr>
            </w:pPr>
          </w:p>
          <w:p w14:paraId="00FD72CF" w14:textId="77777777" w:rsidR="00410BDF" w:rsidRDefault="00410BDF">
            <w:pPr>
              <w:pStyle w:val="TableParagraph"/>
              <w:rPr>
                <w:lang w:eastAsia="ja-JP"/>
              </w:rPr>
            </w:pPr>
          </w:p>
          <w:p w14:paraId="162A181D" w14:textId="77777777" w:rsidR="00410BDF" w:rsidRDefault="00410BDF">
            <w:pPr>
              <w:pStyle w:val="TableParagraph"/>
              <w:rPr>
                <w:lang w:eastAsia="ja-JP"/>
              </w:rPr>
            </w:pPr>
          </w:p>
          <w:p w14:paraId="67EBCAC1" w14:textId="77777777" w:rsidR="00410BDF" w:rsidRDefault="00410BDF">
            <w:pPr>
              <w:pStyle w:val="TableParagraph"/>
              <w:rPr>
                <w:lang w:eastAsia="ja-JP"/>
              </w:rPr>
            </w:pPr>
          </w:p>
          <w:p w14:paraId="5BCE389F" w14:textId="77777777" w:rsidR="00410BDF" w:rsidRDefault="00410BDF">
            <w:pPr>
              <w:pStyle w:val="TableParagraph"/>
              <w:rPr>
                <w:lang w:eastAsia="ja-JP"/>
              </w:rPr>
            </w:pPr>
          </w:p>
          <w:p w14:paraId="115F2081" w14:textId="77777777" w:rsidR="00410BDF" w:rsidRDefault="00410BDF">
            <w:pPr>
              <w:pStyle w:val="TableParagraph"/>
              <w:rPr>
                <w:lang w:eastAsia="ja-JP"/>
              </w:rPr>
            </w:pPr>
          </w:p>
          <w:p w14:paraId="096EA831" w14:textId="77777777" w:rsidR="00410BDF" w:rsidRDefault="00410BDF">
            <w:pPr>
              <w:pStyle w:val="TableParagraph"/>
              <w:spacing w:before="6"/>
              <w:rPr>
                <w:sz w:val="21"/>
                <w:lang w:eastAsia="ja-JP"/>
              </w:rPr>
            </w:pPr>
          </w:p>
          <w:p w14:paraId="75372388" w14:textId="77777777" w:rsidR="00410BDF" w:rsidRDefault="00CF7372">
            <w:pPr>
              <w:pStyle w:val="TableParagraph"/>
              <w:spacing w:before="1"/>
              <w:ind w:left="279"/>
              <w:rPr>
                <w:sz w:val="20"/>
              </w:rPr>
            </w:pPr>
            <w:r>
              <w:rPr>
                <w:w w:val="99"/>
                <w:sz w:val="20"/>
              </w:rPr>
              <w:t>√</w:t>
            </w:r>
          </w:p>
        </w:tc>
        <w:tc>
          <w:tcPr>
            <w:tcW w:w="746" w:type="dxa"/>
            <w:tcBorders>
              <w:bottom w:val="nil"/>
            </w:tcBorders>
            <w:shd w:val="clear" w:color="auto" w:fill="F1F1F1"/>
          </w:tcPr>
          <w:p w14:paraId="5F5B2066" w14:textId="77777777" w:rsidR="00410BDF" w:rsidRDefault="00410BDF">
            <w:pPr>
              <w:pStyle w:val="TableParagraph"/>
            </w:pPr>
          </w:p>
          <w:p w14:paraId="45F6DCF8" w14:textId="77777777" w:rsidR="00410BDF" w:rsidRDefault="00410BDF">
            <w:pPr>
              <w:pStyle w:val="TableParagraph"/>
            </w:pPr>
          </w:p>
          <w:p w14:paraId="2A87EFDC" w14:textId="77777777" w:rsidR="00410BDF" w:rsidRDefault="00410BDF">
            <w:pPr>
              <w:pStyle w:val="TableParagraph"/>
            </w:pPr>
          </w:p>
          <w:p w14:paraId="3C0995A0" w14:textId="77777777" w:rsidR="00410BDF" w:rsidRDefault="00410BDF">
            <w:pPr>
              <w:pStyle w:val="TableParagraph"/>
            </w:pPr>
          </w:p>
          <w:p w14:paraId="56BDF8A2" w14:textId="77777777" w:rsidR="00410BDF" w:rsidRDefault="00410BDF">
            <w:pPr>
              <w:pStyle w:val="TableParagraph"/>
            </w:pPr>
          </w:p>
          <w:p w14:paraId="50F85311" w14:textId="77777777" w:rsidR="00410BDF" w:rsidRDefault="00410BDF">
            <w:pPr>
              <w:pStyle w:val="TableParagraph"/>
            </w:pPr>
          </w:p>
          <w:p w14:paraId="61978273" w14:textId="77777777" w:rsidR="00410BDF" w:rsidRDefault="00410BDF">
            <w:pPr>
              <w:pStyle w:val="TableParagraph"/>
              <w:spacing w:before="6"/>
              <w:rPr>
                <w:sz w:val="21"/>
              </w:rPr>
            </w:pPr>
          </w:p>
          <w:p w14:paraId="0C74565D" w14:textId="77777777" w:rsidR="00410BDF" w:rsidRDefault="00CF7372">
            <w:pPr>
              <w:pStyle w:val="TableParagraph"/>
              <w:spacing w:before="1"/>
              <w:ind w:left="2"/>
              <w:jc w:val="center"/>
              <w:rPr>
                <w:sz w:val="20"/>
              </w:rPr>
            </w:pPr>
            <w:r>
              <w:rPr>
                <w:w w:val="99"/>
                <w:sz w:val="20"/>
              </w:rPr>
              <w:t>√</w:t>
            </w:r>
          </w:p>
        </w:tc>
        <w:tc>
          <w:tcPr>
            <w:tcW w:w="985" w:type="dxa"/>
            <w:tcBorders>
              <w:bottom w:val="nil"/>
            </w:tcBorders>
            <w:shd w:val="clear" w:color="auto" w:fill="F1F1F1"/>
          </w:tcPr>
          <w:p w14:paraId="6621E66E" w14:textId="77777777" w:rsidR="00410BDF" w:rsidRDefault="00410BDF">
            <w:pPr>
              <w:pStyle w:val="TableParagraph"/>
            </w:pPr>
          </w:p>
          <w:p w14:paraId="3D91F017" w14:textId="77777777" w:rsidR="00410BDF" w:rsidRDefault="00410BDF">
            <w:pPr>
              <w:pStyle w:val="TableParagraph"/>
            </w:pPr>
          </w:p>
          <w:p w14:paraId="22B46BF0" w14:textId="77777777" w:rsidR="00410BDF" w:rsidRDefault="00410BDF">
            <w:pPr>
              <w:pStyle w:val="TableParagraph"/>
            </w:pPr>
          </w:p>
          <w:p w14:paraId="7E9D97E5" w14:textId="77777777" w:rsidR="00410BDF" w:rsidRDefault="00410BDF">
            <w:pPr>
              <w:pStyle w:val="TableParagraph"/>
            </w:pPr>
          </w:p>
          <w:p w14:paraId="7ED937DB" w14:textId="77777777" w:rsidR="00410BDF" w:rsidRDefault="00410BDF">
            <w:pPr>
              <w:pStyle w:val="TableParagraph"/>
            </w:pPr>
          </w:p>
          <w:p w14:paraId="6E40BC93" w14:textId="77777777" w:rsidR="00410BDF" w:rsidRDefault="00410BDF">
            <w:pPr>
              <w:pStyle w:val="TableParagraph"/>
            </w:pPr>
          </w:p>
          <w:p w14:paraId="448F4285" w14:textId="77777777" w:rsidR="00410BDF" w:rsidRDefault="00410BDF">
            <w:pPr>
              <w:pStyle w:val="TableParagraph"/>
              <w:spacing w:before="6"/>
              <w:rPr>
                <w:sz w:val="21"/>
              </w:rPr>
            </w:pPr>
          </w:p>
          <w:p w14:paraId="46F7D08B" w14:textId="77777777" w:rsidR="00410BDF" w:rsidRDefault="00CF7372">
            <w:pPr>
              <w:pStyle w:val="TableParagraph"/>
              <w:spacing w:before="1"/>
              <w:jc w:val="center"/>
              <w:rPr>
                <w:sz w:val="20"/>
              </w:rPr>
            </w:pPr>
            <w:r>
              <w:rPr>
                <w:w w:val="99"/>
                <w:sz w:val="20"/>
              </w:rPr>
              <w:t>√</w:t>
            </w:r>
          </w:p>
        </w:tc>
        <w:tc>
          <w:tcPr>
            <w:tcW w:w="114" w:type="dxa"/>
            <w:vMerge w:val="restart"/>
            <w:tcBorders>
              <w:top w:val="nil"/>
            </w:tcBorders>
          </w:tcPr>
          <w:p w14:paraId="2C083160" w14:textId="77777777" w:rsidR="00410BDF" w:rsidRDefault="00410BDF">
            <w:pPr>
              <w:pStyle w:val="TableParagraph"/>
              <w:rPr>
                <w:rFonts w:ascii="Times New Roman"/>
                <w:sz w:val="18"/>
              </w:rPr>
            </w:pPr>
          </w:p>
        </w:tc>
      </w:tr>
      <w:tr w:rsidR="00410BDF" w14:paraId="487A7F9E" w14:textId="77777777">
        <w:trPr>
          <w:trHeight w:val="1452"/>
        </w:trPr>
        <w:tc>
          <w:tcPr>
            <w:tcW w:w="113" w:type="dxa"/>
            <w:vMerge/>
            <w:tcBorders>
              <w:top w:val="nil"/>
            </w:tcBorders>
          </w:tcPr>
          <w:p w14:paraId="28E76D50" w14:textId="77777777" w:rsidR="00410BDF" w:rsidRDefault="00410BDF">
            <w:pPr>
              <w:rPr>
                <w:sz w:val="2"/>
                <w:szCs w:val="2"/>
              </w:rPr>
            </w:pPr>
          </w:p>
        </w:tc>
        <w:tc>
          <w:tcPr>
            <w:tcW w:w="1767" w:type="dxa"/>
            <w:tcBorders>
              <w:top w:val="nil"/>
              <w:bottom w:val="single" w:sz="8" w:space="0" w:color="000000"/>
            </w:tcBorders>
            <w:shd w:val="clear" w:color="auto" w:fill="F1F1F1"/>
          </w:tcPr>
          <w:p w14:paraId="51597033" w14:textId="77777777" w:rsidR="00410BDF" w:rsidRDefault="00410BDF">
            <w:pPr>
              <w:pStyle w:val="TableParagraph"/>
              <w:rPr>
                <w:rFonts w:ascii="Times New Roman"/>
                <w:sz w:val="18"/>
              </w:rPr>
            </w:pPr>
          </w:p>
        </w:tc>
        <w:tc>
          <w:tcPr>
            <w:tcW w:w="4960" w:type="dxa"/>
            <w:tcBorders>
              <w:top w:val="nil"/>
              <w:bottom w:val="single" w:sz="8" w:space="0" w:color="000000"/>
            </w:tcBorders>
            <w:shd w:val="clear" w:color="auto" w:fill="F1F1F1"/>
          </w:tcPr>
          <w:p w14:paraId="6F324212" w14:textId="77777777" w:rsidR="00410BDF" w:rsidRDefault="00CF7372">
            <w:pPr>
              <w:pStyle w:val="TableParagraph"/>
              <w:spacing w:before="129" w:line="276" w:lineRule="auto"/>
              <w:ind w:left="106"/>
              <w:rPr>
                <w:sz w:val="20"/>
                <w:lang w:eastAsia="ja-JP"/>
              </w:rPr>
            </w:pPr>
            <w:r>
              <w:rPr>
                <w:sz w:val="20"/>
                <w:lang w:eastAsia="ja-JP"/>
              </w:rPr>
              <w:t>また、低排出窒素施用技術(散布後2時間以内に土壌に堆肥を取り込むスラリー注入など)や肥料散布量の少ない施肥が求められる。</w:t>
            </w:r>
          </w:p>
          <w:p w14:paraId="761D9BCE" w14:textId="77777777" w:rsidR="00410BDF" w:rsidRDefault="00CF7372">
            <w:pPr>
              <w:pStyle w:val="TableParagraph"/>
              <w:spacing w:line="229" w:lineRule="exact"/>
              <w:ind w:left="106"/>
              <w:rPr>
                <w:sz w:val="20"/>
              </w:rPr>
            </w:pPr>
            <w:proofErr w:type="spellStart"/>
            <w:r>
              <w:rPr>
                <w:sz w:val="20"/>
              </w:rPr>
              <w:t>変動係数</w:t>
            </w:r>
            <w:proofErr w:type="spellEnd"/>
            <w:r>
              <w:rPr>
                <w:sz w:val="20"/>
              </w:rPr>
              <w:t>(</w:t>
            </w:r>
            <w:proofErr w:type="spellStart"/>
            <w:r>
              <w:rPr>
                <w:sz w:val="20"/>
              </w:rPr>
              <w:t>合成肥料</w:t>
            </w:r>
            <w:proofErr w:type="spellEnd"/>
            <w:r>
              <w:rPr>
                <w:sz w:val="20"/>
              </w:rPr>
              <w:t>)</w:t>
            </w:r>
          </w:p>
        </w:tc>
        <w:tc>
          <w:tcPr>
            <w:tcW w:w="673" w:type="dxa"/>
            <w:tcBorders>
              <w:top w:val="nil"/>
              <w:bottom w:val="single" w:sz="8" w:space="0" w:color="000000"/>
            </w:tcBorders>
            <w:shd w:val="clear" w:color="auto" w:fill="F1F1F1"/>
          </w:tcPr>
          <w:p w14:paraId="68EF23FF" w14:textId="77777777" w:rsidR="00410BDF" w:rsidRDefault="00410BDF">
            <w:pPr>
              <w:pStyle w:val="TableParagraph"/>
              <w:rPr>
                <w:rFonts w:ascii="Times New Roman"/>
                <w:sz w:val="18"/>
              </w:rPr>
            </w:pPr>
          </w:p>
        </w:tc>
        <w:tc>
          <w:tcPr>
            <w:tcW w:w="746" w:type="dxa"/>
            <w:tcBorders>
              <w:top w:val="nil"/>
              <w:bottom w:val="single" w:sz="8" w:space="0" w:color="000000"/>
            </w:tcBorders>
            <w:shd w:val="clear" w:color="auto" w:fill="F1F1F1"/>
          </w:tcPr>
          <w:p w14:paraId="3944D8B6" w14:textId="77777777" w:rsidR="00410BDF" w:rsidRDefault="00410BDF">
            <w:pPr>
              <w:pStyle w:val="TableParagraph"/>
              <w:rPr>
                <w:rFonts w:ascii="Times New Roman"/>
                <w:sz w:val="18"/>
              </w:rPr>
            </w:pPr>
          </w:p>
        </w:tc>
        <w:tc>
          <w:tcPr>
            <w:tcW w:w="985" w:type="dxa"/>
            <w:tcBorders>
              <w:top w:val="nil"/>
              <w:bottom w:val="single" w:sz="8" w:space="0" w:color="000000"/>
            </w:tcBorders>
            <w:shd w:val="clear" w:color="auto" w:fill="F1F1F1"/>
          </w:tcPr>
          <w:p w14:paraId="213A8740" w14:textId="77777777" w:rsidR="00410BDF" w:rsidRDefault="00410BDF">
            <w:pPr>
              <w:pStyle w:val="TableParagraph"/>
              <w:rPr>
                <w:rFonts w:ascii="Times New Roman"/>
                <w:sz w:val="18"/>
              </w:rPr>
            </w:pPr>
          </w:p>
        </w:tc>
        <w:tc>
          <w:tcPr>
            <w:tcW w:w="114" w:type="dxa"/>
            <w:vMerge/>
            <w:tcBorders>
              <w:top w:val="nil"/>
            </w:tcBorders>
          </w:tcPr>
          <w:p w14:paraId="5D636084" w14:textId="77777777" w:rsidR="00410BDF" w:rsidRDefault="00410BDF">
            <w:pPr>
              <w:rPr>
                <w:sz w:val="2"/>
                <w:szCs w:val="2"/>
              </w:rPr>
            </w:pPr>
          </w:p>
        </w:tc>
      </w:tr>
    </w:tbl>
    <w:p w14:paraId="1E7EBE2C" w14:textId="77777777" w:rsidR="00410BDF" w:rsidRDefault="00410BDF">
      <w:pPr>
        <w:pStyle w:val="a3"/>
      </w:pPr>
    </w:p>
    <w:p w14:paraId="7F52556E" w14:textId="77777777" w:rsidR="00410BDF" w:rsidRDefault="00410BDF">
      <w:pPr>
        <w:pStyle w:val="a3"/>
      </w:pPr>
    </w:p>
    <w:p w14:paraId="14A446B0" w14:textId="77777777" w:rsidR="00410BDF" w:rsidRDefault="00196192">
      <w:pPr>
        <w:pStyle w:val="a3"/>
        <w:spacing w:before="10"/>
        <w:rPr>
          <w:sz w:val="26"/>
        </w:rPr>
      </w:pPr>
      <w:r>
        <w:rPr>
          <w:noProof/>
          <w:lang w:val="en-US" w:eastAsia="ja-JP"/>
        </w:rPr>
        <mc:AlternateContent>
          <mc:Choice Requires="wps">
            <w:drawing>
              <wp:anchor distT="0" distB="0" distL="0" distR="0" simplePos="0" relativeHeight="251671040" behindDoc="1" locked="0" layoutInCell="1" allowOverlap="1" wp14:anchorId="1A464950" wp14:editId="15774D4B">
                <wp:simplePos x="0" y="0"/>
                <wp:positionH relativeFrom="page">
                  <wp:posOffset>914400</wp:posOffset>
                </wp:positionH>
                <wp:positionV relativeFrom="paragraph">
                  <wp:posOffset>224790</wp:posOffset>
                </wp:positionV>
                <wp:extent cx="1829435" cy="0"/>
                <wp:effectExtent l="9525" t="6985" r="8890" b="12065"/>
                <wp:wrapTopAndBottom/>
                <wp:docPr id="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71F44" id="Line 37"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21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dD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" strokeweight=".16936mm">
                <w10:wrap type="topAndBottom" anchorx="page"/>
              </v:line>
            </w:pict>
          </mc:Fallback>
        </mc:AlternateContent>
      </w:r>
    </w:p>
    <w:p w14:paraId="7D388CCD" w14:textId="77777777" w:rsidR="00410BDF" w:rsidRDefault="00410BDF">
      <w:pPr>
        <w:pStyle w:val="a3"/>
        <w:spacing w:before="10"/>
        <w:rPr>
          <w:sz w:val="16"/>
        </w:rPr>
      </w:pPr>
    </w:p>
    <w:p w14:paraId="7D7E7D85" w14:textId="77777777" w:rsidR="00410BDF" w:rsidRDefault="00CF7372">
      <w:pPr>
        <w:spacing w:before="98"/>
        <w:ind w:left="100"/>
        <w:rPr>
          <w:sz w:val="16"/>
        </w:rPr>
      </w:pPr>
      <w:r>
        <w:rPr>
          <w:position w:val="6"/>
          <w:sz w:val="10"/>
        </w:rPr>
        <w:t>158 COM(2018)392付属書IIIのGAEC 1と一致</w:t>
      </w:r>
    </w:p>
    <w:p w14:paraId="78A24AA1" w14:textId="77777777" w:rsidR="00410BDF" w:rsidRDefault="00410BDF">
      <w:pPr>
        <w:pStyle w:val="a3"/>
        <w:spacing w:before="7"/>
      </w:pPr>
    </w:p>
    <w:p w14:paraId="0515F150" w14:textId="77777777" w:rsidR="00410BDF" w:rsidRDefault="00CF7372">
      <w:pPr>
        <w:ind w:left="100"/>
        <w:rPr>
          <w:sz w:val="16"/>
          <w:lang w:eastAsia="ja-JP"/>
        </w:rPr>
      </w:pPr>
      <w:r>
        <w:rPr>
          <w:position w:val="6"/>
          <w:sz w:val="10"/>
          <w:lang w:eastAsia="ja-JP"/>
        </w:rPr>
        <w:t>EUでは、これはCOM(2018)392の附属書IIIのGAEC 3に沿った免除を与える加盟国と解釈されるべきである。</w:t>
      </w:r>
    </w:p>
    <w:p w14:paraId="35D7300D" w14:textId="77777777" w:rsidR="00410BDF" w:rsidRDefault="00410BDF">
      <w:pPr>
        <w:rPr>
          <w:sz w:val="16"/>
          <w:lang w:eastAsia="ja-JP"/>
        </w:rPr>
        <w:sectPr w:rsidR="00410BD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67"/>
        <w:gridCol w:w="4960"/>
        <w:gridCol w:w="673"/>
        <w:gridCol w:w="746"/>
        <w:gridCol w:w="985"/>
        <w:gridCol w:w="114"/>
      </w:tblGrid>
      <w:tr w:rsidR="00410BDF" w14:paraId="3C8A2863" w14:textId="77777777">
        <w:trPr>
          <w:trHeight w:val="770"/>
        </w:trPr>
        <w:tc>
          <w:tcPr>
            <w:tcW w:w="113" w:type="dxa"/>
            <w:tcBorders>
              <w:bottom w:val="nil"/>
            </w:tcBorders>
          </w:tcPr>
          <w:p w14:paraId="1B5B4016" w14:textId="77777777" w:rsidR="00410BDF" w:rsidRDefault="00410BDF">
            <w:pPr>
              <w:pStyle w:val="TableParagraph"/>
              <w:rPr>
                <w:rFonts w:ascii="Times New Roman"/>
                <w:sz w:val="18"/>
                <w:lang w:eastAsia="ja-JP"/>
              </w:rPr>
            </w:pPr>
          </w:p>
        </w:tc>
        <w:tc>
          <w:tcPr>
            <w:tcW w:w="1767" w:type="dxa"/>
            <w:tcBorders>
              <w:top w:val="single" w:sz="8" w:space="0" w:color="000000"/>
            </w:tcBorders>
            <w:shd w:val="clear" w:color="auto" w:fill="F1F1F1"/>
          </w:tcPr>
          <w:p w14:paraId="16B64BE9" w14:textId="77777777" w:rsidR="00410BDF" w:rsidRDefault="00410BDF">
            <w:pPr>
              <w:pStyle w:val="TableParagraph"/>
              <w:rPr>
                <w:rFonts w:ascii="Times New Roman"/>
                <w:sz w:val="18"/>
                <w:lang w:eastAsia="ja-JP"/>
              </w:rPr>
            </w:pPr>
          </w:p>
        </w:tc>
        <w:tc>
          <w:tcPr>
            <w:tcW w:w="4960" w:type="dxa"/>
            <w:tcBorders>
              <w:top w:val="single" w:sz="8" w:space="0" w:color="000000"/>
            </w:tcBorders>
            <w:shd w:val="clear" w:color="auto" w:fill="F1F1F1"/>
          </w:tcPr>
          <w:p w14:paraId="6A8ADACC" w14:textId="62F2025E" w:rsidR="00410BDF" w:rsidRDefault="00CF7372">
            <w:pPr>
              <w:pStyle w:val="TableParagraph"/>
              <w:spacing w:line="278" w:lineRule="auto"/>
              <w:ind w:left="106"/>
              <w:rPr>
                <w:sz w:val="20"/>
                <w:lang w:eastAsia="ja-JP"/>
              </w:rPr>
            </w:pPr>
            <w:r>
              <w:rPr>
                <w:sz w:val="20"/>
                <w:lang w:eastAsia="ja-JP"/>
              </w:rPr>
              <w:t>農場の肥料(注入による土壌中へのNの投入など)と散布機の</w:t>
            </w:r>
            <w:r w:rsidR="005E0318">
              <w:rPr>
                <w:rFonts w:hint="eastAsia"/>
                <w:sz w:val="20"/>
                <w:lang w:eastAsia="ja-JP"/>
              </w:rPr>
              <w:t>調整</w:t>
            </w:r>
            <w:r>
              <w:rPr>
                <w:sz w:val="20"/>
                <w:lang w:eastAsia="ja-JP"/>
              </w:rPr>
              <w:t>。</w:t>
            </w:r>
          </w:p>
        </w:tc>
        <w:tc>
          <w:tcPr>
            <w:tcW w:w="673" w:type="dxa"/>
            <w:tcBorders>
              <w:top w:val="single" w:sz="8" w:space="0" w:color="000000"/>
            </w:tcBorders>
            <w:shd w:val="clear" w:color="auto" w:fill="F1F1F1"/>
          </w:tcPr>
          <w:p w14:paraId="6BF8A3F1" w14:textId="77777777" w:rsidR="00410BDF" w:rsidRDefault="00410BDF">
            <w:pPr>
              <w:pStyle w:val="TableParagraph"/>
              <w:rPr>
                <w:rFonts w:ascii="Times New Roman"/>
                <w:sz w:val="18"/>
                <w:lang w:eastAsia="ja-JP"/>
              </w:rPr>
            </w:pPr>
          </w:p>
        </w:tc>
        <w:tc>
          <w:tcPr>
            <w:tcW w:w="746" w:type="dxa"/>
            <w:tcBorders>
              <w:top w:val="single" w:sz="8" w:space="0" w:color="000000"/>
            </w:tcBorders>
            <w:shd w:val="clear" w:color="auto" w:fill="F1F1F1"/>
          </w:tcPr>
          <w:p w14:paraId="3CB63A9B" w14:textId="77777777" w:rsidR="00410BDF" w:rsidRDefault="00410BDF">
            <w:pPr>
              <w:pStyle w:val="TableParagraph"/>
              <w:rPr>
                <w:rFonts w:ascii="Times New Roman"/>
                <w:sz w:val="18"/>
                <w:lang w:eastAsia="ja-JP"/>
              </w:rPr>
            </w:pPr>
          </w:p>
        </w:tc>
        <w:tc>
          <w:tcPr>
            <w:tcW w:w="985" w:type="dxa"/>
            <w:tcBorders>
              <w:top w:val="single" w:sz="8" w:space="0" w:color="000000"/>
            </w:tcBorders>
            <w:shd w:val="clear" w:color="auto" w:fill="F1F1F1"/>
          </w:tcPr>
          <w:p w14:paraId="35F30F12" w14:textId="77777777" w:rsidR="00410BDF" w:rsidRDefault="00410BDF">
            <w:pPr>
              <w:pStyle w:val="TableParagraph"/>
              <w:rPr>
                <w:rFonts w:ascii="Times New Roman"/>
                <w:sz w:val="18"/>
                <w:lang w:eastAsia="ja-JP"/>
              </w:rPr>
            </w:pPr>
          </w:p>
        </w:tc>
        <w:tc>
          <w:tcPr>
            <w:tcW w:w="114" w:type="dxa"/>
            <w:tcBorders>
              <w:bottom w:val="nil"/>
            </w:tcBorders>
          </w:tcPr>
          <w:p w14:paraId="4895F94F" w14:textId="77777777" w:rsidR="00410BDF" w:rsidRDefault="00410BDF">
            <w:pPr>
              <w:pStyle w:val="TableParagraph"/>
              <w:rPr>
                <w:rFonts w:ascii="Times New Roman"/>
                <w:sz w:val="18"/>
                <w:lang w:eastAsia="ja-JP"/>
              </w:rPr>
            </w:pPr>
          </w:p>
        </w:tc>
      </w:tr>
      <w:tr w:rsidR="00410BDF" w14:paraId="25B77904" w14:textId="77777777">
        <w:trPr>
          <w:trHeight w:val="887"/>
        </w:trPr>
        <w:tc>
          <w:tcPr>
            <w:tcW w:w="113" w:type="dxa"/>
            <w:tcBorders>
              <w:top w:val="nil"/>
              <w:bottom w:val="nil"/>
            </w:tcBorders>
          </w:tcPr>
          <w:p w14:paraId="1B3C2BE5" w14:textId="77777777" w:rsidR="00410BDF" w:rsidRDefault="00410BDF">
            <w:pPr>
              <w:pStyle w:val="TableParagraph"/>
              <w:rPr>
                <w:rFonts w:ascii="Times New Roman"/>
                <w:sz w:val="18"/>
                <w:lang w:eastAsia="ja-JP"/>
              </w:rPr>
            </w:pPr>
          </w:p>
        </w:tc>
        <w:tc>
          <w:tcPr>
            <w:tcW w:w="1767" w:type="dxa"/>
            <w:shd w:val="clear" w:color="auto" w:fill="F1F1F1"/>
          </w:tcPr>
          <w:p w14:paraId="6E6CA011" w14:textId="77777777" w:rsidR="00410BDF" w:rsidRDefault="00CF7372">
            <w:pPr>
              <w:pStyle w:val="TableParagraph"/>
              <w:spacing w:before="119" w:line="276" w:lineRule="auto"/>
              <w:ind w:left="107" w:right="106"/>
              <w:rPr>
                <w:b/>
                <w:sz w:val="20"/>
              </w:rPr>
            </w:pPr>
            <w:proofErr w:type="spellStart"/>
            <w:r>
              <w:rPr>
                <w:b/>
                <w:sz w:val="20"/>
              </w:rPr>
              <w:t>水稲管理</w:t>
            </w:r>
            <w:proofErr w:type="spellEnd"/>
          </w:p>
        </w:tc>
        <w:tc>
          <w:tcPr>
            <w:tcW w:w="4960" w:type="dxa"/>
            <w:shd w:val="clear" w:color="auto" w:fill="F1F1F1"/>
          </w:tcPr>
          <w:p w14:paraId="5845AF00" w14:textId="4296DD0F" w:rsidR="00410BDF" w:rsidRDefault="00CF7372">
            <w:pPr>
              <w:pStyle w:val="TableParagraph"/>
              <w:spacing w:before="119"/>
              <w:ind w:left="106"/>
              <w:rPr>
                <w:sz w:val="20"/>
              </w:rPr>
            </w:pPr>
            <w:proofErr w:type="spellStart"/>
            <w:r>
              <w:rPr>
                <w:sz w:val="20"/>
              </w:rPr>
              <w:t>浅水</w:t>
            </w:r>
            <w:proofErr w:type="spellEnd"/>
            <w:r w:rsidR="005E0318">
              <w:rPr>
                <w:rFonts w:hint="eastAsia"/>
                <w:sz w:val="20"/>
                <w:lang w:eastAsia="ja-JP"/>
              </w:rPr>
              <w:t>かんがいを行う</w:t>
            </w:r>
          </w:p>
        </w:tc>
        <w:tc>
          <w:tcPr>
            <w:tcW w:w="673" w:type="dxa"/>
            <w:shd w:val="clear" w:color="auto" w:fill="F1F1F1"/>
          </w:tcPr>
          <w:p w14:paraId="0457728A" w14:textId="77777777" w:rsidR="00410BDF" w:rsidRDefault="00410BDF">
            <w:pPr>
              <w:pStyle w:val="TableParagraph"/>
              <w:rPr>
                <w:sz w:val="27"/>
              </w:rPr>
            </w:pPr>
          </w:p>
          <w:p w14:paraId="29D1BBF3" w14:textId="77777777" w:rsidR="00410BDF" w:rsidRDefault="00CF7372">
            <w:pPr>
              <w:pStyle w:val="TableParagraph"/>
              <w:spacing w:before="1"/>
              <w:ind w:left="279"/>
              <w:rPr>
                <w:sz w:val="20"/>
              </w:rPr>
            </w:pPr>
            <w:r>
              <w:rPr>
                <w:w w:val="99"/>
                <w:sz w:val="20"/>
              </w:rPr>
              <w:t>√</w:t>
            </w:r>
          </w:p>
        </w:tc>
        <w:tc>
          <w:tcPr>
            <w:tcW w:w="746" w:type="dxa"/>
            <w:shd w:val="clear" w:color="auto" w:fill="F1F1F1"/>
          </w:tcPr>
          <w:p w14:paraId="6E242C5F" w14:textId="77777777" w:rsidR="00410BDF" w:rsidRDefault="00410BDF">
            <w:pPr>
              <w:pStyle w:val="TableParagraph"/>
              <w:rPr>
                <w:rFonts w:ascii="Times New Roman"/>
                <w:sz w:val="18"/>
              </w:rPr>
            </w:pPr>
          </w:p>
        </w:tc>
        <w:tc>
          <w:tcPr>
            <w:tcW w:w="985" w:type="dxa"/>
            <w:shd w:val="clear" w:color="auto" w:fill="F1F1F1"/>
          </w:tcPr>
          <w:p w14:paraId="7CC72335" w14:textId="77777777" w:rsidR="00410BDF" w:rsidRDefault="00410BDF">
            <w:pPr>
              <w:pStyle w:val="TableParagraph"/>
              <w:rPr>
                <w:rFonts w:ascii="Times New Roman"/>
                <w:sz w:val="18"/>
              </w:rPr>
            </w:pPr>
          </w:p>
        </w:tc>
        <w:tc>
          <w:tcPr>
            <w:tcW w:w="114" w:type="dxa"/>
            <w:tcBorders>
              <w:top w:val="nil"/>
              <w:bottom w:val="nil"/>
            </w:tcBorders>
          </w:tcPr>
          <w:p w14:paraId="7E9E9B44" w14:textId="77777777" w:rsidR="00410BDF" w:rsidRDefault="00410BDF">
            <w:pPr>
              <w:pStyle w:val="TableParagraph"/>
              <w:rPr>
                <w:rFonts w:ascii="Times New Roman"/>
                <w:sz w:val="18"/>
              </w:rPr>
            </w:pPr>
          </w:p>
        </w:tc>
      </w:tr>
      <w:tr w:rsidR="00410BDF" w14:paraId="13B30CDB" w14:textId="77777777">
        <w:trPr>
          <w:trHeight w:val="625"/>
        </w:trPr>
        <w:tc>
          <w:tcPr>
            <w:tcW w:w="113" w:type="dxa"/>
            <w:tcBorders>
              <w:top w:val="nil"/>
              <w:bottom w:val="nil"/>
            </w:tcBorders>
          </w:tcPr>
          <w:p w14:paraId="0AAA44EE" w14:textId="77777777" w:rsidR="00410BDF" w:rsidRDefault="00410BDF">
            <w:pPr>
              <w:pStyle w:val="TableParagraph"/>
              <w:rPr>
                <w:rFonts w:ascii="Times New Roman"/>
                <w:sz w:val="18"/>
              </w:rPr>
            </w:pPr>
          </w:p>
        </w:tc>
        <w:tc>
          <w:tcPr>
            <w:tcW w:w="1767" w:type="dxa"/>
            <w:shd w:val="clear" w:color="auto" w:fill="F1F1F1"/>
          </w:tcPr>
          <w:p w14:paraId="412313F6" w14:textId="77777777" w:rsidR="00410BDF" w:rsidRDefault="00410BDF">
            <w:pPr>
              <w:pStyle w:val="TableParagraph"/>
              <w:rPr>
                <w:rFonts w:ascii="Times New Roman"/>
                <w:sz w:val="18"/>
              </w:rPr>
            </w:pPr>
          </w:p>
        </w:tc>
        <w:tc>
          <w:tcPr>
            <w:tcW w:w="4960" w:type="dxa"/>
            <w:shd w:val="clear" w:color="auto" w:fill="F1F1F1"/>
          </w:tcPr>
          <w:p w14:paraId="79C1925D" w14:textId="77777777" w:rsidR="00410BDF" w:rsidRDefault="00CF7372">
            <w:pPr>
              <w:pStyle w:val="TableParagraph"/>
              <w:spacing w:before="119"/>
              <w:ind w:left="106"/>
              <w:rPr>
                <w:sz w:val="20"/>
              </w:rPr>
            </w:pPr>
            <w:proofErr w:type="spellStart"/>
            <w:r>
              <w:rPr>
                <w:sz w:val="20"/>
              </w:rPr>
              <w:t>中間期の乾燥行事</w:t>
            </w:r>
            <w:proofErr w:type="spellEnd"/>
          </w:p>
        </w:tc>
        <w:tc>
          <w:tcPr>
            <w:tcW w:w="673" w:type="dxa"/>
            <w:shd w:val="clear" w:color="auto" w:fill="F1F1F1"/>
          </w:tcPr>
          <w:p w14:paraId="1218FD5D" w14:textId="77777777" w:rsidR="00410BDF" w:rsidRDefault="00CF7372">
            <w:pPr>
              <w:pStyle w:val="TableParagraph"/>
              <w:spacing w:before="179"/>
              <w:ind w:left="279"/>
              <w:rPr>
                <w:sz w:val="20"/>
              </w:rPr>
            </w:pPr>
            <w:r>
              <w:rPr>
                <w:w w:val="99"/>
                <w:sz w:val="20"/>
              </w:rPr>
              <w:t>√</w:t>
            </w:r>
          </w:p>
        </w:tc>
        <w:tc>
          <w:tcPr>
            <w:tcW w:w="746" w:type="dxa"/>
            <w:shd w:val="clear" w:color="auto" w:fill="F1F1F1"/>
          </w:tcPr>
          <w:p w14:paraId="63BC8AC3" w14:textId="77777777" w:rsidR="00410BDF" w:rsidRDefault="00410BDF">
            <w:pPr>
              <w:pStyle w:val="TableParagraph"/>
              <w:rPr>
                <w:rFonts w:ascii="Times New Roman"/>
                <w:sz w:val="18"/>
              </w:rPr>
            </w:pPr>
          </w:p>
        </w:tc>
        <w:tc>
          <w:tcPr>
            <w:tcW w:w="985" w:type="dxa"/>
            <w:shd w:val="clear" w:color="auto" w:fill="F1F1F1"/>
          </w:tcPr>
          <w:p w14:paraId="53243A99" w14:textId="77777777" w:rsidR="00410BDF" w:rsidRDefault="00410BDF">
            <w:pPr>
              <w:pStyle w:val="TableParagraph"/>
              <w:rPr>
                <w:rFonts w:ascii="Times New Roman"/>
                <w:sz w:val="18"/>
              </w:rPr>
            </w:pPr>
          </w:p>
        </w:tc>
        <w:tc>
          <w:tcPr>
            <w:tcW w:w="114" w:type="dxa"/>
            <w:tcBorders>
              <w:top w:val="nil"/>
              <w:bottom w:val="nil"/>
            </w:tcBorders>
          </w:tcPr>
          <w:p w14:paraId="2FE8DEAB" w14:textId="77777777" w:rsidR="00410BDF" w:rsidRDefault="00410BDF">
            <w:pPr>
              <w:pStyle w:val="TableParagraph"/>
              <w:rPr>
                <w:rFonts w:ascii="Times New Roman"/>
                <w:sz w:val="18"/>
              </w:rPr>
            </w:pPr>
          </w:p>
        </w:tc>
      </w:tr>
      <w:tr w:rsidR="00410BDF" w14:paraId="16A687B1" w14:textId="77777777">
        <w:trPr>
          <w:trHeight w:val="623"/>
        </w:trPr>
        <w:tc>
          <w:tcPr>
            <w:tcW w:w="113" w:type="dxa"/>
            <w:tcBorders>
              <w:top w:val="nil"/>
              <w:bottom w:val="nil"/>
            </w:tcBorders>
          </w:tcPr>
          <w:p w14:paraId="5700F304" w14:textId="77777777" w:rsidR="00410BDF" w:rsidRDefault="00410BDF">
            <w:pPr>
              <w:pStyle w:val="TableParagraph"/>
              <w:rPr>
                <w:rFonts w:ascii="Times New Roman"/>
                <w:sz w:val="18"/>
              </w:rPr>
            </w:pPr>
          </w:p>
        </w:tc>
        <w:tc>
          <w:tcPr>
            <w:tcW w:w="1767" w:type="dxa"/>
            <w:shd w:val="clear" w:color="auto" w:fill="F1F1F1"/>
          </w:tcPr>
          <w:p w14:paraId="5A77C8E7" w14:textId="77777777" w:rsidR="00410BDF" w:rsidRDefault="00410BDF">
            <w:pPr>
              <w:pStyle w:val="TableParagraph"/>
              <w:rPr>
                <w:rFonts w:ascii="Times New Roman"/>
                <w:sz w:val="18"/>
              </w:rPr>
            </w:pPr>
          </w:p>
        </w:tc>
        <w:tc>
          <w:tcPr>
            <w:tcW w:w="4960" w:type="dxa"/>
            <w:shd w:val="clear" w:color="auto" w:fill="F1F1F1"/>
          </w:tcPr>
          <w:p w14:paraId="406327B3" w14:textId="77777777" w:rsidR="00410BDF" w:rsidRDefault="00CF7372">
            <w:pPr>
              <w:pStyle w:val="TableParagraph"/>
              <w:spacing w:before="119"/>
              <w:ind w:left="106"/>
              <w:rPr>
                <w:sz w:val="20"/>
              </w:rPr>
            </w:pPr>
            <w:commentRangeStart w:id="6"/>
            <w:proofErr w:type="spellStart"/>
            <w:r>
              <w:rPr>
                <w:sz w:val="20"/>
              </w:rPr>
              <w:t>季節外わら</w:t>
            </w:r>
            <w:commentRangeEnd w:id="6"/>
            <w:proofErr w:type="spellEnd"/>
            <w:r w:rsidR="005E0318">
              <w:rPr>
                <w:rStyle w:val="a7"/>
              </w:rPr>
              <w:commentReference w:id="6"/>
            </w:r>
          </w:p>
        </w:tc>
        <w:tc>
          <w:tcPr>
            <w:tcW w:w="673" w:type="dxa"/>
            <w:shd w:val="clear" w:color="auto" w:fill="F1F1F1"/>
          </w:tcPr>
          <w:p w14:paraId="36F6D971" w14:textId="77777777" w:rsidR="00410BDF" w:rsidRDefault="00CF7372">
            <w:pPr>
              <w:pStyle w:val="TableParagraph"/>
              <w:spacing w:before="179"/>
              <w:ind w:left="279"/>
              <w:rPr>
                <w:sz w:val="20"/>
              </w:rPr>
            </w:pPr>
            <w:r>
              <w:rPr>
                <w:w w:val="99"/>
                <w:sz w:val="20"/>
              </w:rPr>
              <w:t>√</w:t>
            </w:r>
          </w:p>
        </w:tc>
        <w:tc>
          <w:tcPr>
            <w:tcW w:w="746" w:type="dxa"/>
            <w:shd w:val="clear" w:color="auto" w:fill="F1F1F1"/>
          </w:tcPr>
          <w:p w14:paraId="37008E9B" w14:textId="77777777" w:rsidR="00410BDF" w:rsidRDefault="00410BDF">
            <w:pPr>
              <w:pStyle w:val="TableParagraph"/>
              <w:rPr>
                <w:rFonts w:ascii="Times New Roman"/>
                <w:sz w:val="18"/>
              </w:rPr>
            </w:pPr>
          </w:p>
        </w:tc>
        <w:tc>
          <w:tcPr>
            <w:tcW w:w="985" w:type="dxa"/>
            <w:shd w:val="clear" w:color="auto" w:fill="F1F1F1"/>
          </w:tcPr>
          <w:p w14:paraId="2B6B9FE2" w14:textId="77777777" w:rsidR="00410BDF" w:rsidRDefault="00410BDF">
            <w:pPr>
              <w:pStyle w:val="TableParagraph"/>
              <w:rPr>
                <w:rFonts w:ascii="Times New Roman"/>
                <w:sz w:val="18"/>
              </w:rPr>
            </w:pPr>
          </w:p>
        </w:tc>
        <w:tc>
          <w:tcPr>
            <w:tcW w:w="114" w:type="dxa"/>
            <w:tcBorders>
              <w:top w:val="nil"/>
              <w:bottom w:val="nil"/>
            </w:tcBorders>
          </w:tcPr>
          <w:p w14:paraId="5AE17731" w14:textId="77777777" w:rsidR="00410BDF" w:rsidRDefault="00410BDF">
            <w:pPr>
              <w:pStyle w:val="TableParagraph"/>
              <w:rPr>
                <w:rFonts w:ascii="Times New Roman"/>
                <w:sz w:val="18"/>
              </w:rPr>
            </w:pPr>
          </w:p>
        </w:tc>
      </w:tr>
      <w:tr w:rsidR="00410BDF" w14:paraId="4C0686F0" w14:textId="77777777">
        <w:trPr>
          <w:trHeight w:val="2212"/>
        </w:trPr>
        <w:tc>
          <w:tcPr>
            <w:tcW w:w="113" w:type="dxa"/>
            <w:tcBorders>
              <w:top w:val="nil"/>
              <w:bottom w:val="nil"/>
            </w:tcBorders>
          </w:tcPr>
          <w:p w14:paraId="0DB05291" w14:textId="77777777" w:rsidR="00410BDF" w:rsidRDefault="00410BDF">
            <w:pPr>
              <w:pStyle w:val="TableParagraph"/>
              <w:rPr>
                <w:rFonts w:ascii="Times New Roman"/>
                <w:sz w:val="18"/>
              </w:rPr>
            </w:pPr>
          </w:p>
        </w:tc>
        <w:tc>
          <w:tcPr>
            <w:tcW w:w="1767" w:type="dxa"/>
            <w:shd w:val="clear" w:color="auto" w:fill="F1F1F1"/>
          </w:tcPr>
          <w:p w14:paraId="405C402B" w14:textId="77777777" w:rsidR="00410BDF" w:rsidRDefault="00CF7372">
            <w:pPr>
              <w:pStyle w:val="TableParagraph"/>
              <w:spacing w:before="119" w:line="276" w:lineRule="auto"/>
              <w:ind w:left="107" w:right="106"/>
              <w:rPr>
                <w:b/>
                <w:sz w:val="20"/>
                <w:lang w:eastAsia="ja-JP"/>
              </w:rPr>
            </w:pPr>
            <w:r>
              <w:rPr>
                <w:b/>
                <w:sz w:val="20"/>
                <w:lang w:eastAsia="ja-JP"/>
              </w:rPr>
              <w:t>緩和ポテンシャルを持つ構造的要素(C隔離を増加させるため)</w:t>
            </w:r>
          </w:p>
        </w:tc>
        <w:tc>
          <w:tcPr>
            <w:tcW w:w="4960" w:type="dxa"/>
            <w:shd w:val="clear" w:color="auto" w:fill="F1F1F1"/>
          </w:tcPr>
          <w:p w14:paraId="2E169401" w14:textId="77777777" w:rsidR="00410BDF" w:rsidRDefault="00CF7372">
            <w:pPr>
              <w:pStyle w:val="TableParagraph"/>
              <w:spacing w:before="119" w:line="276" w:lineRule="auto"/>
              <w:ind w:left="106" w:right="138"/>
              <w:rPr>
                <w:sz w:val="20"/>
                <w:lang w:eastAsia="ja-JP"/>
              </w:rPr>
            </w:pPr>
            <w:r>
              <w:rPr>
                <w:sz w:val="20"/>
                <w:lang w:eastAsia="ja-JP"/>
              </w:rPr>
              <w:t>Cの隔離を増やし、土壌浸食から保護するために、生産性の低い土地(例えば、畑の端に沿った)を林地に転換すること。</w:t>
            </w:r>
          </w:p>
        </w:tc>
        <w:tc>
          <w:tcPr>
            <w:tcW w:w="673" w:type="dxa"/>
            <w:shd w:val="clear" w:color="auto" w:fill="F1F1F1"/>
          </w:tcPr>
          <w:p w14:paraId="3338B0CC" w14:textId="77777777" w:rsidR="00410BDF" w:rsidRDefault="00410BDF">
            <w:pPr>
              <w:pStyle w:val="TableParagraph"/>
              <w:rPr>
                <w:rFonts w:ascii="Times New Roman"/>
                <w:sz w:val="18"/>
                <w:lang w:eastAsia="ja-JP"/>
              </w:rPr>
            </w:pPr>
          </w:p>
        </w:tc>
        <w:tc>
          <w:tcPr>
            <w:tcW w:w="746" w:type="dxa"/>
            <w:shd w:val="clear" w:color="auto" w:fill="F1F1F1"/>
          </w:tcPr>
          <w:p w14:paraId="20E3520F" w14:textId="77777777" w:rsidR="00410BDF" w:rsidRDefault="00410BDF">
            <w:pPr>
              <w:pStyle w:val="TableParagraph"/>
              <w:rPr>
                <w:lang w:eastAsia="ja-JP"/>
              </w:rPr>
            </w:pPr>
          </w:p>
          <w:p w14:paraId="4BCFDC05" w14:textId="77777777" w:rsidR="00410BDF" w:rsidRDefault="00410BDF">
            <w:pPr>
              <w:pStyle w:val="TableParagraph"/>
              <w:rPr>
                <w:lang w:eastAsia="ja-JP"/>
              </w:rPr>
            </w:pPr>
          </w:p>
          <w:p w14:paraId="00388C1A" w14:textId="77777777" w:rsidR="00410BDF" w:rsidRDefault="00410BDF">
            <w:pPr>
              <w:pStyle w:val="TableParagraph"/>
              <w:rPr>
                <w:lang w:eastAsia="ja-JP"/>
              </w:rPr>
            </w:pPr>
          </w:p>
          <w:p w14:paraId="14638496" w14:textId="77777777" w:rsidR="00410BDF" w:rsidRDefault="00410BDF">
            <w:pPr>
              <w:pStyle w:val="TableParagraph"/>
              <w:spacing w:before="8"/>
              <w:rPr>
                <w:sz w:val="18"/>
                <w:lang w:eastAsia="ja-JP"/>
              </w:rPr>
            </w:pPr>
          </w:p>
          <w:p w14:paraId="48E21861" w14:textId="77777777" w:rsidR="00410BDF" w:rsidRDefault="00CF7372">
            <w:pPr>
              <w:pStyle w:val="TableParagraph"/>
              <w:ind w:left="2"/>
              <w:jc w:val="center"/>
              <w:rPr>
                <w:sz w:val="20"/>
              </w:rPr>
            </w:pPr>
            <w:r>
              <w:rPr>
                <w:w w:val="99"/>
                <w:sz w:val="20"/>
              </w:rPr>
              <w:t>√</w:t>
            </w:r>
          </w:p>
        </w:tc>
        <w:tc>
          <w:tcPr>
            <w:tcW w:w="985" w:type="dxa"/>
            <w:shd w:val="clear" w:color="auto" w:fill="F1F1F1"/>
          </w:tcPr>
          <w:p w14:paraId="24CE17B0" w14:textId="77777777" w:rsidR="00410BDF" w:rsidRDefault="00410BDF">
            <w:pPr>
              <w:pStyle w:val="TableParagraph"/>
            </w:pPr>
          </w:p>
          <w:p w14:paraId="116F8DD0" w14:textId="77777777" w:rsidR="00410BDF" w:rsidRDefault="00410BDF">
            <w:pPr>
              <w:pStyle w:val="TableParagraph"/>
            </w:pPr>
          </w:p>
          <w:p w14:paraId="7FA013FD" w14:textId="77777777" w:rsidR="00410BDF" w:rsidRDefault="00410BDF">
            <w:pPr>
              <w:pStyle w:val="TableParagraph"/>
            </w:pPr>
          </w:p>
          <w:p w14:paraId="3B2BD04A" w14:textId="77777777" w:rsidR="00410BDF" w:rsidRDefault="00410BDF">
            <w:pPr>
              <w:pStyle w:val="TableParagraph"/>
              <w:spacing w:before="8"/>
              <w:rPr>
                <w:sz w:val="18"/>
              </w:rPr>
            </w:pPr>
          </w:p>
          <w:p w14:paraId="1AE278A2" w14:textId="77777777" w:rsidR="00410BDF" w:rsidRDefault="00CF7372">
            <w:pPr>
              <w:pStyle w:val="TableParagraph"/>
              <w:jc w:val="center"/>
              <w:rPr>
                <w:sz w:val="20"/>
              </w:rPr>
            </w:pPr>
            <w:r>
              <w:rPr>
                <w:w w:val="99"/>
                <w:sz w:val="20"/>
              </w:rPr>
              <w:t>√</w:t>
            </w:r>
          </w:p>
        </w:tc>
        <w:tc>
          <w:tcPr>
            <w:tcW w:w="114" w:type="dxa"/>
            <w:tcBorders>
              <w:top w:val="nil"/>
              <w:bottom w:val="nil"/>
            </w:tcBorders>
          </w:tcPr>
          <w:p w14:paraId="7D3A98D8" w14:textId="77777777" w:rsidR="00410BDF" w:rsidRDefault="00410BDF">
            <w:pPr>
              <w:pStyle w:val="TableParagraph"/>
              <w:rPr>
                <w:rFonts w:ascii="Times New Roman"/>
                <w:sz w:val="18"/>
              </w:rPr>
            </w:pPr>
          </w:p>
        </w:tc>
      </w:tr>
      <w:tr w:rsidR="00410BDF" w14:paraId="3880DF5C" w14:textId="77777777">
        <w:trPr>
          <w:trHeight w:val="887"/>
        </w:trPr>
        <w:tc>
          <w:tcPr>
            <w:tcW w:w="113" w:type="dxa"/>
            <w:tcBorders>
              <w:top w:val="nil"/>
              <w:bottom w:val="nil"/>
            </w:tcBorders>
          </w:tcPr>
          <w:p w14:paraId="31737164" w14:textId="77777777" w:rsidR="00410BDF" w:rsidRDefault="00410BDF">
            <w:pPr>
              <w:pStyle w:val="TableParagraph"/>
              <w:rPr>
                <w:rFonts w:ascii="Times New Roman"/>
                <w:sz w:val="18"/>
              </w:rPr>
            </w:pPr>
          </w:p>
        </w:tc>
        <w:tc>
          <w:tcPr>
            <w:tcW w:w="1767" w:type="dxa"/>
            <w:shd w:val="clear" w:color="auto" w:fill="F1F1F1"/>
          </w:tcPr>
          <w:p w14:paraId="34D1D8C1" w14:textId="77777777" w:rsidR="00410BDF" w:rsidRDefault="00CF7372">
            <w:pPr>
              <w:pStyle w:val="TableParagraph"/>
              <w:spacing w:before="119" w:line="276" w:lineRule="auto"/>
              <w:ind w:left="107" w:right="106"/>
              <w:rPr>
                <w:b/>
                <w:sz w:val="20"/>
              </w:rPr>
            </w:pPr>
            <w:proofErr w:type="spellStart"/>
            <w:r>
              <w:rPr>
                <w:b/>
                <w:sz w:val="20"/>
              </w:rPr>
              <w:t>廃棄物管理</w:t>
            </w:r>
            <w:proofErr w:type="spellEnd"/>
          </w:p>
        </w:tc>
        <w:tc>
          <w:tcPr>
            <w:tcW w:w="4960" w:type="dxa"/>
            <w:shd w:val="clear" w:color="auto" w:fill="F1F1F1"/>
          </w:tcPr>
          <w:p w14:paraId="71752C44" w14:textId="77777777" w:rsidR="00410BDF" w:rsidRDefault="00CF7372">
            <w:pPr>
              <w:pStyle w:val="TableParagraph"/>
              <w:spacing w:before="119"/>
              <w:ind w:left="106"/>
              <w:rPr>
                <w:sz w:val="20"/>
                <w:lang w:eastAsia="ja-JP"/>
              </w:rPr>
            </w:pPr>
            <w:r>
              <w:rPr>
                <w:sz w:val="20"/>
                <w:lang w:eastAsia="ja-JP"/>
              </w:rPr>
              <w:t>収穫後の損失を最小限に抑える</w:t>
            </w:r>
          </w:p>
        </w:tc>
        <w:tc>
          <w:tcPr>
            <w:tcW w:w="673" w:type="dxa"/>
            <w:shd w:val="clear" w:color="auto" w:fill="F1F1F1"/>
          </w:tcPr>
          <w:p w14:paraId="373029D6" w14:textId="77777777" w:rsidR="00410BDF" w:rsidRDefault="00410BDF">
            <w:pPr>
              <w:pStyle w:val="TableParagraph"/>
              <w:rPr>
                <w:sz w:val="27"/>
                <w:lang w:eastAsia="ja-JP"/>
              </w:rPr>
            </w:pPr>
          </w:p>
          <w:p w14:paraId="4DC1B768" w14:textId="77777777" w:rsidR="00410BDF" w:rsidRDefault="00CF7372">
            <w:pPr>
              <w:pStyle w:val="TableParagraph"/>
              <w:spacing w:before="1"/>
              <w:ind w:left="279"/>
              <w:rPr>
                <w:sz w:val="20"/>
              </w:rPr>
            </w:pPr>
            <w:r>
              <w:rPr>
                <w:w w:val="99"/>
                <w:sz w:val="20"/>
              </w:rPr>
              <w:t>√</w:t>
            </w:r>
          </w:p>
        </w:tc>
        <w:tc>
          <w:tcPr>
            <w:tcW w:w="746" w:type="dxa"/>
            <w:shd w:val="clear" w:color="auto" w:fill="F1F1F1"/>
          </w:tcPr>
          <w:p w14:paraId="1BA5E142" w14:textId="77777777" w:rsidR="00410BDF" w:rsidRDefault="00410BDF">
            <w:pPr>
              <w:pStyle w:val="TableParagraph"/>
              <w:rPr>
                <w:rFonts w:ascii="Times New Roman"/>
                <w:sz w:val="18"/>
              </w:rPr>
            </w:pPr>
          </w:p>
        </w:tc>
        <w:tc>
          <w:tcPr>
            <w:tcW w:w="985" w:type="dxa"/>
            <w:shd w:val="clear" w:color="auto" w:fill="F1F1F1"/>
          </w:tcPr>
          <w:p w14:paraId="45BF5799" w14:textId="77777777" w:rsidR="00410BDF" w:rsidRDefault="00410BDF">
            <w:pPr>
              <w:pStyle w:val="TableParagraph"/>
              <w:rPr>
                <w:rFonts w:ascii="Times New Roman"/>
                <w:sz w:val="18"/>
              </w:rPr>
            </w:pPr>
          </w:p>
        </w:tc>
        <w:tc>
          <w:tcPr>
            <w:tcW w:w="114" w:type="dxa"/>
            <w:tcBorders>
              <w:top w:val="nil"/>
              <w:bottom w:val="nil"/>
            </w:tcBorders>
          </w:tcPr>
          <w:p w14:paraId="58907261" w14:textId="77777777" w:rsidR="00410BDF" w:rsidRDefault="00410BDF">
            <w:pPr>
              <w:pStyle w:val="TableParagraph"/>
              <w:rPr>
                <w:rFonts w:ascii="Times New Roman"/>
                <w:sz w:val="18"/>
              </w:rPr>
            </w:pPr>
          </w:p>
        </w:tc>
      </w:tr>
      <w:tr w:rsidR="00410BDF" w14:paraId="239CF98E" w14:textId="77777777">
        <w:trPr>
          <w:trHeight w:val="3271"/>
        </w:trPr>
        <w:tc>
          <w:tcPr>
            <w:tcW w:w="113" w:type="dxa"/>
            <w:tcBorders>
              <w:top w:val="nil"/>
            </w:tcBorders>
          </w:tcPr>
          <w:p w14:paraId="4305AA62" w14:textId="77777777" w:rsidR="00410BDF" w:rsidRDefault="00410BDF">
            <w:pPr>
              <w:pStyle w:val="TableParagraph"/>
              <w:rPr>
                <w:rFonts w:ascii="Times New Roman"/>
                <w:sz w:val="18"/>
              </w:rPr>
            </w:pPr>
          </w:p>
        </w:tc>
        <w:tc>
          <w:tcPr>
            <w:tcW w:w="1767" w:type="dxa"/>
            <w:tcBorders>
              <w:bottom w:val="single" w:sz="8" w:space="0" w:color="000000"/>
            </w:tcBorders>
            <w:shd w:val="clear" w:color="auto" w:fill="F1F1F1"/>
          </w:tcPr>
          <w:p w14:paraId="4B6642E6" w14:textId="77777777" w:rsidR="00410BDF" w:rsidRDefault="00CF7372">
            <w:pPr>
              <w:pStyle w:val="TableParagraph"/>
              <w:spacing w:before="119"/>
              <w:ind w:left="107"/>
              <w:rPr>
                <w:b/>
                <w:sz w:val="20"/>
              </w:rPr>
            </w:pPr>
            <w:proofErr w:type="spellStart"/>
            <w:r>
              <w:rPr>
                <w:b/>
                <w:sz w:val="20"/>
              </w:rPr>
              <w:t>エネルギー使用量</w:t>
            </w:r>
            <w:proofErr w:type="spellEnd"/>
          </w:p>
        </w:tc>
        <w:tc>
          <w:tcPr>
            <w:tcW w:w="4960" w:type="dxa"/>
            <w:tcBorders>
              <w:bottom w:val="single" w:sz="8" w:space="0" w:color="000000"/>
            </w:tcBorders>
            <w:shd w:val="clear" w:color="auto" w:fill="F1F1F1"/>
          </w:tcPr>
          <w:p w14:paraId="2D214E78" w14:textId="77777777" w:rsidR="00410BDF" w:rsidRDefault="00CF7372">
            <w:pPr>
              <w:pStyle w:val="TableParagraph"/>
              <w:spacing w:before="119" w:line="276" w:lineRule="auto"/>
              <w:ind w:left="106" w:right="111"/>
              <w:rPr>
                <w:sz w:val="20"/>
                <w:lang w:eastAsia="ja-JP"/>
              </w:rPr>
            </w:pPr>
            <w:r>
              <w:rPr>
                <w:sz w:val="20"/>
                <w:lang w:eastAsia="ja-JP"/>
              </w:rPr>
              <w:t>非多年生作物生産活動からの総排出量の20%以上をエネルギー排出が占める場合には、これらの排出量は、投資期間中、P11に概説されている軌跡に沿って、適切に投資期間に応じて、すなわち、5年間の投資期間については2020年のベースラインに対して少なくとも10%、2030年までの10年間の投資期間については2020年のベースラインに対して20%、2020年の投資期間については2020年のベースラインに対して30%であるべきであり、中間の投資期間については比例調整を行うべきである。</w:t>
            </w:r>
          </w:p>
        </w:tc>
        <w:tc>
          <w:tcPr>
            <w:tcW w:w="673" w:type="dxa"/>
            <w:tcBorders>
              <w:bottom w:val="single" w:sz="8" w:space="0" w:color="000000"/>
            </w:tcBorders>
            <w:shd w:val="clear" w:color="auto" w:fill="F1F1F1"/>
          </w:tcPr>
          <w:p w14:paraId="71CC0E0F" w14:textId="77777777" w:rsidR="00410BDF" w:rsidRDefault="00410BDF">
            <w:pPr>
              <w:pStyle w:val="TableParagraph"/>
              <w:rPr>
                <w:lang w:eastAsia="ja-JP"/>
              </w:rPr>
            </w:pPr>
          </w:p>
          <w:p w14:paraId="3C4445B1" w14:textId="77777777" w:rsidR="00410BDF" w:rsidRDefault="00410BDF">
            <w:pPr>
              <w:pStyle w:val="TableParagraph"/>
              <w:rPr>
                <w:lang w:eastAsia="ja-JP"/>
              </w:rPr>
            </w:pPr>
          </w:p>
          <w:p w14:paraId="2232750A" w14:textId="77777777" w:rsidR="00410BDF" w:rsidRDefault="00410BDF">
            <w:pPr>
              <w:pStyle w:val="TableParagraph"/>
              <w:rPr>
                <w:lang w:eastAsia="ja-JP"/>
              </w:rPr>
            </w:pPr>
          </w:p>
          <w:p w14:paraId="04C0BD07" w14:textId="77777777" w:rsidR="00410BDF" w:rsidRDefault="00410BDF">
            <w:pPr>
              <w:pStyle w:val="TableParagraph"/>
              <w:rPr>
                <w:lang w:eastAsia="ja-JP"/>
              </w:rPr>
            </w:pPr>
          </w:p>
          <w:p w14:paraId="71207874" w14:textId="77777777" w:rsidR="00410BDF" w:rsidRDefault="00410BDF">
            <w:pPr>
              <w:pStyle w:val="TableParagraph"/>
              <w:rPr>
                <w:lang w:eastAsia="ja-JP"/>
              </w:rPr>
            </w:pPr>
          </w:p>
          <w:p w14:paraId="05B9DBDA" w14:textId="77777777" w:rsidR="00410BDF" w:rsidRDefault="00410BDF">
            <w:pPr>
              <w:pStyle w:val="TableParagraph"/>
              <w:spacing w:before="7"/>
              <w:rPr>
                <w:sz w:val="20"/>
                <w:lang w:eastAsia="ja-JP"/>
              </w:rPr>
            </w:pPr>
          </w:p>
          <w:p w14:paraId="4633E847" w14:textId="77777777" w:rsidR="00410BDF" w:rsidRDefault="00CF7372">
            <w:pPr>
              <w:pStyle w:val="TableParagraph"/>
              <w:ind w:left="279"/>
              <w:rPr>
                <w:sz w:val="20"/>
              </w:rPr>
            </w:pPr>
            <w:r>
              <w:rPr>
                <w:w w:val="99"/>
                <w:sz w:val="20"/>
              </w:rPr>
              <w:t>√</w:t>
            </w:r>
          </w:p>
        </w:tc>
        <w:tc>
          <w:tcPr>
            <w:tcW w:w="746" w:type="dxa"/>
            <w:tcBorders>
              <w:bottom w:val="single" w:sz="8" w:space="0" w:color="000000"/>
            </w:tcBorders>
            <w:shd w:val="clear" w:color="auto" w:fill="F1F1F1"/>
          </w:tcPr>
          <w:p w14:paraId="5062BA78" w14:textId="77777777" w:rsidR="00410BDF" w:rsidRDefault="00410BDF">
            <w:pPr>
              <w:pStyle w:val="TableParagraph"/>
              <w:rPr>
                <w:rFonts w:ascii="Times New Roman"/>
                <w:sz w:val="18"/>
              </w:rPr>
            </w:pPr>
          </w:p>
        </w:tc>
        <w:tc>
          <w:tcPr>
            <w:tcW w:w="985" w:type="dxa"/>
            <w:tcBorders>
              <w:bottom w:val="single" w:sz="8" w:space="0" w:color="000000"/>
            </w:tcBorders>
            <w:shd w:val="clear" w:color="auto" w:fill="F1F1F1"/>
          </w:tcPr>
          <w:p w14:paraId="76985CCA" w14:textId="77777777" w:rsidR="00410BDF" w:rsidRDefault="00410BDF">
            <w:pPr>
              <w:pStyle w:val="TableParagraph"/>
              <w:rPr>
                <w:rFonts w:ascii="Times New Roman"/>
                <w:sz w:val="18"/>
              </w:rPr>
            </w:pPr>
          </w:p>
        </w:tc>
        <w:tc>
          <w:tcPr>
            <w:tcW w:w="114" w:type="dxa"/>
            <w:tcBorders>
              <w:top w:val="nil"/>
            </w:tcBorders>
          </w:tcPr>
          <w:p w14:paraId="4E2CB15C" w14:textId="77777777" w:rsidR="00410BDF" w:rsidRDefault="00410BDF">
            <w:pPr>
              <w:pStyle w:val="TableParagraph"/>
              <w:rPr>
                <w:rFonts w:ascii="Times New Roman"/>
                <w:sz w:val="18"/>
              </w:rPr>
            </w:pPr>
          </w:p>
        </w:tc>
      </w:tr>
      <w:tr w:rsidR="00410BDF" w14:paraId="2486F2EC" w14:textId="77777777">
        <w:trPr>
          <w:trHeight w:val="383"/>
        </w:trPr>
        <w:tc>
          <w:tcPr>
            <w:tcW w:w="9358" w:type="dxa"/>
            <w:gridSpan w:val="7"/>
            <w:tcBorders>
              <w:top w:val="single" w:sz="8" w:space="0" w:color="000000"/>
            </w:tcBorders>
            <w:shd w:val="clear" w:color="auto" w:fill="4471C4"/>
          </w:tcPr>
          <w:p w14:paraId="581E7BF9" w14:textId="77777777" w:rsidR="00410BDF" w:rsidRDefault="00CF7372">
            <w:pPr>
              <w:pStyle w:val="TableParagraph"/>
              <w:spacing w:before="40"/>
              <w:ind w:left="107"/>
              <w:rPr>
                <w:b/>
                <w:sz w:val="20"/>
              </w:rPr>
            </w:pPr>
            <w:proofErr w:type="spellStart"/>
            <w:r>
              <w:rPr>
                <w:b/>
                <w:color w:val="FFFFFF"/>
                <w:sz w:val="20"/>
              </w:rPr>
              <w:t>根拠</w:t>
            </w:r>
            <w:proofErr w:type="spellEnd"/>
          </w:p>
        </w:tc>
      </w:tr>
      <w:tr w:rsidR="00410BDF" w14:paraId="6C12122E" w14:textId="77777777">
        <w:trPr>
          <w:trHeight w:val="2781"/>
        </w:trPr>
        <w:tc>
          <w:tcPr>
            <w:tcW w:w="9358" w:type="dxa"/>
            <w:gridSpan w:val="7"/>
          </w:tcPr>
          <w:p w14:paraId="68221E0D" w14:textId="7951B094" w:rsidR="00410BDF" w:rsidRDefault="00CF7372">
            <w:pPr>
              <w:pStyle w:val="TableParagraph"/>
              <w:spacing w:before="40"/>
              <w:ind w:left="107"/>
              <w:rPr>
                <w:b/>
                <w:sz w:val="20"/>
                <w:lang w:eastAsia="ja-JP"/>
              </w:rPr>
            </w:pPr>
            <w:r>
              <w:rPr>
                <w:b/>
                <w:sz w:val="20"/>
                <w:u w:val="thick"/>
                <w:lang w:eastAsia="ja-JP"/>
              </w:rPr>
              <w:t>実質的な緩和と</w:t>
            </w:r>
            <w:r w:rsidR="00597918">
              <w:rPr>
                <w:b/>
                <w:sz w:val="20"/>
                <w:u w:val="thick"/>
                <w:lang w:eastAsia="ja-JP"/>
              </w:rPr>
              <w:t>正味ゼロ</w:t>
            </w:r>
            <w:r>
              <w:rPr>
                <w:b/>
                <w:sz w:val="20"/>
                <w:u w:val="thick"/>
                <w:lang w:eastAsia="ja-JP"/>
              </w:rPr>
              <w:t>炭素経済への貢献の機会</w:t>
            </w:r>
          </w:p>
          <w:p w14:paraId="7FE7BC26" w14:textId="0E6A340D" w:rsidR="00410BDF" w:rsidRDefault="00B83F9B">
            <w:pPr>
              <w:pStyle w:val="TableParagraph"/>
              <w:spacing w:before="155" w:line="276" w:lineRule="auto"/>
              <w:ind w:left="107" w:right="33"/>
              <w:rPr>
                <w:sz w:val="20"/>
                <w:lang w:eastAsia="ja-JP"/>
              </w:rPr>
            </w:pPr>
            <w:r>
              <w:rPr>
                <w:sz w:val="20"/>
                <w:lang w:eastAsia="ja-JP"/>
              </w:rPr>
              <w:t>タクソノミー</w:t>
            </w:r>
            <w:r w:rsidR="00CF7372">
              <w:rPr>
                <w:sz w:val="20"/>
                <w:lang w:eastAsia="ja-JP"/>
              </w:rPr>
              <w:t>の包括的な目標は、2050年までの</w:t>
            </w:r>
            <w:r w:rsidR="00597918">
              <w:rPr>
                <w:sz w:val="20"/>
                <w:lang w:eastAsia="ja-JP"/>
              </w:rPr>
              <w:t>正味ゼロ</w:t>
            </w:r>
            <w:r w:rsidR="00CF7372">
              <w:rPr>
                <w:sz w:val="20"/>
                <w:lang w:eastAsia="ja-JP"/>
              </w:rPr>
              <w:t>炭素経済という包括的な目標と整合的に、経済活動のスクリーニングが実質的な緩和を達成するか、いつ実施するかを決定できるようにすることである。</w:t>
            </w:r>
          </w:p>
          <w:p w14:paraId="7829FF6D" w14:textId="77777777" w:rsidR="00410BDF" w:rsidRDefault="00410BDF">
            <w:pPr>
              <w:pStyle w:val="TableParagraph"/>
              <w:spacing w:before="3"/>
              <w:rPr>
                <w:sz w:val="18"/>
                <w:lang w:eastAsia="ja-JP"/>
              </w:rPr>
            </w:pPr>
          </w:p>
          <w:p w14:paraId="7E390216" w14:textId="27BEEE49" w:rsidR="00410BDF" w:rsidRDefault="00CF7372">
            <w:pPr>
              <w:pStyle w:val="TableParagraph"/>
              <w:spacing w:line="260" w:lineRule="atLeast"/>
              <w:ind w:left="107"/>
              <w:rPr>
                <w:sz w:val="20"/>
              </w:rPr>
            </w:pPr>
            <w:r>
              <w:rPr>
                <w:sz w:val="20"/>
                <w:lang w:eastAsia="ja-JP"/>
              </w:rPr>
              <w:t xml:space="preserve">農業の文脈では、ネット・ゼロは、GHG排出量をゼロにすることができない場合であっても、農地での(炭素固定による)除去の増加によって補償することができることを保証する手段である。 </w:t>
            </w:r>
            <w:r w:rsidR="00597918">
              <w:rPr>
                <w:sz w:val="20"/>
                <w:lang w:eastAsia="ja-JP"/>
              </w:rPr>
              <w:t>正味ゼロ</w:t>
            </w:r>
            <w:r>
              <w:rPr>
                <w:sz w:val="20"/>
                <w:lang w:eastAsia="ja-JP"/>
              </w:rPr>
              <w:t>が農業だけで満たされるべき(そして満たされる可能性がある)規模についての議論は</w:t>
            </w:r>
            <w:r w:rsidR="00D22611">
              <w:rPr>
                <w:rFonts w:hint="eastAsia"/>
                <w:sz w:val="20"/>
                <w:lang w:eastAsia="ja-JP"/>
              </w:rPr>
              <w:t>継続される</w:t>
            </w:r>
            <w:r>
              <w:rPr>
                <w:sz w:val="20"/>
                <w:lang w:eastAsia="ja-JP"/>
              </w:rPr>
              <w:t>。 すべての場合において、個々の農場で</w:t>
            </w:r>
            <w:r w:rsidR="00597918">
              <w:rPr>
                <w:sz w:val="20"/>
                <w:lang w:eastAsia="ja-JP"/>
              </w:rPr>
              <w:t>正味ゼロ</w:t>
            </w:r>
            <w:r>
              <w:rPr>
                <w:sz w:val="20"/>
                <w:lang w:eastAsia="ja-JP"/>
              </w:rPr>
              <w:t xml:space="preserve">エミッションを達成することは不可能であろう。 他の場合には、それはより実行可能であろう。 </w:t>
            </w:r>
            <w:proofErr w:type="spellStart"/>
            <w:r>
              <w:rPr>
                <w:sz w:val="20"/>
              </w:rPr>
              <w:t>集計レベルでは、次のようにな</w:t>
            </w:r>
            <w:proofErr w:type="spellEnd"/>
            <w:r w:rsidR="00D22611">
              <w:rPr>
                <w:rFonts w:hint="eastAsia"/>
                <w:sz w:val="20"/>
                <w:lang w:eastAsia="ja-JP"/>
              </w:rPr>
              <w:t>る</w:t>
            </w:r>
            <w:r>
              <w:rPr>
                <w:sz w:val="20"/>
              </w:rPr>
              <w:t>。</w:t>
            </w:r>
          </w:p>
        </w:tc>
      </w:tr>
    </w:tbl>
    <w:p w14:paraId="0C506939" w14:textId="77777777" w:rsidR="00410BDF" w:rsidRDefault="00410BDF">
      <w:pPr>
        <w:spacing w:line="260" w:lineRule="atLeast"/>
        <w:rPr>
          <w:sz w:val="20"/>
        </w:rPr>
        <w:sectPr w:rsidR="00410BDF">
          <w:pgSz w:w="12240" w:h="15840"/>
          <w:pgMar w:top="1440" w:right="1320" w:bottom="1560" w:left="1340" w:header="0" w:footer="1372" w:gutter="0"/>
          <w:cols w:space="720"/>
        </w:sectPr>
      </w:pPr>
    </w:p>
    <w:p w14:paraId="03E16296" w14:textId="62C82934" w:rsidR="00410BDF" w:rsidRDefault="00196192">
      <w:pPr>
        <w:pStyle w:val="a3"/>
        <w:spacing w:before="69" w:line="276" w:lineRule="auto"/>
        <w:ind w:left="213" w:right="288"/>
        <w:rPr>
          <w:lang w:eastAsia="ja-JP"/>
        </w:rPr>
      </w:pPr>
      <w:r>
        <w:rPr>
          <w:noProof/>
          <w:lang w:val="en-US" w:eastAsia="ja-JP"/>
        </w:rPr>
        <w:lastRenderedPageBreak/>
        <mc:AlternateContent>
          <mc:Choice Requires="wpg">
            <w:drawing>
              <wp:anchor distT="0" distB="0" distL="114300" distR="114300" simplePos="0" relativeHeight="251650560" behindDoc="1" locked="0" layoutInCell="1" allowOverlap="1" wp14:anchorId="1CDCF7D0" wp14:editId="641B9790">
                <wp:simplePos x="0" y="0"/>
                <wp:positionH relativeFrom="page">
                  <wp:posOffset>914400</wp:posOffset>
                </wp:positionH>
                <wp:positionV relativeFrom="page">
                  <wp:posOffset>914400</wp:posOffset>
                </wp:positionV>
                <wp:extent cx="5944870" cy="7621270"/>
                <wp:effectExtent l="9525" t="9525" r="8255" b="8255"/>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621270"/>
                          <a:chOff x="1440" y="1440"/>
                          <a:chExt cx="9362" cy="12002"/>
                        </a:xfrm>
                      </wpg:grpSpPr>
                      <wps:wsp>
                        <wps:cNvPr id="37" name="Line 36"/>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5" y="1440"/>
                            <a:ext cx="0" cy="119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4"/>
                        <wps:cNvSpPr>
                          <a:spLocks noChangeArrowheads="1"/>
                        </wps:cNvSpPr>
                        <wps:spPr bwMode="auto">
                          <a:xfrm>
                            <a:off x="1440" y="13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3"/>
                        <wps:cNvCnPr>
                          <a:cxnSpLocks noChangeShapeType="1"/>
                        </wps:cNvCnPr>
                        <wps:spPr bwMode="auto">
                          <a:xfrm>
                            <a:off x="1450" y="13437"/>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440"/>
                            <a:ext cx="0" cy="119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1"/>
                        <wps:cNvSpPr>
                          <a:spLocks noChangeArrowheads="1"/>
                        </wps:cNvSpPr>
                        <wps:spPr bwMode="auto">
                          <a:xfrm>
                            <a:off x="10792" y="13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26150" id="Group 30" o:spid="_x0000_s1026" style="position:absolute;left:0;text-align:left;margin-left:1in;margin-top:1in;width:468.1pt;height:600.1pt;z-index:-251665920;mso-position-horizontal-relative:page;mso-position-vertical-relative:page" coordorigin="1440,1440" coordsize="9362,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">
                <v:line id="Line 36"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5" o:spid="_x0000_s1028" style="position:absolute;visibility:visible;mso-wrap-style:square" from="1445,1440" to="1445,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rect id="Rectangle 34" o:spid="_x0000_s1029" style="position:absolute;left:1440;top:13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33" o:spid="_x0000_s1030" style="position:absolute;visibility:visible;mso-wrap-style:square" from="1450,13437" to="10792,1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32" o:spid="_x0000_s1031" style="position:absolute;visibility:visible;mso-wrap-style:square" from="10797,1440" to="10797,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rect id="Rectangle 31" o:spid="_x0000_s1032" style="position:absolute;left:10792;top:13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w10:wrap anchorx="page" anchory="page"/>
              </v:group>
            </w:pict>
          </mc:Fallback>
        </mc:AlternateContent>
      </w:r>
      <w:r w:rsidR="00CF7372">
        <w:rPr>
          <w:lang w:eastAsia="ja-JP"/>
        </w:rPr>
        <w:t>生産システムが集中しており、土地面積が小さい国の中には、農業部門だけではなく国内でも、</w:t>
      </w:r>
      <w:r w:rsidR="00597918">
        <w:rPr>
          <w:lang w:eastAsia="ja-JP"/>
        </w:rPr>
        <w:t>正味ゼロ</w:t>
      </w:r>
      <w:r w:rsidR="00CF7372">
        <w:rPr>
          <w:lang w:eastAsia="ja-JP"/>
        </w:rPr>
        <w:t>・エミッションの達成に苦慮する国もあるかもしれない。 このことは、特定の農場、または農場の集約がどの程度正味ゼロに到達できるか、およびこれらの農場が他の農場または他の部門からの負の排出(隔離)をどの程度適切にすることができるかという問題を提起する。 さらに、農業部門全体での排出削減の一つの機会は、より高い排出活動からより低い排出活動への転換(例えば、人工肥料を用いた従来の生産から有機農法への移行)であり、これに対応して、農産品間の消費の切り替えが行われる。 これらの基準と閾値は、特に非多年生作物生産活動における排出に焦点を当てているが、このタイプの緩和ポテンシャルに対処することはできない。</w:t>
      </w:r>
    </w:p>
    <w:p w14:paraId="788FD4C7" w14:textId="77777777" w:rsidR="00410BDF" w:rsidRDefault="00410BDF">
      <w:pPr>
        <w:pStyle w:val="a3"/>
        <w:spacing w:before="10"/>
        <w:rPr>
          <w:lang w:eastAsia="ja-JP"/>
        </w:rPr>
      </w:pPr>
    </w:p>
    <w:p w14:paraId="40E2D0A7" w14:textId="77777777" w:rsidR="00410BDF" w:rsidRDefault="00CF7372">
      <w:pPr>
        <w:pStyle w:val="a3"/>
        <w:spacing w:line="276" w:lineRule="auto"/>
        <w:ind w:left="213" w:right="109"/>
        <w:rPr>
          <w:lang w:eastAsia="ja-JP"/>
        </w:rPr>
      </w:pPr>
      <w:r>
        <w:rPr>
          <w:lang w:eastAsia="ja-JP"/>
        </w:rPr>
        <w:t>このため、提案された基準と閾値は、経済活動(NACEコード)レベルでの排出量の大幅な削減と除去の大幅な増加を確実にすることに焦点を当てている。</w:t>
      </w:r>
    </w:p>
    <w:p w14:paraId="586B61F8" w14:textId="77777777" w:rsidR="00410BDF" w:rsidRDefault="00410BDF">
      <w:pPr>
        <w:pStyle w:val="a3"/>
        <w:spacing w:before="1"/>
        <w:rPr>
          <w:sz w:val="21"/>
          <w:lang w:eastAsia="ja-JP"/>
        </w:rPr>
      </w:pPr>
    </w:p>
    <w:p w14:paraId="2A9A55FD" w14:textId="17158EBF" w:rsidR="00410BDF" w:rsidRDefault="00CF7372">
      <w:pPr>
        <w:pStyle w:val="a3"/>
        <w:spacing w:line="276" w:lineRule="auto"/>
        <w:ind w:left="213" w:right="244"/>
        <w:rPr>
          <w:lang w:eastAsia="ja-JP"/>
        </w:rPr>
      </w:pPr>
      <w:r>
        <w:rPr>
          <w:lang w:eastAsia="ja-JP"/>
        </w:rPr>
        <w:t>非多年生作物栽培地管理における良好な実践を通じて、排出量を削減し、炭素吸収源を維持し、隔離を増加させる大きな可能性がある。 農業全体が実質的な緩和をもたらし、</w:t>
      </w:r>
      <w:r w:rsidR="00597918">
        <w:rPr>
          <w:lang w:eastAsia="ja-JP"/>
        </w:rPr>
        <w:t>正味ゼロ</w:t>
      </w:r>
      <w:r>
        <w:rPr>
          <w:lang w:eastAsia="ja-JP"/>
        </w:rPr>
        <w:t>炭素経済に貢献することを確実にするために、これらの各々に対処する必要がある。 そうすることによって、非通年性耕作地管理の各事例がその貢献を最大化することが保証される。この理論的根拠</w:t>
      </w:r>
      <w:r w:rsidR="00D22611">
        <w:rPr>
          <w:rFonts w:hint="eastAsia"/>
          <w:lang w:eastAsia="ja-JP"/>
        </w:rPr>
        <w:t>が</w:t>
      </w:r>
      <w:r>
        <w:rPr>
          <w:lang w:eastAsia="ja-JP"/>
        </w:rPr>
        <w:t>、上述の原則を</w:t>
      </w:r>
      <w:r w:rsidR="00D22611">
        <w:rPr>
          <w:rFonts w:hint="eastAsia"/>
          <w:lang w:eastAsia="ja-JP"/>
        </w:rPr>
        <w:t>後押し</w:t>
      </w:r>
      <w:r>
        <w:rPr>
          <w:lang w:eastAsia="ja-JP"/>
        </w:rPr>
        <w:t>した。</w:t>
      </w:r>
    </w:p>
    <w:p w14:paraId="7DE19E27" w14:textId="77777777" w:rsidR="00410BDF" w:rsidRDefault="00410BDF">
      <w:pPr>
        <w:pStyle w:val="a3"/>
        <w:rPr>
          <w:sz w:val="22"/>
          <w:lang w:eastAsia="ja-JP"/>
        </w:rPr>
      </w:pPr>
    </w:p>
    <w:p w14:paraId="537D36CD" w14:textId="77777777" w:rsidR="00410BDF" w:rsidRDefault="00410BDF">
      <w:pPr>
        <w:pStyle w:val="a3"/>
        <w:spacing w:before="8"/>
        <w:rPr>
          <w:sz w:val="28"/>
          <w:lang w:eastAsia="ja-JP"/>
        </w:rPr>
      </w:pPr>
    </w:p>
    <w:p w14:paraId="05AC4166" w14:textId="77777777" w:rsidR="00410BDF" w:rsidRDefault="00CF7372">
      <w:pPr>
        <w:ind w:left="213"/>
        <w:rPr>
          <w:b/>
          <w:sz w:val="20"/>
          <w:lang w:eastAsia="ja-JP"/>
        </w:rPr>
      </w:pPr>
      <w:r>
        <w:rPr>
          <w:b/>
          <w:sz w:val="20"/>
          <w:u w:val="thick"/>
          <w:lang w:eastAsia="ja-JP"/>
        </w:rPr>
        <w:t>経済活動の閾値を設定するためのアプローチ</w:t>
      </w:r>
    </w:p>
    <w:p w14:paraId="3C55A140" w14:textId="3111E8DD" w:rsidR="00410BDF" w:rsidRDefault="00CF7372">
      <w:pPr>
        <w:pStyle w:val="a3"/>
        <w:spacing w:before="156" w:line="276" w:lineRule="auto"/>
        <w:ind w:left="213" w:right="109"/>
        <w:rPr>
          <w:lang w:eastAsia="ja-JP"/>
        </w:rPr>
      </w:pPr>
      <w:r>
        <w:rPr>
          <w:position w:val="1"/>
          <w:lang w:eastAsia="ja-JP"/>
        </w:rPr>
        <w:t>低炭素農業を代表する農業の絶対閾値(例えば、gCO2e/haまたはgCO2e/生産単位)を設定するための情報とデータは依然として相対的に不足している。</w:t>
      </w:r>
      <w:r>
        <w:rPr>
          <w:lang w:eastAsia="ja-JP"/>
        </w:rPr>
        <w:t xml:space="preserve"> たとえそのような情報が集合的なレベルで存在していたとしても、これを実施のための適切な閾値に翻訳することは、農場間の不均一性および農業慣行の実施を考えると、依然として</w:t>
      </w:r>
      <w:r w:rsidR="00D22611">
        <w:rPr>
          <w:rFonts w:hint="eastAsia"/>
          <w:lang w:eastAsia="ja-JP"/>
        </w:rPr>
        <w:t>簡単ではない</w:t>
      </w:r>
      <w:r>
        <w:rPr>
          <w:lang w:eastAsia="ja-JP"/>
        </w:rPr>
        <w:t>。</w:t>
      </w:r>
    </w:p>
    <w:p w14:paraId="3C17DAC2" w14:textId="77777777" w:rsidR="00410BDF" w:rsidRDefault="00410BDF">
      <w:pPr>
        <w:pStyle w:val="a3"/>
        <w:spacing w:before="9"/>
        <w:rPr>
          <w:lang w:eastAsia="ja-JP"/>
        </w:rPr>
      </w:pPr>
    </w:p>
    <w:p w14:paraId="7A301B64" w14:textId="3B3D947B" w:rsidR="00410BDF" w:rsidRDefault="00CF7372">
      <w:pPr>
        <w:pStyle w:val="a3"/>
        <w:spacing w:line="276" w:lineRule="auto"/>
        <w:ind w:left="213" w:right="332"/>
        <w:rPr>
          <w:lang w:eastAsia="ja-JP"/>
        </w:rPr>
      </w:pPr>
      <w:r>
        <w:rPr>
          <w:lang w:eastAsia="ja-JP"/>
        </w:rPr>
        <w:t>しかしながら、相対的なGHG閾値の設定(すなわち、gCO2e/haの%変化、またはgCO2e/生産単位の%変化)は可能であり、これらは同じ農場またはプロジェクトの事実</w:t>
      </w:r>
      <w:r w:rsidR="00D22611">
        <w:rPr>
          <w:rFonts w:hint="eastAsia"/>
          <w:lang w:eastAsia="ja-JP"/>
        </w:rPr>
        <w:t>検証</w:t>
      </w:r>
      <w:r>
        <w:rPr>
          <w:lang w:eastAsia="ja-JP"/>
        </w:rPr>
        <w:t>と比較して可能である。 これは、緩和</w:t>
      </w:r>
      <w:r w:rsidR="00D22611">
        <w:rPr>
          <w:rFonts w:hint="eastAsia"/>
          <w:lang w:eastAsia="ja-JP"/>
        </w:rPr>
        <w:t>効果</w:t>
      </w:r>
      <w:r>
        <w:rPr>
          <w:lang w:eastAsia="ja-JP"/>
        </w:rPr>
        <w:t>を評価する</w:t>
      </w:r>
      <w:r w:rsidR="00D22611">
        <w:rPr>
          <w:rFonts w:hint="eastAsia"/>
          <w:lang w:eastAsia="ja-JP"/>
        </w:rPr>
        <w:t>ため</w:t>
      </w:r>
      <w:r>
        <w:rPr>
          <w:lang w:eastAsia="ja-JP"/>
        </w:rPr>
        <w:t>の定量的手段を提供</w:t>
      </w:r>
      <w:r w:rsidR="00D22611">
        <w:rPr>
          <w:rFonts w:hint="eastAsia"/>
          <w:lang w:eastAsia="ja-JP"/>
        </w:rPr>
        <w:t>してくれは</w:t>
      </w:r>
      <w:r>
        <w:rPr>
          <w:lang w:eastAsia="ja-JP"/>
        </w:rPr>
        <w:t>するが、以前に達成されたであろう排出削減を考慮</w:t>
      </w:r>
      <w:r w:rsidR="00D22611">
        <w:rPr>
          <w:rFonts w:hint="eastAsia"/>
          <w:lang w:eastAsia="ja-JP"/>
        </w:rPr>
        <w:t>することなく</w:t>
      </w:r>
      <w:r>
        <w:rPr>
          <w:lang w:eastAsia="ja-JP"/>
        </w:rPr>
        <w:t>、また、農場がすでに顕著な緩和をもたらしているのであれば、</w:t>
      </w:r>
      <w:r w:rsidR="00D22611">
        <w:rPr>
          <w:rFonts w:hint="eastAsia"/>
          <w:lang w:eastAsia="ja-JP"/>
        </w:rPr>
        <w:t>あまり意味のない数字にみえるかもしれない</w:t>
      </w:r>
      <w:r>
        <w:rPr>
          <w:lang w:eastAsia="ja-JP"/>
        </w:rPr>
        <w:t>。すでに比較的良好な成績をあげている農家は、現在比較的成績が悪い農場よりも、排出量をさらにX%削減することは</w:t>
      </w:r>
      <w:r w:rsidR="00D22611">
        <w:rPr>
          <w:rFonts w:hint="eastAsia"/>
          <w:lang w:eastAsia="ja-JP"/>
        </w:rPr>
        <w:t>難しいだろう</w:t>
      </w:r>
      <w:r>
        <w:rPr>
          <w:lang w:eastAsia="ja-JP"/>
        </w:rPr>
        <w:t>。 さらに、このようなGHG閾値の遵守を決定するためには、農場レベルでのGHG算定が必要である</w:t>
      </w:r>
      <w:r w:rsidR="00D22611">
        <w:rPr>
          <w:rFonts w:hint="eastAsia"/>
          <w:lang w:eastAsia="ja-JP"/>
        </w:rPr>
        <w:t>といえる</w:t>
      </w:r>
      <w:r>
        <w:rPr>
          <w:lang w:eastAsia="ja-JP"/>
        </w:rPr>
        <w:t>。 しかし、さまざまなツールやアプローチが存在するにもかかわらず、これはまだ主流ではない。</w:t>
      </w:r>
    </w:p>
    <w:p w14:paraId="2297C025" w14:textId="77777777" w:rsidR="00410BDF" w:rsidRDefault="00410BDF">
      <w:pPr>
        <w:pStyle w:val="a3"/>
        <w:spacing w:before="10"/>
        <w:rPr>
          <w:lang w:eastAsia="ja-JP"/>
        </w:rPr>
      </w:pPr>
    </w:p>
    <w:p w14:paraId="32B305D0" w14:textId="1915EA65" w:rsidR="00410BDF" w:rsidRDefault="00CF7372">
      <w:pPr>
        <w:pStyle w:val="a3"/>
        <w:spacing w:before="1" w:line="276" w:lineRule="auto"/>
        <w:ind w:left="213" w:right="318"/>
        <w:rPr>
          <w:lang w:eastAsia="ja-JP"/>
        </w:rPr>
      </w:pPr>
      <w:r>
        <w:rPr>
          <w:lang w:eastAsia="ja-JP"/>
        </w:rPr>
        <w:t>これらの提案は農業における低炭素生産を実現するために不可欠であると認識されている、特定の管理手法の組み合わせを可能にする。 この定性的なアプローチは、比較的簡単にモニタリングすることができ、CAPの下など、そうするための存のメカニズム</w:t>
      </w:r>
      <w:r w:rsidR="00D22611">
        <w:rPr>
          <w:rFonts w:hint="eastAsia"/>
          <w:lang w:eastAsia="ja-JP"/>
        </w:rPr>
        <w:t>を活用できる</w:t>
      </w:r>
      <w:r>
        <w:rPr>
          <w:lang w:eastAsia="ja-JP"/>
        </w:rPr>
        <w:t>。 また、現場でこのような慣行を実施する農家や土地管理者に対して、より直接的に</w:t>
      </w:r>
      <w:r w:rsidR="00D22611">
        <w:rPr>
          <w:rFonts w:hint="eastAsia"/>
          <w:lang w:eastAsia="ja-JP"/>
        </w:rPr>
        <w:t>話しやすい</w:t>
      </w:r>
      <w:r>
        <w:rPr>
          <w:lang w:eastAsia="ja-JP"/>
        </w:rPr>
        <w:t>アプローチを提供する。 こ</w:t>
      </w:r>
      <w:r w:rsidR="00D22611">
        <w:rPr>
          <w:rFonts w:hint="eastAsia"/>
          <w:lang w:eastAsia="ja-JP"/>
        </w:rPr>
        <w:t>れ</w:t>
      </w:r>
      <w:r>
        <w:rPr>
          <w:lang w:eastAsia="ja-JP"/>
        </w:rPr>
        <w:t>は、すでにこのような手法を確立している人や、そうするために追加的な投資資金を必要とする人にも適用可能であるため、低GHGという点で既に高いパフォーマンスをあげている農場(および関連する資産と公平性)の認識を可能にする。</w:t>
      </w:r>
    </w:p>
    <w:p w14:paraId="18F2C326" w14:textId="77777777" w:rsidR="00410BDF" w:rsidRDefault="00410BDF">
      <w:pPr>
        <w:spacing w:line="276" w:lineRule="auto"/>
        <w:rPr>
          <w:lang w:eastAsia="ja-JP"/>
        </w:rPr>
        <w:sectPr w:rsidR="00410BDF">
          <w:pgSz w:w="12240" w:h="15840"/>
          <w:pgMar w:top="1380" w:right="1320" w:bottom="1560" w:left="1340" w:header="0" w:footer="1372" w:gutter="0"/>
          <w:cols w:space="720"/>
        </w:sectPr>
      </w:pPr>
    </w:p>
    <w:p w14:paraId="34354054" w14:textId="77777777" w:rsidR="00410BDF" w:rsidRDefault="00196192">
      <w:pPr>
        <w:pStyle w:val="a3"/>
        <w:spacing w:before="69" w:line="276" w:lineRule="auto"/>
        <w:ind w:left="213"/>
        <w:rPr>
          <w:lang w:eastAsia="ja-JP"/>
        </w:rPr>
      </w:pPr>
      <w:r>
        <w:rPr>
          <w:noProof/>
          <w:lang w:val="en-US" w:eastAsia="ja-JP"/>
        </w:rPr>
        <w:lastRenderedPageBreak/>
        <mc:AlternateContent>
          <mc:Choice Requires="wpg">
            <w:drawing>
              <wp:anchor distT="0" distB="0" distL="114300" distR="114300" simplePos="0" relativeHeight="251651584" behindDoc="1" locked="0" layoutInCell="1" allowOverlap="1" wp14:anchorId="11926793" wp14:editId="389C3A56">
                <wp:simplePos x="0" y="0"/>
                <wp:positionH relativeFrom="page">
                  <wp:posOffset>914400</wp:posOffset>
                </wp:positionH>
                <wp:positionV relativeFrom="paragraph">
                  <wp:posOffset>38100</wp:posOffset>
                </wp:positionV>
                <wp:extent cx="5944870" cy="6679565"/>
                <wp:effectExtent l="9525" t="9525" r="8255" b="698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679565"/>
                          <a:chOff x="1440" y="60"/>
                          <a:chExt cx="9362" cy="10519"/>
                        </a:xfrm>
                      </wpg:grpSpPr>
                      <wps:wsp>
                        <wps:cNvPr id="32" name="Line 29"/>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1445" y="60"/>
                            <a:ext cx="0" cy="105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1450" y="10574"/>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10797" y="60"/>
                            <a:ext cx="0" cy="105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87319" id="Group 25" o:spid="_x0000_s1026" style="position:absolute;left:0;text-align:left;margin-left:1in;margin-top:3pt;width:468.1pt;height:525.95pt;z-index:-251664896;mso-position-horizontal-relative:page" coordorigin="1440,60" coordsize="9362,10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">
                <v:line id="Line 29"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8" o:spid="_x0000_s1028" style="position:absolute;visibility:visible;mso-wrap-style:square" from="1445,60" to="1445,1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7" o:spid="_x0000_s1029" style="position:absolute;visibility:visible;mso-wrap-style:square" from="1450,10574" to="10792,1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7zsMAAADbAAAADwAAAGRycy9kb3ducmV2LnhtbESPT4vCMBTE78J+h/AWvNl0VYp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s+87DAAAA2wAAAA8AAAAAAAAAAAAA&#10;AAAAoQIAAGRycy9kb3ducmV2LnhtbFBLBQYAAAAABAAEAPkAAACRAwAAAAA=&#10;" strokeweight=".16936mm"/>
                <v:line id="Line 26" o:spid="_x0000_s1030" style="position:absolute;visibility:visible;mso-wrap-style:square" from="10797,60" to="10797,1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wrap anchorx="page"/>
              </v:group>
            </w:pict>
          </mc:Fallback>
        </mc:AlternateContent>
      </w:r>
      <w:r w:rsidR="00CF7372">
        <w:rPr>
          <w:lang w:eastAsia="ja-JP"/>
        </w:rPr>
        <w:t>従って、このアプローチは、上述したように相対的なGHG閾値に関連する問題を回避するものである。</w:t>
      </w:r>
    </w:p>
    <w:p w14:paraId="79F1A0D7" w14:textId="77777777" w:rsidR="00410BDF" w:rsidRDefault="00410BDF">
      <w:pPr>
        <w:pStyle w:val="a3"/>
        <w:rPr>
          <w:sz w:val="21"/>
          <w:lang w:eastAsia="ja-JP"/>
        </w:rPr>
      </w:pPr>
    </w:p>
    <w:p w14:paraId="45B45F80" w14:textId="77777777" w:rsidR="00410BDF" w:rsidRDefault="00CF7372">
      <w:pPr>
        <w:pStyle w:val="a3"/>
        <w:spacing w:line="276" w:lineRule="auto"/>
        <w:ind w:left="213" w:right="263"/>
        <w:rPr>
          <w:lang w:eastAsia="ja-JP"/>
        </w:rPr>
      </w:pPr>
      <w:r>
        <w:rPr>
          <w:lang w:eastAsia="ja-JP"/>
        </w:rPr>
        <w:t>EUにおける農業からの排出寄与は主に、腸内発酵(42.9%; 0.186 GtCO2e);農業土壌管理(38%; 0.165 GtCO2e);および肥料管理(15.4%; 0.067 GtCO2e)(2014年の数値)の3つの発生源から生じる。 従って、緩和ポテンシャルは、非CO2排出量の削減を主に含んでいる。これは、これらがEUにおける農業排出量の大半を占めており、農場でのエネルギー利用によるCO2は、ごくわずかな構成要素である(2014年のEU28+ISL農業排出総量のわずか0.13%を占めるにすぎない)。 EUの農業非CO2温室効果ガス排出量の最大のシェアは、より強力な亜酸化窒素(N2O)とメタン(CH4)に由来する。</w:t>
      </w:r>
      <w:r>
        <w:rPr>
          <w:position w:val="1"/>
          <w:lang w:eastAsia="ja-JP"/>
        </w:rPr>
        <w:t xml:space="preserve"> 一酸化二窒素は、農業からの非二酸化炭素排出量の58%(主に肥料施用および暴露土壌、放牧動物からの)を占め、残りの42%(主に家畜および稲作からの)はメタンである。</w:t>
      </w:r>
      <w:r>
        <w:rPr>
          <w:lang w:eastAsia="ja-JP"/>
        </w:rPr>
        <w:t xml:space="preserve"> 場合によっては、エネルギー(牽引、暖房、冷房、灌漑)からのGHG排出が、農場から生じる排出のかなりの割合を占めることがある。 したがって、提案されたベストプラクティスには、エネルギーからのGHG排出量が農場からの排出量の20%を超える場合の規定が含まれており、これらは効率とエネルギー源の要件によって20%削減されるべきである。</w:t>
      </w:r>
    </w:p>
    <w:p w14:paraId="33C09408" w14:textId="77777777" w:rsidR="00410BDF" w:rsidRDefault="00410BDF">
      <w:pPr>
        <w:pStyle w:val="a3"/>
        <w:spacing w:before="9"/>
        <w:rPr>
          <w:lang w:eastAsia="ja-JP"/>
        </w:rPr>
      </w:pPr>
    </w:p>
    <w:p w14:paraId="7DFBCB46" w14:textId="77777777" w:rsidR="00410BDF" w:rsidRDefault="00CF7372">
      <w:pPr>
        <w:pStyle w:val="a3"/>
        <w:spacing w:line="276" w:lineRule="auto"/>
        <w:ind w:left="213" w:right="535"/>
        <w:jc w:val="both"/>
        <w:rPr>
          <w:lang w:eastAsia="ja-JP"/>
        </w:rPr>
      </w:pPr>
      <w:r>
        <w:rPr>
          <w:lang w:eastAsia="ja-JP"/>
        </w:rPr>
        <w:t>非多年生作物栽培地生産に関して、主要な排出源は、土壌管理と肥料の施用に伴う排出、稲作からのメタン排出、および作物廃棄物に埋め込まれた排出の回避である。</w:t>
      </w:r>
    </w:p>
    <w:p w14:paraId="3FB22A80" w14:textId="77777777" w:rsidR="00410BDF" w:rsidRDefault="00410BDF">
      <w:pPr>
        <w:pStyle w:val="a3"/>
        <w:rPr>
          <w:sz w:val="22"/>
          <w:lang w:eastAsia="ja-JP"/>
        </w:rPr>
      </w:pPr>
    </w:p>
    <w:p w14:paraId="311543E5" w14:textId="77777777" w:rsidR="00410BDF" w:rsidRDefault="00410BDF">
      <w:pPr>
        <w:pStyle w:val="a3"/>
        <w:spacing w:before="9"/>
        <w:rPr>
          <w:sz w:val="28"/>
          <w:lang w:eastAsia="ja-JP"/>
        </w:rPr>
      </w:pPr>
    </w:p>
    <w:p w14:paraId="17DA8867" w14:textId="78CDDADD" w:rsidR="00410BDF" w:rsidRDefault="00CF7372">
      <w:pPr>
        <w:ind w:left="213"/>
        <w:rPr>
          <w:b/>
          <w:sz w:val="20"/>
          <w:lang w:eastAsia="ja-JP"/>
        </w:rPr>
      </w:pPr>
      <w:r>
        <w:rPr>
          <w:b/>
          <w:sz w:val="20"/>
          <w:u w:val="thick"/>
          <w:lang w:eastAsia="ja-JP"/>
        </w:rPr>
        <w:t>経済活動の指標と</w:t>
      </w:r>
      <w:r w:rsidR="00D22611">
        <w:rPr>
          <w:rFonts w:hint="eastAsia"/>
          <w:b/>
          <w:sz w:val="20"/>
          <w:u w:val="thick"/>
          <w:lang w:eastAsia="ja-JP"/>
        </w:rPr>
        <w:t>閾</w:t>
      </w:r>
      <w:r>
        <w:rPr>
          <w:b/>
          <w:sz w:val="20"/>
          <w:u w:val="thick"/>
          <w:lang w:eastAsia="ja-JP"/>
        </w:rPr>
        <w:t>値</w:t>
      </w:r>
    </w:p>
    <w:p w14:paraId="35AF9396" w14:textId="77777777" w:rsidR="00410BDF" w:rsidRDefault="00CF7372">
      <w:pPr>
        <w:spacing w:before="116"/>
        <w:ind w:left="213"/>
        <w:rPr>
          <w:b/>
          <w:sz w:val="20"/>
          <w:lang w:eastAsia="ja-JP"/>
        </w:rPr>
      </w:pPr>
      <w:r>
        <w:rPr>
          <w:b/>
          <w:sz w:val="20"/>
          <w:lang w:eastAsia="ja-JP"/>
        </w:rPr>
        <w:t>実質的な緩和をもたらす経営慣行について</w:t>
      </w:r>
    </w:p>
    <w:p w14:paraId="2BBDB5DD" w14:textId="77777777" w:rsidR="00410BDF" w:rsidRDefault="00CF7372">
      <w:pPr>
        <w:pStyle w:val="a3"/>
        <w:spacing w:before="157" w:line="276" w:lineRule="auto"/>
        <w:ind w:left="213" w:right="247"/>
        <w:rPr>
          <w:lang w:eastAsia="ja-JP"/>
        </w:rPr>
      </w:pPr>
      <w:r>
        <w:rPr>
          <w:b/>
          <w:lang w:eastAsia="ja-JP"/>
        </w:rPr>
        <w:t>慣行を選択する根拠:</w:t>
      </w:r>
      <w:r w:rsidRPr="005F0270">
        <w:rPr>
          <w:rFonts w:hint="eastAsia"/>
          <w:lang w:eastAsia="ja-JP"/>
        </w:rPr>
        <w:t>科学文献は、非多年生作物栽培地管理における異なる排出と隔離の機会に対処するために農業部門で利用可能な広範な管理手法を特定している。</w:t>
      </w:r>
      <w:r>
        <w:rPr>
          <w:lang w:eastAsia="ja-JP"/>
        </w:rPr>
        <w:t xml:space="preserve">  非多年生作物栽培地の経済活動がいつ実質的な緩和をもたらすかを特定する基準と閾値を設定する目的で、個々の管理慣行が特定された:1)緩和効果に関する十分な既存の科学的知識とコンセンサス、および他の環境と食料安全保障の目的との相互作用;および2)緩和効果の規模、確実性、および一貫性が十分に実証されている(例えば、Smithら)。 2008160、Paustianら 2016161、Kayら</w:t>
      </w:r>
      <w:r>
        <w:rPr>
          <w:spacing w:val="1"/>
          <w:lang w:eastAsia="ja-JP"/>
        </w:rPr>
        <w:t xml:space="preserve"> 2019162).</w:t>
      </w:r>
    </w:p>
    <w:p w14:paraId="27F6A6FE" w14:textId="77777777" w:rsidR="00410BDF" w:rsidRDefault="00410BDF">
      <w:pPr>
        <w:pStyle w:val="a3"/>
        <w:spacing w:before="8"/>
        <w:rPr>
          <w:lang w:eastAsia="ja-JP"/>
        </w:rPr>
      </w:pPr>
    </w:p>
    <w:p w14:paraId="3C713198" w14:textId="0C5236A4" w:rsidR="00410BDF" w:rsidRDefault="00CF7372">
      <w:pPr>
        <w:pStyle w:val="a3"/>
        <w:spacing w:line="276" w:lineRule="auto"/>
        <w:ind w:left="213" w:right="255"/>
      </w:pPr>
      <w:r>
        <w:rPr>
          <w:lang w:eastAsia="ja-JP"/>
        </w:rPr>
        <w:t xml:space="preserve">これらの管理手法は、農業収量を確保し、実質的な緩和をもたらすために重要な結果である作物生産の排出原単位を低減するために、土壌の健康と土壌生産性を改善することが実証されている。 選択された手法には、農業の炭素集約度の削減が含まれており、またリーケージ効果のリスクもない。 </w:t>
      </w:r>
      <w:proofErr w:type="spellStart"/>
      <w:r>
        <w:t>また、負の付随的リスクもない</w:t>
      </w:r>
      <w:proofErr w:type="spellEnd"/>
      <w:r>
        <w:t>。</w:t>
      </w:r>
    </w:p>
    <w:p w14:paraId="5D886D75" w14:textId="77777777" w:rsidR="00410BDF" w:rsidRDefault="00196192">
      <w:pPr>
        <w:pStyle w:val="a3"/>
        <w:spacing w:before="5"/>
        <w:rPr>
          <w:sz w:val="23"/>
        </w:rPr>
      </w:pPr>
      <w:r>
        <w:rPr>
          <w:noProof/>
          <w:lang w:val="en-US" w:eastAsia="ja-JP"/>
        </w:rPr>
        <mc:AlternateContent>
          <mc:Choice Requires="wps">
            <w:drawing>
              <wp:anchor distT="0" distB="0" distL="0" distR="0" simplePos="0" relativeHeight="251672064" behindDoc="1" locked="0" layoutInCell="1" allowOverlap="1" wp14:anchorId="5C76B71A" wp14:editId="515B53AF">
                <wp:simplePos x="0" y="0"/>
                <wp:positionH relativeFrom="page">
                  <wp:posOffset>914400</wp:posOffset>
                </wp:positionH>
                <wp:positionV relativeFrom="paragraph">
                  <wp:posOffset>199390</wp:posOffset>
                </wp:positionV>
                <wp:extent cx="1829435" cy="0"/>
                <wp:effectExtent l="9525" t="5715" r="8890" b="13335"/>
                <wp:wrapTopAndBottom/>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D2E5" id="Line 24"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pt" to="21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gU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" strokeweight=".16936mm">
                <w10:wrap type="topAndBottom" anchorx="page"/>
              </v:line>
            </w:pict>
          </mc:Fallback>
        </mc:AlternateContent>
      </w:r>
    </w:p>
    <w:p w14:paraId="55DC0828" w14:textId="77777777" w:rsidR="00410BDF" w:rsidRDefault="00410BDF">
      <w:pPr>
        <w:pStyle w:val="a3"/>
        <w:spacing w:before="4"/>
        <w:rPr>
          <w:sz w:val="17"/>
        </w:rPr>
      </w:pPr>
    </w:p>
    <w:p w14:paraId="7531BA86" w14:textId="77777777" w:rsidR="00410BDF" w:rsidRDefault="00CF7372">
      <w:pPr>
        <w:pStyle w:val="a4"/>
        <w:numPr>
          <w:ilvl w:val="0"/>
          <w:numId w:val="11"/>
        </w:numPr>
        <w:tabs>
          <w:tab w:val="left" w:pos="413"/>
        </w:tabs>
        <w:spacing w:before="96" w:line="256" w:lineRule="auto"/>
        <w:ind w:right="215" w:firstLine="0"/>
        <w:rPr>
          <w:sz w:val="16"/>
          <w:lang w:eastAsia="ja-JP"/>
        </w:rPr>
      </w:pPr>
      <w:r>
        <w:rPr>
          <w:sz w:val="16"/>
          <w:lang w:eastAsia="ja-JP"/>
        </w:rPr>
        <w:t>スミス他 (2008)、「農業における温室効果ガス緩和」、英国王立学会の哲学的取引、B巻363、1495号、英国王立学会、ロンドン、789-813。</w:t>
      </w:r>
    </w:p>
    <w:p w14:paraId="0FCD9846" w14:textId="77777777" w:rsidR="00410BDF" w:rsidRDefault="00410BDF">
      <w:pPr>
        <w:pStyle w:val="a3"/>
        <w:spacing w:before="2"/>
        <w:rPr>
          <w:sz w:val="14"/>
          <w:lang w:eastAsia="ja-JP"/>
        </w:rPr>
      </w:pPr>
    </w:p>
    <w:p w14:paraId="5D5776FE" w14:textId="77777777" w:rsidR="00410BDF" w:rsidRDefault="00CF7372">
      <w:pPr>
        <w:pStyle w:val="a4"/>
        <w:numPr>
          <w:ilvl w:val="0"/>
          <w:numId w:val="11"/>
        </w:numPr>
        <w:tabs>
          <w:tab w:val="left" w:pos="413"/>
        </w:tabs>
        <w:ind w:left="412"/>
        <w:rPr>
          <w:sz w:val="16"/>
        </w:rPr>
      </w:pPr>
      <w:proofErr w:type="spellStart"/>
      <w:r>
        <w:rPr>
          <w:sz w:val="16"/>
        </w:rPr>
        <w:t>Paustian</w:t>
      </w:r>
      <w:proofErr w:type="spellEnd"/>
      <w:r>
        <w:rPr>
          <w:sz w:val="16"/>
        </w:rPr>
        <w:t xml:space="preserve"> K, Lehmann J, Ogle S, </w:t>
      </w:r>
      <w:proofErr w:type="spellStart"/>
      <w:r>
        <w:rPr>
          <w:sz w:val="16"/>
        </w:rPr>
        <w:t>ReayD</w:t>
      </w:r>
      <w:proofErr w:type="spellEnd"/>
      <w:r>
        <w:rPr>
          <w:sz w:val="16"/>
        </w:rPr>
        <w:t xml:space="preserve">, </w:t>
      </w:r>
      <w:proofErr w:type="spellStart"/>
      <w:r>
        <w:rPr>
          <w:sz w:val="16"/>
        </w:rPr>
        <w:t>RobertsonGP</w:t>
      </w:r>
      <w:proofErr w:type="spellEnd"/>
      <w:r>
        <w:rPr>
          <w:sz w:val="16"/>
        </w:rPr>
        <w:t xml:space="preserve"> and Smith P 2016 "Climate-smart soils", Nature 532 49–57</w:t>
      </w:r>
    </w:p>
    <w:p w14:paraId="7F7CC5A3" w14:textId="77777777" w:rsidR="00410BDF" w:rsidRDefault="00410BDF">
      <w:pPr>
        <w:pStyle w:val="a3"/>
        <w:spacing w:before="1"/>
        <w:rPr>
          <w:sz w:val="15"/>
        </w:rPr>
      </w:pPr>
    </w:p>
    <w:p w14:paraId="70B6F679" w14:textId="77777777" w:rsidR="00410BDF" w:rsidRDefault="00CF7372">
      <w:pPr>
        <w:pStyle w:val="a4"/>
        <w:numPr>
          <w:ilvl w:val="0"/>
          <w:numId w:val="11"/>
        </w:numPr>
        <w:tabs>
          <w:tab w:val="left" w:pos="413"/>
        </w:tabs>
        <w:spacing w:line="259" w:lineRule="auto"/>
        <w:ind w:right="362" w:firstLine="0"/>
        <w:rPr>
          <w:sz w:val="16"/>
          <w:lang w:eastAsia="ja-JP"/>
        </w:rPr>
      </w:pPr>
      <w:r>
        <w:rPr>
          <w:sz w:val="16"/>
          <w:lang w:eastAsia="ja-JP"/>
        </w:rPr>
        <w:t>Kayら (2019). 「アグロフォレストリーは、ヨーロッパの農業景観の環境を改善しつつ炭素吸収源を創出する」、土地利用政策83 581-593。</w:t>
      </w:r>
    </w:p>
    <w:p w14:paraId="361A6E54" w14:textId="77777777" w:rsidR="00410BDF" w:rsidRDefault="00410BDF">
      <w:pPr>
        <w:spacing w:line="259" w:lineRule="auto"/>
        <w:rPr>
          <w:sz w:val="16"/>
          <w:lang w:eastAsia="ja-JP"/>
        </w:rPr>
        <w:sectPr w:rsidR="00410BDF">
          <w:pgSz w:w="12240" w:h="15840"/>
          <w:pgMar w:top="1380" w:right="1320" w:bottom="1640" w:left="1340" w:header="0" w:footer="1372" w:gutter="0"/>
          <w:cols w:space="720"/>
        </w:sectPr>
      </w:pPr>
    </w:p>
    <w:p w14:paraId="2F07556C" w14:textId="77777777" w:rsidR="00410BDF" w:rsidRDefault="00196192">
      <w:pPr>
        <w:pStyle w:val="a3"/>
        <w:spacing w:before="69" w:line="276" w:lineRule="auto"/>
        <w:ind w:left="213"/>
        <w:rPr>
          <w:lang w:eastAsia="ja-JP"/>
        </w:rPr>
      </w:pPr>
      <w:r>
        <w:rPr>
          <w:noProof/>
          <w:lang w:val="en-US" w:eastAsia="ja-JP"/>
        </w:rPr>
        <w:lastRenderedPageBreak/>
        <mc:AlternateContent>
          <mc:Choice Requires="wpg">
            <w:drawing>
              <wp:anchor distT="0" distB="0" distL="114300" distR="114300" simplePos="0" relativeHeight="251652608" behindDoc="1" locked="0" layoutInCell="1" allowOverlap="1" wp14:anchorId="37A6485A" wp14:editId="01326E21">
                <wp:simplePos x="0" y="0"/>
                <wp:positionH relativeFrom="page">
                  <wp:posOffset>914400</wp:posOffset>
                </wp:positionH>
                <wp:positionV relativeFrom="page">
                  <wp:posOffset>914400</wp:posOffset>
                </wp:positionV>
                <wp:extent cx="5944870" cy="7839710"/>
                <wp:effectExtent l="9525" t="9525" r="8255" b="889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839710"/>
                          <a:chOff x="1440" y="1440"/>
                          <a:chExt cx="9362" cy="12346"/>
                        </a:xfrm>
                      </wpg:grpSpPr>
                      <wps:wsp>
                        <wps:cNvPr id="24" name="Line 23"/>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1445" y="1440"/>
                            <a:ext cx="0" cy="123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1"/>
                        <wps:cNvSpPr>
                          <a:spLocks noChangeArrowheads="1"/>
                        </wps:cNvSpPr>
                        <wps:spPr bwMode="auto">
                          <a:xfrm>
                            <a:off x="1440" y="137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0"/>
                        <wps:cNvCnPr>
                          <a:cxnSpLocks noChangeShapeType="1"/>
                        </wps:cNvCnPr>
                        <wps:spPr bwMode="auto">
                          <a:xfrm>
                            <a:off x="1450" y="13780"/>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10797" y="1440"/>
                            <a:ext cx="0" cy="123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18"/>
                        <wps:cNvSpPr>
                          <a:spLocks noChangeArrowheads="1"/>
                        </wps:cNvSpPr>
                        <wps:spPr bwMode="auto">
                          <a:xfrm>
                            <a:off x="10792" y="137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8B215" id="Group 17" o:spid="_x0000_s1026" style="position:absolute;left:0;text-align:left;margin-left:1in;margin-top:1in;width:468.1pt;height:617.3pt;z-index:-251663872;mso-position-horizontal-relative:page;mso-position-vertical-relative:page" coordorigin="1440,1440" coordsize="9362,1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">
                <v:line id="Line 23"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2" o:spid="_x0000_s1028" style="position:absolute;visibility:visible;mso-wrap-style:square" from="1445,1440" to="1445,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21" o:spid="_x0000_s1029" style="position:absolute;left:1440;top:1377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20" o:spid="_x0000_s1030" style="position:absolute;visibility:visible;mso-wrap-style:square" from="1450,13780" to="10792,1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19" o:spid="_x0000_s1031" style="position:absolute;visibility:visible;mso-wrap-style:square" from="10797,1440" to="10797,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rect id="Rectangle 18" o:spid="_x0000_s1032" style="position:absolute;left:10792;top:1377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wrap anchorx="page" anchory="page"/>
              </v:group>
            </w:pict>
          </mc:Fallback>
        </mc:AlternateContent>
      </w:r>
      <w:r w:rsidR="00CF7372">
        <w:rPr>
          <w:lang w:eastAsia="ja-JP"/>
        </w:rPr>
        <w:t>また、EUの法律にも抵触しない。 これらの手法は、生物物理学的条件および農業条件の範囲にわたって、比較的確実性が高い実質的な緩和をもたらす。</w:t>
      </w:r>
    </w:p>
    <w:p w14:paraId="4764DFF5" w14:textId="77777777" w:rsidR="00410BDF" w:rsidRDefault="00410BDF">
      <w:pPr>
        <w:pStyle w:val="a3"/>
        <w:rPr>
          <w:sz w:val="21"/>
          <w:lang w:eastAsia="ja-JP"/>
        </w:rPr>
      </w:pPr>
    </w:p>
    <w:p w14:paraId="03F09E0A" w14:textId="6BE0B1D9" w:rsidR="00410BDF" w:rsidRDefault="00CF7372">
      <w:pPr>
        <w:pStyle w:val="a3"/>
        <w:spacing w:line="276" w:lineRule="auto"/>
        <w:ind w:left="213" w:right="318"/>
        <w:rPr>
          <w:lang w:eastAsia="ja-JP"/>
        </w:rPr>
      </w:pPr>
      <w:r>
        <w:rPr>
          <w:lang w:eastAsia="ja-JP"/>
        </w:rPr>
        <w:t>科学文献は、個々の手法のカテゴリーに関する緩和ポテンシャルについての洞察を提供し、また、実質的な緩和につながる広い範囲に適用される手法の組み合わせであること、すなわち、環境的に持続可能なすべての実現可能な緩和手法が追求されるべき場合には、アプローチが必要であることを指摘している(Paustianら)。 2016). しかし、文献は、部門別または活動に基づく緩和ポテンシャルを個々の農場レベルの緩和ポテンシャルに変換する方法、すなわち、実質的な緩和をもたらすために、異なる条件下で農場レベルで最低限、どのような手法の組み合わせを一緒に適用すべきかについて、限られたガイダンス</w:t>
      </w:r>
      <w:r w:rsidR="00475F64">
        <w:rPr>
          <w:rFonts w:hint="eastAsia"/>
          <w:lang w:eastAsia="ja-JP"/>
        </w:rPr>
        <w:t>しか</w:t>
      </w:r>
      <w:r>
        <w:rPr>
          <w:lang w:eastAsia="ja-JP"/>
        </w:rPr>
        <w:t>提供してい</w:t>
      </w:r>
      <w:r w:rsidR="00475F64">
        <w:rPr>
          <w:rFonts w:hint="eastAsia"/>
          <w:lang w:eastAsia="ja-JP"/>
        </w:rPr>
        <w:t>ない</w:t>
      </w:r>
      <w:r>
        <w:rPr>
          <w:lang w:eastAsia="ja-JP"/>
        </w:rPr>
        <w:t>。 従って、TEG専門家の意見</w:t>
      </w:r>
      <w:r w:rsidR="00475F64">
        <w:rPr>
          <w:rFonts w:hint="eastAsia"/>
          <w:lang w:eastAsia="ja-JP"/>
        </w:rPr>
        <w:t>が</w:t>
      </w:r>
      <w:r>
        <w:rPr>
          <w:lang w:eastAsia="ja-JP"/>
        </w:rPr>
        <w:t>、農場レベルで実質的な緩和をもたらすために、非多年生作物栽培地管理に一緒に適用されるべき慣行の最小限の組み合わせを決定するために</w:t>
      </w:r>
      <w:r w:rsidR="00475F64">
        <w:rPr>
          <w:rFonts w:hint="eastAsia"/>
          <w:lang w:eastAsia="ja-JP"/>
        </w:rPr>
        <w:t>参照</w:t>
      </w:r>
      <w:r>
        <w:rPr>
          <w:lang w:eastAsia="ja-JP"/>
        </w:rPr>
        <w:t>された。</w:t>
      </w:r>
    </w:p>
    <w:p w14:paraId="40EB858D" w14:textId="77777777" w:rsidR="00410BDF" w:rsidRDefault="00410BDF">
      <w:pPr>
        <w:pStyle w:val="a3"/>
        <w:spacing w:before="9"/>
        <w:rPr>
          <w:lang w:eastAsia="ja-JP"/>
        </w:rPr>
      </w:pPr>
    </w:p>
    <w:p w14:paraId="266F5A9A" w14:textId="60091370" w:rsidR="00410BDF" w:rsidRDefault="00CF7372">
      <w:pPr>
        <w:pStyle w:val="a3"/>
        <w:spacing w:line="276" w:lineRule="auto"/>
        <w:ind w:left="213" w:right="109"/>
        <w:rPr>
          <w:lang w:eastAsia="ja-JP"/>
        </w:rPr>
      </w:pPr>
      <w:r>
        <w:rPr>
          <w:lang w:eastAsia="ja-JP"/>
        </w:rPr>
        <w:t>以下の表は、集合的に展開され、農場レベルで実質的な緩和をもたらす必要不可欠な手法として選択された管理手法を示している。 農場が不均一であることを考慮すると、同じ手法の組み合わせの展開</w:t>
      </w:r>
      <w:r w:rsidR="00475F64">
        <w:rPr>
          <w:rFonts w:hint="eastAsia"/>
          <w:lang w:eastAsia="ja-JP"/>
        </w:rPr>
        <w:t>であっても</w:t>
      </w:r>
      <w:r>
        <w:rPr>
          <w:lang w:eastAsia="ja-JP"/>
        </w:rPr>
        <w:t>、農場間で異なる排出影響をもたらす可能性があることに留意されたい。しかし、全体的には、この組み合わせの展開は、大多数の場合、実質的な緩和をもたらすであろうと予想される。</w:t>
      </w:r>
    </w:p>
    <w:p w14:paraId="18F37A66" w14:textId="77777777" w:rsidR="00410BDF" w:rsidRDefault="00410BDF">
      <w:pPr>
        <w:pStyle w:val="a3"/>
        <w:spacing w:before="10"/>
        <w:rPr>
          <w:lang w:eastAsia="ja-JP"/>
        </w:rPr>
      </w:pPr>
    </w:p>
    <w:p w14:paraId="4FAB5439" w14:textId="24315988" w:rsidR="00410BDF" w:rsidRDefault="00CF7372">
      <w:pPr>
        <w:pStyle w:val="a3"/>
        <w:spacing w:line="276" w:lineRule="auto"/>
        <w:ind w:left="213"/>
        <w:rPr>
          <w:lang w:eastAsia="ja-JP"/>
        </w:rPr>
      </w:pPr>
      <w:r>
        <w:rPr>
          <w:lang w:eastAsia="ja-JP"/>
        </w:rPr>
        <w:t>管理慣行の適用可能な区域は、その目的を達成するために、これらの慣行が農場でどこに展開できるか、また、どこに展開されるべきか</w:t>
      </w:r>
      <w:r w:rsidR="00475F64">
        <w:rPr>
          <w:rFonts w:hint="eastAsia"/>
          <w:lang w:eastAsia="ja-JP"/>
        </w:rPr>
        <w:t>という判断に関わっ</w:t>
      </w:r>
      <w:r>
        <w:rPr>
          <w:lang w:eastAsia="ja-JP"/>
        </w:rPr>
        <w:t>ている。 例えば、土壌浸食や流出を防止するために設計された緩衝帯</w:t>
      </w:r>
      <w:r w:rsidR="00475F64">
        <w:rPr>
          <w:rFonts w:hint="eastAsia"/>
          <w:lang w:eastAsia="ja-JP"/>
        </w:rPr>
        <w:t>は</w:t>
      </w:r>
      <w:r>
        <w:rPr>
          <w:lang w:eastAsia="ja-JP"/>
        </w:rPr>
        <w:t>水路や側溝などの隣に設置する</w:t>
      </w:r>
      <w:r w:rsidR="00475F64">
        <w:rPr>
          <w:rFonts w:hint="eastAsia"/>
          <w:lang w:eastAsia="ja-JP"/>
        </w:rPr>
        <w:t>べきである</w:t>
      </w:r>
      <w:r>
        <w:rPr>
          <w:lang w:eastAsia="ja-JP"/>
        </w:rPr>
        <w:t>。 したがって、いくつかの手法は、価値を付加する農場の狭い地域にのみ展開されるかもしれない。</w:t>
      </w:r>
    </w:p>
    <w:p w14:paraId="7ACAFF3F" w14:textId="77777777" w:rsidR="00410BDF" w:rsidRDefault="00410BDF">
      <w:pPr>
        <w:pStyle w:val="a3"/>
        <w:spacing w:before="10"/>
        <w:rPr>
          <w:lang w:eastAsia="ja-JP"/>
        </w:rPr>
      </w:pPr>
    </w:p>
    <w:p w14:paraId="58AF0D58" w14:textId="7B510698" w:rsidR="00410BDF" w:rsidRDefault="00CF7372">
      <w:pPr>
        <w:pStyle w:val="a3"/>
        <w:spacing w:before="1" w:line="276" w:lineRule="auto"/>
        <w:ind w:left="213" w:right="231"/>
        <w:jc w:val="both"/>
        <w:rPr>
          <w:lang w:eastAsia="ja-JP"/>
        </w:rPr>
      </w:pPr>
      <w:r>
        <w:rPr>
          <w:lang w:eastAsia="ja-JP"/>
        </w:rPr>
        <w:t>1つのベストプラクティス</w:t>
      </w:r>
      <w:r w:rsidR="00475F64">
        <w:rPr>
          <w:rFonts w:hint="eastAsia"/>
          <w:lang w:eastAsia="ja-JP"/>
        </w:rPr>
        <w:t>ではあるものの</w:t>
      </w:r>
      <w:r>
        <w:rPr>
          <w:lang w:eastAsia="ja-JP"/>
        </w:rPr>
        <w:t>、GHGアセスメントを実施するという要件は、排出量の削減や隔離の増加に直接結びつくものではない。 この実践を含める理由は、主な排出源が農場にある場所、どのような機会が存在するか、したがって炭素吸収源の機会を含めて、最大の緩和効果が達成できる場所についての認識を高め、それによって緩和行動の目標設定を改善することである。 この精神に基づき、評価の検証または監査は必要</w:t>
      </w:r>
      <w:r w:rsidR="00475F64">
        <w:rPr>
          <w:rFonts w:hint="eastAsia"/>
          <w:lang w:eastAsia="ja-JP"/>
        </w:rPr>
        <w:t>とされ</w:t>
      </w:r>
      <w:r>
        <w:rPr>
          <w:lang w:eastAsia="ja-JP"/>
        </w:rPr>
        <w:t>ない。</w:t>
      </w:r>
      <w:r>
        <w:rPr>
          <w:spacing w:val="-6"/>
          <w:lang w:eastAsia="ja-JP"/>
        </w:rPr>
        <w:t xml:space="preserve"> これは、</w:t>
      </w:r>
      <w:r w:rsidR="00404E4B" w:rsidRPr="00404E4B">
        <w:rPr>
          <w:rFonts w:hint="eastAsia"/>
          <w:spacing w:val="-6"/>
          <w:lang w:eastAsia="ja-JP"/>
        </w:rPr>
        <w:t>定量的なGHG閾値の遵守を証明する際に</w:t>
      </w:r>
      <w:r w:rsidR="00404E4B">
        <w:rPr>
          <w:rFonts w:hint="eastAsia"/>
          <w:spacing w:val="-6"/>
          <w:lang w:eastAsia="ja-JP"/>
        </w:rPr>
        <w:t>求められるような</w:t>
      </w:r>
      <w:r>
        <w:rPr>
          <w:spacing w:val="-6"/>
          <w:lang w:eastAsia="ja-JP"/>
        </w:rPr>
        <w:t>定量的なベースライン評価と炭素監査とは異な</w:t>
      </w:r>
      <w:r w:rsidR="00404E4B">
        <w:rPr>
          <w:rFonts w:hint="eastAsia"/>
          <w:spacing w:val="-6"/>
          <w:lang w:eastAsia="ja-JP"/>
        </w:rPr>
        <w:t>るので</w:t>
      </w:r>
      <w:r>
        <w:rPr>
          <w:spacing w:val="-6"/>
          <w:lang w:eastAsia="ja-JP"/>
        </w:rPr>
        <w:t>である。</w:t>
      </w:r>
      <w:r>
        <w:rPr>
          <w:lang w:eastAsia="ja-JP"/>
        </w:rPr>
        <w:t xml:space="preserve"> 評価は、エネルギーと燃料の使用に関連する排出だけでなく、作物、家畜生産に関連する農場での関連するすべての排出をカバーするツールを用いて行われるべきである。 ある場所の農業者が(言語や農業助言支援へのアクセスの欠如のために)炭素評価ツールを現在利用できない</w:t>
      </w:r>
      <w:r w:rsidR="00404E4B">
        <w:rPr>
          <w:rFonts w:hint="eastAsia"/>
          <w:lang w:eastAsia="ja-JP"/>
        </w:rPr>
        <w:t>場合には</w:t>
      </w:r>
      <w:r>
        <w:rPr>
          <w:lang w:eastAsia="ja-JP"/>
        </w:rPr>
        <w:t>、</w:t>
      </w:r>
      <w:r w:rsidR="00404E4B">
        <w:rPr>
          <w:rFonts w:hint="eastAsia"/>
          <w:lang w:eastAsia="ja-JP"/>
        </w:rPr>
        <w:t>最初の段階では取り組みを</w:t>
      </w:r>
      <w:r>
        <w:rPr>
          <w:lang w:eastAsia="ja-JP"/>
        </w:rPr>
        <w:t>省略することができる。 ただし、評価は5年以内に</w:t>
      </w:r>
      <w:r w:rsidR="00404E4B">
        <w:rPr>
          <w:rFonts w:hint="eastAsia"/>
          <w:lang w:eastAsia="ja-JP"/>
        </w:rPr>
        <w:t>実施することが</w:t>
      </w:r>
      <w:r>
        <w:rPr>
          <w:lang w:eastAsia="ja-JP"/>
        </w:rPr>
        <w:t>必須と</w:t>
      </w:r>
      <w:r w:rsidR="00404E4B">
        <w:rPr>
          <w:rFonts w:hint="eastAsia"/>
          <w:lang w:eastAsia="ja-JP"/>
        </w:rPr>
        <w:t>される。</w:t>
      </w:r>
    </w:p>
    <w:p w14:paraId="4E9FD3BE" w14:textId="77777777" w:rsidR="00410BDF" w:rsidRDefault="00410BDF">
      <w:pPr>
        <w:pStyle w:val="a3"/>
        <w:rPr>
          <w:sz w:val="22"/>
          <w:lang w:eastAsia="ja-JP"/>
        </w:rPr>
      </w:pPr>
    </w:p>
    <w:p w14:paraId="648AF3A4" w14:textId="77777777" w:rsidR="00410BDF" w:rsidRDefault="00CF7372">
      <w:pPr>
        <w:pStyle w:val="2"/>
        <w:spacing w:before="171"/>
        <w:rPr>
          <w:lang w:eastAsia="ja-JP"/>
        </w:rPr>
      </w:pPr>
      <w:r>
        <w:rPr>
          <w:lang w:eastAsia="ja-JP"/>
        </w:rPr>
        <w:t>GHG排出削減基準については</w:t>
      </w:r>
    </w:p>
    <w:p w14:paraId="41B1CFB1" w14:textId="040C1163" w:rsidR="00410BDF" w:rsidRDefault="00CF7372">
      <w:pPr>
        <w:pStyle w:val="a3"/>
        <w:spacing w:before="157" w:line="276" w:lineRule="auto"/>
        <w:ind w:left="213" w:right="242"/>
        <w:rPr>
          <w:lang w:eastAsia="ja-JP"/>
        </w:rPr>
      </w:pPr>
      <w:r>
        <w:rPr>
          <w:lang w:eastAsia="ja-JP"/>
        </w:rPr>
        <w:t>実質的な緩和の文脈では、実質的には、正味のマイナス(除去が排出を上回る場合)、正味のゼロ(除去が排出とバランスする場合)、排出削減の程度の違い</w:t>
      </w:r>
      <w:r w:rsidR="00404E4B">
        <w:rPr>
          <w:rFonts w:hint="eastAsia"/>
          <w:lang w:eastAsia="ja-JP"/>
        </w:rPr>
        <w:t>までが</w:t>
      </w:r>
      <w:r>
        <w:rPr>
          <w:lang w:eastAsia="ja-JP"/>
        </w:rPr>
        <w:t>、緩和ポテンシャルの範囲に入る。 特に、農業部門全体または非通年作物生産からの排出削減のためのEUまたは世界ベースライン目標がない</w:t>
      </w:r>
      <w:r w:rsidR="00404E4B">
        <w:rPr>
          <w:rFonts w:hint="eastAsia"/>
          <w:lang w:eastAsia="ja-JP"/>
        </w:rPr>
        <w:t>ことから</w:t>
      </w:r>
      <w:r>
        <w:rPr>
          <w:lang w:eastAsia="ja-JP"/>
        </w:rPr>
        <w:t>、排出削減と除去がどの程度必要とされるべきかは、野心と必要性の問題となる。 また、</w:t>
      </w:r>
      <w:r w:rsidR="00B83F9B">
        <w:rPr>
          <w:lang w:eastAsia="ja-JP"/>
        </w:rPr>
        <w:t>タクソノミー</w:t>
      </w:r>
      <w:r>
        <w:rPr>
          <w:lang w:eastAsia="ja-JP"/>
        </w:rPr>
        <w:t>は世界的</w:t>
      </w:r>
      <w:r w:rsidR="00404E4B">
        <w:rPr>
          <w:rFonts w:hint="eastAsia"/>
          <w:lang w:eastAsia="ja-JP"/>
        </w:rPr>
        <w:t>的な視野を持って</w:t>
      </w:r>
      <w:r>
        <w:rPr>
          <w:lang w:eastAsia="ja-JP"/>
        </w:rPr>
        <w:t>おり、したがって「実質的」なレベルは、世界的な文脈において一貫していなければならないことにも留意されたい。</w:t>
      </w:r>
    </w:p>
    <w:p w14:paraId="5D798F78" w14:textId="77777777" w:rsidR="00410BDF" w:rsidRDefault="00410BDF">
      <w:pPr>
        <w:spacing w:line="276" w:lineRule="auto"/>
        <w:rPr>
          <w:lang w:eastAsia="ja-JP"/>
        </w:rPr>
        <w:sectPr w:rsidR="00410BDF">
          <w:pgSz w:w="12240" w:h="15840"/>
          <w:pgMar w:top="1380" w:right="1320" w:bottom="1640" w:left="1340" w:header="0" w:footer="1372" w:gutter="0"/>
          <w:cols w:space="720"/>
        </w:sectPr>
      </w:pPr>
    </w:p>
    <w:p w14:paraId="1B81C417" w14:textId="77777777" w:rsidR="00410BDF" w:rsidRDefault="00196192">
      <w:pPr>
        <w:pStyle w:val="a3"/>
        <w:spacing w:before="4"/>
        <w:rPr>
          <w:sz w:val="26"/>
          <w:lang w:eastAsia="ja-JP"/>
        </w:rPr>
      </w:pPr>
      <w:r>
        <w:rPr>
          <w:noProof/>
          <w:lang w:val="en-US" w:eastAsia="ja-JP"/>
        </w:rPr>
        <w:lastRenderedPageBreak/>
        <mc:AlternateContent>
          <mc:Choice Requires="wpg">
            <w:drawing>
              <wp:anchor distT="0" distB="0" distL="114300" distR="114300" simplePos="0" relativeHeight="251653632" behindDoc="1" locked="0" layoutInCell="1" allowOverlap="1" wp14:anchorId="06B79BC4" wp14:editId="4CDF7563">
                <wp:simplePos x="0" y="0"/>
                <wp:positionH relativeFrom="page">
                  <wp:posOffset>914400</wp:posOffset>
                </wp:positionH>
                <wp:positionV relativeFrom="page">
                  <wp:posOffset>914400</wp:posOffset>
                </wp:positionV>
                <wp:extent cx="5944870" cy="6344285"/>
                <wp:effectExtent l="9525" t="9525" r="8255" b="889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344285"/>
                          <a:chOff x="1440" y="1440"/>
                          <a:chExt cx="9362" cy="9991"/>
                        </a:xfrm>
                      </wpg:grpSpPr>
                      <wps:wsp>
                        <wps:cNvPr id="19" name="Line 16"/>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1445" y="1440"/>
                            <a:ext cx="0" cy="99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1450" y="11425"/>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10797" y="1440"/>
                            <a:ext cx="0" cy="99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EFCB3B" id="Group 12" o:spid="_x0000_s1026" style="position:absolute;left:0;text-align:left;margin-left:1in;margin-top:1in;width:468.1pt;height:499.55pt;z-index:-251662848;mso-position-horizontal-relative:page;mso-position-vertical-relative:page" coordorigin="1440,1440" coordsize="936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">
                <v:line id="Line 16"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5" o:spid="_x0000_s1028" style="position:absolute;visibility:visible;mso-wrap-style:square" from="1445,1440" to="144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4" o:spid="_x0000_s1029" style="position:absolute;visibility:visible;mso-wrap-style:square" from="1450,11425" to="10792,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Oi8QAAADbAAAADwAAAGRycy9kb3ducmV2LnhtbESPwWrDMBBE74X+g9hCb7UcB0xwrIRQ&#10;KOQQKE1yyW2xtrKxtDKWajv9+qpQ6HGYmTdMvV+cFRONofOsYJXlIIgbrzs2Cq6Xt5cNiBCRNVrP&#10;pOBOAfa7x4caK+1n/qDpHI1IEA4VKmhjHCopQ9OSw5D5gTh5n350GJMcjdQjzgnurCzyvJQOO04L&#10;LQ702lLTn7+cgvXhflvW3m7st+nKwpT96X3IlXp+Wg5bEJGW+B/+ax+1gmIFv1/S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s6LxAAAANsAAAAPAAAAAAAAAAAA&#10;AAAAAKECAABkcnMvZG93bnJldi54bWxQSwUGAAAAAAQABAD5AAAAkgMAAAAA&#10;" strokeweight=".16936mm"/>
                <v:line id="Line 13" o:spid="_x0000_s1030" style="position:absolute;visibility:visible;mso-wrap-style:square" from="10797,1440" to="1079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wrap anchorx="page" anchory="page"/>
              </v:group>
            </w:pict>
          </mc:Fallback>
        </mc:AlternateContent>
      </w:r>
    </w:p>
    <w:p w14:paraId="5C4C637F" w14:textId="2FB5808B" w:rsidR="00410BDF" w:rsidRDefault="00CF7372">
      <w:pPr>
        <w:pStyle w:val="a3"/>
        <w:spacing w:before="93"/>
        <w:ind w:left="213"/>
        <w:rPr>
          <w:lang w:eastAsia="ja-JP"/>
        </w:rPr>
      </w:pPr>
      <w:r>
        <w:rPr>
          <w:lang w:eastAsia="ja-JP"/>
        </w:rPr>
        <w:t>Wollenberg et al., 2016163によるレビューは、</w:t>
      </w:r>
      <w:r w:rsidR="00404E4B">
        <w:rPr>
          <w:rFonts w:hint="eastAsia"/>
          <w:lang w:eastAsia="ja-JP"/>
        </w:rPr>
        <w:t>以下のとおり</w:t>
      </w:r>
      <w:r>
        <w:rPr>
          <w:lang w:eastAsia="ja-JP"/>
        </w:rPr>
        <w:t>農業全</w:t>
      </w:r>
      <w:r w:rsidR="00404E4B">
        <w:rPr>
          <w:rFonts w:hint="eastAsia"/>
          <w:lang w:eastAsia="ja-JP"/>
        </w:rPr>
        <w:t>分野による</w:t>
      </w:r>
      <w:r>
        <w:rPr>
          <w:lang w:eastAsia="ja-JP"/>
        </w:rPr>
        <w:t>緩和の</w:t>
      </w:r>
      <w:r w:rsidR="0036048F">
        <w:rPr>
          <w:rFonts w:hint="eastAsia"/>
          <w:lang w:eastAsia="ja-JP"/>
        </w:rPr>
        <w:t>必要量</w:t>
      </w:r>
      <w:r>
        <w:rPr>
          <w:lang w:eastAsia="ja-JP"/>
        </w:rPr>
        <w:t>を示唆している。</w:t>
      </w:r>
      <w:r w:rsidR="00404E4B">
        <w:rPr>
          <w:rFonts w:hint="eastAsia"/>
          <w:lang w:eastAsia="ja-JP"/>
        </w:rPr>
        <w:t>それは</w:t>
      </w:r>
      <w:r w:rsidR="00404E4B" w:rsidRPr="00404E4B">
        <w:rPr>
          <w:rFonts w:hint="eastAsia"/>
          <w:lang w:eastAsia="ja-JP"/>
        </w:rPr>
        <w:t>0.9~1.4Gt(2030年)</w:t>
      </w:r>
      <w:r w:rsidR="00404E4B">
        <w:rPr>
          <w:rFonts w:hint="eastAsia"/>
          <w:lang w:eastAsia="ja-JP"/>
        </w:rPr>
        <w:t>から</w:t>
      </w:r>
    </w:p>
    <w:p w14:paraId="7991E15D" w14:textId="33AF5762" w:rsidR="00410BDF" w:rsidRDefault="00CF7372">
      <w:pPr>
        <w:pStyle w:val="a3"/>
        <w:spacing w:before="33" w:line="276" w:lineRule="auto"/>
        <w:ind w:left="213" w:right="295"/>
        <w:rPr>
          <w:lang w:eastAsia="ja-JP"/>
        </w:rPr>
      </w:pPr>
      <w:r>
        <w:rPr>
          <w:position w:val="1"/>
          <w:lang w:eastAsia="ja-JP"/>
        </w:rPr>
        <w:t>2℃目</w:t>
      </w:r>
      <w:r w:rsidR="00404E4B">
        <w:rPr>
          <w:rFonts w:hint="eastAsia"/>
          <w:position w:val="1"/>
          <w:lang w:eastAsia="ja-JP"/>
        </w:rPr>
        <w:t>標</w:t>
      </w:r>
      <w:r>
        <w:rPr>
          <w:position w:val="1"/>
          <w:lang w:eastAsia="ja-JP"/>
        </w:rPr>
        <w:t>を達成するためのCO2排出量</w:t>
      </w:r>
      <w:r w:rsidR="00404E4B" w:rsidRPr="00404E4B">
        <w:rPr>
          <w:rFonts w:hint="eastAsia"/>
          <w:lang w:eastAsia="ja-JP"/>
        </w:rPr>
        <w:t xml:space="preserve"> </w:t>
      </w:r>
      <w:r w:rsidR="00404E4B" w:rsidRPr="00404E4B">
        <w:rPr>
          <w:rFonts w:hint="eastAsia"/>
          <w:position w:val="1"/>
          <w:lang w:eastAsia="ja-JP"/>
        </w:rPr>
        <w:t>、1 GtCO2e(2030年)</w:t>
      </w:r>
      <w:r w:rsidR="00404E4B">
        <w:rPr>
          <w:rFonts w:hint="eastAsia"/>
          <w:position w:val="1"/>
          <w:lang w:eastAsia="ja-JP"/>
        </w:rPr>
        <w:t>の間にあると考えられる</w:t>
      </w:r>
      <w:r>
        <w:rPr>
          <w:position w:val="1"/>
          <w:lang w:eastAsia="ja-JP"/>
        </w:rPr>
        <w:t>。 こ</w:t>
      </w:r>
      <w:r w:rsidR="00404E4B">
        <w:rPr>
          <w:rFonts w:hint="eastAsia"/>
          <w:position w:val="1"/>
          <w:lang w:eastAsia="ja-JP"/>
        </w:rPr>
        <w:t>の考え方が</w:t>
      </w:r>
      <w:r>
        <w:rPr>
          <w:position w:val="1"/>
          <w:lang w:eastAsia="ja-JP"/>
        </w:rPr>
        <w:t>近似目標として選択</w:t>
      </w:r>
      <w:r w:rsidR="00404E4B">
        <w:rPr>
          <w:rFonts w:hint="eastAsia"/>
          <w:position w:val="1"/>
          <w:lang w:eastAsia="ja-JP"/>
        </w:rPr>
        <w:t>され</w:t>
      </w:r>
      <w:r>
        <w:rPr>
          <w:position w:val="1"/>
          <w:lang w:eastAsia="ja-JP"/>
        </w:rPr>
        <w:t>た。 これらの数字は、主にCO2以外の排出量に関するものであり、累積ではなく「年率」の目標である。</w:t>
      </w:r>
      <w:r>
        <w:rPr>
          <w:lang w:eastAsia="ja-JP"/>
        </w:rPr>
        <w:t xml:space="preserve"> この目標は、2030年における農業の許容排出予算を</w:t>
      </w:r>
      <w:r w:rsidR="00404E4B">
        <w:rPr>
          <w:rFonts w:hint="eastAsia"/>
          <w:lang w:eastAsia="ja-JP"/>
        </w:rPr>
        <w:t>初年度</w:t>
      </w:r>
      <w:r>
        <w:rPr>
          <w:lang w:eastAsia="ja-JP"/>
        </w:rPr>
        <w:t>6.15-7.78GtCO2と仮定している。 この目標は、シナリオの2030年の</w:t>
      </w:r>
      <w:r w:rsidR="00404E4B">
        <w:rPr>
          <w:rFonts w:hint="eastAsia"/>
          <w:lang w:eastAsia="ja-JP"/>
        </w:rPr>
        <w:t>BaUベースラインと比較して、</w:t>
      </w:r>
      <w:r>
        <w:rPr>
          <w:lang w:eastAsia="ja-JP"/>
        </w:rPr>
        <w:t>各事業に対して11~18%の削減を</w:t>
      </w:r>
      <w:r w:rsidR="00404E4B">
        <w:rPr>
          <w:rFonts w:hint="eastAsia"/>
          <w:lang w:eastAsia="ja-JP"/>
        </w:rPr>
        <w:t>課している</w:t>
      </w:r>
      <w:r>
        <w:rPr>
          <w:lang w:eastAsia="ja-JP"/>
        </w:rPr>
        <w:t>。</w:t>
      </w:r>
      <w:r w:rsidR="00404E4B">
        <w:rPr>
          <w:rFonts w:hint="eastAsia"/>
          <w:lang w:eastAsia="ja-JP"/>
        </w:rPr>
        <w:t>164</w:t>
      </w:r>
      <w:r>
        <w:rPr>
          <w:position w:val="1"/>
          <w:lang w:eastAsia="ja-JP"/>
        </w:rPr>
        <w:t xml:space="preserve"> これらの数字はCO2以外の排出を表しているため、潜在的な炭素固定の役割と地球規模の緩和目標への貢献</w:t>
      </w:r>
      <w:r w:rsidR="0036048F">
        <w:rPr>
          <w:rFonts w:hint="eastAsia"/>
          <w:position w:val="1"/>
          <w:lang w:eastAsia="ja-JP"/>
        </w:rPr>
        <w:t>については、織り込まれた形では認識されていない</w:t>
      </w:r>
      <w:r>
        <w:rPr>
          <w:position w:val="1"/>
          <w:lang w:eastAsia="ja-JP"/>
        </w:rPr>
        <w:t>。</w:t>
      </w:r>
      <w:r>
        <w:rPr>
          <w:lang w:eastAsia="ja-JP"/>
        </w:rPr>
        <w:t xml:space="preserve"> </w:t>
      </w:r>
      <w:r w:rsidR="0036048F">
        <w:rPr>
          <w:rFonts w:hint="eastAsia"/>
          <w:lang w:eastAsia="ja-JP"/>
        </w:rPr>
        <w:t>このため</w:t>
      </w:r>
      <w:r>
        <w:rPr>
          <w:lang w:eastAsia="ja-JP"/>
        </w:rPr>
        <w:t>、2020年から2030年までの10年間のGHG排出削減閾値20%は、</w:t>
      </w:r>
      <w:r w:rsidR="00B83F9B">
        <w:rPr>
          <w:lang w:eastAsia="ja-JP"/>
        </w:rPr>
        <w:t>タクソノミー</w:t>
      </w:r>
      <w:r>
        <w:rPr>
          <w:lang w:eastAsia="ja-JP"/>
        </w:rPr>
        <w:t>の文脈において「重要な貢献」として提案されている。 これは、Frankら(2018)165およびIPCCの第4次評価報告書(Smithら、2007)166の研究によって支持されている。</w:t>
      </w:r>
    </w:p>
    <w:p w14:paraId="6C7FB201" w14:textId="77777777" w:rsidR="00410BDF" w:rsidRDefault="00410BDF">
      <w:pPr>
        <w:pStyle w:val="a3"/>
        <w:spacing w:before="9"/>
        <w:rPr>
          <w:lang w:eastAsia="ja-JP"/>
        </w:rPr>
      </w:pPr>
    </w:p>
    <w:p w14:paraId="79DCCF10" w14:textId="1F9E905E" w:rsidR="00410BDF" w:rsidRDefault="00CF7372">
      <w:pPr>
        <w:pStyle w:val="a3"/>
        <w:spacing w:line="276" w:lineRule="auto"/>
        <w:ind w:left="213" w:right="286"/>
        <w:rPr>
          <w:lang w:eastAsia="ja-JP"/>
        </w:rPr>
      </w:pPr>
      <w:r>
        <w:rPr>
          <w:lang w:eastAsia="ja-JP"/>
        </w:rPr>
        <w:t>農業における排出量の減少軌道の確立に関して、Wollenbergら(2016)の研究は、2010年から2100年までの排出量の軌跡に基づいて排出削減ニーズを計算している。 排出曲線(経時的な排出量のレベル)は、既存の取り組み、外部要因の変化予測などと比較して、異なる時点で増減する。 この期間全体で必要とされる平均削減量は、ベースラインと比較して28%の排出削減である。 2040年と2050年に向けて前進するにつれて、必要とされる排出削減のレベルが増加し、2030年の時間枠を超えて設定された閾値にこの影響が及ぶ。 2050年の削減量は大きくなる(約2倍)。 この研究では、必要とされる排出削減のレベルは年々直線的ではないが、単純化のために、2030年までに20%削減、2050年までに40%削減という2つのペッグの間に直線的な削減が描かれている。これは、排出削減の直線的な軌道</w:t>
      </w:r>
      <w:r w:rsidR="00404E4B">
        <w:rPr>
          <w:rFonts w:hint="eastAsia"/>
          <w:lang w:eastAsia="ja-JP"/>
        </w:rPr>
        <w:t>について</w:t>
      </w:r>
      <w:r>
        <w:rPr>
          <w:lang w:eastAsia="ja-JP"/>
        </w:rPr>
        <w:t>実施とコミュニケーションを簡素化するためである。</w:t>
      </w:r>
    </w:p>
    <w:p w14:paraId="27009F03" w14:textId="77777777" w:rsidR="00410BDF" w:rsidRDefault="00410BDF">
      <w:pPr>
        <w:pStyle w:val="a3"/>
        <w:spacing w:before="1"/>
        <w:rPr>
          <w:sz w:val="21"/>
          <w:lang w:eastAsia="ja-JP"/>
        </w:rPr>
      </w:pPr>
    </w:p>
    <w:p w14:paraId="5DE0F5DA" w14:textId="3DD0DC2E" w:rsidR="00410BDF" w:rsidRDefault="00CF7372">
      <w:pPr>
        <w:pStyle w:val="a3"/>
        <w:spacing w:line="276" w:lineRule="auto"/>
        <w:ind w:left="213" w:right="288"/>
        <w:rPr>
          <w:lang w:eastAsia="ja-JP"/>
        </w:rPr>
      </w:pPr>
      <w:r>
        <w:rPr>
          <w:lang w:eastAsia="ja-JP"/>
        </w:rPr>
        <w:t>この研究では、</w:t>
      </w:r>
      <w:r w:rsidR="00404E4B" w:rsidDel="00404E4B">
        <w:rPr>
          <w:lang w:eastAsia="ja-JP"/>
        </w:rPr>
        <w:t xml:space="preserve"> </w:t>
      </w:r>
      <w:r>
        <w:rPr>
          <w:lang w:eastAsia="ja-JP"/>
        </w:rPr>
        <w:t>(BaU)農業のシナリオに照らして、削減</w:t>
      </w:r>
      <w:r w:rsidR="00404E4B">
        <w:rPr>
          <w:rFonts w:hint="eastAsia"/>
          <w:lang w:eastAsia="ja-JP"/>
        </w:rPr>
        <w:t>量の案が</w:t>
      </w:r>
      <w:r>
        <w:rPr>
          <w:lang w:eastAsia="ja-JP"/>
        </w:rPr>
        <w:t>決定</w:t>
      </w:r>
      <w:r w:rsidR="00404E4B">
        <w:rPr>
          <w:rFonts w:hint="eastAsia"/>
          <w:lang w:eastAsia="ja-JP"/>
        </w:rPr>
        <w:t>され</w:t>
      </w:r>
      <w:r>
        <w:rPr>
          <w:lang w:eastAsia="ja-JP"/>
        </w:rPr>
        <w:t>た。 しかし、BaU排出量は、緩和行動が実施されていないと仮定して算定する必要があるため、各プロジェクトまたは各農場のBaU</w:t>
      </w:r>
      <w:r w:rsidR="00404E4B">
        <w:rPr>
          <w:rFonts w:hint="eastAsia"/>
          <w:lang w:eastAsia="ja-JP"/>
        </w:rPr>
        <w:t>反証</w:t>
      </w:r>
      <w:r>
        <w:rPr>
          <w:lang w:eastAsia="ja-JP"/>
        </w:rPr>
        <w:t>レベルの排出量を設定することは、実施効果を制限</w:t>
      </w:r>
      <w:r w:rsidR="000C4850">
        <w:rPr>
          <w:rFonts w:hint="eastAsia"/>
          <w:lang w:eastAsia="ja-JP"/>
        </w:rPr>
        <w:t>してしまう</w:t>
      </w:r>
      <w:r>
        <w:rPr>
          <w:lang w:eastAsia="ja-JP"/>
        </w:rPr>
        <w:t>可能性がある。</w:t>
      </w:r>
      <w:r w:rsidR="000C4850">
        <w:rPr>
          <w:rFonts w:hint="eastAsia"/>
          <w:lang w:eastAsia="ja-JP"/>
        </w:rPr>
        <w:t>この点から、</w:t>
      </w:r>
      <w:r>
        <w:rPr>
          <w:lang w:eastAsia="ja-JP"/>
        </w:rPr>
        <w:t>提案されたアプローチは、期間開始時の排出量を期間中に達成された排出量と比較し、その期間の削減目標に対してこれを評価するという単純化</w:t>
      </w:r>
      <w:r w:rsidR="000C4850">
        <w:rPr>
          <w:rFonts w:hint="eastAsia"/>
          <w:lang w:eastAsia="ja-JP"/>
        </w:rPr>
        <w:t>した要件が採用されてい</w:t>
      </w:r>
      <w:r>
        <w:rPr>
          <w:lang w:eastAsia="ja-JP"/>
        </w:rPr>
        <w:t>る。</w:t>
      </w:r>
    </w:p>
    <w:p w14:paraId="1A449C24" w14:textId="77777777" w:rsidR="00410BDF" w:rsidRDefault="00410BDF">
      <w:pPr>
        <w:pStyle w:val="a3"/>
        <w:spacing w:before="10"/>
        <w:rPr>
          <w:lang w:eastAsia="ja-JP"/>
        </w:rPr>
      </w:pPr>
    </w:p>
    <w:p w14:paraId="5526D2CA" w14:textId="5504590D" w:rsidR="00410BDF" w:rsidRDefault="00CF7372">
      <w:pPr>
        <w:pStyle w:val="a3"/>
        <w:spacing w:line="276" w:lineRule="auto"/>
        <w:ind w:left="213"/>
        <w:rPr>
          <w:lang w:eastAsia="ja-JP"/>
        </w:rPr>
      </w:pPr>
      <w:r>
        <w:rPr>
          <w:lang w:eastAsia="ja-JP"/>
        </w:rPr>
        <w:t>閾値</w:t>
      </w:r>
      <w:r w:rsidR="000C4850">
        <w:rPr>
          <w:rFonts w:hint="eastAsia"/>
          <w:lang w:eastAsia="ja-JP"/>
        </w:rPr>
        <w:t>基準</w:t>
      </w:r>
      <w:r>
        <w:rPr>
          <w:lang w:eastAsia="ja-JP"/>
        </w:rPr>
        <w:t>はgCO2eであり、gCO2e/生産単位のような</w:t>
      </w:r>
      <w:r w:rsidR="000C4850">
        <w:rPr>
          <w:rFonts w:hint="eastAsia"/>
          <w:lang w:eastAsia="ja-JP"/>
        </w:rPr>
        <w:t>排出原単位基準</w:t>
      </w:r>
      <w:r>
        <w:rPr>
          <w:lang w:eastAsia="ja-JP"/>
        </w:rPr>
        <w:t>ではない。これにより、排出原単位を削減する(例えば、効率を通して)両者によって</w:t>
      </w:r>
      <w:r w:rsidR="00B83F9B">
        <w:rPr>
          <w:lang w:eastAsia="ja-JP"/>
        </w:rPr>
        <w:t>タクソノミー</w:t>
      </w:r>
      <w:r>
        <w:rPr>
          <w:lang w:eastAsia="ja-JP"/>
        </w:rPr>
        <w:t>が適用され、全体的な目標である排出量を削減することも要求されるからである。</w:t>
      </w:r>
    </w:p>
    <w:p w14:paraId="4D7174AF" w14:textId="77777777" w:rsidR="00410BDF" w:rsidRDefault="00410BDF">
      <w:pPr>
        <w:pStyle w:val="a3"/>
        <w:rPr>
          <w:sz w:val="22"/>
          <w:lang w:eastAsia="ja-JP"/>
        </w:rPr>
      </w:pPr>
    </w:p>
    <w:p w14:paraId="14964D98" w14:textId="77777777" w:rsidR="00410BDF" w:rsidRDefault="00410BDF">
      <w:pPr>
        <w:pStyle w:val="a3"/>
        <w:spacing w:before="9"/>
        <w:rPr>
          <w:sz w:val="28"/>
          <w:lang w:eastAsia="ja-JP"/>
        </w:rPr>
      </w:pPr>
    </w:p>
    <w:p w14:paraId="652B88E6" w14:textId="77777777" w:rsidR="00410BDF" w:rsidRDefault="00CF7372">
      <w:pPr>
        <w:pStyle w:val="2"/>
        <w:rPr>
          <w:lang w:eastAsia="ja-JP"/>
        </w:rPr>
      </w:pPr>
      <w:r>
        <w:rPr>
          <w:lang w:eastAsia="ja-JP"/>
        </w:rPr>
        <w:t>炭素貯蔵閾値の設定について</w:t>
      </w:r>
    </w:p>
    <w:p w14:paraId="522FC0BC" w14:textId="77777777" w:rsidR="00410BDF" w:rsidRDefault="00410BDF">
      <w:pPr>
        <w:pStyle w:val="a3"/>
        <w:rPr>
          <w:b/>
          <w:lang w:eastAsia="ja-JP"/>
        </w:rPr>
      </w:pPr>
    </w:p>
    <w:p w14:paraId="0D01DCB1" w14:textId="77777777" w:rsidR="00410BDF" w:rsidRDefault="00196192">
      <w:pPr>
        <w:pStyle w:val="a3"/>
        <w:spacing w:before="10"/>
        <w:rPr>
          <w:b/>
          <w:sz w:val="10"/>
          <w:lang w:eastAsia="ja-JP"/>
        </w:rPr>
      </w:pPr>
      <w:r>
        <w:rPr>
          <w:noProof/>
          <w:lang w:val="en-US" w:eastAsia="ja-JP"/>
        </w:rPr>
        <mc:AlternateContent>
          <mc:Choice Requires="wps">
            <w:drawing>
              <wp:anchor distT="0" distB="0" distL="0" distR="0" simplePos="0" relativeHeight="251673088" behindDoc="1" locked="0" layoutInCell="1" allowOverlap="1" wp14:anchorId="33A72B5F" wp14:editId="2F37B9EC">
                <wp:simplePos x="0" y="0"/>
                <wp:positionH relativeFrom="page">
                  <wp:posOffset>914400</wp:posOffset>
                </wp:positionH>
                <wp:positionV relativeFrom="paragraph">
                  <wp:posOffset>107950</wp:posOffset>
                </wp:positionV>
                <wp:extent cx="1829435" cy="0"/>
                <wp:effectExtent l="9525" t="5080" r="8890" b="13970"/>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4044" id="Line 11" o:spid="_x0000_s1026" style="position:absolute;left:0;text-align:lef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pt" to="21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Qz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" strokeweight=".48pt">
                <w10:wrap type="topAndBottom" anchorx="page"/>
              </v:line>
            </w:pict>
          </mc:Fallback>
        </mc:AlternateContent>
      </w:r>
    </w:p>
    <w:p w14:paraId="1B7C3776" w14:textId="77777777" w:rsidR="00410BDF" w:rsidRDefault="00410BDF">
      <w:pPr>
        <w:pStyle w:val="a3"/>
        <w:spacing w:before="5"/>
        <w:rPr>
          <w:b/>
          <w:sz w:val="17"/>
          <w:lang w:eastAsia="ja-JP"/>
        </w:rPr>
      </w:pPr>
    </w:p>
    <w:p w14:paraId="07687673" w14:textId="77777777" w:rsidR="00410BDF" w:rsidRDefault="00CF7372">
      <w:pPr>
        <w:pStyle w:val="a4"/>
        <w:numPr>
          <w:ilvl w:val="0"/>
          <w:numId w:val="11"/>
        </w:numPr>
        <w:tabs>
          <w:tab w:val="left" w:pos="413"/>
        </w:tabs>
        <w:spacing w:before="96" w:line="256" w:lineRule="auto"/>
        <w:ind w:right="662" w:firstLine="0"/>
        <w:rPr>
          <w:sz w:val="16"/>
        </w:rPr>
      </w:pPr>
      <w:proofErr w:type="spellStart"/>
      <w:r>
        <w:rPr>
          <w:sz w:val="16"/>
        </w:rPr>
        <w:t>Wollenberg</w:t>
      </w:r>
      <w:proofErr w:type="spellEnd"/>
      <w:r>
        <w:rPr>
          <w:sz w:val="16"/>
        </w:rPr>
        <w:t xml:space="preserve">, E., Richards, M., Smith, P., </w:t>
      </w:r>
      <w:proofErr w:type="spellStart"/>
      <w:r>
        <w:rPr>
          <w:sz w:val="16"/>
        </w:rPr>
        <w:t>Havlík</w:t>
      </w:r>
      <w:proofErr w:type="spellEnd"/>
      <w:r>
        <w:rPr>
          <w:sz w:val="16"/>
        </w:rPr>
        <w:t xml:space="preserve">, P., </w:t>
      </w:r>
      <w:proofErr w:type="spellStart"/>
      <w:r>
        <w:rPr>
          <w:sz w:val="16"/>
        </w:rPr>
        <w:t>Obersteiner</w:t>
      </w:r>
      <w:proofErr w:type="spellEnd"/>
      <w:r>
        <w:rPr>
          <w:sz w:val="16"/>
        </w:rPr>
        <w:t xml:space="preserve">, M., </w:t>
      </w:r>
      <w:proofErr w:type="spellStart"/>
      <w:r>
        <w:rPr>
          <w:sz w:val="16"/>
        </w:rPr>
        <w:t>Tubiello</w:t>
      </w:r>
      <w:proofErr w:type="spellEnd"/>
      <w:r>
        <w:rPr>
          <w:sz w:val="16"/>
        </w:rPr>
        <w:t xml:space="preserve">, F. N., ... </w:t>
      </w:r>
      <w:r>
        <w:rPr>
          <w:sz w:val="16"/>
          <w:lang w:eastAsia="ja-JP"/>
        </w:rPr>
        <w:t xml:space="preserve">Campbell, B. M. (2016). 2℃の目標を達成するために、農業からの排出を削減する。 </w:t>
      </w:r>
      <w:r>
        <w:rPr>
          <w:sz w:val="16"/>
        </w:rPr>
        <w:t>地球変動生物学、22, 3859-3864</w:t>
      </w:r>
      <w:r>
        <w:rPr>
          <w:spacing w:val="-20"/>
          <w:sz w:val="16"/>
        </w:rPr>
        <w:t xml:space="preserve"> doi:10.1111/gcb.13340</w:t>
      </w:r>
    </w:p>
    <w:p w14:paraId="4D94BF51" w14:textId="77777777" w:rsidR="00410BDF" w:rsidRDefault="00410BDF">
      <w:pPr>
        <w:pStyle w:val="a3"/>
        <w:spacing w:before="2"/>
        <w:rPr>
          <w:sz w:val="14"/>
        </w:rPr>
      </w:pPr>
    </w:p>
    <w:p w14:paraId="5E7C6057" w14:textId="77777777" w:rsidR="00410BDF" w:rsidRDefault="00CF7372">
      <w:pPr>
        <w:pStyle w:val="a4"/>
        <w:numPr>
          <w:ilvl w:val="0"/>
          <w:numId w:val="11"/>
        </w:numPr>
        <w:tabs>
          <w:tab w:val="left" w:pos="413"/>
        </w:tabs>
        <w:ind w:left="412"/>
        <w:rPr>
          <w:sz w:val="16"/>
        </w:rPr>
      </w:pPr>
      <w:proofErr w:type="spellStart"/>
      <w:r>
        <w:rPr>
          <w:sz w:val="16"/>
        </w:rPr>
        <w:t>イデム</w:t>
      </w:r>
      <w:proofErr w:type="spellEnd"/>
    </w:p>
    <w:p w14:paraId="6488C23E" w14:textId="77777777" w:rsidR="00410BDF" w:rsidRDefault="00410BDF">
      <w:pPr>
        <w:pStyle w:val="a3"/>
        <w:spacing w:before="1"/>
        <w:rPr>
          <w:sz w:val="15"/>
        </w:rPr>
      </w:pPr>
    </w:p>
    <w:p w14:paraId="6D90C027" w14:textId="77777777" w:rsidR="00410BDF" w:rsidRDefault="00CF7372">
      <w:pPr>
        <w:pStyle w:val="a4"/>
        <w:numPr>
          <w:ilvl w:val="0"/>
          <w:numId w:val="11"/>
        </w:numPr>
        <w:tabs>
          <w:tab w:val="left" w:pos="413"/>
        </w:tabs>
        <w:spacing w:line="259" w:lineRule="auto"/>
        <w:ind w:right="148" w:firstLine="0"/>
        <w:rPr>
          <w:sz w:val="16"/>
        </w:rPr>
      </w:pPr>
      <w:r>
        <w:rPr>
          <w:sz w:val="16"/>
        </w:rPr>
        <w:t>Stefan Frank et al., Agricultural non-CO2 排出削減ポテンシャルは、1.5℃という目標、Nature Climate Change (2018)</w:t>
      </w:r>
      <w:proofErr w:type="spellStart"/>
      <w:r>
        <w:rPr>
          <w:sz w:val="16"/>
        </w:rPr>
        <w:t>に照らして</w:t>
      </w:r>
      <w:proofErr w:type="spellEnd"/>
      <w:r>
        <w:rPr>
          <w:sz w:val="16"/>
        </w:rPr>
        <w:t>。 DOI: 10.1038/s4558-018-0358-8</w:t>
      </w:r>
    </w:p>
    <w:p w14:paraId="65288D21" w14:textId="77777777" w:rsidR="00410BDF" w:rsidRDefault="00CF7372">
      <w:pPr>
        <w:pStyle w:val="a4"/>
        <w:numPr>
          <w:ilvl w:val="0"/>
          <w:numId w:val="11"/>
        </w:numPr>
        <w:tabs>
          <w:tab w:val="left" w:pos="413"/>
        </w:tabs>
        <w:spacing w:before="159" w:line="259" w:lineRule="auto"/>
        <w:ind w:right="701" w:firstLine="0"/>
        <w:rPr>
          <w:sz w:val="16"/>
          <w:lang w:eastAsia="ja-JP"/>
        </w:rPr>
      </w:pPr>
      <w:r>
        <w:rPr>
          <w:sz w:val="16"/>
          <w:lang w:eastAsia="ja-JP"/>
        </w:rPr>
        <w:t>スミス他</w:t>
      </w:r>
      <w:r>
        <w:rPr>
          <w:spacing w:val="-2"/>
          <w:sz w:val="16"/>
          <w:lang w:eastAsia="ja-JP"/>
        </w:rPr>
        <w:t xml:space="preserve"> (2007)「農業」、気候変動:緩和、第3作業部会の気候変動に関する政府間パネル第4次評価報告書への貢献、ケンブリッジ大学出版局、ニューヨーク。</w:t>
      </w:r>
    </w:p>
    <w:p w14:paraId="5FBB19A8" w14:textId="77777777" w:rsidR="00410BDF" w:rsidRDefault="00410BDF">
      <w:pPr>
        <w:spacing w:line="259" w:lineRule="auto"/>
        <w:rPr>
          <w:sz w:val="16"/>
          <w:lang w:eastAsia="ja-JP"/>
        </w:rPr>
        <w:sectPr w:rsidR="00410BDF">
          <w:pgSz w:w="12240" w:h="15840"/>
          <w:pgMar w:top="1440" w:right="1320" w:bottom="1640" w:left="1340" w:header="0" w:footer="1372" w:gutter="0"/>
          <w:cols w:space="720"/>
        </w:sectPr>
      </w:pPr>
    </w:p>
    <w:p w14:paraId="27D426BD" w14:textId="36B222E6" w:rsidR="00410BDF" w:rsidRDefault="00196192">
      <w:pPr>
        <w:pStyle w:val="a3"/>
        <w:spacing w:before="70" w:line="276" w:lineRule="auto"/>
        <w:ind w:left="213" w:right="255"/>
        <w:rPr>
          <w:lang w:eastAsia="ja-JP"/>
        </w:rPr>
      </w:pPr>
      <w:r>
        <w:rPr>
          <w:noProof/>
          <w:lang w:val="en-US" w:eastAsia="ja-JP"/>
        </w:rPr>
        <w:lastRenderedPageBreak/>
        <mc:AlternateContent>
          <mc:Choice Requires="wpg">
            <w:drawing>
              <wp:anchor distT="0" distB="0" distL="114300" distR="114300" simplePos="0" relativeHeight="251654656" behindDoc="1" locked="0" layoutInCell="1" allowOverlap="1" wp14:anchorId="07E4677B" wp14:editId="60629DDE">
                <wp:simplePos x="0" y="0"/>
                <wp:positionH relativeFrom="page">
                  <wp:posOffset>914400</wp:posOffset>
                </wp:positionH>
                <wp:positionV relativeFrom="page">
                  <wp:posOffset>914400</wp:posOffset>
                </wp:positionV>
                <wp:extent cx="5944870" cy="7595870"/>
                <wp:effectExtent l="9525" t="9525" r="8255" b="508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595870"/>
                          <a:chOff x="1440" y="1440"/>
                          <a:chExt cx="9362" cy="11962"/>
                        </a:xfrm>
                      </wpg:grpSpPr>
                      <wps:wsp>
                        <wps:cNvPr id="13" name="Line 10"/>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445" y="1440"/>
                            <a:ext cx="0" cy="119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450" y="13396"/>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0797" y="1440"/>
                            <a:ext cx="0" cy="119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77D07A" id="Group 6" o:spid="_x0000_s1026" style="position:absolute;left:0;text-align:left;margin-left:1in;margin-top:1in;width:468.1pt;height:598.1pt;z-index:-251661824;mso-position-horizontal-relative:page;mso-position-vertical-relative:page" coordorigin="1440,1440" coordsize="9362,1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">
                <v:line id="Line 10"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9" o:spid="_x0000_s1028" style="position:absolute;visibility:visible;mso-wrap-style:square" from="1445,1440" to="1445,1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8" o:spid="_x0000_s1029" style="position:absolute;visibility:visible;mso-wrap-style:square" from="1450,13396" to="10792,1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CNcEAAADbAAAADwAAAGRycy9kb3ducmV2LnhtbERPS4vCMBC+C/sfwix4s+kqFu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1QI1wQAAANsAAAAPAAAAAAAAAAAAAAAA&#10;AKECAABkcnMvZG93bnJldi54bWxQSwUGAAAAAAQABAD5AAAAjwMAAAAA&#10;" strokeweight=".16936mm"/>
                <v:line id="Line 7" o:spid="_x0000_s1030" style="position:absolute;visibility:visible;mso-wrap-style:square" from="10797,1440" to="10797,1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wrap anchorx="page" anchory="page"/>
              </v:group>
            </w:pict>
          </mc:Fallback>
        </mc:AlternateContent>
      </w:r>
      <w:r w:rsidR="00CF7372">
        <w:rPr>
          <w:lang w:eastAsia="ja-JP"/>
        </w:rPr>
        <w:t>炭素貯蔵のための普遍的(または世界的)絶対閾値(tC/haで表す)を設定することは、炭素隔離と貯蔵ポテンシャルの変動性を考えると、現実的な選択肢ではない。これは、非常に状況</w:t>
      </w:r>
      <w:r w:rsidR="000C4850">
        <w:rPr>
          <w:rFonts w:hint="eastAsia"/>
          <w:lang w:eastAsia="ja-JP"/>
        </w:rPr>
        <w:t>固</w:t>
      </w:r>
      <w:r w:rsidR="00CF7372">
        <w:rPr>
          <w:lang w:eastAsia="ja-JP"/>
        </w:rPr>
        <w:t>有のものである。炭素貯蔵ポテンシャル</w:t>
      </w:r>
      <w:r w:rsidR="000C4850">
        <w:rPr>
          <w:rFonts w:hint="eastAsia"/>
          <w:lang w:eastAsia="ja-JP"/>
        </w:rPr>
        <w:t>が低い事案で</w:t>
      </w:r>
      <w:r w:rsidR="00CF7372">
        <w:rPr>
          <w:lang w:eastAsia="ja-JP"/>
        </w:rPr>
        <w:t>は、普遍的、絶対的な閾値に沿った実質的な隔離を実現することができないだろう。 (その場所での最大炭素貯蔵ポテンシャルに基づいて)局地的条件に結びついた絶対閾値を設定しても、現時点では、特定の地域の最大固定ポテンシャル(すなわち飽和点)を試験し推定することは現実的ではない。 このような計算は、現在、土壌タイプに基づくデフォルト値を使用しているため、真に</w:t>
      </w:r>
      <w:r w:rsidR="000C4850">
        <w:rPr>
          <w:rFonts w:hint="eastAsia"/>
          <w:lang w:eastAsia="ja-JP"/>
        </w:rPr>
        <w:t>個別の</w:t>
      </w:r>
      <w:r w:rsidR="00CF7372">
        <w:rPr>
          <w:lang w:eastAsia="ja-JP"/>
        </w:rPr>
        <w:t>状況に</w:t>
      </w:r>
      <w:r w:rsidR="000C4850">
        <w:rPr>
          <w:rFonts w:hint="eastAsia"/>
          <w:lang w:eastAsia="ja-JP"/>
        </w:rPr>
        <w:t>配慮した</w:t>
      </w:r>
      <w:r w:rsidR="00CF7372">
        <w:rPr>
          <w:lang w:eastAsia="ja-JP"/>
        </w:rPr>
        <w:t>ものではない。</w:t>
      </w:r>
    </w:p>
    <w:p w14:paraId="10DED8EF" w14:textId="77777777" w:rsidR="00410BDF" w:rsidRDefault="00410BDF">
      <w:pPr>
        <w:pStyle w:val="a3"/>
        <w:spacing w:before="9"/>
        <w:rPr>
          <w:lang w:eastAsia="ja-JP"/>
        </w:rPr>
      </w:pPr>
    </w:p>
    <w:p w14:paraId="50350C1C" w14:textId="6AF1906B" w:rsidR="00410BDF" w:rsidRDefault="00CF7372">
      <w:pPr>
        <w:pStyle w:val="a3"/>
        <w:spacing w:line="276" w:lineRule="auto"/>
        <w:ind w:left="213" w:right="240"/>
        <w:rPr>
          <w:lang w:eastAsia="ja-JP"/>
        </w:rPr>
      </w:pPr>
      <w:r>
        <w:rPr>
          <w:lang w:eastAsia="ja-JP"/>
        </w:rPr>
        <w:t>さらに、必要とされる炭素増加の特定の%を定義することでさえ、排出削減の相対的な閾値を設定するよりも困難である。 排出量の削減は、一定の時点での排出量のレベルに常に比例するため、20%の削減は、パフォーマンスの悪い農場からの「実質的な」貢献(結果として、高い全体的な排出削減)をもたらすと予想される。 しかし、この前提は、比較的証拠が少なく、研究が少ないため、農地への固定を増加させることを検討する場合は異なっている。というのは、1.5℃または2℃の気候安定化目標シナリオでは、農地への炭素貯蔵の増加がどの程度必要となるかを示唆する研究はほとんどないからである。これは、同じ土地からの排出のレベル(もし</w:t>
      </w:r>
      <w:r w:rsidR="00597918">
        <w:rPr>
          <w:lang w:eastAsia="ja-JP"/>
        </w:rPr>
        <w:t>正味ゼロ</w:t>
      </w:r>
      <w:r>
        <w:rPr>
          <w:lang w:eastAsia="ja-JP"/>
        </w:rPr>
        <w:t>アプローチを追求するなら)または経済の他の部門を相殺するために必要な炭素固定のレベルと比較するためである。 しかし、C隔離は、世界規模で農業部門が利用できる最大の緩和ポテンシャルを表すことが認識されている。一方、EUでは、非CO2排出の排出削減は、一般的な集約的生産システムではより重要になるかもしれない。 Smithら(2007)は、2030年および2050年までのこの部門における排出削減の技術的ポテンシャルの89%は、土壌炭素固定、すなわち、耕作地管理、放牧地管理、耕作有機土壌の回復、劣化した土地の回復を含む農業技術および管理からの正味のCO2排出の削減にあると推定している。</w:t>
      </w:r>
    </w:p>
    <w:p w14:paraId="1E1E6C5C" w14:textId="77777777" w:rsidR="00410BDF" w:rsidRDefault="00410BDF">
      <w:pPr>
        <w:pStyle w:val="a3"/>
        <w:spacing w:before="10"/>
        <w:rPr>
          <w:lang w:eastAsia="ja-JP"/>
        </w:rPr>
      </w:pPr>
    </w:p>
    <w:p w14:paraId="102FC544" w14:textId="503E41EB" w:rsidR="00410BDF" w:rsidRDefault="00CF7372">
      <w:pPr>
        <w:pStyle w:val="a3"/>
        <w:spacing w:line="276" w:lineRule="auto"/>
        <w:ind w:left="213" w:right="309"/>
        <w:rPr>
          <w:lang w:eastAsia="ja-JP"/>
        </w:rPr>
      </w:pPr>
      <w:r>
        <w:rPr>
          <w:lang w:eastAsia="ja-JP"/>
        </w:rPr>
        <w:t>したがって、この提案では、炭素貯蔵の増加、具体的には20年間にわたる炭素貯蔵の漸進的増加に関して、正の方向性の証拠を必要とする。 IPCCの20年間の土壌C飽和期間に沿って、Cストック飽和維持のための20年間の期間が提案されている。 資金が供与される作物生産の(残りの)ライフサイクルが20年未満の場合、炭素固定の傾向の永続性を促進するために、作物の可能性のある再植に対して保証を求めるべきである。 古い作物を根絶し、新しい若い段階の作物を休耕期間/回復期間の可能性のあるものに置き換えることは、炭素貯蔵の削減と一部の排出をもたらすことが認識されている。 このことを念頭に置いて、炭素貯蔵の全体的な維持および/または固定の増加傾向が、複数のローテーションにわたって追求されることを確実にすることが目的である。</w:t>
      </w:r>
    </w:p>
    <w:p w14:paraId="13AF6BE4" w14:textId="77777777" w:rsidR="00410BDF" w:rsidRDefault="00410BDF">
      <w:pPr>
        <w:pStyle w:val="a3"/>
        <w:rPr>
          <w:sz w:val="22"/>
          <w:lang w:eastAsia="ja-JP"/>
        </w:rPr>
      </w:pPr>
    </w:p>
    <w:p w14:paraId="4BCAC76B" w14:textId="77777777" w:rsidR="00410BDF" w:rsidRDefault="00410BDF">
      <w:pPr>
        <w:pStyle w:val="a3"/>
        <w:rPr>
          <w:sz w:val="29"/>
          <w:lang w:eastAsia="ja-JP"/>
        </w:rPr>
      </w:pPr>
    </w:p>
    <w:p w14:paraId="3D51398D" w14:textId="77777777" w:rsidR="00410BDF" w:rsidRDefault="00CF7372">
      <w:pPr>
        <w:pStyle w:val="2"/>
        <w:rPr>
          <w:lang w:eastAsia="ja-JP"/>
        </w:rPr>
      </w:pPr>
      <w:r>
        <w:rPr>
          <w:lang w:eastAsia="ja-JP"/>
        </w:rPr>
        <w:t>高炭素貯蔵地の転換なし</w:t>
      </w:r>
    </w:p>
    <w:p w14:paraId="70199C5A" w14:textId="1C816198" w:rsidR="00410BDF" w:rsidRDefault="00CF7372">
      <w:pPr>
        <w:pStyle w:val="a3"/>
        <w:spacing w:before="154" w:line="276" w:lineRule="auto"/>
        <w:ind w:left="213" w:right="255"/>
        <w:rPr>
          <w:lang w:eastAsia="ja-JP"/>
        </w:rPr>
      </w:pPr>
      <w:r>
        <w:rPr>
          <w:lang w:eastAsia="ja-JP"/>
        </w:rPr>
        <w:t>高炭素貯蔵地の転換を行わないため</w:t>
      </w:r>
      <w:r w:rsidR="000C4850">
        <w:rPr>
          <w:rFonts w:hint="eastAsia"/>
          <w:lang w:eastAsia="ja-JP"/>
        </w:rPr>
        <w:t>、</w:t>
      </w:r>
      <w:r>
        <w:rPr>
          <w:lang w:eastAsia="ja-JP"/>
        </w:rPr>
        <w:t>2008年</w:t>
      </w:r>
      <w:r w:rsidR="000C4850">
        <w:rPr>
          <w:rFonts w:hint="eastAsia"/>
          <w:lang w:eastAsia="ja-JP"/>
        </w:rPr>
        <w:t>には締め切り日が設定され、</w:t>
      </w:r>
      <w:r>
        <w:rPr>
          <w:lang w:eastAsia="ja-JP"/>
        </w:rPr>
        <w:t>これらの土地タイプに関連する再生可能エネルギー指令の持続可能性基準の運用と整合するように</w:t>
      </w:r>
      <w:r w:rsidR="000C4850">
        <w:rPr>
          <w:rFonts w:hint="eastAsia"/>
          <w:lang w:eastAsia="ja-JP"/>
        </w:rPr>
        <w:t>調整された</w:t>
      </w:r>
      <w:r>
        <w:rPr>
          <w:lang w:eastAsia="ja-JP"/>
        </w:rPr>
        <w:t>。 これは、この基準</w:t>
      </w:r>
      <w:r w:rsidR="000C4850">
        <w:rPr>
          <w:rFonts w:hint="eastAsia"/>
          <w:lang w:eastAsia="ja-JP"/>
        </w:rPr>
        <w:t>を</w:t>
      </w:r>
      <w:r>
        <w:rPr>
          <w:lang w:eastAsia="ja-JP"/>
        </w:rPr>
        <w:t>遵守するための既存の持続可能性スキームと</w:t>
      </w:r>
      <w:r w:rsidR="000C4850">
        <w:rPr>
          <w:rFonts w:hint="eastAsia"/>
          <w:lang w:eastAsia="ja-JP"/>
        </w:rPr>
        <w:t>つながってい</w:t>
      </w:r>
      <w:r>
        <w:rPr>
          <w:lang w:eastAsia="ja-JP"/>
        </w:rPr>
        <w:t>る。</w:t>
      </w:r>
    </w:p>
    <w:p w14:paraId="21902980" w14:textId="77777777" w:rsidR="00410BDF" w:rsidRDefault="00410BDF">
      <w:pPr>
        <w:pStyle w:val="a3"/>
        <w:rPr>
          <w:sz w:val="22"/>
          <w:lang w:eastAsia="ja-JP"/>
        </w:rPr>
      </w:pPr>
    </w:p>
    <w:p w14:paraId="3294D045" w14:textId="77777777" w:rsidR="00410BDF" w:rsidRDefault="00410BDF">
      <w:pPr>
        <w:pStyle w:val="a3"/>
        <w:spacing w:before="10"/>
        <w:rPr>
          <w:sz w:val="28"/>
          <w:lang w:eastAsia="ja-JP"/>
        </w:rPr>
      </w:pPr>
    </w:p>
    <w:p w14:paraId="1206A675" w14:textId="77777777" w:rsidR="00410BDF" w:rsidRDefault="00CF7372">
      <w:pPr>
        <w:pStyle w:val="2"/>
        <w:rPr>
          <w:lang w:eastAsia="ja-JP"/>
        </w:rPr>
      </w:pPr>
      <w:r>
        <w:rPr>
          <w:lang w:eastAsia="ja-JP"/>
        </w:rPr>
        <w:t>これらの基準および閾値の遵守を実証するにあたり</w:t>
      </w:r>
    </w:p>
    <w:p w14:paraId="242CA39B" w14:textId="77777777" w:rsidR="00410BDF" w:rsidRDefault="00410BDF">
      <w:pPr>
        <w:rPr>
          <w:lang w:eastAsia="ja-JP"/>
        </w:rPr>
        <w:sectPr w:rsidR="00410BDF">
          <w:pgSz w:w="12240" w:h="15840"/>
          <w:pgMar w:top="142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19"/>
        <w:gridCol w:w="7425"/>
      </w:tblGrid>
      <w:tr w:rsidR="00410BDF" w14:paraId="33F4A9D0" w14:textId="77777777">
        <w:trPr>
          <w:trHeight w:val="2371"/>
        </w:trPr>
        <w:tc>
          <w:tcPr>
            <w:tcW w:w="9352" w:type="dxa"/>
            <w:gridSpan w:val="3"/>
          </w:tcPr>
          <w:p w14:paraId="5F8D47A0" w14:textId="77777777" w:rsidR="00410BDF" w:rsidRDefault="00CF7372">
            <w:pPr>
              <w:pStyle w:val="TableParagraph"/>
              <w:spacing w:before="40" w:line="276" w:lineRule="auto"/>
              <w:ind w:left="107" w:right="120"/>
              <w:rPr>
                <w:sz w:val="20"/>
                <w:lang w:eastAsia="ja-JP"/>
              </w:rPr>
            </w:pPr>
            <w:r>
              <w:rPr>
                <w:sz w:val="20"/>
                <w:lang w:eastAsia="ja-JP"/>
              </w:rPr>
              <w:lastRenderedPageBreak/>
              <w:t>3年間のコンプライアンス・チェックを提案し、進捗状況を確認し、実際に軽減策を実施していることを確認するとともに、事業者に必要な負担を軽減する。 このコンプライアンスチェックは、管理慣行のチェック、CO2貯蔵量の変化、GHG削減のために必要である。</w:t>
            </w:r>
          </w:p>
          <w:p w14:paraId="4A01A88E" w14:textId="77777777" w:rsidR="00410BDF" w:rsidRDefault="00410BDF">
            <w:pPr>
              <w:pStyle w:val="TableParagraph"/>
              <w:spacing w:before="9"/>
              <w:rPr>
                <w:b/>
                <w:sz w:val="20"/>
                <w:lang w:eastAsia="ja-JP"/>
              </w:rPr>
            </w:pPr>
          </w:p>
          <w:p w14:paraId="3CAC2AD9" w14:textId="77777777" w:rsidR="00410BDF" w:rsidRDefault="00CF7372">
            <w:pPr>
              <w:pStyle w:val="TableParagraph"/>
              <w:spacing w:line="276" w:lineRule="auto"/>
              <w:ind w:left="107" w:right="254"/>
              <w:jc w:val="both"/>
              <w:rPr>
                <w:sz w:val="20"/>
                <w:lang w:eastAsia="ja-JP"/>
              </w:rPr>
            </w:pPr>
            <w:r>
              <w:rPr>
                <w:sz w:val="20"/>
                <w:lang w:eastAsia="ja-JP"/>
              </w:rPr>
              <w:t>農場の持続可能性管理計画を作成するために、炭素計算器を使用するか、または他の栄養素決定支援ツールを用いて計画を作成することもできる。 計画の作成過程において助言的支援が必要となる可能性が高く、また、計画の適切な実施を確保するために必要となる場合もある。</w:t>
            </w:r>
          </w:p>
        </w:tc>
      </w:tr>
      <w:tr w:rsidR="00410BDF" w14:paraId="079CF7B3" w14:textId="77777777">
        <w:trPr>
          <w:trHeight w:val="385"/>
        </w:trPr>
        <w:tc>
          <w:tcPr>
            <w:tcW w:w="108" w:type="dxa"/>
            <w:tcBorders>
              <w:bottom w:val="single" w:sz="8" w:space="0" w:color="000000"/>
              <w:right w:val="nil"/>
            </w:tcBorders>
            <w:shd w:val="clear" w:color="auto" w:fill="4471C4"/>
          </w:tcPr>
          <w:p w14:paraId="4C236861" w14:textId="77777777" w:rsidR="00410BDF" w:rsidRDefault="00410BDF">
            <w:pPr>
              <w:pStyle w:val="TableParagraph"/>
              <w:rPr>
                <w:rFonts w:ascii="Times New Roman"/>
                <w:sz w:val="18"/>
                <w:lang w:eastAsia="ja-JP"/>
              </w:rPr>
            </w:pPr>
          </w:p>
        </w:tc>
        <w:tc>
          <w:tcPr>
            <w:tcW w:w="9244" w:type="dxa"/>
            <w:gridSpan w:val="2"/>
            <w:tcBorders>
              <w:left w:val="nil"/>
              <w:bottom w:val="single" w:sz="8" w:space="0" w:color="000000"/>
            </w:tcBorders>
            <w:shd w:val="clear" w:color="auto" w:fill="4471C4"/>
          </w:tcPr>
          <w:p w14:paraId="05682696" w14:textId="2A89CEC6" w:rsidR="00410BDF" w:rsidRDefault="00395BDF">
            <w:pPr>
              <w:pStyle w:val="TableParagraph"/>
              <w:spacing w:before="40"/>
              <w:ind w:left="4"/>
              <w:rPr>
                <w:b/>
                <w:sz w:val="20"/>
                <w:lang w:eastAsia="ja-JP"/>
              </w:rPr>
            </w:pPr>
            <w:r>
              <w:rPr>
                <w:b/>
                <w:color w:val="FFFFFF"/>
                <w:sz w:val="20"/>
                <w:lang w:eastAsia="ja-JP"/>
              </w:rPr>
              <w:t>重大な有害性</w:t>
            </w:r>
          </w:p>
        </w:tc>
      </w:tr>
      <w:tr w:rsidR="00410BDF" w14:paraId="231BDA3C" w14:textId="77777777">
        <w:trPr>
          <w:trHeight w:val="4279"/>
        </w:trPr>
        <w:tc>
          <w:tcPr>
            <w:tcW w:w="9352" w:type="dxa"/>
            <w:gridSpan w:val="3"/>
            <w:tcBorders>
              <w:top w:val="single" w:sz="8" w:space="0" w:color="000000"/>
            </w:tcBorders>
          </w:tcPr>
          <w:p w14:paraId="2BD75224" w14:textId="77777777" w:rsidR="00410BDF" w:rsidRDefault="00CF7372">
            <w:pPr>
              <w:pStyle w:val="TableParagraph"/>
              <w:spacing w:before="40" w:line="276" w:lineRule="auto"/>
              <w:ind w:left="107" w:right="365"/>
              <w:rPr>
                <w:sz w:val="20"/>
                <w:lang w:eastAsia="ja-JP"/>
              </w:rPr>
            </w:pPr>
            <w:r>
              <w:rPr>
                <w:sz w:val="20"/>
                <w:lang w:eastAsia="ja-JP"/>
              </w:rPr>
              <w:t>非多年生作物の栽培への投資のために考慮すべき主要な環境側面は、他の5つの目的すべてにわたり、以下のように要約される。</w:t>
            </w:r>
          </w:p>
          <w:p w14:paraId="7E76E6D2" w14:textId="77777777" w:rsidR="00410BDF" w:rsidRDefault="00CF7372">
            <w:pPr>
              <w:pStyle w:val="TableParagraph"/>
              <w:numPr>
                <w:ilvl w:val="0"/>
                <w:numId w:val="10"/>
              </w:numPr>
              <w:tabs>
                <w:tab w:val="left" w:pos="827"/>
                <w:tab w:val="left" w:pos="828"/>
              </w:tabs>
              <w:spacing w:before="79"/>
              <w:rPr>
                <w:sz w:val="20"/>
                <w:lang w:eastAsia="ja-JP"/>
              </w:rPr>
            </w:pPr>
            <w:r>
              <w:rPr>
                <w:sz w:val="20"/>
                <w:lang w:eastAsia="ja-JP"/>
              </w:rPr>
              <w:t>変化する気候に適応する農業システムの能力</w:t>
            </w:r>
          </w:p>
          <w:p w14:paraId="32820BE3" w14:textId="77777777" w:rsidR="00410BDF" w:rsidRDefault="00CF7372">
            <w:pPr>
              <w:pStyle w:val="TableParagraph"/>
              <w:numPr>
                <w:ilvl w:val="0"/>
                <w:numId w:val="10"/>
              </w:numPr>
              <w:tabs>
                <w:tab w:val="left" w:pos="827"/>
                <w:tab w:val="left" w:pos="828"/>
              </w:tabs>
              <w:spacing w:before="113"/>
              <w:rPr>
                <w:sz w:val="20"/>
                <w:lang w:eastAsia="ja-JP"/>
              </w:rPr>
            </w:pPr>
            <w:r>
              <w:rPr>
                <w:sz w:val="20"/>
                <w:lang w:eastAsia="ja-JP"/>
              </w:rPr>
              <w:t>水量、水質、水生態系への影響</w:t>
            </w:r>
          </w:p>
          <w:p w14:paraId="420ED835" w14:textId="77777777" w:rsidR="00410BDF" w:rsidRDefault="00CF7372">
            <w:pPr>
              <w:pStyle w:val="TableParagraph"/>
              <w:numPr>
                <w:ilvl w:val="0"/>
                <w:numId w:val="10"/>
              </w:numPr>
              <w:tabs>
                <w:tab w:val="left" w:pos="827"/>
                <w:tab w:val="left" w:pos="828"/>
              </w:tabs>
              <w:spacing w:before="115"/>
              <w:rPr>
                <w:sz w:val="20"/>
              </w:rPr>
            </w:pPr>
            <w:proofErr w:type="spellStart"/>
            <w:r>
              <w:rPr>
                <w:sz w:val="20"/>
              </w:rPr>
              <w:t>大気質への影響</w:t>
            </w:r>
            <w:proofErr w:type="spellEnd"/>
          </w:p>
          <w:p w14:paraId="4E8953CD" w14:textId="77777777" w:rsidR="00410BDF" w:rsidRDefault="00CF7372">
            <w:pPr>
              <w:pStyle w:val="TableParagraph"/>
              <w:numPr>
                <w:ilvl w:val="0"/>
                <w:numId w:val="10"/>
              </w:numPr>
              <w:tabs>
                <w:tab w:val="left" w:pos="827"/>
                <w:tab w:val="left" w:pos="828"/>
              </w:tabs>
              <w:spacing w:before="113"/>
              <w:rPr>
                <w:sz w:val="20"/>
                <w:lang w:eastAsia="ja-JP"/>
              </w:rPr>
            </w:pPr>
            <w:r>
              <w:rPr>
                <w:sz w:val="20"/>
                <w:lang w:eastAsia="ja-JP"/>
              </w:rPr>
              <w:t>栄養管理を含む生産システムの非効率性</w:t>
            </w:r>
          </w:p>
          <w:p w14:paraId="0560C48E" w14:textId="77777777" w:rsidR="00410BDF" w:rsidRDefault="00CF7372">
            <w:pPr>
              <w:pStyle w:val="TableParagraph"/>
              <w:numPr>
                <w:ilvl w:val="0"/>
                <w:numId w:val="10"/>
              </w:numPr>
              <w:tabs>
                <w:tab w:val="left" w:pos="827"/>
                <w:tab w:val="left" w:pos="828"/>
              </w:tabs>
              <w:spacing w:before="112"/>
              <w:rPr>
                <w:sz w:val="20"/>
                <w:lang w:eastAsia="ja-JP"/>
              </w:rPr>
            </w:pPr>
            <w:r>
              <w:rPr>
                <w:sz w:val="20"/>
                <w:lang w:eastAsia="ja-JP"/>
              </w:rPr>
              <w:t>汚染物質と養分の流出と浸出;</w:t>
            </w:r>
          </w:p>
          <w:p w14:paraId="6C613055" w14:textId="77777777" w:rsidR="00410BDF" w:rsidRDefault="00CF7372">
            <w:pPr>
              <w:pStyle w:val="TableParagraph"/>
              <w:numPr>
                <w:ilvl w:val="0"/>
                <w:numId w:val="10"/>
              </w:numPr>
              <w:tabs>
                <w:tab w:val="left" w:pos="827"/>
                <w:tab w:val="left" w:pos="828"/>
              </w:tabs>
              <w:spacing w:before="113" w:line="271" w:lineRule="auto"/>
              <w:ind w:right="410"/>
              <w:rPr>
                <w:sz w:val="20"/>
                <w:lang w:eastAsia="ja-JP"/>
              </w:rPr>
            </w:pPr>
            <w:r>
              <w:rPr>
                <w:sz w:val="20"/>
                <w:lang w:eastAsia="ja-JP"/>
              </w:rPr>
              <w:t>例えば、地域の転換、既存の耕地の集約化、および侵略的外来種による、生息地および種への影響。</w:t>
            </w:r>
          </w:p>
          <w:p w14:paraId="67882849" w14:textId="77777777" w:rsidR="00410BDF" w:rsidRDefault="00410BDF">
            <w:pPr>
              <w:pStyle w:val="TableParagraph"/>
              <w:rPr>
                <w:b/>
                <w:lang w:eastAsia="ja-JP"/>
              </w:rPr>
            </w:pPr>
          </w:p>
          <w:p w14:paraId="6D7E58A6" w14:textId="77777777" w:rsidR="00410BDF" w:rsidRDefault="00CF7372">
            <w:pPr>
              <w:pStyle w:val="TableParagraph"/>
              <w:spacing w:before="176" w:line="276" w:lineRule="auto"/>
              <w:ind w:left="107" w:right="165"/>
              <w:rPr>
                <w:sz w:val="20"/>
                <w:lang w:eastAsia="ja-JP"/>
              </w:rPr>
            </w:pPr>
            <w:r>
              <w:rPr>
                <w:sz w:val="20"/>
                <w:lang w:eastAsia="ja-JP"/>
              </w:rPr>
              <w:t>環境リスクのある地域は、地理的に非常に多様であることに留意されたい。 関連する地域又はプロジェクト内の重要性及び関連性のある分野又は問題を特定するために、関連する所管の国内又は地域当局から指針が求められるべきである。</w:t>
            </w:r>
          </w:p>
        </w:tc>
      </w:tr>
      <w:tr w:rsidR="00410BDF" w14:paraId="7A6C0EBB" w14:textId="77777777">
        <w:trPr>
          <w:trHeight w:val="383"/>
        </w:trPr>
        <w:tc>
          <w:tcPr>
            <w:tcW w:w="1927" w:type="dxa"/>
            <w:gridSpan w:val="2"/>
          </w:tcPr>
          <w:p w14:paraId="7E8FE212" w14:textId="77777777" w:rsidR="00410BDF" w:rsidRDefault="00CF7372">
            <w:pPr>
              <w:pStyle w:val="TableParagraph"/>
              <w:spacing w:before="40"/>
              <w:ind w:left="107"/>
              <w:rPr>
                <w:b/>
                <w:sz w:val="20"/>
              </w:rPr>
            </w:pPr>
            <w:proofErr w:type="spellStart"/>
            <w:r>
              <w:rPr>
                <w:b/>
                <w:sz w:val="20"/>
              </w:rPr>
              <w:t>DNSHの目的</w:t>
            </w:r>
            <w:proofErr w:type="spellEnd"/>
          </w:p>
        </w:tc>
        <w:tc>
          <w:tcPr>
            <w:tcW w:w="7425" w:type="dxa"/>
          </w:tcPr>
          <w:p w14:paraId="70E0C82B" w14:textId="03CE5182" w:rsidR="00410BDF" w:rsidRDefault="008538ED">
            <w:pPr>
              <w:pStyle w:val="TableParagraph"/>
              <w:spacing w:before="40"/>
              <w:ind w:left="107"/>
              <w:rPr>
                <w:b/>
                <w:sz w:val="20"/>
                <w:lang w:eastAsia="ja-JP"/>
              </w:rPr>
            </w:pPr>
            <w:r>
              <w:rPr>
                <w:b/>
                <w:sz w:val="20"/>
                <w:lang w:eastAsia="ja-JP"/>
              </w:rPr>
              <w:t>基準と閾値</w:t>
            </w:r>
          </w:p>
        </w:tc>
      </w:tr>
      <w:tr w:rsidR="00410BDF" w14:paraId="618A8079" w14:textId="77777777">
        <w:trPr>
          <w:trHeight w:val="398"/>
        </w:trPr>
        <w:tc>
          <w:tcPr>
            <w:tcW w:w="1927" w:type="dxa"/>
            <w:gridSpan w:val="2"/>
          </w:tcPr>
          <w:p w14:paraId="1E7E188B" w14:textId="77777777" w:rsidR="00410BDF" w:rsidRDefault="00CF7372">
            <w:pPr>
              <w:pStyle w:val="TableParagraph"/>
              <w:spacing w:before="40"/>
              <w:ind w:left="107"/>
              <w:rPr>
                <w:sz w:val="20"/>
              </w:rPr>
            </w:pPr>
            <w:r>
              <w:rPr>
                <w:sz w:val="20"/>
              </w:rPr>
              <w:t>(2)</w:t>
            </w:r>
            <w:proofErr w:type="spellStart"/>
            <w:r>
              <w:rPr>
                <w:sz w:val="20"/>
              </w:rPr>
              <w:t>適応</w:t>
            </w:r>
            <w:proofErr w:type="spellEnd"/>
          </w:p>
        </w:tc>
        <w:tc>
          <w:tcPr>
            <w:tcW w:w="7425" w:type="dxa"/>
          </w:tcPr>
          <w:p w14:paraId="668042AB" w14:textId="77777777" w:rsidR="00410BDF" w:rsidRDefault="00CF7372">
            <w:pPr>
              <w:pStyle w:val="TableParagraph"/>
              <w:numPr>
                <w:ilvl w:val="0"/>
                <w:numId w:val="9"/>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410BDF" w14:paraId="53B17328" w14:textId="77777777">
        <w:trPr>
          <w:trHeight w:val="1549"/>
        </w:trPr>
        <w:tc>
          <w:tcPr>
            <w:tcW w:w="1927" w:type="dxa"/>
            <w:gridSpan w:val="2"/>
          </w:tcPr>
          <w:p w14:paraId="196F8072" w14:textId="77777777" w:rsidR="00410BDF" w:rsidRDefault="00CF7372">
            <w:pPr>
              <w:pStyle w:val="TableParagraph"/>
              <w:spacing w:before="40" w:line="276" w:lineRule="auto"/>
              <w:ind w:left="107" w:right="144"/>
              <w:rPr>
                <w:sz w:val="20"/>
                <w:lang w:eastAsia="ja-JP"/>
              </w:rPr>
            </w:pPr>
            <w:r>
              <w:rPr>
                <w:sz w:val="20"/>
                <w:lang w:eastAsia="ja-JP"/>
              </w:rPr>
              <w:t>(3) 水資源及び海洋資源の持続可能な利用及び保護</w:t>
            </w:r>
          </w:p>
        </w:tc>
        <w:tc>
          <w:tcPr>
            <w:tcW w:w="7425" w:type="dxa"/>
          </w:tcPr>
          <w:p w14:paraId="659F4AC3" w14:textId="77777777" w:rsidR="00410BDF" w:rsidRDefault="00CF7372">
            <w:pPr>
              <w:pStyle w:val="TableParagraph"/>
              <w:numPr>
                <w:ilvl w:val="0"/>
                <w:numId w:val="8"/>
              </w:numPr>
              <w:tabs>
                <w:tab w:val="left" w:pos="467"/>
                <w:tab w:val="left" w:pos="468"/>
              </w:tabs>
              <w:spacing w:before="41" w:line="273" w:lineRule="auto"/>
              <w:ind w:right="247"/>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2B040145" w14:textId="77777777" w:rsidR="00410BDF" w:rsidRDefault="00CF7372">
            <w:pPr>
              <w:pStyle w:val="TableParagraph"/>
              <w:numPr>
                <w:ilvl w:val="0"/>
                <w:numId w:val="8"/>
              </w:numPr>
              <w:tabs>
                <w:tab w:val="left" w:pos="467"/>
                <w:tab w:val="left" w:pos="468"/>
              </w:tabs>
              <w:spacing w:before="86"/>
              <w:rPr>
                <w:sz w:val="20"/>
                <w:lang w:eastAsia="ja-JP"/>
              </w:rPr>
            </w:pPr>
            <w:r>
              <w:rPr>
                <w:sz w:val="20"/>
                <w:lang w:eastAsia="ja-JP"/>
              </w:rPr>
              <w:t>EUでは、EU水関連法規の要件を満たす。</w:t>
            </w:r>
          </w:p>
        </w:tc>
      </w:tr>
      <w:tr w:rsidR="00410BDF" w14:paraId="17152A60" w14:textId="77777777">
        <w:trPr>
          <w:trHeight w:val="1286"/>
        </w:trPr>
        <w:tc>
          <w:tcPr>
            <w:tcW w:w="1927" w:type="dxa"/>
            <w:gridSpan w:val="2"/>
          </w:tcPr>
          <w:p w14:paraId="599B9D1F" w14:textId="1D1997F5" w:rsidR="00410BDF" w:rsidRDefault="00CF7372">
            <w:pPr>
              <w:pStyle w:val="TableParagraph"/>
              <w:spacing w:before="40" w:line="276" w:lineRule="auto"/>
              <w:ind w:left="107" w:right="277"/>
              <w:rPr>
                <w:sz w:val="20"/>
                <w:lang w:eastAsia="ja-JP"/>
              </w:rPr>
            </w:pPr>
            <w:r>
              <w:rPr>
                <w:sz w:val="20"/>
                <w:lang w:eastAsia="ja-JP"/>
              </w:rPr>
              <w:t xml:space="preserve">4. </w:t>
            </w:r>
            <w:r w:rsidR="00395BDF">
              <w:rPr>
                <w:sz w:val="20"/>
                <w:lang w:eastAsia="ja-JP"/>
              </w:rPr>
              <w:t>サーキュラーエコノミー</w:t>
            </w:r>
            <w:r>
              <w:rPr>
                <w:sz w:val="20"/>
                <w:lang w:eastAsia="ja-JP"/>
              </w:rPr>
              <w:t>・廃棄物の予防・リサイクル</w:t>
            </w:r>
          </w:p>
        </w:tc>
        <w:tc>
          <w:tcPr>
            <w:tcW w:w="7425" w:type="dxa"/>
          </w:tcPr>
          <w:p w14:paraId="41E79510" w14:textId="77777777" w:rsidR="00410BDF" w:rsidRDefault="00CF7372">
            <w:pPr>
              <w:pStyle w:val="TableParagraph"/>
              <w:numPr>
                <w:ilvl w:val="0"/>
                <w:numId w:val="7"/>
              </w:numPr>
              <w:tabs>
                <w:tab w:val="left" w:pos="465"/>
                <w:tab w:val="left" w:pos="466"/>
              </w:tabs>
              <w:spacing w:before="41" w:line="271" w:lineRule="auto"/>
              <w:ind w:right="693"/>
              <w:rPr>
                <w:sz w:val="20"/>
                <w:lang w:eastAsia="ja-JP"/>
              </w:rPr>
            </w:pPr>
            <w:r>
              <w:rPr>
                <w:sz w:val="20"/>
                <w:lang w:eastAsia="ja-JP"/>
              </w:rPr>
              <w:t>活動は、資源利用効率の向上によるエネルギーを含め、生産量当たりの原材料の使用を最小限に抑えるべきである。</w:t>
            </w:r>
          </w:p>
          <w:p w14:paraId="6C4E68BE" w14:textId="77777777" w:rsidR="00410BDF" w:rsidRDefault="00CF7372">
            <w:pPr>
              <w:pStyle w:val="TableParagraph"/>
              <w:numPr>
                <w:ilvl w:val="0"/>
                <w:numId w:val="7"/>
              </w:numPr>
              <w:tabs>
                <w:tab w:val="left" w:pos="465"/>
                <w:tab w:val="left" w:pos="466"/>
              </w:tabs>
              <w:spacing w:before="85" w:line="271" w:lineRule="auto"/>
              <w:ind w:right="225"/>
              <w:rPr>
                <w:sz w:val="10"/>
              </w:rPr>
            </w:pPr>
            <w:r>
              <w:rPr>
                <w:sz w:val="20"/>
                <w:lang w:eastAsia="ja-JP"/>
              </w:rPr>
              <w:t>活動は、生産システムから環境に溶出する栄養素(特に窒素とリン酸塩)の損失を最小限に抑えるべきである。</w:t>
            </w:r>
            <w:r>
              <w:rPr>
                <w:spacing w:val="-43"/>
                <w:sz w:val="20"/>
                <w:lang w:eastAsia="ja-JP"/>
              </w:rPr>
              <w:t xml:space="preserve"> </w:t>
            </w:r>
            <w:r>
              <w:rPr>
                <w:spacing w:val="-43"/>
                <w:sz w:val="20"/>
              </w:rPr>
              <w:t>168</w:t>
            </w:r>
          </w:p>
        </w:tc>
      </w:tr>
    </w:tbl>
    <w:p w14:paraId="22076757" w14:textId="77777777" w:rsidR="00410BDF" w:rsidRDefault="00410BDF">
      <w:pPr>
        <w:pStyle w:val="a3"/>
        <w:rPr>
          <w:b/>
        </w:rPr>
      </w:pPr>
    </w:p>
    <w:p w14:paraId="11142C81" w14:textId="77777777" w:rsidR="00410BDF" w:rsidRDefault="00196192">
      <w:pPr>
        <w:pStyle w:val="a3"/>
        <w:spacing w:before="2"/>
        <w:rPr>
          <w:b/>
          <w:sz w:val="21"/>
        </w:rPr>
      </w:pPr>
      <w:r>
        <w:rPr>
          <w:noProof/>
          <w:lang w:val="en-US" w:eastAsia="ja-JP"/>
        </w:rPr>
        <mc:AlternateContent>
          <mc:Choice Requires="wps">
            <w:drawing>
              <wp:anchor distT="0" distB="0" distL="0" distR="0" simplePos="0" relativeHeight="251674112" behindDoc="1" locked="0" layoutInCell="1" allowOverlap="1" wp14:anchorId="3DC76DC8" wp14:editId="26CB65E1">
                <wp:simplePos x="0" y="0"/>
                <wp:positionH relativeFrom="page">
                  <wp:posOffset>914400</wp:posOffset>
                </wp:positionH>
                <wp:positionV relativeFrom="paragraph">
                  <wp:posOffset>182880</wp:posOffset>
                </wp:positionV>
                <wp:extent cx="1829435" cy="0"/>
                <wp:effectExtent l="9525" t="13335" r="8890" b="571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9D45" id="Line 5" o:spid="_x0000_s1026" style="position:absolute;left:0;text-align:lef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21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VC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" strokeweight=".48pt">
                <w10:wrap type="topAndBottom" anchorx="page"/>
              </v:line>
            </w:pict>
          </mc:Fallback>
        </mc:AlternateContent>
      </w:r>
    </w:p>
    <w:p w14:paraId="4DFC17AC" w14:textId="77777777" w:rsidR="00410BDF" w:rsidRDefault="00410BDF">
      <w:pPr>
        <w:pStyle w:val="a3"/>
        <w:spacing w:before="8"/>
        <w:rPr>
          <w:b/>
          <w:sz w:val="16"/>
        </w:rPr>
      </w:pPr>
    </w:p>
    <w:p w14:paraId="5B24EDE9" w14:textId="77777777" w:rsidR="00410BDF" w:rsidRDefault="00CF7372">
      <w:pPr>
        <w:spacing w:before="98"/>
        <w:ind w:left="100"/>
        <w:rPr>
          <w:sz w:val="16"/>
          <w:lang w:eastAsia="ja-JP"/>
        </w:rPr>
      </w:pPr>
      <w:r>
        <w:rPr>
          <w:position w:val="6"/>
          <w:sz w:val="10"/>
          <w:lang w:eastAsia="ja-JP"/>
        </w:rPr>
        <w:t>167 原材料使用量が減少しない生産効率の向上を考慮した「生産量原単位」</w:t>
      </w:r>
    </w:p>
    <w:p w14:paraId="32C7E7FA" w14:textId="77777777" w:rsidR="00410BDF" w:rsidRDefault="00410BDF">
      <w:pPr>
        <w:pStyle w:val="a3"/>
        <w:spacing w:before="6"/>
        <w:rPr>
          <w:lang w:eastAsia="ja-JP"/>
        </w:rPr>
      </w:pPr>
    </w:p>
    <w:p w14:paraId="3A1B1D9D" w14:textId="77777777" w:rsidR="00410BDF" w:rsidRDefault="00CF7372">
      <w:pPr>
        <w:spacing w:before="1"/>
        <w:ind w:left="100" w:right="203"/>
        <w:rPr>
          <w:sz w:val="16"/>
          <w:lang w:eastAsia="ja-JP"/>
        </w:rPr>
      </w:pPr>
      <w:r>
        <w:rPr>
          <w:position w:val="6"/>
          <w:sz w:val="10"/>
          <w:lang w:eastAsia="ja-JP"/>
        </w:rPr>
        <w:lastRenderedPageBreak/>
        <w:t>168 COM(2018)392の附属書IIIのGAEC 5と一致。</w:t>
      </w:r>
      <w:r>
        <w:rPr>
          <w:sz w:val="16"/>
          <w:lang w:eastAsia="ja-JP"/>
        </w:rPr>
        <w:t xml:space="preserve"> その目的は、農業者に、環境上および農業上の利益につながる養分の利用を最適化するのに役立つデジタルツールを提供することである。</w:t>
      </w:r>
    </w:p>
    <w:p w14:paraId="3D4BE7ED" w14:textId="77777777" w:rsidR="00410BDF" w:rsidRDefault="00410BDF">
      <w:pPr>
        <w:rPr>
          <w:sz w:val="16"/>
          <w:lang w:eastAsia="ja-JP"/>
        </w:rPr>
        <w:sectPr w:rsidR="00410BDF">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7425"/>
      </w:tblGrid>
      <w:tr w:rsidR="00410BDF" w14:paraId="453FA7B4" w14:textId="77777777">
        <w:trPr>
          <w:trHeight w:val="887"/>
        </w:trPr>
        <w:tc>
          <w:tcPr>
            <w:tcW w:w="1927" w:type="dxa"/>
          </w:tcPr>
          <w:p w14:paraId="240D4B69" w14:textId="77777777" w:rsidR="00410BDF" w:rsidRDefault="00410BDF">
            <w:pPr>
              <w:pStyle w:val="TableParagraph"/>
              <w:rPr>
                <w:rFonts w:ascii="Times New Roman"/>
                <w:sz w:val="18"/>
                <w:lang w:eastAsia="ja-JP"/>
              </w:rPr>
            </w:pPr>
          </w:p>
        </w:tc>
        <w:tc>
          <w:tcPr>
            <w:tcW w:w="7425" w:type="dxa"/>
          </w:tcPr>
          <w:p w14:paraId="2D12CC98" w14:textId="77777777" w:rsidR="00410BDF" w:rsidRDefault="00CF7372">
            <w:pPr>
              <w:pStyle w:val="TableParagraph"/>
              <w:numPr>
                <w:ilvl w:val="0"/>
                <w:numId w:val="6"/>
              </w:numPr>
              <w:tabs>
                <w:tab w:val="left" w:pos="465"/>
                <w:tab w:val="left" w:pos="466"/>
              </w:tabs>
              <w:spacing w:line="273" w:lineRule="auto"/>
              <w:ind w:right="303"/>
              <w:rPr>
                <w:sz w:val="10"/>
              </w:rPr>
            </w:pPr>
            <w:r>
              <w:rPr>
                <w:sz w:val="20"/>
                <w:lang w:eastAsia="ja-JP"/>
              </w:rPr>
              <w:t>活動は、良好な農業慣行に従い、一次資源の需要を減らすために、残渣及び副産物を作物の生産又は収穫に使用すべきである。</w:t>
            </w:r>
            <w:r>
              <w:rPr>
                <w:spacing w:val="-29"/>
                <w:sz w:val="20"/>
                <w:lang w:eastAsia="ja-JP"/>
              </w:rPr>
              <w:t xml:space="preserve"> </w:t>
            </w:r>
            <w:r>
              <w:rPr>
                <w:spacing w:val="-29"/>
                <w:sz w:val="20"/>
              </w:rPr>
              <w:t>169</w:t>
            </w:r>
          </w:p>
        </w:tc>
      </w:tr>
      <w:tr w:rsidR="00410BDF" w14:paraId="7EBEECC7" w14:textId="77777777">
        <w:trPr>
          <w:trHeight w:val="2627"/>
        </w:trPr>
        <w:tc>
          <w:tcPr>
            <w:tcW w:w="1927" w:type="dxa"/>
          </w:tcPr>
          <w:p w14:paraId="36117EFB" w14:textId="77777777" w:rsidR="00410BDF" w:rsidRDefault="00CF7372">
            <w:pPr>
              <w:pStyle w:val="TableParagraph"/>
              <w:spacing w:before="40" w:line="276" w:lineRule="auto"/>
              <w:ind w:left="107"/>
              <w:rPr>
                <w:sz w:val="20"/>
              </w:rPr>
            </w:pPr>
            <w:r>
              <w:rPr>
                <w:sz w:val="20"/>
              </w:rPr>
              <w:t xml:space="preserve">(5) </w:t>
            </w:r>
            <w:proofErr w:type="spellStart"/>
            <w:r>
              <w:rPr>
                <w:sz w:val="20"/>
              </w:rPr>
              <w:t>公害防止・管理</w:t>
            </w:r>
            <w:proofErr w:type="spellEnd"/>
          </w:p>
        </w:tc>
        <w:tc>
          <w:tcPr>
            <w:tcW w:w="7425" w:type="dxa"/>
          </w:tcPr>
          <w:p w14:paraId="58412DD0" w14:textId="79E76087" w:rsidR="00410BDF" w:rsidRDefault="00CF7372">
            <w:pPr>
              <w:pStyle w:val="TableParagraph"/>
              <w:numPr>
                <w:ilvl w:val="0"/>
                <w:numId w:val="5"/>
              </w:numPr>
              <w:tabs>
                <w:tab w:val="left" w:pos="477"/>
                <w:tab w:val="left" w:pos="478"/>
              </w:tabs>
              <w:spacing w:before="41" w:line="276" w:lineRule="auto"/>
              <w:ind w:right="112"/>
              <w:rPr>
                <w:rFonts w:ascii="Symbol" w:hAnsi="Symbol" w:hint="eastAsia"/>
                <w:sz w:val="20"/>
              </w:rPr>
            </w:pPr>
            <w:r>
              <w:rPr>
                <w:sz w:val="20"/>
                <w:lang w:eastAsia="ja-JP"/>
              </w:rPr>
              <w:t>活動は、栄養素(肥料)および植物保護製品(例えば、農薬および除草剤)が、それらの用途(時間と処理地域)の対象とされ、適切なレベル(可能であれば、持続可能な生物学的、物理学的、またはその他の非化学的方法を優先して)で、また、農薬使用が人の健康と環境(例えば、水と大気汚染)および過剰な栄養素の喪失に対するリスクと影響を低減するための適切な設備と技術を用いて、供給される</w:t>
            </w:r>
            <w:r w:rsidR="000C4850">
              <w:rPr>
                <w:rFonts w:hint="eastAsia"/>
                <w:sz w:val="20"/>
                <w:lang w:eastAsia="ja-JP"/>
              </w:rPr>
              <w:t>こと</w:t>
            </w:r>
            <w:r>
              <w:rPr>
                <w:sz w:val="20"/>
                <w:lang w:eastAsia="ja-JP"/>
              </w:rPr>
              <w:t>。</w:t>
            </w:r>
            <w:r>
              <w:rPr>
                <w:spacing w:val="-21"/>
                <w:sz w:val="20"/>
                <w:lang w:eastAsia="ja-JP"/>
              </w:rPr>
              <w:t xml:space="preserve"> </w:t>
            </w:r>
            <w:r>
              <w:rPr>
                <w:spacing w:val="-21"/>
                <w:sz w:val="20"/>
              </w:rPr>
              <w:t>170</w:t>
            </w:r>
          </w:p>
          <w:p w14:paraId="57875B1B" w14:textId="7A7B0D99" w:rsidR="00410BDF" w:rsidRDefault="00CF7372">
            <w:pPr>
              <w:pStyle w:val="TableParagraph"/>
              <w:numPr>
                <w:ilvl w:val="0"/>
                <w:numId w:val="5"/>
              </w:numPr>
              <w:tabs>
                <w:tab w:val="left" w:pos="477"/>
                <w:tab w:val="left" w:pos="478"/>
              </w:tabs>
              <w:spacing w:before="74" w:line="264" w:lineRule="auto"/>
              <w:ind w:right="217"/>
              <w:rPr>
                <w:rFonts w:ascii="Symbol" w:hAnsi="Symbol" w:hint="eastAsia"/>
                <w:lang w:eastAsia="ja-JP"/>
              </w:rPr>
            </w:pPr>
            <w:r>
              <w:rPr>
                <w:sz w:val="20"/>
                <w:lang w:eastAsia="ja-JP"/>
              </w:rPr>
              <w:t>人及び動物の健康及び環境を高度に保護する活性物質を有する植物保護製品のみを使用する</w:t>
            </w:r>
            <w:r w:rsidR="000C4850">
              <w:rPr>
                <w:rFonts w:hint="eastAsia"/>
                <w:sz w:val="20"/>
                <w:lang w:eastAsia="ja-JP"/>
              </w:rPr>
              <w:t>こと</w:t>
            </w:r>
            <w:r>
              <w:rPr>
                <w:sz w:val="20"/>
                <w:lang w:eastAsia="ja-JP"/>
              </w:rPr>
              <w:t>171。</w:t>
            </w:r>
          </w:p>
        </w:tc>
      </w:tr>
      <w:tr w:rsidR="00410BDF" w14:paraId="2FA5731D" w14:textId="77777777">
        <w:trPr>
          <w:trHeight w:val="4817"/>
        </w:trPr>
        <w:tc>
          <w:tcPr>
            <w:tcW w:w="1927" w:type="dxa"/>
          </w:tcPr>
          <w:p w14:paraId="7D8E838D" w14:textId="77777777" w:rsidR="00410BDF" w:rsidRDefault="00CF7372">
            <w:pPr>
              <w:pStyle w:val="TableParagraph"/>
              <w:spacing w:before="41" w:line="276" w:lineRule="auto"/>
              <w:ind w:left="107"/>
              <w:rPr>
                <w:sz w:val="20"/>
              </w:rPr>
            </w:pPr>
            <w:r>
              <w:rPr>
                <w:sz w:val="20"/>
              </w:rPr>
              <w:t>(6)</w:t>
            </w:r>
            <w:proofErr w:type="spellStart"/>
            <w:r>
              <w:rPr>
                <w:sz w:val="20"/>
              </w:rPr>
              <w:t>健全な生態系</w:t>
            </w:r>
            <w:proofErr w:type="spellEnd"/>
          </w:p>
        </w:tc>
        <w:tc>
          <w:tcPr>
            <w:tcW w:w="7425" w:type="dxa"/>
          </w:tcPr>
          <w:p w14:paraId="5F59C2C3" w14:textId="2D46EE6C" w:rsidR="00410BDF" w:rsidRDefault="00CF7372">
            <w:pPr>
              <w:pStyle w:val="TableParagraph"/>
              <w:numPr>
                <w:ilvl w:val="0"/>
                <w:numId w:val="4"/>
              </w:numPr>
              <w:tabs>
                <w:tab w:val="left" w:pos="466"/>
              </w:tabs>
              <w:spacing w:before="41" w:line="273" w:lineRule="auto"/>
              <w:ind w:right="439"/>
              <w:jc w:val="both"/>
              <w:rPr>
                <w:sz w:val="20"/>
                <w:lang w:eastAsia="ja-JP"/>
              </w:rPr>
            </w:pPr>
            <w:r>
              <w:rPr>
                <w:sz w:val="20"/>
                <w:lang w:eastAsia="ja-JP"/>
              </w:rPr>
              <w:t>活動は、特に冬季に土壌の保護を確保し、浸食および水路/水域への流出を防止し、土壌有機物を維持する</w:t>
            </w:r>
            <w:r w:rsidR="000C4850">
              <w:rPr>
                <w:rFonts w:hint="eastAsia"/>
                <w:sz w:val="20"/>
                <w:lang w:eastAsia="ja-JP"/>
              </w:rPr>
              <w:t>こと</w:t>
            </w:r>
            <w:r>
              <w:rPr>
                <w:sz w:val="20"/>
                <w:lang w:eastAsia="ja-JP"/>
              </w:rPr>
              <w:t>。</w:t>
            </w:r>
          </w:p>
          <w:p w14:paraId="1191AD80" w14:textId="0DC15434" w:rsidR="00410BDF" w:rsidRDefault="00CF7372">
            <w:pPr>
              <w:pStyle w:val="TableParagraph"/>
              <w:numPr>
                <w:ilvl w:val="0"/>
                <w:numId w:val="4"/>
              </w:numPr>
              <w:tabs>
                <w:tab w:val="left" w:pos="467"/>
                <w:tab w:val="left" w:pos="468"/>
              </w:tabs>
              <w:spacing w:before="82" w:line="273" w:lineRule="auto"/>
              <w:ind w:left="467" w:right="280" w:hanging="360"/>
              <w:rPr>
                <w:sz w:val="20"/>
                <w:lang w:eastAsia="ja-JP"/>
              </w:rPr>
            </w:pPr>
            <w:r>
              <w:rPr>
                <w:sz w:val="20"/>
                <w:lang w:eastAsia="ja-JP"/>
              </w:rPr>
              <w:t>活動は、自然価値の高い農地、湿地、森林、または生物多様性の価値が高い他の地域の転換、細分化、または持続不可能な強化をもたらさない</w:t>
            </w:r>
            <w:r w:rsidR="000C4850">
              <w:rPr>
                <w:rFonts w:hint="eastAsia"/>
                <w:sz w:val="20"/>
                <w:lang w:eastAsia="ja-JP"/>
              </w:rPr>
              <w:t>こと</w:t>
            </w:r>
            <w:r>
              <w:rPr>
                <w:sz w:val="20"/>
                <w:lang w:eastAsia="ja-JP"/>
              </w:rPr>
              <w:t>172。 これには、2ヘクタール以上に及ぶ生物多様性の高い草地が含まれる。</w:t>
            </w:r>
          </w:p>
          <w:p w14:paraId="1CB9C83E" w14:textId="77777777" w:rsidR="00410BDF" w:rsidRDefault="00CF7372">
            <w:pPr>
              <w:pStyle w:val="TableParagraph"/>
              <w:numPr>
                <w:ilvl w:val="1"/>
                <w:numId w:val="4"/>
              </w:numPr>
              <w:tabs>
                <w:tab w:val="left" w:pos="1188"/>
                <w:tab w:val="left" w:pos="1189"/>
              </w:tabs>
              <w:spacing w:before="4" w:line="276" w:lineRule="auto"/>
              <w:ind w:right="118"/>
              <w:rPr>
                <w:sz w:val="20"/>
                <w:lang w:eastAsia="ja-JP"/>
              </w:rPr>
            </w:pPr>
            <w:r>
              <w:rPr>
                <w:sz w:val="20"/>
                <w:lang w:eastAsia="ja-JP"/>
              </w:rPr>
              <w:t>すなわち、人間の介入がなく、自然の種の構成と生態学的特徴とプロセスを維持する、草地として残る自然の草地;</w:t>
            </w:r>
          </w:p>
          <w:p w14:paraId="1E43A39B" w14:textId="77777777" w:rsidR="00410BDF" w:rsidRDefault="00CF7372">
            <w:pPr>
              <w:pStyle w:val="TableParagraph"/>
              <w:numPr>
                <w:ilvl w:val="1"/>
                <w:numId w:val="4"/>
              </w:numPr>
              <w:tabs>
                <w:tab w:val="left" w:pos="1189"/>
              </w:tabs>
              <w:spacing w:before="1" w:line="276" w:lineRule="auto"/>
              <w:ind w:right="302"/>
              <w:jc w:val="both"/>
              <w:rPr>
                <w:sz w:val="20"/>
                <w:lang w:eastAsia="ja-JP"/>
              </w:rPr>
            </w:pPr>
            <w:r>
              <w:rPr>
                <w:sz w:val="20"/>
                <w:lang w:eastAsia="ja-JP"/>
              </w:rPr>
              <w:t>すなわち、人間の介入がなければ草地ではなくなり、種が豊富で劣化しておらず、関連する所管官庁によって高度に生物多様性であると確認されている非自然的な草地。</w:t>
            </w:r>
          </w:p>
          <w:p w14:paraId="23E823D0" w14:textId="09C63C0E" w:rsidR="00410BDF" w:rsidRDefault="00CF7372">
            <w:pPr>
              <w:pStyle w:val="TableParagraph"/>
              <w:numPr>
                <w:ilvl w:val="0"/>
                <w:numId w:val="4"/>
              </w:numPr>
              <w:tabs>
                <w:tab w:val="left" w:pos="465"/>
                <w:tab w:val="left" w:pos="466"/>
              </w:tabs>
              <w:spacing w:before="2"/>
              <w:rPr>
                <w:sz w:val="20"/>
                <w:lang w:eastAsia="ja-JP"/>
              </w:rPr>
            </w:pPr>
            <w:r>
              <w:rPr>
                <w:sz w:val="20"/>
                <w:lang w:eastAsia="ja-JP"/>
              </w:rPr>
              <w:t>活動は</w:t>
            </w:r>
            <w:r w:rsidR="000C4850">
              <w:rPr>
                <w:rFonts w:hint="eastAsia"/>
                <w:sz w:val="20"/>
                <w:lang w:eastAsia="ja-JP"/>
              </w:rPr>
              <w:t>、以下を行わないこと　173</w:t>
            </w:r>
          </w:p>
          <w:p w14:paraId="1BB2A660" w14:textId="77777777" w:rsidR="00410BDF" w:rsidRDefault="00CF7372">
            <w:pPr>
              <w:pStyle w:val="TableParagraph"/>
              <w:tabs>
                <w:tab w:val="left" w:pos="1032"/>
              </w:tabs>
              <w:spacing w:before="111" w:line="256" w:lineRule="auto"/>
              <w:ind w:left="1032" w:right="684" w:hanging="358"/>
              <w:rPr>
                <w:sz w:val="20"/>
                <w:lang w:eastAsia="ja-JP"/>
              </w:rPr>
            </w:pPr>
            <w:r>
              <w:rPr>
                <w:rFonts w:ascii="Courier New"/>
                <w:sz w:val="20"/>
                <w:lang w:eastAsia="ja-JP"/>
              </w:rPr>
              <w:t>o</w:t>
            </w:r>
            <w:r>
              <w:rPr>
                <w:rFonts w:ascii="Courier New"/>
                <w:sz w:val="20"/>
                <w:lang w:eastAsia="ja-JP"/>
              </w:rPr>
              <w:tab/>
            </w:r>
            <w:r>
              <w:rPr>
                <w:sz w:val="20"/>
                <w:lang w:eastAsia="ja-JP"/>
              </w:rPr>
              <w:t>保全の重要性又は懸念を有する種及び生息地の多様性又は存在量の減少をもたらすこと。</w:t>
            </w:r>
          </w:p>
        </w:tc>
      </w:tr>
    </w:tbl>
    <w:p w14:paraId="793DE8E3" w14:textId="77777777" w:rsidR="00410BDF" w:rsidRDefault="00410BDF">
      <w:pPr>
        <w:pStyle w:val="a3"/>
        <w:rPr>
          <w:lang w:eastAsia="ja-JP"/>
        </w:rPr>
      </w:pPr>
    </w:p>
    <w:p w14:paraId="571C45FF" w14:textId="77777777" w:rsidR="00410BDF" w:rsidRDefault="00196192">
      <w:pPr>
        <w:pStyle w:val="a3"/>
        <w:spacing w:before="1"/>
        <w:rPr>
          <w:sz w:val="23"/>
          <w:lang w:eastAsia="ja-JP"/>
        </w:rPr>
      </w:pPr>
      <w:r>
        <w:rPr>
          <w:noProof/>
          <w:lang w:val="en-US" w:eastAsia="ja-JP"/>
        </w:rPr>
        <mc:AlternateContent>
          <mc:Choice Requires="wps">
            <w:drawing>
              <wp:anchor distT="0" distB="0" distL="0" distR="0" simplePos="0" relativeHeight="251675136" behindDoc="1" locked="0" layoutInCell="1" allowOverlap="1" wp14:anchorId="64102282" wp14:editId="5A08B0CA">
                <wp:simplePos x="0" y="0"/>
                <wp:positionH relativeFrom="page">
                  <wp:posOffset>914400</wp:posOffset>
                </wp:positionH>
                <wp:positionV relativeFrom="paragraph">
                  <wp:posOffset>196850</wp:posOffset>
                </wp:positionV>
                <wp:extent cx="1829435" cy="0"/>
                <wp:effectExtent l="9525" t="9525" r="8890" b="952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CBA3" id="Line 4" o:spid="_x0000_s1026" style="position:absolute;left:0;text-align:lef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21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d5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" strokeweight=".48pt">
                <w10:wrap type="topAndBottom" anchorx="page"/>
              </v:line>
            </w:pict>
          </mc:Fallback>
        </mc:AlternateContent>
      </w:r>
    </w:p>
    <w:p w14:paraId="72B63973" w14:textId="77777777" w:rsidR="00410BDF" w:rsidRDefault="00410BDF">
      <w:pPr>
        <w:pStyle w:val="a3"/>
        <w:spacing w:before="4"/>
        <w:rPr>
          <w:sz w:val="17"/>
          <w:lang w:eastAsia="ja-JP"/>
        </w:rPr>
      </w:pPr>
    </w:p>
    <w:p w14:paraId="53C6ED9B" w14:textId="77777777" w:rsidR="00410BDF" w:rsidRDefault="00CF7372">
      <w:pPr>
        <w:pStyle w:val="a4"/>
        <w:numPr>
          <w:ilvl w:val="0"/>
          <w:numId w:val="3"/>
        </w:numPr>
        <w:tabs>
          <w:tab w:val="left" w:pos="413"/>
        </w:tabs>
        <w:spacing w:before="96" w:line="259" w:lineRule="auto"/>
        <w:ind w:right="127" w:firstLine="0"/>
        <w:rPr>
          <w:sz w:val="16"/>
          <w:lang w:eastAsia="ja-JP"/>
        </w:rPr>
      </w:pPr>
      <w:r>
        <w:rPr>
          <w:sz w:val="16"/>
          <w:lang w:eastAsia="ja-JP"/>
        </w:rPr>
        <w:t>EU循環経済戦略および対応する行動計画からの行動の多くは、ここで指針を提供する農業と関連性があることに留意されたい(例えば、農業用灌漑のための再利用水の最低要件を設定する法律の提案、農業副産物や生物廃棄物のような二次原料から製造される有機肥料の調和規則を導入する新しい肥料規制)。</w:t>
      </w:r>
    </w:p>
    <w:p w14:paraId="119644D4" w14:textId="77777777" w:rsidR="00410BDF" w:rsidRDefault="00CF7372">
      <w:pPr>
        <w:pStyle w:val="a4"/>
        <w:numPr>
          <w:ilvl w:val="0"/>
          <w:numId w:val="3"/>
        </w:numPr>
        <w:tabs>
          <w:tab w:val="left" w:pos="413"/>
        </w:tabs>
        <w:spacing w:before="159" w:line="259" w:lineRule="auto"/>
        <w:ind w:right="301" w:firstLine="0"/>
        <w:rPr>
          <w:sz w:val="16"/>
          <w:lang w:eastAsia="ja-JP"/>
        </w:rPr>
      </w:pPr>
      <w:r>
        <w:rPr>
          <w:sz w:val="16"/>
          <w:lang w:eastAsia="ja-JP"/>
        </w:rPr>
        <w:t>農薬の持続可能な使用に関する指令2009/128/ECおよび硝酸塩指令を参照。 CAPポスト2020のSMR 13は、農薬指令の実施とクロスコンプライアンス下での直接支払いとを結びつけ、</w:t>
      </w:r>
    </w:p>
    <w:p w14:paraId="4CDB339C" w14:textId="77777777" w:rsidR="00410BDF" w:rsidRDefault="00CF7372">
      <w:pPr>
        <w:pStyle w:val="a4"/>
        <w:numPr>
          <w:ilvl w:val="0"/>
          <w:numId w:val="3"/>
        </w:numPr>
        <w:tabs>
          <w:tab w:val="left" w:pos="413"/>
        </w:tabs>
        <w:spacing w:before="159" w:line="259" w:lineRule="auto"/>
        <w:ind w:right="687" w:firstLine="0"/>
        <w:rPr>
          <w:sz w:val="16"/>
          <w:lang w:eastAsia="ja-JP"/>
        </w:rPr>
      </w:pPr>
      <w:r>
        <w:rPr>
          <w:sz w:val="16"/>
          <w:lang w:eastAsia="ja-JP"/>
        </w:rPr>
        <w:t>EUでは、これは、指令(EU)2019/782(表1)の下で、危険有害性の重み付けに関してグループ1、2または3に分類される植物保護製品の使用を意味する。</w:t>
      </w:r>
    </w:p>
    <w:p w14:paraId="1057C32A" w14:textId="77777777" w:rsidR="00410BDF" w:rsidRDefault="00CF7372">
      <w:pPr>
        <w:pStyle w:val="a4"/>
        <w:numPr>
          <w:ilvl w:val="0"/>
          <w:numId w:val="3"/>
        </w:numPr>
        <w:tabs>
          <w:tab w:val="left" w:pos="413"/>
        </w:tabs>
        <w:spacing w:before="160"/>
        <w:ind w:left="412"/>
        <w:rPr>
          <w:sz w:val="16"/>
          <w:lang w:eastAsia="ja-JP"/>
        </w:rPr>
      </w:pPr>
      <w:r>
        <w:rPr>
          <w:sz w:val="16"/>
          <w:lang w:eastAsia="ja-JP"/>
        </w:rPr>
        <w:t>生物多様性の価値が高い地域は、指令EU(2018)2001の第29条(3)に規定されているように定義することができる。</w:t>
      </w:r>
    </w:p>
    <w:p w14:paraId="11E6CD6B" w14:textId="77777777" w:rsidR="00410BDF" w:rsidRDefault="00410BDF">
      <w:pPr>
        <w:pStyle w:val="a3"/>
        <w:spacing w:before="3"/>
        <w:rPr>
          <w:sz w:val="15"/>
          <w:lang w:eastAsia="ja-JP"/>
        </w:rPr>
      </w:pPr>
    </w:p>
    <w:p w14:paraId="5E634D53" w14:textId="77777777" w:rsidR="00410BDF" w:rsidRDefault="00CF7372">
      <w:pPr>
        <w:pStyle w:val="a4"/>
        <w:numPr>
          <w:ilvl w:val="0"/>
          <w:numId w:val="3"/>
        </w:numPr>
        <w:tabs>
          <w:tab w:val="left" w:pos="413"/>
        </w:tabs>
        <w:spacing w:line="259" w:lineRule="auto"/>
        <w:ind w:right="189" w:firstLine="0"/>
        <w:rPr>
          <w:sz w:val="16"/>
        </w:rPr>
      </w:pPr>
      <w:r>
        <w:rPr>
          <w:sz w:val="16"/>
          <w:lang w:eastAsia="ja-JP"/>
        </w:rPr>
        <w:t xml:space="preserve">2020年以降のCAPの法的管理指令3および4、ならびに自然生息地および野生動植物の保護に関する1992年5月21日の理事会指令92/43/EEC(OJ L 206, 22.7.1992, p)に準拠する。 7):野鳥の保護に関する2009年11月30日の欧州議会および理事会の第6条(1)および(2)ならびに指令2009/147/EC(OJ L 20, 26.1.2010, p.)。 </w:t>
      </w:r>
      <w:r>
        <w:rPr>
          <w:sz w:val="16"/>
        </w:rPr>
        <w:t>7. 第3条(1)、第3条(2)(b)、第4条(1)、(2)</w:t>
      </w:r>
      <w:proofErr w:type="spellStart"/>
      <w:r>
        <w:rPr>
          <w:sz w:val="16"/>
        </w:rPr>
        <w:t>及び</w:t>
      </w:r>
      <w:proofErr w:type="spellEnd"/>
      <w:r>
        <w:rPr>
          <w:sz w:val="16"/>
        </w:rPr>
        <w:t>(4)</w:t>
      </w:r>
    </w:p>
    <w:p w14:paraId="229A3F9F" w14:textId="77777777" w:rsidR="00410BDF" w:rsidRDefault="00410BDF">
      <w:pPr>
        <w:spacing w:line="259" w:lineRule="auto"/>
        <w:rPr>
          <w:sz w:val="16"/>
        </w:rPr>
        <w:sectPr w:rsidR="00410BDF">
          <w:pgSz w:w="12240" w:h="15840"/>
          <w:pgMar w:top="1440" w:right="1320" w:bottom="1640" w:left="1340" w:header="0" w:footer="1372" w:gutter="0"/>
          <w:cols w:space="720"/>
        </w:sectPr>
      </w:pPr>
    </w:p>
    <w:p w14:paraId="128781C5" w14:textId="77777777" w:rsidR="00410BDF" w:rsidRDefault="00196192">
      <w:pPr>
        <w:pStyle w:val="a3"/>
        <w:ind w:left="2027"/>
      </w:pPr>
      <w:r>
        <w:rPr>
          <w:noProof/>
          <w:lang w:val="en-US" w:eastAsia="ja-JP"/>
        </w:rPr>
        <w:lastRenderedPageBreak/>
        <mc:AlternateContent>
          <mc:Choice Requires="wps">
            <w:drawing>
              <wp:anchor distT="0" distB="0" distL="114300" distR="114300" simplePos="0" relativeHeight="251639296" behindDoc="0" locked="0" layoutInCell="1" allowOverlap="1" wp14:anchorId="1A730DE0" wp14:editId="4AE811B5">
                <wp:simplePos x="0" y="0"/>
                <wp:positionH relativeFrom="page">
                  <wp:posOffset>917575</wp:posOffset>
                </wp:positionH>
                <wp:positionV relativeFrom="page">
                  <wp:posOffset>914400</wp:posOffset>
                </wp:positionV>
                <wp:extent cx="0" cy="963295"/>
                <wp:effectExtent l="12700" t="9525" r="6350" b="825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4267" id="Line 3"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" strokeweight=".48pt">
                <w10:wrap anchorx="page" anchory="page"/>
              </v:line>
            </w:pict>
          </mc:Fallback>
        </mc:AlternateContent>
      </w:r>
      <w:r>
        <w:rPr>
          <w:noProof/>
          <w:lang w:val="en-US" w:eastAsia="ja-JP"/>
        </w:rPr>
        <mc:AlternateContent>
          <mc:Choice Requires="wps">
            <w:drawing>
              <wp:inline distT="0" distB="0" distL="0" distR="0" wp14:anchorId="43FC2399" wp14:editId="3AEE6C10">
                <wp:extent cx="4714875" cy="957580"/>
                <wp:effectExtent l="13970" t="9525" r="5080"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57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12C21D" w14:textId="48858E78" w:rsidR="005F0270" w:rsidRDefault="005F0270">
                            <w:pPr>
                              <w:pStyle w:val="a3"/>
                              <w:tabs>
                                <w:tab w:val="left" w:pos="1027"/>
                              </w:tabs>
                              <w:spacing w:line="247" w:lineRule="exact"/>
                              <w:ind w:left="670"/>
                              <w:rPr>
                                <w:lang w:eastAsia="ja-JP"/>
                              </w:rPr>
                            </w:pPr>
                            <w:r>
                              <w:rPr>
                                <w:rFonts w:ascii="Courier New"/>
                                <w:lang w:eastAsia="ja-JP"/>
                              </w:rPr>
                              <w:t>o</w:t>
                            </w:r>
                            <w:r>
                              <w:rPr>
                                <w:rFonts w:ascii="Courier New"/>
                                <w:lang w:eastAsia="ja-JP"/>
                              </w:rPr>
                              <w:tab/>
                            </w:r>
                            <w:r>
                              <w:rPr>
                                <w:lang w:eastAsia="ja-JP"/>
                              </w:rPr>
                              <w:t>既存の管理計画または保全目標に違反する</w:t>
                            </w:r>
                            <w:r>
                              <w:rPr>
                                <w:rFonts w:hint="eastAsia"/>
                                <w:lang w:eastAsia="ja-JP"/>
                              </w:rPr>
                              <w:t>こと</w:t>
                            </w:r>
                            <w:r>
                              <w:rPr>
                                <w:lang w:eastAsia="ja-JP"/>
                              </w:rPr>
                              <w:t>。</w:t>
                            </w:r>
                          </w:p>
                          <w:p w14:paraId="61ADAE3F" w14:textId="6F0EA336" w:rsidR="005F0270" w:rsidRDefault="005F0270">
                            <w:pPr>
                              <w:pStyle w:val="a3"/>
                              <w:numPr>
                                <w:ilvl w:val="0"/>
                                <w:numId w:val="2"/>
                              </w:numPr>
                              <w:tabs>
                                <w:tab w:val="left" w:pos="460"/>
                                <w:tab w:val="left" w:pos="461"/>
                              </w:tabs>
                              <w:spacing w:before="99" w:line="273" w:lineRule="auto"/>
                              <w:ind w:right="194" w:hanging="357"/>
                              <w:rPr>
                                <w:lang w:eastAsia="ja-JP"/>
                              </w:rPr>
                            </w:pPr>
                            <w:r>
                              <w:rPr>
                                <w:lang w:eastAsia="ja-JP"/>
                              </w:rPr>
                              <w:t>活動に新規の非在来種又は侵略的外来種の生産が含まれる場合には、その栽培は、環境への逃避を防止するために十分な保護措置が講じられていることを確保するために、初期のリスク評価及び継続</w:t>
                            </w:r>
                            <w:r>
                              <w:rPr>
                                <w:rFonts w:hint="eastAsia"/>
                                <w:lang w:eastAsia="ja-JP"/>
                              </w:rPr>
                              <w:t>的な</w:t>
                            </w:r>
                            <w:r>
                              <w:rPr>
                                <w:lang w:eastAsia="ja-JP"/>
                              </w:rPr>
                              <w:t>監視を受けるべきである。</w:t>
                            </w:r>
                          </w:p>
                        </w:txbxContent>
                      </wps:txbx>
                      <wps:bodyPr rot="0" vert="horz" wrap="square" lIns="0" tIns="0" rIns="0" bIns="0" anchor="t" anchorCtr="0" upright="1">
                        <a:noAutofit/>
                      </wps:bodyPr>
                    </wps:wsp>
                  </a:graphicData>
                </a:graphic>
              </wp:inline>
            </w:drawing>
          </mc:Choice>
          <mc:Fallback>
            <w:pict>
              <v:shape w14:anchorId="43FC2399" id="Text Box 2" o:spid="_x0000_s1027" type="#_x0000_t202" style="width:371.25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" filled="f" strokeweight=".48pt">
                <v:textbox inset="0,0,0,0">
                  <w:txbxContent>
                    <w:p w14:paraId="6312C21D" w14:textId="48858E78" w:rsidR="005F0270" w:rsidRDefault="005F0270">
                      <w:pPr>
                        <w:pStyle w:val="a3"/>
                        <w:tabs>
                          <w:tab w:val="left" w:pos="1027"/>
                        </w:tabs>
                        <w:spacing w:line="247" w:lineRule="exact"/>
                        <w:ind w:left="670"/>
                        <w:rPr>
                          <w:lang w:eastAsia="ja-JP"/>
                        </w:rPr>
                      </w:pPr>
                      <w:r>
                        <w:rPr>
                          <w:rFonts w:ascii="Courier New"/>
                          <w:lang w:eastAsia="ja-JP"/>
                        </w:rPr>
                        <w:t>o</w:t>
                      </w:r>
                      <w:r>
                        <w:rPr>
                          <w:rFonts w:ascii="Courier New"/>
                          <w:lang w:eastAsia="ja-JP"/>
                        </w:rPr>
                        <w:tab/>
                      </w:r>
                      <w:r>
                        <w:rPr>
                          <w:lang w:eastAsia="ja-JP"/>
                        </w:rPr>
                        <w:t>既存の管理計画または保全目標に違反する</w:t>
                      </w:r>
                      <w:r>
                        <w:rPr>
                          <w:rFonts w:hint="eastAsia"/>
                          <w:lang w:eastAsia="ja-JP"/>
                        </w:rPr>
                        <w:t>こと</w:t>
                      </w:r>
                      <w:r>
                        <w:rPr>
                          <w:lang w:eastAsia="ja-JP"/>
                        </w:rPr>
                        <w:t>。</w:t>
                      </w:r>
                    </w:p>
                    <w:p w14:paraId="61ADAE3F" w14:textId="6F0EA336" w:rsidR="005F0270" w:rsidRDefault="005F0270">
                      <w:pPr>
                        <w:pStyle w:val="a3"/>
                        <w:numPr>
                          <w:ilvl w:val="0"/>
                          <w:numId w:val="2"/>
                        </w:numPr>
                        <w:tabs>
                          <w:tab w:val="left" w:pos="460"/>
                          <w:tab w:val="left" w:pos="461"/>
                        </w:tabs>
                        <w:spacing w:before="99" w:line="273" w:lineRule="auto"/>
                        <w:ind w:right="194" w:hanging="357"/>
                        <w:rPr>
                          <w:lang w:eastAsia="ja-JP"/>
                        </w:rPr>
                      </w:pPr>
                      <w:r>
                        <w:rPr>
                          <w:lang w:eastAsia="ja-JP"/>
                        </w:rPr>
                        <w:t>活動に新規の非在来種又は侵略的外来種の生産が含まれる場合には、その栽培は、環境への逃避を防止するために十分な保護措置が講じられていることを確保するために、初期のリスク評価及び継続</w:t>
                      </w:r>
                      <w:r>
                        <w:rPr>
                          <w:rFonts w:hint="eastAsia"/>
                          <w:lang w:eastAsia="ja-JP"/>
                        </w:rPr>
                        <w:t>的な</w:t>
                      </w:r>
                      <w:r>
                        <w:rPr>
                          <w:lang w:eastAsia="ja-JP"/>
                        </w:rPr>
                        <w:t>監視を受けるべきである。</w:t>
                      </w:r>
                    </w:p>
                  </w:txbxContent>
                </v:textbox>
                <w10:wrap anchorx="page" anchory="page"/>
                <w10:anchorlock/>
              </v:shape>
            </w:pict>
          </mc:Fallback>
        </mc:AlternateContent>
      </w:r>
    </w:p>
    <w:sectPr w:rsidR="00410BDF">
      <w:pgSz w:w="12240" w:h="15840"/>
      <w:pgMar w:top="1440" w:right="1320" w:bottom="164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2-02T11:02:00Z" w:initials="西田">
    <w:p w14:paraId="69947FE6" w14:textId="201BFC77" w:rsidR="005F0270" w:rsidRDefault="005F0270">
      <w:pPr>
        <w:pStyle w:val="a8"/>
        <w:rPr>
          <w:lang w:eastAsia="ja-JP"/>
        </w:rPr>
      </w:pPr>
      <w:r>
        <w:rPr>
          <w:rStyle w:val="a7"/>
        </w:rPr>
        <w:annotationRef/>
      </w:r>
      <w:r>
        <w:rPr>
          <w:rFonts w:hint="eastAsia"/>
          <w:lang w:eastAsia="ja-JP"/>
        </w:rPr>
        <w:t>emmissions budget: 排出目標のこと？</w:t>
      </w:r>
    </w:p>
  </w:comment>
  <w:comment w:id="1" w:author="西田 純" w:date="2020-12-02T11:03:00Z" w:initials="西田">
    <w:p w14:paraId="0BD7D2E1" w14:textId="3DEF831F" w:rsidR="00B064E2" w:rsidRDefault="00B064E2">
      <w:pPr>
        <w:pStyle w:val="a8"/>
        <w:rPr>
          <w:lang w:eastAsia="ja-JP"/>
        </w:rPr>
      </w:pPr>
      <w:r>
        <w:rPr>
          <w:rStyle w:val="a7"/>
        </w:rPr>
        <w:annotationRef/>
      </w:r>
      <w:r>
        <w:rPr>
          <w:rFonts w:hint="eastAsia"/>
          <w:lang w:eastAsia="ja-JP"/>
        </w:rPr>
        <w:t>deep: 詳しい？</w:t>
      </w:r>
    </w:p>
  </w:comment>
  <w:comment w:id="2" w:author="西田 純" w:date="2020-12-02T11:04:00Z" w:initials="西田">
    <w:p w14:paraId="28861A86" w14:textId="40B8229A" w:rsidR="00B064E2" w:rsidRDefault="00B064E2">
      <w:pPr>
        <w:pStyle w:val="a8"/>
        <w:rPr>
          <w:lang w:eastAsia="ja-JP"/>
        </w:rPr>
      </w:pPr>
      <w:r>
        <w:rPr>
          <w:rStyle w:val="a7"/>
        </w:rPr>
        <w:annotationRef/>
      </w:r>
      <w:r>
        <w:rPr>
          <w:rFonts w:hint="eastAsia"/>
          <w:lang w:eastAsia="ja-JP"/>
        </w:rPr>
        <w:t>counterfactual: 自己否定、みたいな意味から反証、検証、クロスチェックのような意味も出てきます。</w:t>
      </w:r>
    </w:p>
  </w:comment>
  <w:comment w:id="3" w:author="西田 純" w:date="2020-12-02T11:09:00Z" w:initials="西田">
    <w:p w14:paraId="1586D39F" w14:textId="4F22C32B" w:rsidR="00B064E2" w:rsidRDefault="00B064E2">
      <w:pPr>
        <w:pStyle w:val="a8"/>
        <w:rPr>
          <w:lang w:eastAsia="ja-JP"/>
        </w:rPr>
      </w:pPr>
      <w:r>
        <w:rPr>
          <w:rStyle w:val="a7"/>
        </w:rPr>
        <w:annotationRef/>
      </w:r>
      <w:r>
        <w:rPr>
          <w:rFonts w:hint="eastAsia"/>
          <w:lang w:eastAsia="ja-JP"/>
        </w:rPr>
        <w:t>原文　felt necessary. こんな理由で？</w:t>
      </w:r>
    </w:p>
  </w:comment>
  <w:comment w:id="4" w:author="西田 純" w:date="2020-12-02T14:00:00Z" w:initials="西田">
    <w:p w14:paraId="556FC7D5" w14:textId="13C60837" w:rsidR="005008E9" w:rsidRPr="005008E9" w:rsidRDefault="005008E9">
      <w:pPr>
        <w:pStyle w:val="a8"/>
        <w:rPr>
          <w:lang w:val="en-US" w:eastAsia="ja-JP"/>
        </w:rPr>
      </w:pPr>
      <w:r>
        <w:rPr>
          <w:rStyle w:val="a7"/>
        </w:rPr>
        <w:annotationRef/>
      </w:r>
      <w:r w:rsidRPr="005008E9">
        <w:rPr>
          <w:rFonts w:hint="eastAsia"/>
          <w:lang w:val="en-US" w:eastAsia="ja-JP"/>
        </w:rPr>
        <w:t>Taking land completely out of…</w:t>
      </w:r>
      <w:r>
        <w:rPr>
          <w:rFonts w:hint="eastAsia"/>
          <w:lang w:val="en-US" w:eastAsia="ja-JP"/>
        </w:rPr>
        <w:t xml:space="preserve">　語感としては「切り離して考える」みたいなイメージかと。</w:t>
      </w:r>
    </w:p>
  </w:comment>
  <w:comment w:id="5" w:author="西田 純" w:date="2020-11-30T16:00:00Z" w:initials="西田">
    <w:p w14:paraId="424F32BA" w14:textId="77777777" w:rsidR="005F0270" w:rsidRDefault="005F0270">
      <w:pPr>
        <w:pStyle w:val="a8"/>
        <w:rPr>
          <w:lang w:eastAsia="ja-JP"/>
        </w:rPr>
      </w:pPr>
      <w:r>
        <w:rPr>
          <w:rStyle w:val="a7"/>
        </w:rPr>
        <w:annotationRef/>
      </w:r>
      <w:r>
        <w:rPr>
          <w:rFonts w:hint="eastAsia"/>
          <w:lang w:eastAsia="ja-JP"/>
        </w:rPr>
        <w:t>訳は合っていると思うのですが、具体的な例が思い当たりません。</w:t>
      </w:r>
    </w:p>
  </w:comment>
  <w:comment w:id="6" w:author="西田 純" w:date="2020-12-01T14:14:00Z" w:initials="西田">
    <w:p w14:paraId="30AB5D45" w14:textId="6CB13191" w:rsidR="005F0270" w:rsidRDefault="005F0270">
      <w:pPr>
        <w:pStyle w:val="a8"/>
        <w:rPr>
          <w:lang w:eastAsia="ja-JP"/>
        </w:rPr>
      </w:pPr>
      <w:r>
        <w:rPr>
          <w:rStyle w:val="a7"/>
        </w:rPr>
        <w:annotationRef/>
      </w:r>
      <w:r w:rsidR="000A7D5B">
        <w:rPr>
          <w:rFonts w:hint="eastAsia"/>
          <w:lang w:eastAsia="ja-JP"/>
        </w:rPr>
        <w:t>off-season straw.　調べてもわかりませんでした。</w:t>
      </w:r>
      <w:r w:rsidR="000A7D5B">
        <w:rPr>
          <w:lang w:eastAsia="ja-JP"/>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947FE6" w15:done="0"/>
  <w15:commentEx w15:paraId="0BD7D2E1" w15:done="0"/>
  <w15:commentEx w15:paraId="28861A86" w15:done="0"/>
  <w15:commentEx w15:paraId="1586D39F" w15:done="0"/>
  <w15:commentEx w15:paraId="556FC7D5" w15:done="0"/>
  <w15:commentEx w15:paraId="424F32BA" w15:done="0"/>
  <w15:commentEx w15:paraId="30AB5D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947FE6" w16cid:durableId="23BD1BCD"/>
  <w16cid:commentId w16cid:paraId="0BD7D2E1" w16cid:durableId="23BD1BCE"/>
  <w16cid:commentId w16cid:paraId="28861A86" w16cid:durableId="23BD1BCF"/>
  <w16cid:commentId w16cid:paraId="1586D39F" w16cid:durableId="23BD1BD0"/>
  <w16cid:commentId w16cid:paraId="556FC7D5" w16cid:durableId="23BD1BD1"/>
  <w16cid:commentId w16cid:paraId="424F32BA" w16cid:durableId="23BD1BD2"/>
  <w16cid:commentId w16cid:paraId="30AB5D45" w16cid:durableId="23BD1B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B7436" w14:textId="77777777" w:rsidR="00D50B86" w:rsidRDefault="00D50B86">
      <w:r>
        <w:separator/>
      </w:r>
    </w:p>
  </w:endnote>
  <w:endnote w:type="continuationSeparator" w:id="0">
    <w:p w14:paraId="0B60C21B" w14:textId="77777777" w:rsidR="00D50B86" w:rsidRDefault="00D5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orHAns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B7B1" w14:textId="77777777" w:rsidR="005F0270" w:rsidRDefault="005F0270">
    <w:pPr>
      <w:pStyle w:val="a3"/>
      <w:spacing w:line="14" w:lineRule="auto"/>
    </w:pPr>
    <w:r>
      <w:rPr>
        <w:noProof/>
        <w:lang w:val="en-US" w:eastAsia="ja-JP"/>
      </w:rPr>
      <mc:AlternateContent>
        <mc:Choice Requires="wps">
          <w:drawing>
            <wp:anchor distT="0" distB="0" distL="114300" distR="114300" simplePos="0" relativeHeight="503262104" behindDoc="1" locked="0" layoutInCell="1" allowOverlap="1" wp14:anchorId="489D324D" wp14:editId="519F8412">
              <wp:simplePos x="0" y="0"/>
              <wp:positionH relativeFrom="page">
                <wp:posOffset>3533775</wp:posOffset>
              </wp:positionH>
              <wp:positionV relativeFrom="page">
                <wp:posOffset>9283700</wp:posOffset>
              </wp:positionV>
              <wp:extent cx="704850" cy="323850"/>
              <wp:effectExtent l="0" t="0" r="0" b="31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AC8BF" id="Rectangle 5" o:spid="_x0000_s1026" style="position:absolute;left:0;text-align:left;margin-left:278.25pt;margin-top:731pt;width:55.5pt;height:25.5pt;z-index:-5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YffAIAAPo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62128" behindDoc="1" locked="0" layoutInCell="1" allowOverlap="1" wp14:anchorId="6F9A870B" wp14:editId="163BAF67">
              <wp:simplePos x="0" y="0"/>
              <wp:positionH relativeFrom="page">
                <wp:posOffset>3712845</wp:posOffset>
              </wp:positionH>
              <wp:positionV relativeFrom="page">
                <wp:posOffset>9366250</wp:posOffset>
              </wp:positionV>
              <wp:extent cx="349250" cy="1397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6E8B" w14:textId="77777777" w:rsidR="005F0270" w:rsidRDefault="005F0270">
                          <w:pPr>
                            <w:spacing w:before="15"/>
                            <w:ind w:left="20"/>
                            <w:rPr>
                              <w:b/>
                              <w:sz w:val="16"/>
                            </w:rPr>
                          </w:pPr>
                          <w:r>
                            <w:fldChar w:fldCharType="begin"/>
                          </w:r>
                          <w:r>
                            <w:rPr>
                              <w:b/>
                              <w:color w:val="FFFFFF"/>
                              <w:sz w:val="16"/>
                            </w:rPr>
                            <w:instrText xml:space="preserve"> PAGE \* ArabicDash </w:instrText>
                          </w:r>
                          <w:r>
                            <w:fldChar w:fldCharType="separate"/>
                          </w:r>
                          <w:r w:rsidR="008277A6">
                            <w:rPr>
                              <w:b/>
                              <w:noProof/>
                              <w:color w:val="FFFFFF"/>
                              <w:sz w:val="16"/>
                            </w:rPr>
                            <w:t>- 104 -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A870B" id="_x0000_t202" coordsize="21600,21600" o:spt="202" path="m,l,21600r21600,l21600,xe">
              <v:stroke joinstyle="miter"/>
              <v:path gradientshapeok="t" o:connecttype="rect"/>
            </v:shapetype>
            <v:shape id="Text Box 4" o:spid="_x0000_s1028" type="#_x0000_t202" style="position:absolute;margin-left:292.35pt;margin-top:737.5pt;width:27.5pt;height:11pt;z-index:-5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KX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" filled="f" stroked="f">
              <v:textbox inset="0,0,0,0">
                <w:txbxContent>
                  <w:p w14:paraId="52D06E8B" w14:textId="77777777" w:rsidR="005F0270" w:rsidRDefault="005F0270">
                    <w:pPr>
                      <w:spacing w:before="15"/>
                      <w:ind w:left="20"/>
                      <w:rPr>
                        <w:b/>
                        <w:sz w:val="16"/>
                      </w:rPr>
                    </w:pPr>
                    <w:r>
                      <w:fldChar w:fldCharType="begin"/>
                    </w:r>
                    <w:r>
                      <w:rPr>
                        <w:b/>
                        <w:color w:val="FFFFFF"/>
                        <w:sz w:val="16"/>
                      </w:rPr>
                      <w:instrText xml:space="preserve"> PAGE \* ArabicDash </w:instrText>
                    </w:r>
                    <w:r>
                      <w:fldChar w:fldCharType="separate"/>
                    </w:r>
                    <w:r w:rsidR="008277A6">
                      <w:rPr>
                        <w:b/>
                        <w:noProof/>
                        <w:color w:val="FFFFFF"/>
                        <w:sz w:val="16"/>
                      </w:rPr>
                      <w:t>- 104 -</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FFCE" w14:textId="77777777" w:rsidR="005F0270" w:rsidRDefault="005F0270">
    <w:pPr>
      <w:pStyle w:val="a3"/>
      <w:spacing w:line="14" w:lineRule="auto"/>
    </w:pPr>
    <w:r>
      <w:rPr>
        <w:noProof/>
        <w:lang w:val="en-US" w:eastAsia="ja-JP"/>
      </w:rPr>
      <mc:AlternateContent>
        <mc:Choice Requires="wps">
          <w:drawing>
            <wp:anchor distT="0" distB="0" distL="114300" distR="114300" simplePos="0" relativeHeight="503262152" behindDoc="1" locked="0" layoutInCell="1" allowOverlap="1" wp14:anchorId="0AC4C662" wp14:editId="39FB476A">
              <wp:simplePos x="0" y="0"/>
              <wp:positionH relativeFrom="page">
                <wp:posOffset>3533775</wp:posOffset>
              </wp:positionH>
              <wp:positionV relativeFrom="page">
                <wp:posOffset>9283700</wp:posOffset>
              </wp:positionV>
              <wp:extent cx="704850" cy="323850"/>
              <wp:effectExtent l="0" t="0" r="0" b="31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1A4F" id="Rectangle 3" o:spid="_x0000_s1026" style="position:absolute;left:0;text-align:left;margin-left:278.25pt;margin-top:731pt;width:55.5pt;height:25.5pt;z-index:-5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62176" behindDoc="1" locked="0" layoutInCell="1" allowOverlap="1" wp14:anchorId="77EF6E9E" wp14:editId="37739DAF">
              <wp:simplePos x="0" y="0"/>
              <wp:positionH relativeFrom="page">
                <wp:posOffset>3712845</wp:posOffset>
              </wp:positionH>
              <wp:positionV relativeFrom="page">
                <wp:posOffset>9366250</wp:posOffset>
              </wp:positionV>
              <wp:extent cx="349250" cy="139700"/>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A7269" w14:textId="77777777" w:rsidR="005F0270" w:rsidRDefault="005F0270">
                          <w:pPr>
                            <w:spacing w:before="15"/>
                            <w:ind w:left="20"/>
                            <w:rPr>
                              <w:b/>
                              <w:sz w:val="16"/>
                            </w:rPr>
                          </w:pPr>
                          <w:r>
                            <w:fldChar w:fldCharType="begin"/>
                          </w:r>
                          <w:r>
                            <w:rPr>
                              <w:b/>
                              <w:color w:val="FFFFFF"/>
                              <w:sz w:val="16"/>
                            </w:rPr>
                            <w:instrText xml:space="preserve"> PAGE \* ArabicDash </w:instrText>
                          </w:r>
                          <w:r>
                            <w:fldChar w:fldCharType="separate"/>
                          </w:r>
                          <w:r w:rsidR="008277A6">
                            <w:rPr>
                              <w:b/>
                              <w:noProof/>
                              <w:color w:val="FFFFFF"/>
                              <w:sz w:val="16"/>
                            </w:rPr>
                            <w:t>- 111 -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F6E9E" id="_x0000_t202" coordsize="21600,21600" o:spt="202" path="m,l,21600r21600,l21600,xe">
              <v:stroke joinstyle="miter"/>
              <v:path gradientshapeok="t" o:connecttype="rect"/>
            </v:shapetype>
            <v:shape id="_x0000_s1029" type="#_x0000_t202" style="position:absolute;margin-left:292.35pt;margin-top:737.5pt;width:27.5pt;height:11pt;z-index:-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WWsQIAAK8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" filled="f" stroked="f">
              <v:textbox inset="0,0,0,0">
                <w:txbxContent>
                  <w:p w14:paraId="70FA7269" w14:textId="77777777" w:rsidR="005F0270" w:rsidRDefault="005F0270">
                    <w:pPr>
                      <w:spacing w:before="15"/>
                      <w:ind w:left="20"/>
                      <w:rPr>
                        <w:b/>
                        <w:sz w:val="16"/>
                      </w:rPr>
                    </w:pPr>
                    <w:r>
                      <w:fldChar w:fldCharType="begin"/>
                    </w:r>
                    <w:r>
                      <w:rPr>
                        <w:b/>
                        <w:color w:val="FFFFFF"/>
                        <w:sz w:val="16"/>
                      </w:rPr>
                      <w:instrText xml:space="preserve"> PAGE \* ArabicDash </w:instrText>
                    </w:r>
                    <w:r>
                      <w:fldChar w:fldCharType="separate"/>
                    </w:r>
                    <w:r w:rsidR="008277A6">
                      <w:rPr>
                        <w:b/>
                        <w:noProof/>
                        <w:color w:val="FFFFFF"/>
                        <w:sz w:val="16"/>
                      </w:rPr>
                      <w:t>- 111 -</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0CA2" w14:textId="77777777" w:rsidR="005F0270" w:rsidRDefault="005F0270">
    <w:pPr>
      <w:pStyle w:val="a3"/>
      <w:spacing w:line="14" w:lineRule="auto"/>
      <w:rPr>
        <w:sz w:val="14"/>
      </w:rPr>
    </w:pPr>
    <w:r>
      <w:rPr>
        <w:noProof/>
        <w:lang w:val="en-US" w:eastAsia="ja-JP"/>
      </w:rPr>
      <mc:AlternateContent>
        <mc:Choice Requires="wps">
          <w:drawing>
            <wp:anchor distT="0" distB="0" distL="114300" distR="114300" simplePos="0" relativeHeight="503262200" behindDoc="1" locked="0" layoutInCell="1" allowOverlap="1" wp14:anchorId="485F801A" wp14:editId="12C240C9">
              <wp:simplePos x="0" y="0"/>
              <wp:positionH relativeFrom="page">
                <wp:posOffset>3754755</wp:posOffset>
              </wp:positionH>
              <wp:positionV relativeFrom="page">
                <wp:posOffset>8996680</wp:posOffset>
              </wp:positionV>
              <wp:extent cx="261620" cy="167005"/>
              <wp:effectExtent l="190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524A2" w14:textId="77777777" w:rsidR="005F0270" w:rsidRDefault="005F0270">
                          <w:pPr>
                            <w:pStyle w:val="a3"/>
                            <w:spacing w:before="12"/>
                            <w:ind w:left="40"/>
                          </w:pPr>
                          <w:r>
                            <w:fldChar w:fldCharType="begin"/>
                          </w:r>
                          <w:r>
                            <w:instrText xml:space="preserve"> PAGE </w:instrText>
                          </w:r>
                          <w:r>
                            <w:fldChar w:fldCharType="separate"/>
                          </w:r>
                          <w:r w:rsidR="008277A6">
                            <w:rPr>
                              <w:noProof/>
                            </w:rPr>
                            <w:t>143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801A" id="_x0000_t202" coordsize="21600,21600" o:spt="202" path="m,l,21600r21600,l21600,xe">
              <v:stroke joinstyle="miter"/>
              <v:path gradientshapeok="t" o:connecttype="rect"/>
            </v:shapetype>
            <v:shape id="Text Box 1" o:spid="_x0000_s1030" type="#_x0000_t202" style="position:absolute;margin-left:295.65pt;margin-top:708.4pt;width:20.6pt;height:13.15pt;z-index:-5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fnrQ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" filled="f" stroked="f">
              <v:textbox inset="0,0,0,0">
                <w:txbxContent>
                  <w:p w14:paraId="5D3524A2" w14:textId="77777777" w:rsidR="005F0270" w:rsidRDefault="005F0270">
                    <w:pPr>
                      <w:pStyle w:val="a3"/>
                      <w:spacing w:before="12"/>
                      <w:ind w:left="40"/>
                    </w:pPr>
                    <w:r>
                      <w:fldChar w:fldCharType="begin"/>
                    </w:r>
                    <w:r>
                      <w:instrText xml:space="preserve"> PAGE </w:instrText>
                    </w:r>
                    <w:r>
                      <w:fldChar w:fldCharType="separate"/>
                    </w:r>
                    <w:r w:rsidR="008277A6">
                      <w:rPr>
                        <w:noProof/>
                      </w:rPr>
                      <w:t>143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AE0AE" w14:textId="77777777" w:rsidR="00D50B86" w:rsidRDefault="00D50B86">
      <w:r>
        <w:separator/>
      </w:r>
    </w:p>
  </w:footnote>
  <w:footnote w:type="continuationSeparator" w:id="0">
    <w:p w14:paraId="06CBF238" w14:textId="77777777" w:rsidR="00D50B86" w:rsidRDefault="00D5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02F"/>
    <w:multiLevelType w:val="hybridMultilevel"/>
    <w:tmpl w:val="DDEAF632"/>
    <w:lvl w:ilvl="0" w:tplc="6BAE76A0">
      <w:numFmt w:val="bullet"/>
      <w:lvlText w:val=""/>
      <w:lvlJc w:val="left"/>
      <w:pPr>
        <w:ind w:left="467" w:hanging="360"/>
      </w:pPr>
      <w:rPr>
        <w:rFonts w:ascii="Symbol" w:eastAsia="Symbol" w:hAnsi="Symbol" w:cs="Symbol" w:hint="default"/>
        <w:w w:val="99"/>
        <w:sz w:val="20"/>
        <w:szCs w:val="20"/>
      </w:rPr>
    </w:lvl>
    <w:lvl w:ilvl="1" w:tplc="74A4352C">
      <w:numFmt w:val="bullet"/>
      <w:lvlText w:val="•"/>
      <w:lvlJc w:val="left"/>
      <w:pPr>
        <w:ind w:left="1155" w:hanging="360"/>
      </w:pPr>
      <w:rPr>
        <w:rFonts w:hint="default"/>
      </w:rPr>
    </w:lvl>
    <w:lvl w:ilvl="2" w:tplc="39D05574">
      <w:numFmt w:val="bullet"/>
      <w:lvlText w:val="•"/>
      <w:lvlJc w:val="left"/>
      <w:pPr>
        <w:ind w:left="1851" w:hanging="360"/>
      </w:pPr>
      <w:rPr>
        <w:rFonts w:hint="default"/>
      </w:rPr>
    </w:lvl>
    <w:lvl w:ilvl="3" w:tplc="CE28745E">
      <w:numFmt w:val="bullet"/>
      <w:lvlText w:val="•"/>
      <w:lvlJc w:val="left"/>
      <w:pPr>
        <w:ind w:left="2546" w:hanging="360"/>
      </w:pPr>
      <w:rPr>
        <w:rFonts w:hint="default"/>
      </w:rPr>
    </w:lvl>
    <w:lvl w:ilvl="4" w:tplc="97D8D73E">
      <w:numFmt w:val="bullet"/>
      <w:lvlText w:val="•"/>
      <w:lvlJc w:val="left"/>
      <w:pPr>
        <w:ind w:left="3242" w:hanging="360"/>
      </w:pPr>
      <w:rPr>
        <w:rFonts w:hint="default"/>
      </w:rPr>
    </w:lvl>
    <w:lvl w:ilvl="5" w:tplc="2696A72C">
      <w:numFmt w:val="bullet"/>
      <w:lvlText w:val="•"/>
      <w:lvlJc w:val="left"/>
      <w:pPr>
        <w:ind w:left="3937" w:hanging="360"/>
      </w:pPr>
      <w:rPr>
        <w:rFonts w:hint="default"/>
      </w:rPr>
    </w:lvl>
    <w:lvl w:ilvl="6" w:tplc="C964A97A">
      <w:numFmt w:val="bullet"/>
      <w:lvlText w:val="•"/>
      <w:lvlJc w:val="left"/>
      <w:pPr>
        <w:ind w:left="4633" w:hanging="360"/>
      </w:pPr>
      <w:rPr>
        <w:rFonts w:hint="default"/>
      </w:rPr>
    </w:lvl>
    <w:lvl w:ilvl="7" w:tplc="168C5F88">
      <w:numFmt w:val="bullet"/>
      <w:lvlText w:val="•"/>
      <w:lvlJc w:val="left"/>
      <w:pPr>
        <w:ind w:left="5328" w:hanging="360"/>
      </w:pPr>
      <w:rPr>
        <w:rFonts w:hint="default"/>
      </w:rPr>
    </w:lvl>
    <w:lvl w:ilvl="8" w:tplc="3F7A7600">
      <w:numFmt w:val="bullet"/>
      <w:lvlText w:val="•"/>
      <w:lvlJc w:val="left"/>
      <w:pPr>
        <w:ind w:left="6024" w:hanging="360"/>
      </w:pPr>
      <w:rPr>
        <w:rFonts w:hint="default"/>
      </w:rPr>
    </w:lvl>
  </w:abstractNum>
  <w:abstractNum w:abstractNumId="1" w15:restartNumberingAfterBreak="0">
    <w:nsid w:val="025D6516"/>
    <w:multiLevelType w:val="hybridMultilevel"/>
    <w:tmpl w:val="AB76523A"/>
    <w:lvl w:ilvl="0" w:tplc="E2F8F2D2">
      <w:start w:val="1"/>
      <w:numFmt w:val="decimal"/>
      <w:lvlText w:val="%1."/>
      <w:lvlJc w:val="left"/>
      <w:pPr>
        <w:ind w:left="820" w:hanging="360"/>
        <w:jc w:val="left"/>
      </w:pPr>
      <w:rPr>
        <w:rFonts w:ascii="Arial" w:eastAsia="Arial" w:hAnsi="Arial" w:cs="Arial" w:hint="default"/>
        <w:spacing w:val="-1"/>
        <w:w w:val="99"/>
        <w:sz w:val="20"/>
        <w:szCs w:val="20"/>
      </w:rPr>
    </w:lvl>
    <w:lvl w:ilvl="1" w:tplc="2A8A7952">
      <w:numFmt w:val="bullet"/>
      <w:lvlText w:val="•"/>
      <w:lvlJc w:val="left"/>
      <w:pPr>
        <w:ind w:left="1696" w:hanging="360"/>
      </w:pPr>
      <w:rPr>
        <w:rFonts w:hint="default"/>
      </w:rPr>
    </w:lvl>
    <w:lvl w:ilvl="2" w:tplc="9F0E6E90">
      <w:numFmt w:val="bullet"/>
      <w:lvlText w:val="•"/>
      <w:lvlJc w:val="left"/>
      <w:pPr>
        <w:ind w:left="2572" w:hanging="360"/>
      </w:pPr>
      <w:rPr>
        <w:rFonts w:hint="default"/>
      </w:rPr>
    </w:lvl>
    <w:lvl w:ilvl="3" w:tplc="E3F0E8F2">
      <w:numFmt w:val="bullet"/>
      <w:lvlText w:val="•"/>
      <w:lvlJc w:val="left"/>
      <w:pPr>
        <w:ind w:left="3448" w:hanging="360"/>
      </w:pPr>
      <w:rPr>
        <w:rFonts w:hint="default"/>
      </w:rPr>
    </w:lvl>
    <w:lvl w:ilvl="4" w:tplc="4F60699C">
      <w:numFmt w:val="bullet"/>
      <w:lvlText w:val="•"/>
      <w:lvlJc w:val="left"/>
      <w:pPr>
        <w:ind w:left="4324" w:hanging="360"/>
      </w:pPr>
      <w:rPr>
        <w:rFonts w:hint="default"/>
      </w:rPr>
    </w:lvl>
    <w:lvl w:ilvl="5" w:tplc="1E8665CE">
      <w:numFmt w:val="bullet"/>
      <w:lvlText w:val="•"/>
      <w:lvlJc w:val="left"/>
      <w:pPr>
        <w:ind w:left="5200" w:hanging="360"/>
      </w:pPr>
      <w:rPr>
        <w:rFonts w:hint="default"/>
      </w:rPr>
    </w:lvl>
    <w:lvl w:ilvl="6" w:tplc="E98C3470">
      <w:numFmt w:val="bullet"/>
      <w:lvlText w:val="•"/>
      <w:lvlJc w:val="left"/>
      <w:pPr>
        <w:ind w:left="6076" w:hanging="360"/>
      </w:pPr>
      <w:rPr>
        <w:rFonts w:hint="default"/>
      </w:rPr>
    </w:lvl>
    <w:lvl w:ilvl="7" w:tplc="1E503128">
      <w:numFmt w:val="bullet"/>
      <w:lvlText w:val="•"/>
      <w:lvlJc w:val="left"/>
      <w:pPr>
        <w:ind w:left="6952" w:hanging="360"/>
      </w:pPr>
      <w:rPr>
        <w:rFonts w:hint="default"/>
      </w:rPr>
    </w:lvl>
    <w:lvl w:ilvl="8" w:tplc="3878ADF4">
      <w:numFmt w:val="bullet"/>
      <w:lvlText w:val="•"/>
      <w:lvlJc w:val="left"/>
      <w:pPr>
        <w:ind w:left="7828" w:hanging="360"/>
      </w:pPr>
      <w:rPr>
        <w:rFonts w:hint="default"/>
      </w:rPr>
    </w:lvl>
  </w:abstractNum>
  <w:abstractNum w:abstractNumId="2" w15:restartNumberingAfterBreak="0">
    <w:nsid w:val="04CF2EA7"/>
    <w:multiLevelType w:val="hybridMultilevel"/>
    <w:tmpl w:val="D2081936"/>
    <w:lvl w:ilvl="0" w:tplc="9AD443CC">
      <w:start w:val="149"/>
      <w:numFmt w:val="decimal"/>
      <w:lvlText w:val="%1"/>
      <w:lvlJc w:val="left"/>
      <w:pPr>
        <w:ind w:left="100" w:hanging="312"/>
        <w:jc w:val="left"/>
      </w:pPr>
      <w:rPr>
        <w:rFonts w:ascii="Arial" w:eastAsia="Arial" w:hAnsi="Arial" w:cs="Arial" w:hint="default"/>
        <w:spacing w:val="-1"/>
        <w:w w:val="100"/>
        <w:sz w:val="16"/>
        <w:szCs w:val="16"/>
      </w:rPr>
    </w:lvl>
    <w:lvl w:ilvl="1" w:tplc="40EE6862">
      <w:numFmt w:val="bullet"/>
      <w:lvlText w:val="•"/>
      <w:lvlJc w:val="left"/>
      <w:pPr>
        <w:ind w:left="1048" w:hanging="312"/>
      </w:pPr>
      <w:rPr>
        <w:rFonts w:hint="default"/>
      </w:rPr>
    </w:lvl>
    <w:lvl w:ilvl="2" w:tplc="0BCA87A2">
      <w:numFmt w:val="bullet"/>
      <w:lvlText w:val="•"/>
      <w:lvlJc w:val="left"/>
      <w:pPr>
        <w:ind w:left="1996" w:hanging="312"/>
      </w:pPr>
      <w:rPr>
        <w:rFonts w:hint="default"/>
      </w:rPr>
    </w:lvl>
    <w:lvl w:ilvl="3" w:tplc="B0A4210C">
      <w:numFmt w:val="bullet"/>
      <w:lvlText w:val="•"/>
      <w:lvlJc w:val="left"/>
      <w:pPr>
        <w:ind w:left="2944" w:hanging="312"/>
      </w:pPr>
      <w:rPr>
        <w:rFonts w:hint="default"/>
      </w:rPr>
    </w:lvl>
    <w:lvl w:ilvl="4" w:tplc="205E10F6">
      <w:numFmt w:val="bullet"/>
      <w:lvlText w:val="•"/>
      <w:lvlJc w:val="left"/>
      <w:pPr>
        <w:ind w:left="3892" w:hanging="312"/>
      </w:pPr>
      <w:rPr>
        <w:rFonts w:hint="default"/>
      </w:rPr>
    </w:lvl>
    <w:lvl w:ilvl="5" w:tplc="1E8423EC">
      <w:numFmt w:val="bullet"/>
      <w:lvlText w:val="•"/>
      <w:lvlJc w:val="left"/>
      <w:pPr>
        <w:ind w:left="4840" w:hanging="312"/>
      </w:pPr>
      <w:rPr>
        <w:rFonts w:hint="default"/>
      </w:rPr>
    </w:lvl>
    <w:lvl w:ilvl="6" w:tplc="82B856DE">
      <w:numFmt w:val="bullet"/>
      <w:lvlText w:val="•"/>
      <w:lvlJc w:val="left"/>
      <w:pPr>
        <w:ind w:left="5788" w:hanging="312"/>
      </w:pPr>
      <w:rPr>
        <w:rFonts w:hint="default"/>
      </w:rPr>
    </w:lvl>
    <w:lvl w:ilvl="7" w:tplc="09B83FCA">
      <w:numFmt w:val="bullet"/>
      <w:lvlText w:val="•"/>
      <w:lvlJc w:val="left"/>
      <w:pPr>
        <w:ind w:left="6736" w:hanging="312"/>
      </w:pPr>
      <w:rPr>
        <w:rFonts w:hint="default"/>
      </w:rPr>
    </w:lvl>
    <w:lvl w:ilvl="8" w:tplc="7D409BA8">
      <w:numFmt w:val="bullet"/>
      <w:lvlText w:val="•"/>
      <w:lvlJc w:val="left"/>
      <w:pPr>
        <w:ind w:left="7684" w:hanging="312"/>
      </w:pPr>
      <w:rPr>
        <w:rFonts w:hint="default"/>
      </w:rPr>
    </w:lvl>
  </w:abstractNum>
  <w:abstractNum w:abstractNumId="3" w15:restartNumberingAfterBreak="0">
    <w:nsid w:val="07991B3B"/>
    <w:multiLevelType w:val="hybridMultilevel"/>
    <w:tmpl w:val="BF2A536C"/>
    <w:lvl w:ilvl="0" w:tplc="E80A87DA">
      <w:numFmt w:val="bullet"/>
      <w:lvlText w:val=""/>
      <w:lvlJc w:val="left"/>
      <w:pPr>
        <w:ind w:left="467" w:hanging="360"/>
      </w:pPr>
      <w:rPr>
        <w:rFonts w:ascii="Symbol" w:eastAsia="Symbol" w:hAnsi="Symbol" w:cs="Symbol" w:hint="default"/>
        <w:w w:val="99"/>
        <w:sz w:val="20"/>
        <w:szCs w:val="20"/>
      </w:rPr>
    </w:lvl>
    <w:lvl w:ilvl="1" w:tplc="5786389E">
      <w:numFmt w:val="bullet"/>
      <w:lvlText w:val="•"/>
      <w:lvlJc w:val="left"/>
      <w:pPr>
        <w:ind w:left="1170" w:hanging="360"/>
      </w:pPr>
      <w:rPr>
        <w:rFonts w:hint="default"/>
      </w:rPr>
    </w:lvl>
    <w:lvl w:ilvl="2" w:tplc="72405FD8">
      <w:numFmt w:val="bullet"/>
      <w:lvlText w:val="•"/>
      <w:lvlJc w:val="left"/>
      <w:pPr>
        <w:ind w:left="1880" w:hanging="360"/>
      </w:pPr>
      <w:rPr>
        <w:rFonts w:hint="default"/>
      </w:rPr>
    </w:lvl>
    <w:lvl w:ilvl="3" w:tplc="5EAA139A">
      <w:numFmt w:val="bullet"/>
      <w:lvlText w:val="•"/>
      <w:lvlJc w:val="left"/>
      <w:pPr>
        <w:ind w:left="2590" w:hanging="360"/>
      </w:pPr>
      <w:rPr>
        <w:rFonts w:hint="default"/>
      </w:rPr>
    </w:lvl>
    <w:lvl w:ilvl="4" w:tplc="5100DAF2">
      <w:numFmt w:val="bullet"/>
      <w:lvlText w:val="•"/>
      <w:lvlJc w:val="left"/>
      <w:pPr>
        <w:ind w:left="3300" w:hanging="360"/>
      </w:pPr>
      <w:rPr>
        <w:rFonts w:hint="default"/>
      </w:rPr>
    </w:lvl>
    <w:lvl w:ilvl="5" w:tplc="21D42BC0">
      <w:numFmt w:val="bullet"/>
      <w:lvlText w:val="•"/>
      <w:lvlJc w:val="left"/>
      <w:pPr>
        <w:ind w:left="4010" w:hanging="360"/>
      </w:pPr>
      <w:rPr>
        <w:rFonts w:hint="default"/>
      </w:rPr>
    </w:lvl>
    <w:lvl w:ilvl="6" w:tplc="CFF44B76">
      <w:numFmt w:val="bullet"/>
      <w:lvlText w:val="•"/>
      <w:lvlJc w:val="left"/>
      <w:pPr>
        <w:ind w:left="4720" w:hanging="360"/>
      </w:pPr>
      <w:rPr>
        <w:rFonts w:hint="default"/>
      </w:rPr>
    </w:lvl>
    <w:lvl w:ilvl="7" w:tplc="4EE07C56">
      <w:numFmt w:val="bullet"/>
      <w:lvlText w:val="•"/>
      <w:lvlJc w:val="left"/>
      <w:pPr>
        <w:ind w:left="5430" w:hanging="360"/>
      </w:pPr>
      <w:rPr>
        <w:rFonts w:hint="default"/>
      </w:rPr>
    </w:lvl>
    <w:lvl w:ilvl="8" w:tplc="93A0FE8C">
      <w:numFmt w:val="bullet"/>
      <w:lvlText w:val="•"/>
      <w:lvlJc w:val="left"/>
      <w:pPr>
        <w:ind w:left="6140" w:hanging="360"/>
      </w:pPr>
      <w:rPr>
        <w:rFonts w:hint="default"/>
      </w:rPr>
    </w:lvl>
  </w:abstractNum>
  <w:abstractNum w:abstractNumId="4" w15:restartNumberingAfterBreak="0">
    <w:nsid w:val="089B5042"/>
    <w:multiLevelType w:val="hybridMultilevel"/>
    <w:tmpl w:val="6CA6B0B8"/>
    <w:lvl w:ilvl="0" w:tplc="20C46068">
      <w:numFmt w:val="bullet"/>
      <w:lvlText w:val=""/>
      <w:lvlJc w:val="left"/>
      <w:pPr>
        <w:ind w:left="467" w:hanging="360"/>
      </w:pPr>
      <w:rPr>
        <w:rFonts w:ascii="Symbol" w:eastAsia="Symbol" w:hAnsi="Symbol" w:cs="Symbol" w:hint="default"/>
        <w:w w:val="99"/>
        <w:sz w:val="20"/>
        <w:szCs w:val="20"/>
      </w:rPr>
    </w:lvl>
    <w:lvl w:ilvl="1" w:tplc="F9DADFD2">
      <w:start w:val="1"/>
      <w:numFmt w:val="lowerRoman"/>
      <w:lvlText w:val="%2)"/>
      <w:lvlJc w:val="left"/>
      <w:pPr>
        <w:ind w:left="1188" w:hanging="360"/>
        <w:jc w:val="left"/>
      </w:pPr>
      <w:rPr>
        <w:rFonts w:ascii="Arial" w:eastAsia="Arial" w:hAnsi="Arial" w:cs="Arial" w:hint="default"/>
        <w:spacing w:val="-2"/>
        <w:w w:val="99"/>
        <w:sz w:val="20"/>
        <w:szCs w:val="20"/>
      </w:rPr>
    </w:lvl>
    <w:lvl w:ilvl="2" w:tplc="FB1AAB28">
      <w:numFmt w:val="bullet"/>
      <w:lvlText w:val="•"/>
      <w:lvlJc w:val="left"/>
      <w:pPr>
        <w:ind w:left="1889" w:hanging="360"/>
      </w:pPr>
      <w:rPr>
        <w:rFonts w:hint="default"/>
      </w:rPr>
    </w:lvl>
    <w:lvl w:ilvl="3" w:tplc="ADB2030A">
      <w:numFmt w:val="bullet"/>
      <w:lvlText w:val="•"/>
      <w:lvlJc w:val="left"/>
      <w:pPr>
        <w:ind w:left="2598" w:hanging="360"/>
      </w:pPr>
      <w:rPr>
        <w:rFonts w:hint="default"/>
      </w:rPr>
    </w:lvl>
    <w:lvl w:ilvl="4" w:tplc="DECCC0C4">
      <w:numFmt w:val="bullet"/>
      <w:lvlText w:val="•"/>
      <w:lvlJc w:val="left"/>
      <w:pPr>
        <w:ind w:left="3307" w:hanging="360"/>
      </w:pPr>
      <w:rPr>
        <w:rFonts w:hint="default"/>
      </w:rPr>
    </w:lvl>
    <w:lvl w:ilvl="5" w:tplc="C8B8D80E">
      <w:numFmt w:val="bullet"/>
      <w:lvlText w:val="•"/>
      <w:lvlJc w:val="left"/>
      <w:pPr>
        <w:ind w:left="4016" w:hanging="360"/>
      </w:pPr>
      <w:rPr>
        <w:rFonts w:hint="default"/>
      </w:rPr>
    </w:lvl>
    <w:lvl w:ilvl="6" w:tplc="0D585692">
      <w:numFmt w:val="bullet"/>
      <w:lvlText w:val="•"/>
      <w:lvlJc w:val="left"/>
      <w:pPr>
        <w:ind w:left="4725" w:hanging="360"/>
      </w:pPr>
      <w:rPr>
        <w:rFonts w:hint="default"/>
      </w:rPr>
    </w:lvl>
    <w:lvl w:ilvl="7" w:tplc="75DE679A">
      <w:numFmt w:val="bullet"/>
      <w:lvlText w:val="•"/>
      <w:lvlJc w:val="left"/>
      <w:pPr>
        <w:ind w:left="5434" w:hanging="360"/>
      </w:pPr>
      <w:rPr>
        <w:rFonts w:hint="default"/>
      </w:rPr>
    </w:lvl>
    <w:lvl w:ilvl="8" w:tplc="E4669AAC">
      <w:numFmt w:val="bullet"/>
      <w:lvlText w:val="•"/>
      <w:lvlJc w:val="left"/>
      <w:pPr>
        <w:ind w:left="6143" w:hanging="360"/>
      </w:pPr>
      <w:rPr>
        <w:rFonts w:hint="default"/>
      </w:rPr>
    </w:lvl>
  </w:abstractNum>
  <w:abstractNum w:abstractNumId="5" w15:restartNumberingAfterBreak="0">
    <w:nsid w:val="0B5A3378"/>
    <w:multiLevelType w:val="hybridMultilevel"/>
    <w:tmpl w:val="A1B667B4"/>
    <w:lvl w:ilvl="0" w:tplc="DA127CFA">
      <w:numFmt w:val="bullet"/>
      <w:lvlText w:val=""/>
      <w:lvlJc w:val="left"/>
      <w:pPr>
        <w:ind w:left="820" w:hanging="360"/>
      </w:pPr>
      <w:rPr>
        <w:rFonts w:ascii="Wingdings" w:eastAsia="Wingdings" w:hAnsi="Wingdings" w:cs="Wingdings" w:hint="default"/>
        <w:color w:val="30A2A9"/>
        <w:w w:val="99"/>
        <w:sz w:val="20"/>
        <w:szCs w:val="20"/>
      </w:rPr>
    </w:lvl>
    <w:lvl w:ilvl="1" w:tplc="DF5690FE">
      <w:numFmt w:val="bullet"/>
      <w:lvlText w:val="•"/>
      <w:lvlJc w:val="left"/>
      <w:pPr>
        <w:ind w:left="1696" w:hanging="360"/>
      </w:pPr>
      <w:rPr>
        <w:rFonts w:hint="default"/>
      </w:rPr>
    </w:lvl>
    <w:lvl w:ilvl="2" w:tplc="F7C846AC">
      <w:numFmt w:val="bullet"/>
      <w:lvlText w:val="•"/>
      <w:lvlJc w:val="left"/>
      <w:pPr>
        <w:ind w:left="2572" w:hanging="360"/>
      </w:pPr>
      <w:rPr>
        <w:rFonts w:hint="default"/>
      </w:rPr>
    </w:lvl>
    <w:lvl w:ilvl="3" w:tplc="829ACBD6">
      <w:numFmt w:val="bullet"/>
      <w:lvlText w:val="•"/>
      <w:lvlJc w:val="left"/>
      <w:pPr>
        <w:ind w:left="3448" w:hanging="360"/>
      </w:pPr>
      <w:rPr>
        <w:rFonts w:hint="default"/>
      </w:rPr>
    </w:lvl>
    <w:lvl w:ilvl="4" w:tplc="69AC624E">
      <w:numFmt w:val="bullet"/>
      <w:lvlText w:val="•"/>
      <w:lvlJc w:val="left"/>
      <w:pPr>
        <w:ind w:left="4324" w:hanging="360"/>
      </w:pPr>
      <w:rPr>
        <w:rFonts w:hint="default"/>
      </w:rPr>
    </w:lvl>
    <w:lvl w:ilvl="5" w:tplc="D23A7E18">
      <w:numFmt w:val="bullet"/>
      <w:lvlText w:val="•"/>
      <w:lvlJc w:val="left"/>
      <w:pPr>
        <w:ind w:left="5200" w:hanging="360"/>
      </w:pPr>
      <w:rPr>
        <w:rFonts w:hint="default"/>
      </w:rPr>
    </w:lvl>
    <w:lvl w:ilvl="6" w:tplc="DCBC98D2">
      <w:numFmt w:val="bullet"/>
      <w:lvlText w:val="•"/>
      <w:lvlJc w:val="left"/>
      <w:pPr>
        <w:ind w:left="6076" w:hanging="360"/>
      </w:pPr>
      <w:rPr>
        <w:rFonts w:hint="default"/>
      </w:rPr>
    </w:lvl>
    <w:lvl w:ilvl="7" w:tplc="51EC5FC4">
      <w:numFmt w:val="bullet"/>
      <w:lvlText w:val="•"/>
      <w:lvlJc w:val="left"/>
      <w:pPr>
        <w:ind w:left="6952" w:hanging="360"/>
      </w:pPr>
      <w:rPr>
        <w:rFonts w:hint="default"/>
      </w:rPr>
    </w:lvl>
    <w:lvl w:ilvl="8" w:tplc="5BA43134">
      <w:numFmt w:val="bullet"/>
      <w:lvlText w:val="•"/>
      <w:lvlJc w:val="left"/>
      <w:pPr>
        <w:ind w:left="7828" w:hanging="360"/>
      </w:pPr>
      <w:rPr>
        <w:rFonts w:hint="default"/>
      </w:rPr>
    </w:lvl>
  </w:abstractNum>
  <w:abstractNum w:abstractNumId="6" w15:restartNumberingAfterBreak="0">
    <w:nsid w:val="0E092FDA"/>
    <w:multiLevelType w:val="hybridMultilevel"/>
    <w:tmpl w:val="F1F002FC"/>
    <w:lvl w:ilvl="0" w:tplc="D3D40BCA">
      <w:start w:val="2"/>
      <w:numFmt w:val="decimal"/>
      <w:lvlText w:val="%1."/>
      <w:lvlJc w:val="left"/>
      <w:pPr>
        <w:ind w:left="820" w:hanging="720"/>
        <w:jc w:val="left"/>
      </w:pPr>
      <w:rPr>
        <w:rFonts w:ascii="Arial" w:eastAsia="Arial" w:hAnsi="Arial" w:cs="Arial" w:hint="default"/>
        <w:b/>
        <w:bCs/>
        <w:color w:val="087ADA"/>
        <w:w w:val="100"/>
        <w:sz w:val="28"/>
        <w:szCs w:val="28"/>
      </w:rPr>
    </w:lvl>
    <w:lvl w:ilvl="1" w:tplc="BC882F02">
      <w:numFmt w:val="bullet"/>
      <w:lvlText w:val=""/>
      <w:lvlJc w:val="left"/>
      <w:pPr>
        <w:ind w:left="820" w:hanging="360"/>
      </w:pPr>
      <w:rPr>
        <w:rFonts w:ascii="Symbol" w:eastAsia="Symbol" w:hAnsi="Symbol" w:cs="Symbol" w:hint="default"/>
        <w:w w:val="99"/>
        <w:sz w:val="20"/>
        <w:szCs w:val="20"/>
      </w:rPr>
    </w:lvl>
    <w:lvl w:ilvl="2" w:tplc="E09EC2F8">
      <w:numFmt w:val="bullet"/>
      <w:lvlText w:val="•"/>
      <w:lvlJc w:val="left"/>
      <w:pPr>
        <w:ind w:left="2572" w:hanging="360"/>
      </w:pPr>
      <w:rPr>
        <w:rFonts w:hint="default"/>
      </w:rPr>
    </w:lvl>
    <w:lvl w:ilvl="3" w:tplc="33BC23A6">
      <w:numFmt w:val="bullet"/>
      <w:lvlText w:val="•"/>
      <w:lvlJc w:val="left"/>
      <w:pPr>
        <w:ind w:left="3448" w:hanging="360"/>
      </w:pPr>
      <w:rPr>
        <w:rFonts w:hint="default"/>
      </w:rPr>
    </w:lvl>
    <w:lvl w:ilvl="4" w:tplc="00D2B300">
      <w:numFmt w:val="bullet"/>
      <w:lvlText w:val="•"/>
      <w:lvlJc w:val="left"/>
      <w:pPr>
        <w:ind w:left="4324" w:hanging="360"/>
      </w:pPr>
      <w:rPr>
        <w:rFonts w:hint="default"/>
      </w:rPr>
    </w:lvl>
    <w:lvl w:ilvl="5" w:tplc="AEF0B6E4">
      <w:numFmt w:val="bullet"/>
      <w:lvlText w:val="•"/>
      <w:lvlJc w:val="left"/>
      <w:pPr>
        <w:ind w:left="5200" w:hanging="360"/>
      </w:pPr>
      <w:rPr>
        <w:rFonts w:hint="default"/>
      </w:rPr>
    </w:lvl>
    <w:lvl w:ilvl="6" w:tplc="BD1C8184">
      <w:numFmt w:val="bullet"/>
      <w:lvlText w:val="•"/>
      <w:lvlJc w:val="left"/>
      <w:pPr>
        <w:ind w:left="6076" w:hanging="360"/>
      </w:pPr>
      <w:rPr>
        <w:rFonts w:hint="default"/>
      </w:rPr>
    </w:lvl>
    <w:lvl w:ilvl="7" w:tplc="32987F12">
      <w:numFmt w:val="bullet"/>
      <w:lvlText w:val="•"/>
      <w:lvlJc w:val="left"/>
      <w:pPr>
        <w:ind w:left="6952" w:hanging="360"/>
      </w:pPr>
      <w:rPr>
        <w:rFonts w:hint="default"/>
      </w:rPr>
    </w:lvl>
    <w:lvl w:ilvl="8" w:tplc="4DB8DE7A">
      <w:numFmt w:val="bullet"/>
      <w:lvlText w:val="•"/>
      <w:lvlJc w:val="left"/>
      <w:pPr>
        <w:ind w:left="7828" w:hanging="360"/>
      </w:pPr>
      <w:rPr>
        <w:rFonts w:hint="default"/>
      </w:rPr>
    </w:lvl>
  </w:abstractNum>
  <w:abstractNum w:abstractNumId="7" w15:restartNumberingAfterBreak="0">
    <w:nsid w:val="166E3EBB"/>
    <w:multiLevelType w:val="hybridMultilevel"/>
    <w:tmpl w:val="9B8CDEE8"/>
    <w:lvl w:ilvl="0" w:tplc="EAAC7EBE">
      <w:numFmt w:val="bullet"/>
      <w:lvlText w:val=""/>
      <w:lvlJc w:val="left"/>
      <w:pPr>
        <w:ind w:left="465" w:hanging="358"/>
      </w:pPr>
      <w:rPr>
        <w:rFonts w:ascii="Symbol" w:eastAsia="Symbol" w:hAnsi="Symbol" w:cs="Symbol" w:hint="default"/>
        <w:w w:val="99"/>
        <w:sz w:val="20"/>
        <w:szCs w:val="20"/>
      </w:rPr>
    </w:lvl>
    <w:lvl w:ilvl="1" w:tplc="A456EC8C">
      <w:numFmt w:val="bullet"/>
      <w:lvlText w:val="•"/>
      <w:lvlJc w:val="left"/>
      <w:pPr>
        <w:ind w:left="1155" w:hanging="358"/>
      </w:pPr>
      <w:rPr>
        <w:rFonts w:hint="default"/>
      </w:rPr>
    </w:lvl>
    <w:lvl w:ilvl="2" w:tplc="39C6F3AE">
      <w:numFmt w:val="bullet"/>
      <w:lvlText w:val="•"/>
      <w:lvlJc w:val="left"/>
      <w:pPr>
        <w:ind w:left="1851" w:hanging="358"/>
      </w:pPr>
      <w:rPr>
        <w:rFonts w:hint="default"/>
      </w:rPr>
    </w:lvl>
    <w:lvl w:ilvl="3" w:tplc="F380FC62">
      <w:numFmt w:val="bullet"/>
      <w:lvlText w:val="•"/>
      <w:lvlJc w:val="left"/>
      <w:pPr>
        <w:ind w:left="2546" w:hanging="358"/>
      </w:pPr>
      <w:rPr>
        <w:rFonts w:hint="default"/>
      </w:rPr>
    </w:lvl>
    <w:lvl w:ilvl="4" w:tplc="DFB6E68A">
      <w:numFmt w:val="bullet"/>
      <w:lvlText w:val="•"/>
      <w:lvlJc w:val="left"/>
      <w:pPr>
        <w:ind w:left="3242" w:hanging="358"/>
      </w:pPr>
      <w:rPr>
        <w:rFonts w:hint="default"/>
      </w:rPr>
    </w:lvl>
    <w:lvl w:ilvl="5" w:tplc="C2B08446">
      <w:numFmt w:val="bullet"/>
      <w:lvlText w:val="•"/>
      <w:lvlJc w:val="left"/>
      <w:pPr>
        <w:ind w:left="3937" w:hanging="358"/>
      </w:pPr>
      <w:rPr>
        <w:rFonts w:hint="default"/>
      </w:rPr>
    </w:lvl>
    <w:lvl w:ilvl="6" w:tplc="037CF06A">
      <w:numFmt w:val="bullet"/>
      <w:lvlText w:val="•"/>
      <w:lvlJc w:val="left"/>
      <w:pPr>
        <w:ind w:left="4633" w:hanging="358"/>
      </w:pPr>
      <w:rPr>
        <w:rFonts w:hint="default"/>
      </w:rPr>
    </w:lvl>
    <w:lvl w:ilvl="7" w:tplc="91A4C76A">
      <w:numFmt w:val="bullet"/>
      <w:lvlText w:val="•"/>
      <w:lvlJc w:val="left"/>
      <w:pPr>
        <w:ind w:left="5328" w:hanging="358"/>
      </w:pPr>
      <w:rPr>
        <w:rFonts w:hint="default"/>
      </w:rPr>
    </w:lvl>
    <w:lvl w:ilvl="8" w:tplc="E2C41452">
      <w:numFmt w:val="bullet"/>
      <w:lvlText w:val="•"/>
      <w:lvlJc w:val="left"/>
      <w:pPr>
        <w:ind w:left="6024" w:hanging="358"/>
      </w:pPr>
      <w:rPr>
        <w:rFonts w:hint="default"/>
      </w:rPr>
    </w:lvl>
  </w:abstractNum>
  <w:abstractNum w:abstractNumId="8" w15:restartNumberingAfterBreak="0">
    <w:nsid w:val="224F5BBB"/>
    <w:multiLevelType w:val="hybridMultilevel"/>
    <w:tmpl w:val="BE96081A"/>
    <w:lvl w:ilvl="0" w:tplc="50427330">
      <w:numFmt w:val="bullet"/>
      <w:lvlText w:val=""/>
      <w:lvlJc w:val="left"/>
      <w:pPr>
        <w:ind w:left="467" w:hanging="360"/>
      </w:pPr>
      <w:rPr>
        <w:rFonts w:ascii="Symbol" w:eastAsia="Symbol" w:hAnsi="Symbol" w:cs="Symbol" w:hint="default"/>
        <w:w w:val="99"/>
        <w:sz w:val="20"/>
        <w:szCs w:val="20"/>
      </w:rPr>
    </w:lvl>
    <w:lvl w:ilvl="1" w:tplc="7520E55C">
      <w:numFmt w:val="bullet"/>
      <w:lvlText w:val="•"/>
      <w:lvlJc w:val="left"/>
      <w:pPr>
        <w:ind w:left="1170" w:hanging="360"/>
      </w:pPr>
      <w:rPr>
        <w:rFonts w:hint="default"/>
      </w:rPr>
    </w:lvl>
    <w:lvl w:ilvl="2" w:tplc="92703662">
      <w:numFmt w:val="bullet"/>
      <w:lvlText w:val="•"/>
      <w:lvlJc w:val="left"/>
      <w:pPr>
        <w:ind w:left="1880" w:hanging="360"/>
      </w:pPr>
      <w:rPr>
        <w:rFonts w:hint="default"/>
      </w:rPr>
    </w:lvl>
    <w:lvl w:ilvl="3" w:tplc="B87E3DDE">
      <w:numFmt w:val="bullet"/>
      <w:lvlText w:val="•"/>
      <w:lvlJc w:val="left"/>
      <w:pPr>
        <w:ind w:left="2590" w:hanging="360"/>
      </w:pPr>
      <w:rPr>
        <w:rFonts w:hint="default"/>
      </w:rPr>
    </w:lvl>
    <w:lvl w:ilvl="4" w:tplc="C4F6BAE0">
      <w:numFmt w:val="bullet"/>
      <w:lvlText w:val="•"/>
      <w:lvlJc w:val="left"/>
      <w:pPr>
        <w:ind w:left="3300" w:hanging="360"/>
      </w:pPr>
      <w:rPr>
        <w:rFonts w:hint="default"/>
      </w:rPr>
    </w:lvl>
    <w:lvl w:ilvl="5" w:tplc="DAC8C494">
      <w:numFmt w:val="bullet"/>
      <w:lvlText w:val="•"/>
      <w:lvlJc w:val="left"/>
      <w:pPr>
        <w:ind w:left="4010" w:hanging="360"/>
      </w:pPr>
      <w:rPr>
        <w:rFonts w:hint="default"/>
      </w:rPr>
    </w:lvl>
    <w:lvl w:ilvl="6" w:tplc="E7F08CDE">
      <w:numFmt w:val="bullet"/>
      <w:lvlText w:val="•"/>
      <w:lvlJc w:val="left"/>
      <w:pPr>
        <w:ind w:left="4720" w:hanging="360"/>
      </w:pPr>
      <w:rPr>
        <w:rFonts w:hint="default"/>
      </w:rPr>
    </w:lvl>
    <w:lvl w:ilvl="7" w:tplc="CAEA21BE">
      <w:numFmt w:val="bullet"/>
      <w:lvlText w:val="•"/>
      <w:lvlJc w:val="left"/>
      <w:pPr>
        <w:ind w:left="5430" w:hanging="360"/>
      </w:pPr>
      <w:rPr>
        <w:rFonts w:hint="default"/>
      </w:rPr>
    </w:lvl>
    <w:lvl w:ilvl="8" w:tplc="FE92C00E">
      <w:numFmt w:val="bullet"/>
      <w:lvlText w:val="•"/>
      <w:lvlJc w:val="left"/>
      <w:pPr>
        <w:ind w:left="6140" w:hanging="360"/>
      </w:pPr>
      <w:rPr>
        <w:rFonts w:hint="default"/>
      </w:rPr>
    </w:lvl>
  </w:abstractNum>
  <w:abstractNum w:abstractNumId="9" w15:restartNumberingAfterBreak="0">
    <w:nsid w:val="260B3819"/>
    <w:multiLevelType w:val="hybridMultilevel"/>
    <w:tmpl w:val="CDAE3F7C"/>
    <w:lvl w:ilvl="0" w:tplc="F66C46E6">
      <w:numFmt w:val="bullet"/>
      <w:lvlText w:val="-"/>
      <w:lvlJc w:val="left"/>
      <w:pPr>
        <w:ind w:left="827" w:hanging="360"/>
      </w:pPr>
      <w:rPr>
        <w:rFonts w:ascii="Calibri" w:eastAsia="Calibri" w:hAnsi="Calibri" w:cs="Calibri" w:hint="default"/>
        <w:w w:val="99"/>
        <w:sz w:val="20"/>
        <w:szCs w:val="20"/>
      </w:rPr>
    </w:lvl>
    <w:lvl w:ilvl="1" w:tplc="794A97EE">
      <w:numFmt w:val="bullet"/>
      <w:lvlText w:val="o"/>
      <w:lvlJc w:val="left"/>
      <w:pPr>
        <w:ind w:left="1547" w:hanging="360"/>
      </w:pPr>
      <w:rPr>
        <w:rFonts w:ascii="Courier New" w:eastAsia="Courier New" w:hAnsi="Courier New" w:cs="Courier New" w:hint="default"/>
        <w:w w:val="99"/>
        <w:sz w:val="20"/>
        <w:szCs w:val="20"/>
      </w:rPr>
    </w:lvl>
    <w:lvl w:ilvl="2" w:tplc="11EA7D60">
      <w:numFmt w:val="bullet"/>
      <w:lvlText w:val="•"/>
      <w:lvlJc w:val="left"/>
      <w:pPr>
        <w:ind w:left="2076" w:hanging="360"/>
      </w:pPr>
      <w:rPr>
        <w:rFonts w:hint="default"/>
      </w:rPr>
    </w:lvl>
    <w:lvl w:ilvl="3" w:tplc="6030AE2E">
      <w:numFmt w:val="bullet"/>
      <w:lvlText w:val="•"/>
      <w:lvlJc w:val="left"/>
      <w:pPr>
        <w:ind w:left="2612" w:hanging="360"/>
      </w:pPr>
      <w:rPr>
        <w:rFonts w:hint="default"/>
      </w:rPr>
    </w:lvl>
    <w:lvl w:ilvl="4" w:tplc="C5E6AFFE">
      <w:numFmt w:val="bullet"/>
      <w:lvlText w:val="•"/>
      <w:lvlJc w:val="left"/>
      <w:pPr>
        <w:ind w:left="3148" w:hanging="360"/>
      </w:pPr>
      <w:rPr>
        <w:rFonts w:hint="default"/>
      </w:rPr>
    </w:lvl>
    <w:lvl w:ilvl="5" w:tplc="3EC0B708">
      <w:numFmt w:val="bullet"/>
      <w:lvlText w:val="•"/>
      <w:lvlJc w:val="left"/>
      <w:pPr>
        <w:ind w:left="3684" w:hanging="360"/>
      </w:pPr>
      <w:rPr>
        <w:rFonts w:hint="default"/>
      </w:rPr>
    </w:lvl>
    <w:lvl w:ilvl="6" w:tplc="4F828856">
      <w:numFmt w:val="bullet"/>
      <w:lvlText w:val="•"/>
      <w:lvlJc w:val="left"/>
      <w:pPr>
        <w:ind w:left="4220" w:hanging="360"/>
      </w:pPr>
      <w:rPr>
        <w:rFonts w:hint="default"/>
      </w:rPr>
    </w:lvl>
    <w:lvl w:ilvl="7" w:tplc="E976D93A">
      <w:numFmt w:val="bullet"/>
      <w:lvlText w:val="•"/>
      <w:lvlJc w:val="left"/>
      <w:pPr>
        <w:ind w:left="4756" w:hanging="360"/>
      </w:pPr>
      <w:rPr>
        <w:rFonts w:hint="default"/>
      </w:rPr>
    </w:lvl>
    <w:lvl w:ilvl="8" w:tplc="2E803CAA">
      <w:numFmt w:val="bullet"/>
      <w:lvlText w:val="•"/>
      <w:lvlJc w:val="left"/>
      <w:pPr>
        <w:ind w:left="5292" w:hanging="360"/>
      </w:pPr>
      <w:rPr>
        <w:rFonts w:hint="default"/>
      </w:rPr>
    </w:lvl>
  </w:abstractNum>
  <w:abstractNum w:abstractNumId="10" w15:restartNumberingAfterBreak="0">
    <w:nsid w:val="26584499"/>
    <w:multiLevelType w:val="hybridMultilevel"/>
    <w:tmpl w:val="E88E3B1A"/>
    <w:lvl w:ilvl="0" w:tplc="D0FCF68E">
      <w:start w:val="1"/>
      <w:numFmt w:val="lowerLetter"/>
      <w:lvlText w:val="%1)"/>
      <w:lvlJc w:val="left"/>
      <w:pPr>
        <w:ind w:left="3019" w:hanging="360"/>
        <w:jc w:val="left"/>
      </w:pPr>
      <w:rPr>
        <w:rFonts w:ascii="Arial" w:eastAsia="Arial" w:hAnsi="Arial" w:cs="Arial" w:hint="default"/>
        <w:spacing w:val="-1"/>
        <w:w w:val="99"/>
        <w:sz w:val="20"/>
        <w:szCs w:val="20"/>
      </w:rPr>
    </w:lvl>
    <w:lvl w:ilvl="1" w:tplc="2F3EB8B6">
      <w:numFmt w:val="bullet"/>
      <w:lvlText w:val="•"/>
      <w:lvlJc w:val="left"/>
      <w:pPr>
        <w:ind w:left="3676" w:hanging="360"/>
      </w:pPr>
      <w:rPr>
        <w:rFonts w:hint="default"/>
      </w:rPr>
    </w:lvl>
    <w:lvl w:ilvl="2" w:tplc="C7F81B24">
      <w:numFmt w:val="bullet"/>
      <w:lvlText w:val="•"/>
      <w:lvlJc w:val="left"/>
      <w:pPr>
        <w:ind w:left="4332" w:hanging="360"/>
      </w:pPr>
      <w:rPr>
        <w:rFonts w:hint="default"/>
      </w:rPr>
    </w:lvl>
    <w:lvl w:ilvl="3" w:tplc="739CB336">
      <w:numFmt w:val="bullet"/>
      <w:lvlText w:val="•"/>
      <w:lvlJc w:val="left"/>
      <w:pPr>
        <w:ind w:left="4988" w:hanging="360"/>
      </w:pPr>
      <w:rPr>
        <w:rFonts w:hint="default"/>
      </w:rPr>
    </w:lvl>
    <w:lvl w:ilvl="4" w:tplc="CAD047BA">
      <w:numFmt w:val="bullet"/>
      <w:lvlText w:val="•"/>
      <w:lvlJc w:val="left"/>
      <w:pPr>
        <w:ind w:left="5644" w:hanging="360"/>
      </w:pPr>
      <w:rPr>
        <w:rFonts w:hint="default"/>
      </w:rPr>
    </w:lvl>
    <w:lvl w:ilvl="5" w:tplc="FD30D684">
      <w:numFmt w:val="bullet"/>
      <w:lvlText w:val="•"/>
      <w:lvlJc w:val="left"/>
      <w:pPr>
        <w:ind w:left="6300" w:hanging="360"/>
      </w:pPr>
      <w:rPr>
        <w:rFonts w:hint="default"/>
      </w:rPr>
    </w:lvl>
    <w:lvl w:ilvl="6" w:tplc="22EE83D6">
      <w:numFmt w:val="bullet"/>
      <w:lvlText w:val="•"/>
      <w:lvlJc w:val="left"/>
      <w:pPr>
        <w:ind w:left="6956" w:hanging="360"/>
      </w:pPr>
      <w:rPr>
        <w:rFonts w:hint="default"/>
      </w:rPr>
    </w:lvl>
    <w:lvl w:ilvl="7" w:tplc="43383DC2">
      <w:numFmt w:val="bullet"/>
      <w:lvlText w:val="•"/>
      <w:lvlJc w:val="left"/>
      <w:pPr>
        <w:ind w:left="7612" w:hanging="360"/>
      </w:pPr>
      <w:rPr>
        <w:rFonts w:hint="default"/>
      </w:rPr>
    </w:lvl>
    <w:lvl w:ilvl="8" w:tplc="A5FEA3A6">
      <w:numFmt w:val="bullet"/>
      <w:lvlText w:val="•"/>
      <w:lvlJc w:val="left"/>
      <w:pPr>
        <w:ind w:left="8268" w:hanging="360"/>
      </w:pPr>
      <w:rPr>
        <w:rFonts w:hint="default"/>
      </w:rPr>
    </w:lvl>
  </w:abstractNum>
  <w:abstractNum w:abstractNumId="11" w15:restartNumberingAfterBreak="0">
    <w:nsid w:val="277C6F0A"/>
    <w:multiLevelType w:val="hybridMultilevel"/>
    <w:tmpl w:val="2B9AFA72"/>
    <w:lvl w:ilvl="0" w:tplc="6A3636F8">
      <w:numFmt w:val="bullet"/>
      <w:lvlText w:val=""/>
      <w:lvlJc w:val="left"/>
      <w:pPr>
        <w:ind w:left="827" w:hanging="361"/>
      </w:pPr>
      <w:rPr>
        <w:rFonts w:ascii="Symbol" w:eastAsia="Symbol" w:hAnsi="Symbol" w:cs="Symbol" w:hint="default"/>
        <w:w w:val="99"/>
        <w:sz w:val="20"/>
        <w:szCs w:val="20"/>
      </w:rPr>
    </w:lvl>
    <w:lvl w:ilvl="1" w:tplc="5036AB7C">
      <w:numFmt w:val="bullet"/>
      <w:lvlText w:val="•"/>
      <w:lvlJc w:val="left"/>
      <w:pPr>
        <w:ind w:left="1233" w:hanging="361"/>
      </w:pPr>
      <w:rPr>
        <w:rFonts w:hint="default"/>
      </w:rPr>
    </w:lvl>
    <w:lvl w:ilvl="2" w:tplc="36108E20">
      <w:numFmt w:val="bullet"/>
      <w:lvlText w:val="•"/>
      <w:lvlJc w:val="left"/>
      <w:pPr>
        <w:ind w:left="1646" w:hanging="361"/>
      </w:pPr>
      <w:rPr>
        <w:rFonts w:hint="default"/>
      </w:rPr>
    </w:lvl>
    <w:lvl w:ilvl="3" w:tplc="C5840834">
      <w:numFmt w:val="bullet"/>
      <w:lvlText w:val="•"/>
      <w:lvlJc w:val="left"/>
      <w:pPr>
        <w:ind w:left="2059" w:hanging="361"/>
      </w:pPr>
      <w:rPr>
        <w:rFonts w:hint="default"/>
      </w:rPr>
    </w:lvl>
    <w:lvl w:ilvl="4" w:tplc="322E54B2">
      <w:numFmt w:val="bullet"/>
      <w:lvlText w:val="•"/>
      <w:lvlJc w:val="left"/>
      <w:pPr>
        <w:ind w:left="2472" w:hanging="361"/>
      </w:pPr>
      <w:rPr>
        <w:rFonts w:hint="default"/>
      </w:rPr>
    </w:lvl>
    <w:lvl w:ilvl="5" w:tplc="B3F8AE5A">
      <w:numFmt w:val="bullet"/>
      <w:lvlText w:val="•"/>
      <w:lvlJc w:val="left"/>
      <w:pPr>
        <w:ind w:left="2885" w:hanging="361"/>
      </w:pPr>
      <w:rPr>
        <w:rFonts w:hint="default"/>
      </w:rPr>
    </w:lvl>
    <w:lvl w:ilvl="6" w:tplc="507874BC">
      <w:numFmt w:val="bullet"/>
      <w:lvlText w:val="•"/>
      <w:lvlJc w:val="left"/>
      <w:pPr>
        <w:ind w:left="3298" w:hanging="361"/>
      </w:pPr>
      <w:rPr>
        <w:rFonts w:hint="default"/>
      </w:rPr>
    </w:lvl>
    <w:lvl w:ilvl="7" w:tplc="CA0A975E">
      <w:numFmt w:val="bullet"/>
      <w:lvlText w:val="•"/>
      <w:lvlJc w:val="left"/>
      <w:pPr>
        <w:ind w:left="3711" w:hanging="361"/>
      </w:pPr>
      <w:rPr>
        <w:rFonts w:hint="default"/>
      </w:rPr>
    </w:lvl>
    <w:lvl w:ilvl="8" w:tplc="833E744A">
      <w:numFmt w:val="bullet"/>
      <w:lvlText w:val="•"/>
      <w:lvlJc w:val="left"/>
      <w:pPr>
        <w:ind w:left="4124" w:hanging="361"/>
      </w:pPr>
      <w:rPr>
        <w:rFonts w:hint="default"/>
      </w:rPr>
    </w:lvl>
  </w:abstractNum>
  <w:abstractNum w:abstractNumId="12" w15:restartNumberingAfterBreak="0">
    <w:nsid w:val="39000033"/>
    <w:multiLevelType w:val="hybridMultilevel"/>
    <w:tmpl w:val="AF84E032"/>
    <w:lvl w:ilvl="0" w:tplc="6E229FBA">
      <w:start w:val="1"/>
      <w:numFmt w:val="decimal"/>
      <w:lvlText w:val="%1."/>
      <w:lvlJc w:val="left"/>
      <w:pPr>
        <w:ind w:left="827" w:hanging="360"/>
        <w:jc w:val="left"/>
      </w:pPr>
      <w:rPr>
        <w:rFonts w:ascii="Arial" w:eastAsia="Arial" w:hAnsi="Arial" w:cs="Arial" w:hint="default"/>
        <w:spacing w:val="-1"/>
        <w:w w:val="99"/>
        <w:sz w:val="20"/>
        <w:szCs w:val="20"/>
      </w:rPr>
    </w:lvl>
    <w:lvl w:ilvl="1" w:tplc="46D00F7C">
      <w:numFmt w:val="bullet"/>
      <w:lvlText w:val="•"/>
      <w:lvlJc w:val="left"/>
      <w:pPr>
        <w:ind w:left="1463" w:hanging="360"/>
      </w:pPr>
      <w:rPr>
        <w:rFonts w:hint="default"/>
      </w:rPr>
    </w:lvl>
    <w:lvl w:ilvl="2" w:tplc="4F0AA82E">
      <w:numFmt w:val="bullet"/>
      <w:lvlText w:val="•"/>
      <w:lvlJc w:val="left"/>
      <w:pPr>
        <w:ind w:left="2107" w:hanging="360"/>
      </w:pPr>
      <w:rPr>
        <w:rFonts w:hint="default"/>
      </w:rPr>
    </w:lvl>
    <w:lvl w:ilvl="3" w:tplc="92B6E8FE">
      <w:numFmt w:val="bullet"/>
      <w:lvlText w:val="•"/>
      <w:lvlJc w:val="left"/>
      <w:pPr>
        <w:ind w:left="2751" w:hanging="360"/>
      </w:pPr>
      <w:rPr>
        <w:rFonts w:hint="default"/>
      </w:rPr>
    </w:lvl>
    <w:lvl w:ilvl="4" w:tplc="07F6E11E">
      <w:numFmt w:val="bullet"/>
      <w:lvlText w:val="•"/>
      <w:lvlJc w:val="left"/>
      <w:pPr>
        <w:ind w:left="3394" w:hanging="360"/>
      </w:pPr>
      <w:rPr>
        <w:rFonts w:hint="default"/>
      </w:rPr>
    </w:lvl>
    <w:lvl w:ilvl="5" w:tplc="FDE02390">
      <w:numFmt w:val="bullet"/>
      <w:lvlText w:val="•"/>
      <w:lvlJc w:val="left"/>
      <w:pPr>
        <w:ind w:left="4038" w:hanging="360"/>
      </w:pPr>
      <w:rPr>
        <w:rFonts w:hint="default"/>
      </w:rPr>
    </w:lvl>
    <w:lvl w:ilvl="6" w:tplc="C8B440C6">
      <w:numFmt w:val="bullet"/>
      <w:lvlText w:val="•"/>
      <w:lvlJc w:val="left"/>
      <w:pPr>
        <w:ind w:left="4682" w:hanging="360"/>
      </w:pPr>
      <w:rPr>
        <w:rFonts w:hint="default"/>
      </w:rPr>
    </w:lvl>
    <w:lvl w:ilvl="7" w:tplc="7198786A">
      <w:numFmt w:val="bullet"/>
      <w:lvlText w:val="•"/>
      <w:lvlJc w:val="left"/>
      <w:pPr>
        <w:ind w:left="5325" w:hanging="360"/>
      </w:pPr>
      <w:rPr>
        <w:rFonts w:hint="default"/>
      </w:rPr>
    </w:lvl>
    <w:lvl w:ilvl="8" w:tplc="F1CE054C">
      <w:numFmt w:val="bullet"/>
      <w:lvlText w:val="•"/>
      <w:lvlJc w:val="left"/>
      <w:pPr>
        <w:ind w:left="5969" w:hanging="360"/>
      </w:pPr>
      <w:rPr>
        <w:rFonts w:hint="default"/>
      </w:rPr>
    </w:lvl>
  </w:abstractNum>
  <w:abstractNum w:abstractNumId="13" w15:restartNumberingAfterBreak="0">
    <w:nsid w:val="39C5766E"/>
    <w:multiLevelType w:val="hybridMultilevel"/>
    <w:tmpl w:val="4C7CAD20"/>
    <w:lvl w:ilvl="0" w:tplc="3FFC30A6">
      <w:numFmt w:val="bullet"/>
      <w:lvlText w:val=""/>
      <w:lvlJc w:val="left"/>
      <w:pPr>
        <w:ind w:left="827" w:hanging="360"/>
      </w:pPr>
      <w:rPr>
        <w:rFonts w:ascii="Symbol" w:eastAsia="Symbol" w:hAnsi="Symbol" w:cs="Symbol" w:hint="default"/>
        <w:w w:val="99"/>
        <w:sz w:val="20"/>
        <w:szCs w:val="20"/>
      </w:rPr>
    </w:lvl>
    <w:lvl w:ilvl="1" w:tplc="9780B88C">
      <w:numFmt w:val="bullet"/>
      <w:lvlText w:val="•"/>
      <w:lvlJc w:val="left"/>
      <w:pPr>
        <w:ind w:left="1672" w:hanging="360"/>
      </w:pPr>
      <w:rPr>
        <w:rFonts w:hint="default"/>
      </w:rPr>
    </w:lvl>
    <w:lvl w:ilvl="2" w:tplc="6BDEB9FA">
      <w:numFmt w:val="bullet"/>
      <w:lvlText w:val="•"/>
      <w:lvlJc w:val="left"/>
      <w:pPr>
        <w:ind w:left="2524" w:hanging="360"/>
      </w:pPr>
      <w:rPr>
        <w:rFonts w:hint="default"/>
      </w:rPr>
    </w:lvl>
    <w:lvl w:ilvl="3" w:tplc="2C8674D4">
      <w:numFmt w:val="bullet"/>
      <w:lvlText w:val="•"/>
      <w:lvlJc w:val="left"/>
      <w:pPr>
        <w:ind w:left="3376" w:hanging="360"/>
      </w:pPr>
      <w:rPr>
        <w:rFonts w:hint="default"/>
      </w:rPr>
    </w:lvl>
    <w:lvl w:ilvl="4" w:tplc="8C422746">
      <w:numFmt w:val="bullet"/>
      <w:lvlText w:val="•"/>
      <w:lvlJc w:val="left"/>
      <w:pPr>
        <w:ind w:left="4228" w:hanging="360"/>
      </w:pPr>
      <w:rPr>
        <w:rFonts w:hint="default"/>
      </w:rPr>
    </w:lvl>
    <w:lvl w:ilvl="5" w:tplc="0318082E">
      <w:numFmt w:val="bullet"/>
      <w:lvlText w:val="•"/>
      <w:lvlJc w:val="left"/>
      <w:pPr>
        <w:ind w:left="5081" w:hanging="360"/>
      </w:pPr>
      <w:rPr>
        <w:rFonts w:hint="default"/>
      </w:rPr>
    </w:lvl>
    <w:lvl w:ilvl="6" w:tplc="072C8624">
      <w:numFmt w:val="bullet"/>
      <w:lvlText w:val="•"/>
      <w:lvlJc w:val="left"/>
      <w:pPr>
        <w:ind w:left="5933" w:hanging="360"/>
      </w:pPr>
      <w:rPr>
        <w:rFonts w:hint="default"/>
      </w:rPr>
    </w:lvl>
    <w:lvl w:ilvl="7" w:tplc="A276F288">
      <w:numFmt w:val="bullet"/>
      <w:lvlText w:val="•"/>
      <w:lvlJc w:val="left"/>
      <w:pPr>
        <w:ind w:left="6785" w:hanging="360"/>
      </w:pPr>
      <w:rPr>
        <w:rFonts w:hint="default"/>
      </w:rPr>
    </w:lvl>
    <w:lvl w:ilvl="8" w:tplc="F4F4F67C">
      <w:numFmt w:val="bullet"/>
      <w:lvlText w:val="•"/>
      <w:lvlJc w:val="left"/>
      <w:pPr>
        <w:ind w:left="7637" w:hanging="360"/>
      </w:pPr>
      <w:rPr>
        <w:rFonts w:hint="default"/>
      </w:rPr>
    </w:lvl>
  </w:abstractNum>
  <w:abstractNum w:abstractNumId="14" w15:restartNumberingAfterBreak="0">
    <w:nsid w:val="3E697967"/>
    <w:multiLevelType w:val="hybridMultilevel"/>
    <w:tmpl w:val="7048088C"/>
    <w:lvl w:ilvl="0" w:tplc="669C0FA4">
      <w:numFmt w:val="bullet"/>
      <w:lvlText w:val=""/>
      <w:lvlJc w:val="left"/>
      <w:pPr>
        <w:ind w:left="827" w:hanging="360"/>
      </w:pPr>
      <w:rPr>
        <w:rFonts w:ascii="Symbol" w:eastAsia="Symbol" w:hAnsi="Symbol" w:cs="Symbol" w:hint="default"/>
        <w:w w:val="99"/>
        <w:sz w:val="20"/>
        <w:szCs w:val="20"/>
      </w:rPr>
    </w:lvl>
    <w:lvl w:ilvl="1" w:tplc="4970DEC2">
      <w:numFmt w:val="bullet"/>
      <w:lvlText w:val="•"/>
      <w:lvlJc w:val="left"/>
      <w:pPr>
        <w:ind w:left="1672" w:hanging="360"/>
      </w:pPr>
      <w:rPr>
        <w:rFonts w:hint="default"/>
      </w:rPr>
    </w:lvl>
    <w:lvl w:ilvl="2" w:tplc="594AFFCA">
      <w:numFmt w:val="bullet"/>
      <w:lvlText w:val="•"/>
      <w:lvlJc w:val="left"/>
      <w:pPr>
        <w:ind w:left="2524" w:hanging="360"/>
      </w:pPr>
      <w:rPr>
        <w:rFonts w:hint="default"/>
      </w:rPr>
    </w:lvl>
    <w:lvl w:ilvl="3" w:tplc="7F00C5B8">
      <w:numFmt w:val="bullet"/>
      <w:lvlText w:val="•"/>
      <w:lvlJc w:val="left"/>
      <w:pPr>
        <w:ind w:left="3376" w:hanging="360"/>
      </w:pPr>
      <w:rPr>
        <w:rFonts w:hint="default"/>
      </w:rPr>
    </w:lvl>
    <w:lvl w:ilvl="4" w:tplc="9B1041FE">
      <w:numFmt w:val="bullet"/>
      <w:lvlText w:val="•"/>
      <w:lvlJc w:val="left"/>
      <w:pPr>
        <w:ind w:left="4228" w:hanging="360"/>
      </w:pPr>
      <w:rPr>
        <w:rFonts w:hint="default"/>
      </w:rPr>
    </w:lvl>
    <w:lvl w:ilvl="5" w:tplc="12049C48">
      <w:numFmt w:val="bullet"/>
      <w:lvlText w:val="•"/>
      <w:lvlJc w:val="left"/>
      <w:pPr>
        <w:ind w:left="5081" w:hanging="360"/>
      </w:pPr>
      <w:rPr>
        <w:rFonts w:hint="default"/>
      </w:rPr>
    </w:lvl>
    <w:lvl w:ilvl="6" w:tplc="E938B3B2">
      <w:numFmt w:val="bullet"/>
      <w:lvlText w:val="•"/>
      <w:lvlJc w:val="left"/>
      <w:pPr>
        <w:ind w:left="5933" w:hanging="360"/>
      </w:pPr>
      <w:rPr>
        <w:rFonts w:hint="default"/>
      </w:rPr>
    </w:lvl>
    <w:lvl w:ilvl="7" w:tplc="6ABE6318">
      <w:numFmt w:val="bullet"/>
      <w:lvlText w:val="•"/>
      <w:lvlJc w:val="left"/>
      <w:pPr>
        <w:ind w:left="6785" w:hanging="360"/>
      </w:pPr>
      <w:rPr>
        <w:rFonts w:hint="default"/>
      </w:rPr>
    </w:lvl>
    <w:lvl w:ilvl="8" w:tplc="282C942C">
      <w:numFmt w:val="bullet"/>
      <w:lvlText w:val="•"/>
      <w:lvlJc w:val="left"/>
      <w:pPr>
        <w:ind w:left="7637" w:hanging="360"/>
      </w:pPr>
      <w:rPr>
        <w:rFonts w:hint="default"/>
      </w:rPr>
    </w:lvl>
  </w:abstractNum>
  <w:abstractNum w:abstractNumId="15" w15:restartNumberingAfterBreak="0">
    <w:nsid w:val="3F473A4E"/>
    <w:multiLevelType w:val="hybridMultilevel"/>
    <w:tmpl w:val="EA44D144"/>
    <w:lvl w:ilvl="0" w:tplc="CBA88C46">
      <w:start w:val="1"/>
      <w:numFmt w:val="decimal"/>
      <w:lvlText w:val="%1)"/>
      <w:lvlJc w:val="left"/>
      <w:pPr>
        <w:ind w:left="467" w:hanging="361"/>
        <w:jc w:val="left"/>
      </w:pPr>
      <w:rPr>
        <w:rFonts w:ascii="Arial" w:eastAsia="Arial" w:hAnsi="Arial" w:cs="Arial" w:hint="default"/>
        <w:b/>
        <w:bCs/>
        <w:spacing w:val="-1"/>
        <w:w w:val="99"/>
        <w:sz w:val="20"/>
        <w:szCs w:val="20"/>
      </w:rPr>
    </w:lvl>
    <w:lvl w:ilvl="1" w:tplc="DAC8CDE4">
      <w:numFmt w:val="bullet"/>
      <w:lvlText w:val="-"/>
      <w:lvlJc w:val="left"/>
      <w:pPr>
        <w:ind w:left="827" w:hanging="360"/>
      </w:pPr>
      <w:rPr>
        <w:rFonts w:ascii="Calibri" w:eastAsia="Calibri" w:hAnsi="Calibri" w:cs="Calibri" w:hint="default"/>
        <w:w w:val="99"/>
        <w:sz w:val="20"/>
        <w:szCs w:val="20"/>
      </w:rPr>
    </w:lvl>
    <w:lvl w:ilvl="2" w:tplc="431A949A">
      <w:numFmt w:val="bullet"/>
      <w:lvlText w:val="•"/>
      <w:lvlJc w:val="left"/>
      <w:pPr>
        <w:ind w:left="1535" w:hanging="360"/>
      </w:pPr>
      <w:rPr>
        <w:rFonts w:hint="default"/>
      </w:rPr>
    </w:lvl>
    <w:lvl w:ilvl="3" w:tplc="5A98CE2E">
      <w:numFmt w:val="bullet"/>
      <w:lvlText w:val="•"/>
      <w:lvlJc w:val="left"/>
      <w:pPr>
        <w:ind w:left="2250" w:hanging="360"/>
      </w:pPr>
      <w:rPr>
        <w:rFonts w:hint="default"/>
      </w:rPr>
    </w:lvl>
    <w:lvl w:ilvl="4" w:tplc="334AEBD4">
      <w:numFmt w:val="bullet"/>
      <w:lvlText w:val="•"/>
      <w:lvlJc w:val="left"/>
      <w:pPr>
        <w:ind w:left="2965" w:hanging="360"/>
      </w:pPr>
      <w:rPr>
        <w:rFonts w:hint="default"/>
      </w:rPr>
    </w:lvl>
    <w:lvl w:ilvl="5" w:tplc="D37E46A2">
      <w:numFmt w:val="bullet"/>
      <w:lvlText w:val="•"/>
      <w:lvlJc w:val="left"/>
      <w:pPr>
        <w:ind w:left="3680" w:hanging="360"/>
      </w:pPr>
      <w:rPr>
        <w:rFonts w:hint="default"/>
      </w:rPr>
    </w:lvl>
    <w:lvl w:ilvl="6" w:tplc="4A88CD48">
      <w:numFmt w:val="bullet"/>
      <w:lvlText w:val="•"/>
      <w:lvlJc w:val="left"/>
      <w:pPr>
        <w:ind w:left="4396" w:hanging="360"/>
      </w:pPr>
      <w:rPr>
        <w:rFonts w:hint="default"/>
      </w:rPr>
    </w:lvl>
    <w:lvl w:ilvl="7" w:tplc="018CC398">
      <w:numFmt w:val="bullet"/>
      <w:lvlText w:val="•"/>
      <w:lvlJc w:val="left"/>
      <w:pPr>
        <w:ind w:left="5111" w:hanging="360"/>
      </w:pPr>
      <w:rPr>
        <w:rFonts w:hint="default"/>
      </w:rPr>
    </w:lvl>
    <w:lvl w:ilvl="8" w:tplc="24565BC0">
      <w:numFmt w:val="bullet"/>
      <w:lvlText w:val="•"/>
      <w:lvlJc w:val="left"/>
      <w:pPr>
        <w:ind w:left="5826" w:hanging="360"/>
      </w:pPr>
      <w:rPr>
        <w:rFonts w:hint="default"/>
      </w:rPr>
    </w:lvl>
  </w:abstractNum>
  <w:abstractNum w:abstractNumId="16" w15:restartNumberingAfterBreak="0">
    <w:nsid w:val="40E54D98"/>
    <w:multiLevelType w:val="hybridMultilevel"/>
    <w:tmpl w:val="2DE27BFE"/>
    <w:lvl w:ilvl="0" w:tplc="23749D44">
      <w:start w:val="169"/>
      <w:numFmt w:val="decimal"/>
      <w:lvlText w:val="%1"/>
      <w:lvlJc w:val="left"/>
      <w:pPr>
        <w:ind w:left="100" w:hanging="312"/>
        <w:jc w:val="left"/>
      </w:pPr>
      <w:rPr>
        <w:rFonts w:ascii="Arial" w:eastAsia="Arial" w:hAnsi="Arial" w:cs="Arial" w:hint="default"/>
        <w:spacing w:val="-1"/>
        <w:w w:val="100"/>
        <w:sz w:val="16"/>
        <w:szCs w:val="16"/>
      </w:rPr>
    </w:lvl>
    <w:lvl w:ilvl="1" w:tplc="D4789BF6">
      <w:numFmt w:val="bullet"/>
      <w:lvlText w:val="•"/>
      <w:lvlJc w:val="left"/>
      <w:pPr>
        <w:ind w:left="1048" w:hanging="312"/>
      </w:pPr>
      <w:rPr>
        <w:rFonts w:hint="default"/>
      </w:rPr>
    </w:lvl>
    <w:lvl w:ilvl="2" w:tplc="AE3CAD62">
      <w:numFmt w:val="bullet"/>
      <w:lvlText w:val="•"/>
      <w:lvlJc w:val="left"/>
      <w:pPr>
        <w:ind w:left="1996" w:hanging="312"/>
      </w:pPr>
      <w:rPr>
        <w:rFonts w:hint="default"/>
      </w:rPr>
    </w:lvl>
    <w:lvl w:ilvl="3" w:tplc="1FEA9F78">
      <w:numFmt w:val="bullet"/>
      <w:lvlText w:val="•"/>
      <w:lvlJc w:val="left"/>
      <w:pPr>
        <w:ind w:left="2944" w:hanging="312"/>
      </w:pPr>
      <w:rPr>
        <w:rFonts w:hint="default"/>
      </w:rPr>
    </w:lvl>
    <w:lvl w:ilvl="4" w:tplc="509247BC">
      <w:numFmt w:val="bullet"/>
      <w:lvlText w:val="•"/>
      <w:lvlJc w:val="left"/>
      <w:pPr>
        <w:ind w:left="3892" w:hanging="312"/>
      </w:pPr>
      <w:rPr>
        <w:rFonts w:hint="default"/>
      </w:rPr>
    </w:lvl>
    <w:lvl w:ilvl="5" w:tplc="5790CA0C">
      <w:numFmt w:val="bullet"/>
      <w:lvlText w:val="•"/>
      <w:lvlJc w:val="left"/>
      <w:pPr>
        <w:ind w:left="4840" w:hanging="312"/>
      </w:pPr>
      <w:rPr>
        <w:rFonts w:hint="default"/>
      </w:rPr>
    </w:lvl>
    <w:lvl w:ilvl="6" w:tplc="C6728EE4">
      <w:numFmt w:val="bullet"/>
      <w:lvlText w:val="•"/>
      <w:lvlJc w:val="left"/>
      <w:pPr>
        <w:ind w:left="5788" w:hanging="312"/>
      </w:pPr>
      <w:rPr>
        <w:rFonts w:hint="default"/>
      </w:rPr>
    </w:lvl>
    <w:lvl w:ilvl="7" w:tplc="4DECD7F0">
      <w:numFmt w:val="bullet"/>
      <w:lvlText w:val="•"/>
      <w:lvlJc w:val="left"/>
      <w:pPr>
        <w:ind w:left="6736" w:hanging="312"/>
      </w:pPr>
      <w:rPr>
        <w:rFonts w:hint="default"/>
      </w:rPr>
    </w:lvl>
    <w:lvl w:ilvl="8" w:tplc="C24C9062">
      <w:numFmt w:val="bullet"/>
      <w:lvlText w:val="•"/>
      <w:lvlJc w:val="left"/>
      <w:pPr>
        <w:ind w:left="7684" w:hanging="312"/>
      </w:pPr>
      <w:rPr>
        <w:rFonts w:hint="default"/>
      </w:rPr>
    </w:lvl>
  </w:abstractNum>
  <w:abstractNum w:abstractNumId="17" w15:restartNumberingAfterBreak="0">
    <w:nsid w:val="43A97BC8"/>
    <w:multiLevelType w:val="hybridMultilevel"/>
    <w:tmpl w:val="EF9E46A2"/>
    <w:lvl w:ilvl="0" w:tplc="3CAABFEE">
      <w:start w:val="1"/>
      <w:numFmt w:val="decimal"/>
      <w:lvlText w:val="%1)"/>
      <w:lvlJc w:val="left"/>
      <w:pPr>
        <w:ind w:left="467" w:hanging="360"/>
        <w:jc w:val="left"/>
      </w:pPr>
      <w:rPr>
        <w:rFonts w:ascii="Arial" w:eastAsia="Arial" w:hAnsi="Arial" w:cs="Arial" w:hint="default"/>
        <w:b/>
        <w:bCs/>
        <w:spacing w:val="-1"/>
        <w:w w:val="99"/>
        <w:sz w:val="20"/>
        <w:szCs w:val="20"/>
      </w:rPr>
    </w:lvl>
    <w:lvl w:ilvl="1" w:tplc="AEB250D0">
      <w:numFmt w:val="bullet"/>
      <w:lvlText w:val="-"/>
      <w:lvlJc w:val="left"/>
      <w:pPr>
        <w:ind w:left="827" w:hanging="360"/>
      </w:pPr>
      <w:rPr>
        <w:rFonts w:ascii="Calibri" w:eastAsia="Calibri" w:hAnsi="Calibri" w:cs="Calibri" w:hint="default"/>
        <w:w w:val="99"/>
        <w:sz w:val="20"/>
        <w:szCs w:val="20"/>
      </w:rPr>
    </w:lvl>
    <w:lvl w:ilvl="2" w:tplc="C08A1168">
      <w:numFmt w:val="bullet"/>
      <w:lvlText w:val="•"/>
      <w:lvlJc w:val="left"/>
      <w:pPr>
        <w:ind w:left="1436" w:hanging="360"/>
      </w:pPr>
      <w:rPr>
        <w:rFonts w:hint="default"/>
      </w:rPr>
    </w:lvl>
    <w:lvl w:ilvl="3" w:tplc="1FE021A8">
      <w:numFmt w:val="bullet"/>
      <w:lvlText w:val="•"/>
      <w:lvlJc w:val="left"/>
      <w:pPr>
        <w:ind w:left="2052" w:hanging="360"/>
      </w:pPr>
      <w:rPr>
        <w:rFonts w:hint="default"/>
      </w:rPr>
    </w:lvl>
    <w:lvl w:ilvl="4" w:tplc="7EB8F07E">
      <w:numFmt w:val="bullet"/>
      <w:lvlText w:val="•"/>
      <w:lvlJc w:val="left"/>
      <w:pPr>
        <w:ind w:left="2668" w:hanging="360"/>
      </w:pPr>
      <w:rPr>
        <w:rFonts w:hint="default"/>
      </w:rPr>
    </w:lvl>
    <w:lvl w:ilvl="5" w:tplc="C63444CC">
      <w:numFmt w:val="bullet"/>
      <w:lvlText w:val="•"/>
      <w:lvlJc w:val="left"/>
      <w:pPr>
        <w:ind w:left="3284" w:hanging="360"/>
      </w:pPr>
      <w:rPr>
        <w:rFonts w:hint="default"/>
      </w:rPr>
    </w:lvl>
    <w:lvl w:ilvl="6" w:tplc="A95EEA0C">
      <w:numFmt w:val="bullet"/>
      <w:lvlText w:val="•"/>
      <w:lvlJc w:val="left"/>
      <w:pPr>
        <w:ind w:left="3901" w:hanging="360"/>
      </w:pPr>
      <w:rPr>
        <w:rFonts w:hint="default"/>
      </w:rPr>
    </w:lvl>
    <w:lvl w:ilvl="7" w:tplc="74402050">
      <w:numFmt w:val="bullet"/>
      <w:lvlText w:val="•"/>
      <w:lvlJc w:val="left"/>
      <w:pPr>
        <w:ind w:left="4517" w:hanging="360"/>
      </w:pPr>
      <w:rPr>
        <w:rFonts w:hint="default"/>
      </w:rPr>
    </w:lvl>
    <w:lvl w:ilvl="8" w:tplc="F2FEC51E">
      <w:numFmt w:val="bullet"/>
      <w:lvlText w:val="•"/>
      <w:lvlJc w:val="left"/>
      <w:pPr>
        <w:ind w:left="5133" w:hanging="360"/>
      </w:pPr>
      <w:rPr>
        <w:rFonts w:hint="default"/>
      </w:rPr>
    </w:lvl>
  </w:abstractNum>
  <w:abstractNum w:abstractNumId="18" w15:restartNumberingAfterBreak="0">
    <w:nsid w:val="44332B11"/>
    <w:multiLevelType w:val="hybridMultilevel"/>
    <w:tmpl w:val="BAF84C90"/>
    <w:lvl w:ilvl="0" w:tplc="8D103726">
      <w:start w:val="1"/>
      <w:numFmt w:val="decimal"/>
      <w:lvlText w:val="%1."/>
      <w:lvlJc w:val="left"/>
      <w:pPr>
        <w:ind w:left="527" w:hanging="360"/>
        <w:jc w:val="left"/>
      </w:pPr>
      <w:rPr>
        <w:rFonts w:hint="default"/>
        <w:spacing w:val="-1"/>
        <w:w w:val="99"/>
      </w:rPr>
    </w:lvl>
    <w:lvl w:ilvl="1" w:tplc="3B72FA42">
      <w:numFmt w:val="bullet"/>
      <w:lvlText w:val=""/>
      <w:lvlJc w:val="left"/>
      <w:pPr>
        <w:ind w:left="820" w:hanging="360"/>
      </w:pPr>
      <w:rPr>
        <w:rFonts w:ascii="Wingdings" w:eastAsia="Wingdings" w:hAnsi="Wingdings" w:cs="Wingdings" w:hint="default"/>
        <w:color w:val="30A2A9"/>
        <w:w w:val="99"/>
        <w:sz w:val="20"/>
        <w:szCs w:val="20"/>
      </w:rPr>
    </w:lvl>
    <w:lvl w:ilvl="2" w:tplc="5D261484">
      <w:numFmt w:val="bullet"/>
      <w:lvlText w:val="o"/>
      <w:lvlJc w:val="left"/>
      <w:pPr>
        <w:ind w:left="1540" w:hanging="360"/>
      </w:pPr>
      <w:rPr>
        <w:rFonts w:ascii="Courier New" w:eastAsia="Courier New" w:hAnsi="Courier New" w:cs="Courier New" w:hint="default"/>
        <w:w w:val="99"/>
        <w:sz w:val="20"/>
        <w:szCs w:val="20"/>
      </w:rPr>
    </w:lvl>
    <w:lvl w:ilvl="3" w:tplc="7ED2C55E">
      <w:numFmt w:val="bullet"/>
      <w:lvlText w:val="•"/>
      <w:lvlJc w:val="left"/>
      <w:pPr>
        <w:ind w:left="2545" w:hanging="360"/>
      </w:pPr>
      <w:rPr>
        <w:rFonts w:hint="default"/>
      </w:rPr>
    </w:lvl>
    <w:lvl w:ilvl="4" w:tplc="205A5F38">
      <w:numFmt w:val="bullet"/>
      <w:lvlText w:val="•"/>
      <w:lvlJc w:val="left"/>
      <w:pPr>
        <w:ind w:left="3550" w:hanging="360"/>
      </w:pPr>
      <w:rPr>
        <w:rFonts w:hint="default"/>
      </w:rPr>
    </w:lvl>
    <w:lvl w:ilvl="5" w:tplc="3AF4F4DA">
      <w:numFmt w:val="bullet"/>
      <w:lvlText w:val="•"/>
      <w:lvlJc w:val="left"/>
      <w:pPr>
        <w:ind w:left="4555" w:hanging="360"/>
      </w:pPr>
      <w:rPr>
        <w:rFonts w:hint="default"/>
      </w:rPr>
    </w:lvl>
    <w:lvl w:ilvl="6" w:tplc="E6CE2C1E">
      <w:numFmt w:val="bullet"/>
      <w:lvlText w:val="•"/>
      <w:lvlJc w:val="left"/>
      <w:pPr>
        <w:ind w:left="5560" w:hanging="360"/>
      </w:pPr>
      <w:rPr>
        <w:rFonts w:hint="default"/>
      </w:rPr>
    </w:lvl>
    <w:lvl w:ilvl="7" w:tplc="D7BCC958">
      <w:numFmt w:val="bullet"/>
      <w:lvlText w:val="•"/>
      <w:lvlJc w:val="left"/>
      <w:pPr>
        <w:ind w:left="6565" w:hanging="360"/>
      </w:pPr>
      <w:rPr>
        <w:rFonts w:hint="default"/>
      </w:rPr>
    </w:lvl>
    <w:lvl w:ilvl="8" w:tplc="B19E6A1C">
      <w:numFmt w:val="bullet"/>
      <w:lvlText w:val="•"/>
      <w:lvlJc w:val="left"/>
      <w:pPr>
        <w:ind w:left="7570" w:hanging="360"/>
      </w:pPr>
      <w:rPr>
        <w:rFonts w:hint="default"/>
      </w:rPr>
    </w:lvl>
  </w:abstractNum>
  <w:abstractNum w:abstractNumId="19" w15:restartNumberingAfterBreak="0">
    <w:nsid w:val="45906627"/>
    <w:multiLevelType w:val="hybridMultilevel"/>
    <w:tmpl w:val="8C341562"/>
    <w:lvl w:ilvl="0" w:tplc="9B4075D4">
      <w:numFmt w:val="bullet"/>
      <w:lvlText w:val="o"/>
      <w:lvlJc w:val="left"/>
      <w:pPr>
        <w:ind w:left="1027" w:hanging="358"/>
      </w:pPr>
      <w:rPr>
        <w:rFonts w:ascii="Courier New" w:eastAsia="Courier New" w:hAnsi="Courier New" w:cs="Courier New" w:hint="default"/>
        <w:w w:val="99"/>
        <w:sz w:val="20"/>
        <w:szCs w:val="20"/>
      </w:rPr>
    </w:lvl>
    <w:lvl w:ilvl="1" w:tplc="D110CC3C">
      <w:numFmt w:val="bullet"/>
      <w:lvlText w:val="•"/>
      <w:lvlJc w:val="left"/>
      <w:pPr>
        <w:ind w:left="1674" w:hanging="358"/>
      </w:pPr>
      <w:rPr>
        <w:rFonts w:hint="default"/>
      </w:rPr>
    </w:lvl>
    <w:lvl w:ilvl="2" w:tplc="9ACCF5C2">
      <w:numFmt w:val="bullet"/>
      <w:lvlText w:val="•"/>
      <w:lvlJc w:val="left"/>
      <w:pPr>
        <w:ind w:left="2328" w:hanging="358"/>
      </w:pPr>
      <w:rPr>
        <w:rFonts w:hint="default"/>
      </w:rPr>
    </w:lvl>
    <w:lvl w:ilvl="3" w:tplc="BF0A6066">
      <w:numFmt w:val="bullet"/>
      <w:lvlText w:val="•"/>
      <w:lvlJc w:val="left"/>
      <w:pPr>
        <w:ind w:left="2982" w:hanging="358"/>
      </w:pPr>
      <w:rPr>
        <w:rFonts w:hint="default"/>
      </w:rPr>
    </w:lvl>
    <w:lvl w:ilvl="4" w:tplc="9B82360A">
      <w:numFmt w:val="bullet"/>
      <w:lvlText w:val="•"/>
      <w:lvlJc w:val="left"/>
      <w:pPr>
        <w:ind w:left="3636" w:hanging="358"/>
      </w:pPr>
      <w:rPr>
        <w:rFonts w:hint="default"/>
      </w:rPr>
    </w:lvl>
    <w:lvl w:ilvl="5" w:tplc="8AA4317A">
      <w:numFmt w:val="bullet"/>
      <w:lvlText w:val="•"/>
      <w:lvlJc w:val="left"/>
      <w:pPr>
        <w:ind w:left="4290" w:hanging="358"/>
      </w:pPr>
      <w:rPr>
        <w:rFonts w:hint="default"/>
      </w:rPr>
    </w:lvl>
    <w:lvl w:ilvl="6" w:tplc="A18AB82E">
      <w:numFmt w:val="bullet"/>
      <w:lvlText w:val="•"/>
      <w:lvlJc w:val="left"/>
      <w:pPr>
        <w:ind w:left="4944" w:hanging="358"/>
      </w:pPr>
      <w:rPr>
        <w:rFonts w:hint="default"/>
      </w:rPr>
    </w:lvl>
    <w:lvl w:ilvl="7" w:tplc="49EE7CAA">
      <w:numFmt w:val="bullet"/>
      <w:lvlText w:val="•"/>
      <w:lvlJc w:val="left"/>
      <w:pPr>
        <w:ind w:left="5599" w:hanging="358"/>
      </w:pPr>
      <w:rPr>
        <w:rFonts w:hint="default"/>
      </w:rPr>
    </w:lvl>
    <w:lvl w:ilvl="8" w:tplc="26D4EABE">
      <w:numFmt w:val="bullet"/>
      <w:lvlText w:val="•"/>
      <w:lvlJc w:val="left"/>
      <w:pPr>
        <w:ind w:left="6253" w:hanging="358"/>
      </w:pPr>
      <w:rPr>
        <w:rFonts w:hint="default"/>
      </w:rPr>
    </w:lvl>
  </w:abstractNum>
  <w:abstractNum w:abstractNumId="20" w15:restartNumberingAfterBreak="0">
    <w:nsid w:val="49260056"/>
    <w:multiLevelType w:val="hybridMultilevel"/>
    <w:tmpl w:val="18D624FA"/>
    <w:lvl w:ilvl="0" w:tplc="007AA198">
      <w:numFmt w:val="bullet"/>
      <w:lvlText w:val=""/>
      <w:lvlJc w:val="left"/>
      <w:pPr>
        <w:ind w:left="465" w:hanging="358"/>
      </w:pPr>
      <w:rPr>
        <w:rFonts w:ascii="Symbol" w:eastAsia="Symbol" w:hAnsi="Symbol" w:cs="Symbol" w:hint="default"/>
        <w:w w:val="99"/>
        <w:sz w:val="20"/>
        <w:szCs w:val="20"/>
      </w:rPr>
    </w:lvl>
    <w:lvl w:ilvl="1" w:tplc="ECA62C5C">
      <w:numFmt w:val="bullet"/>
      <w:lvlText w:val="•"/>
      <w:lvlJc w:val="left"/>
      <w:pPr>
        <w:ind w:left="1170" w:hanging="358"/>
      </w:pPr>
      <w:rPr>
        <w:rFonts w:hint="default"/>
      </w:rPr>
    </w:lvl>
    <w:lvl w:ilvl="2" w:tplc="17B6E9E8">
      <w:numFmt w:val="bullet"/>
      <w:lvlText w:val="•"/>
      <w:lvlJc w:val="left"/>
      <w:pPr>
        <w:ind w:left="1880" w:hanging="358"/>
      </w:pPr>
      <w:rPr>
        <w:rFonts w:hint="default"/>
      </w:rPr>
    </w:lvl>
    <w:lvl w:ilvl="3" w:tplc="0336AAA0">
      <w:numFmt w:val="bullet"/>
      <w:lvlText w:val="•"/>
      <w:lvlJc w:val="left"/>
      <w:pPr>
        <w:ind w:left="2590" w:hanging="358"/>
      </w:pPr>
      <w:rPr>
        <w:rFonts w:hint="default"/>
      </w:rPr>
    </w:lvl>
    <w:lvl w:ilvl="4" w:tplc="6704632C">
      <w:numFmt w:val="bullet"/>
      <w:lvlText w:val="•"/>
      <w:lvlJc w:val="left"/>
      <w:pPr>
        <w:ind w:left="3300" w:hanging="358"/>
      </w:pPr>
      <w:rPr>
        <w:rFonts w:hint="default"/>
      </w:rPr>
    </w:lvl>
    <w:lvl w:ilvl="5" w:tplc="224AC8DA">
      <w:numFmt w:val="bullet"/>
      <w:lvlText w:val="•"/>
      <w:lvlJc w:val="left"/>
      <w:pPr>
        <w:ind w:left="4010" w:hanging="358"/>
      </w:pPr>
      <w:rPr>
        <w:rFonts w:hint="default"/>
      </w:rPr>
    </w:lvl>
    <w:lvl w:ilvl="6" w:tplc="E76824AA">
      <w:numFmt w:val="bullet"/>
      <w:lvlText w:val="•"/>
      <w:lvlJc w:val="left"/>
      <w:pPr>
        <w:ind w:left="4720" w:hanging="358"/>
      </w:pPr>
      <w:rPr>
        <w:rFonts w:hint="default"/>
      </w:rPr>
    </w:lvl>
    <w:lvl w:ilvl="7" w:tplc="14B0257A">
      <w:numFmt w:val="bullet"/>
      <w:lvlText w:val="•"/>
      <w:lvlJc w:val="left"/>
      <w:pPr>
        <w:ind w:left="5430" w:hanging="358"/>
      </w:pPr>
      <w:rPr>
        <w:rFonts w:hint="default"/>
      </w:rPr>
    </w:lvl>
    <w:lvl w:ilvl="8" w:tplc="2A5C7750">
      <w:numFmt w:val="bullet"/>
      <w:lvlText w:val="•"/>
      <w:lvlJc w:val="left"/>
      <w:pPr>
        <w:ind w:left="6140" w:hanging="358"/>
      </w:pPr>
      <w:rPr>
        <w:rFonts w:hint="default"/>
      </w:rPr>
    </w:lvl>
  </w:abstractNum>
  <w:abstractNum w:abstractNumId="21" w15:restartNumberingAfterBreak="0">
    <w:nsid w:val="4A1718F2"/>
    <w:multiLevelType w:val="multilevel"/>
    <w:tmpl w:val="C8B0B1A8"/>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b/>
        <w:bCs/>
        <w:color w:val="006FC0"/>
        <w:spacing w:val="-3"/>
        <w:w w:val="99"/>
        <w:sz w:val="24"/>
        <w:szCs w:val="24"/>
      </w:rPr>
    </w:lvl>
    <w:lvl w:ilvl="2">
      <w:start w:val="2"/>
      <w:numFmt w:val="decimal"/>
      <w:lvlText w:val="%3)"/>
      <w:lvlJc w:val="left"/>
      <w:pPr>
        <w:ind w:left="3549" w:hanging="360"/>
        <w:jc w:val="left"/>
      </w:pPr>
      <w:rPr>
        <w:rFonts w:ascii="Arial" w:eastAsia="Arial" w:hAnsi="Arial" w:cs="Arial" w:hint="default"/>
        <w:b/>
        <w:bCs/>
        <w:spacing w:val="-1"/>
        <w:w w:val="99"/>
        <w:sz w:val="20"/>
        <w:szCs w:val="20"/>
      </w:rPr>
    </w:lvl>
    <w:lvl w:ilvl="3">
      <w:numFmt w:val="bullet"/>
      <w:lvlText w:val="-"/>
      <w:lvlJc w:val="left"/>
      <w:pPr>
        <w:ind w:left="3909" w:hanging="360"/>
      </w:pPr>
      <w:rPr>
        <w:rFonts w:ascii="Calibri" w:eastAsia="Calibri" w:hAnsi="Calibri" w:cs="Calibri" w:hint="default"/>
        <w:w w:val="99"/>
        <w:sz w:val="20"/>
        <w:szCs w:val="20"/>
      </w:rPr>
    </w:lvl>
    <w:lvl w:ilvl="4">
      <w:numFmt w:val="bullet"/>
      <w:lvlText w:val="•"/>
      <w:lvlJc w:val="left"/>
      <w:pPr>
        <w:ind w:left="5320" w:hanging="360"/>
      </w:pPr>
      <w:rPr>
        <w:rFonts w:hint="default"/>
      </w:rPr>
    </w:lvl>
    <w:lvl w:ilvl="5">
      <w:numFmt w:val="bullet"/>
      <w:lvlText w:val="•"/>
      <w:lvlJc w:val="left"/>
      <w:pPr>
        <w:ind w:left="6030" w:hanging="360"/>
      </w:pPr>
      <w:rPr>
        <w:rFonts w:hint="default"/>
      </w:rPr>
    </w:lvl>
    <w:lvl w:ilvl="6">
      <w:numFmt w:val="bullet"/>
      <w:lvlText w:val="•"/>
      <w:lvlJc w:val="left"/>
      <w:pPr>
        <w:ind w:left="6740" w:hanging="360"/>
      </w:pPr>
      <w:rPr>
        <w:rFonts w:hint="default"/>
      </w:rPr>
    </w:lvl>
    <w:lvl w:ilvl="7">
      <w:numFmt w:val="bullet"/>
      <w:lvlText w:val="•"/>
      <w:lvlJc w:val="left"/>
      <w:pPr>
        <w:ind w:left="7450" w:hanging="360"/>
      </w:pPr>
      <w:rPr>
        <w:rFonts w:hint="default"/>
      </w:rPr>
    </w:lvl>
    <w:lvl w:ilvl="8">
      <w:numFmt w:val="bullet"/>
      <w:lvlText w:val="•"/>
      <w:lvlJc w:val="left"/>
      <w:pPr>
        <w:ind w:left="8160" w:hanging="360"/>
      </w:pPr>
      <w:rPr>
        <w:rFonts w:hint="default"/>
      </w:rPr>
    </w:lvl>
  </w:abstractNum>
  <w:abstractNum w:abstractNumId="22" w15:restartNumberingAfterBreak="0">
    <w:nsid w:val="4D447AE3"/>
    <w:multiLevelType w:val="hybridMultilevel"/>
    <w:tmpl w:val="5E4AD2A4"/>
    <w:lvl w:ilvl="0" w:tplc="78027C32">
      <w:numFmt w:val="bullet"/>
      <w:lvlText w:val=""/>
      <w:lvlJc w:val="left"/>
      <w:pPr>
        <w:ind w:left="465" w:hanging="358"/>
      </w:pPr>
      <w:rPr>
        <w:rFonts w:ascii="Symbol" w:eastAsia="Symbol" w:hAnsi="Symbol" w:cs="Symbol" w:hint="default"/>
        <w:w w:val="99"/>
        <w:sz w:val="20"/>
        <w:szCs w:val="20"/>
      </w:rPr>
    </w:lvl>
    <w:lvl w:ilvl="1" w:tplc="FED4D104">
      <w:start w:val="1"/>
      <w:numFmt w:val="lowerRoman"/>
      <w:lvlText w:val="%2)"/>
      <w:lvlJc w:val="left"/>
      <w:pPr>
        <w:ind w:left="1188" w:hanging="360"/>
        <w:jc w:val="left"/>
      </w:pPr>
      <w:rPr>
        <w:rFonts w:ascii="Arial" w:eastAsia="Arial" w:hAnsi="Arial" w:cs="Arial" w:hint="default"/>
        <w:spacing w:val="-2"/>
        <w:w w:val="99"/>
        <w:sz w:val="20"/>
        <w:szCs w:val="20"/>
      </w:rPr>
    </w:lvl>
    <w:lvl w:ilvl="2" w:tplc="07C2EBA2">
      <w:numFmt w:val="bullet"/>
      <w:lvlText w:val="•"/>
      <w:lvlJc w:val="left"/>
      <w:pPr>
        <w:ind w:left="1872" w:hanging="360"/>
      </w:pPr>
      <w:rPr>
        <w:rFonts w:hint="default"/>
      </w:rPr>
    </w:lvl>
    <w:lvl w:ilvl="3" w:tplc="59D2553A">
      <w:numFmt w:val="bullet"/>
      <w:lvlText w:val="•"/>
      <w:lvlJc w:val="left"/>
      <w:pPr>
        <w:ind w:left="2565" w:hanging="360"/>
      </w:pPr>
      <w:rPr>
        <w:rFonts w:hint="default"/>
      </w:rPr>
    </w:lvl>
    <w:lvl w:ilvl="4" w:tplc="15C8E7FE">
      <w:numFmt w:val="bullet"/>
      <w:lvlText w:val="•"/>
      <w:lvlJc w:val="left"/>
      <w:pPr>
        <w:ind w:left="3258" w:hanging="360"/>
      </w:pPr>
      <w:rPr>
        <w:rFonts w:hint="default"/>
      </w:rPr>
    </w:lvl>
    <w:lvl w:ilvl="5" w:tplc="C3868490">
      <w:numFmt w:val="bullet"/>
      <w:lvlText w:val="•"/>
      <w:lvlJc w:val="left"/>
      <w:pPr>
        <w:ind w:left="3951" w:hanging="360"/>
      </w:pPr>
      <w:rPr>
        <w:rFonts w:hint="default"/>
      </w:rPr>
    </w:lvl>
    <w:lvl w:ilvl="6" w:tplc="FD762AC6">
      <w:numFmt w:val="bullet"/>
      <w:lvlText w:val="•"/>
      <w:lvlJc w:val="left"/>
      <w:pPr>
        <w:ind w:left="4643" w:hanging="360"/>
      </w:pPr>
      <w:rPr>
        <w:rFonts w:hint="default"/>
      </w:rPr>
    </w:lvl>
    <w:lvl w:ilvl="7" w:tplc="669C05FA">
      <w:numFmt w:val="bullet"/>
      <w:lvlText w:val="•"/>
      <w:lvlJc w:val="left"/>
      <w:pPr>
        <w:ind w:left="5336" w:hanging="360"/>
      </w:pPr>
      <w:rPr>
        <w:rFonts w:hint="default"/>
      </w:rPr>
    </w:lvl>
    <w:lvl w:ilvl="8" w:tplc="90A69EA0">
      <w:numFmt w:val="bullet"/>
      <w:lvlText w:val="•"/>
      <w:lvlJc w:val="left"/>
      <w:pPr>
        <w:ind w:left="6029" w:hanging="360"/>
      </w:pPr>
      <w:rPr>
        <w:rFonts w:hint="default"/>
      </w:rPr>
    </w:lvl>
  </w:abstractNum>
  <w:abstractNum w:abstractNumId="23" w15:restartNumberingAfterBreak="0">
    <w:nsid w:val="5086698B"/>
    <w:multiLevelType w:val="hybridMultilevel"/>
    <w:tmpl w:val="879E52D0"/>
    <w:lvl w:ilvl="0" w:tplc="55028C52">
      <w:start w:val="1"/>
      <w:numFmt w:val="decimal"/>
      <w:lvlText w:val="%1."/>
      <w:lvlJc w:val="left"/>
      <w:pPr>
        <w:ind w:left="827" w:hanging="360"/>
        <w:jc w:val="left"/>
      </w:pPr>
      <w:rPr>
        <w:rFonts w:ascii="Arial" w:eastAsia="Arial" w:hAnsi="Arial" w:cs="Arial" w:hint="default"/>
        <w:spacing w:val="-1"/>
        <w:w w:val="99"/>
        <w:sz w:val="20"/>
        <w:szCs w:val="20"/>
      </w:rPr>
    </w:lvl>
    <w:lvl w:ilvl="1" w:tplc="CDC821E4">
      <w:numFmt w:val="bullet"/>
      <w:lvlText w:val="•"/>
      <w:lvlJc w:val="left"/>
      <w:pPr>
        <w:ind w:left="1374" w:hanging="360"/>
      </w:pPr>
      <w:rPr>
        <w:rFonts w:hint="default"/>
      </w:rPr>
    </w:lvl>
    <w:lvl w:ilvl="2" w:tplc="9BBCF394">
      <w:numFmt w:val="bullet"/>
      <w:lvlText w:val="•"/>
      <w:lvlJc w:val="left"/>
      <w:pPr>
        <w:ind w:left="1929" w:hanging="360"/>
      </w:pPr>
      <w:rPr>
        <w:rFonts w:hint="default"/>
      </w:rPr>
    </w:lvl>
    <w:lvl w:ilvl="3" w:tplc="F98064A6">
      <w:numFmt w:val="bullet"/>
      <w:lvlText w:val="•"/>
      <w:lvlJc w:val="left"/>
      <w:pPr>
        <w:ind w:left="2483" w:hanging="360"/>
      </w:pPr>
      <w:rPr>
        <w:rFonts w:hint="default"/>
      </w:rPr>
    </w:lvl>
    <w:lvl w:ilvl="4" w:tplc="D160FB82">
      <w:numFmt w:val="bullet"/>
      <w:lvlText w:val="•"/>
      <w:lvlJc w:val="left"/>
      <w:pPr>
        <w:ind w:left="3038" w:hanging="360"/>
      </w:pPr>
      <w:rPr>
        <w:rFonts w:hint="default"/>
      </w:rPr>
    </w:lvl>
    <w:lvl w:ilvl="5" w:tplc="47F04794">
      <w:numFmt w:val="bullet"/>
      <w:lvlText w:val="•"/>
      <w:lvlJc w:val="left"/>
      <w:pPr>
        <w:ind w:left="3593" w:hanging="360"/>
      </w:pPr>
      <w:rPr>
        <w:rFonts w:hint="default"/>
      </w:rPr>
    </w:lvl>
    <w:lvl w:ilvl="6" w:tplc="4FD2ADB8">
      <w:numFmt w:val="bullet"/>
      <w:lvlText w:val="•"/>
      <w:lvlJc w:val="left"/>
      <w:pPr>
        <w:ind w:left="4147" w:hanging="360"/>
      </w:pPr>
      <w:rPr>
        <w:rFonts w:hint="default"/>
      </w:rPr>
    </w:lvl>
    <w:lvl w:ilvl="7" w:tplc="16BEFAB0">
      <w:numFmt w:val="bullet"/>
      <w:lvlText w:val="•"/>
      <w:lvlJc w:val="left"/>
      <w:pPr>
        <w:ind w:left="4702" w:hanging="360"/>
      </w:pPr>
      <w:rPr>
        <w:rFonts w:hint="default"/>
      </w:rPr>
    </w:lvl>
    <w:lvl w:ilvl="8" w:tplc="F6F4953C">
      <w:numFmt w:val="bullet"/>
      <w:lvlText w:val="•"/>
      <w:lvlJc w:val="left"/>
      <w:pPr>
        <w:ind w:left="5256" w:hanging="360"/>
      </w:pPr>
      <w:rPr>
        <w:rFonts w:hint="default"/>
      </w:rPr>
    </w:lvl>
  </w:abstractNum>
  <w:abstractNum w:abstractNumId="24" w15:restartNumberingAfterBreak="0">
    <w:nsid w:val="57801218"/>
    <w:multiLevelType w:val="hybridMultilevel"/>
    <w:tmpl w:val="8DCC2D26"/>
    <w:lvl w:ilvl="0" w:tplc="5BA2B360">
      <w:numFmt w:val="bullet"/>
      <w:lvlText w:val="-"/>
      <w:lvlJc w:val="left"/>
      <w:pPr>
        <w:ind w:left="826" w:hanging="360"/>
      </w:pPr>
      <w:rPr>
        <w:rFonts w:ascii="Calibri" w:eastAsia="Calibri" w:hAnsi="Calibri" w:cs="Calibri" w:hint="default"/>
        <w:w w:val="99"/>
        <w:sz w:val="20"/>
        <w:szCs w:val="20"/>
      </w:rPr>
    </w:lvl>
    <w:lvl w:ilvl="1" w:tplc="FDA41CD0">
      <w:numFmt w:val="bullet"/>
      <w:lvlText w:val="•"/>
      <w:lvlJc w:val="left"/>
      <w:pPr>
        <w:ind w:left="1464" w:hanging="360"/>
      </w:pPr>
      <w:rPr>
        <w:rFonts w:hint="default"/>
      </w:rPr>
    </w:lvl>
    <w:lvl w:ilvl="2" w:tplc="98986C9E">
      <w:numFmt w:val="bullet"/>
      <w:lvlText w:val="•"/>
      <w:lvlJc w:val="left"/>
      <w:pPr>
        <w:ind w:left="2108" w:hanging="360"/>
      </w:pPr>
      <w:rPr>
        <w:rFonts w:hint="default"/>
      </w:rPr>
    </w:lvl>
    <w:lvl w:ilvl="3" w:tplc="7BAAB0EA">
      <w:numFmt w:val="bullet"/>
      <w:lvlText w:val="•"/>
      <w:lvlJc w:val="left"/>
      <w:pPr>
        <w:ind w:left="2752" w:hanging="360"/>
      </w:pPr>
      <w:rPr>
        <w:rFonts w:hint="default"/>
      </w:rPr>
    </w:lvl>
    <w:lvl w:ilvl="4" w:tplc="A65C8F38">
      <w:numFmt w:val="bullet"/>
      <w:lvlText w:val="•"/>
      <w:lvlJc w:val="left"/>
      <w:pPr>
        <w:ind w:left="3396" w:hanging="360"/>
      </w:pPr>
      <w:rPr>
        <w:rFonts w:hint="default"/>
      </w:rPr>
    </w:lvl>
    <w:lvl w:ilvl="5" w:tplc="D736E9E2">
      <w:numFmt w:val="bullet"/>
      <w:lvlText w:val="•"/>
      <w:lvlJc w:val="left"/>
      <w:pPr>
        <w:ind w:left="4041" w:hanging="360"/>
      </w:pPr>
      <w:rPr>
        <w:rFonts w:hint="default"/>
      </w:rPr>
    </w:lvl>
    <w:lvl w:ilvl="6" w:tplc="34ACF9E0">
      <w:numFmt w:val="bullet"/>
      <w:lvlText w:val="•"/>
      <w:lvlJc w:val="left"/>
      <w:pPr>
        <w:ind w:left="4685" w:hanging="360"/>
      </w:pPr>
      <w:rPr>
        <w:rFonts w:hint="default"/>
      </w:rPr>
    </w:lvl>
    <w:lvl w:ilvl="7" w:tplc="CF5213C2">
      <w:numFmt w:val="bullet"/>
      <w:lvlText w:val="•"/>
      <w:lvlJc w:val="left"/>
      <w:pPr>
        <w:ind w:left="5329" w:hanging="360"/>
      </w:pPr>
      <w:rPr>
        <w:rFonts w:hint="default"/>
      </w:rPr>
    </w:lvl>
    <w:lvl w:ilvl="8" w:tplc="42DC7994">
      <w:numFmt w:val="bullet"/>
      <w:lvlText w:val="•"/>
      <w:lvlJc w:val="left"/>
      <w:pPr>
        <w:ind w:left="5973" w:hanging="360"/>
      </w:pPr>
      <w:rPr>
        <w:rFonts w:hint="default"/>
      </w:rPr>
    </w:lvl>
  </w:abstractNum>
  <w:abstractNum w:abstractNumId="25" w15:restartNumberingAfterBreak="0">
    <w:nsid w:val="586B4AAC"/>
    <w:multiLevelType w:val="hybridMultilevel"/>
    <w:tmpl w:val="BB064372"/>
    <w:lvl w:ilvl="0" w:tplc="F7529CAE">
      <w:numFmt w:val="bullet"/>
      <w:lvlText w:val="o"/>
      <w:lvlJc w:val="left"/>
      <w:pPr>
        <w:ind w:left="1546" w:hanging="360"/>
      </w:pPr>
      <w:rPr>
        <w:rFonts w:ascii="Courier New" w:eastAsia="Courier New" w:hAnsi="Courier New" w:cs="Courier New" w:hint="default"/>
        <w:w w:val="99"/>
        <w:sz w:val="20"/>
        <w:szCs w:val="20"/>
      </w:rPr>
    </w:lvl>
    <w:lvl w:ilvl="1" w:tplc="4A60C142">
      <w:numFmt w:val="bullet"/>
      <w:lvlText w:val="•"/>
      <w:lvlJc w:val="left"/>
      <w:pPr>
        <w:ind w:left="2112" w:hanging="360"/>
      </w:pPr>
      <w:rPr>
        <w:rFonts w:hint="default"/>
      </w:rPr>
    </w:lvl>
    <w:lvl w:ilvl="2" w:tplc="A2144AF8">
      <w:numFmt w:val="bullet"/>
      <w:lvlText w:val="•"/>
      <w:lvlJc w:val="left"/>
      <w:pPr>
        <w:ind w:left="2684" w:hanging="360"/>
      </w:pPr>
      <w:rPr>
        <w:rFonts w:hint="default"/>
      </w:rPr>
    </w:lvl>
    <w:lvl w:ilvl="3" w:tplc="7ED074D4">
      <w:numFmt w:val="bullet"/>
      <w:lvlText w:val="•"/>
      <w:lvlJc w:val="left"/>
      <w:pPr>
        <w:ind w:left="3256" w:hanging="360"/>
      </w:pPr>
      <w:rPr>
        <w:rFonts w:hint="default"/>
      </w:rPr>
    </w:lvl>
    <w:lvl w:ilvl="4" w:tplc="88EE7E66">
      <w:numFmt w:val="bullet"/>
      <w:lvlText w:val="•"/>
      <w:lvlJc w:val="left"/>
      <w:pPr>
        <w:ind w:left="3828" w:hanging="360"/>
      </w:pPr>
      <w:rPr>
        <w:rFonts w:hint="default"/>
      </w:rPr>
    </w:lvl>
    <w:lvl w:ilvl="5" w:tplc="805018AE">
      <w:numFmt w:val="bullet"/>
      <w:lvlText w:val="•"/>
      <w:lvlJc w:val="left"/>
      <w:pPr>
        <w:ind w:left="4401" w:hanging="360"/>
      </w:pPr>
      <w:rPr>
        <w:rFonts w:hint="default"/>
      </w:rPr>
    </w:lvl>
    <w:lvl w:ilvl="6" w:tplc="55226A74">
      <w:numFmt w:val="bullet"/>
      <w:lvlText w:val="•"/>
      <w:lvlJc w:val="left"/>
      <w:pPr>
        <w:ind w:left="4973" w:hanging="360"/>
      </w:pPr>
      <w:rPr>
        <w:rFonts w:hint="default"/>
      </w:rPr>
    </w:lvl>
    <w:lvl w:ilvl="7" w:tplc="5A0E414C">
      <w:numFmt w:val="bullet"/>
      <w:lvlText w:val="•"/>
      <w:lvlJc w:val="left"/>
      <w:pPr>
        <w:ind w:left="5545" w:hanging="360"/>
      </w:pPr>
      <w:rPr>
        <w:rFonts w:hint="default"/>
      </w:rPr>
    </w:lvl>
    <w:lvl w:ilvl="8" w:tplc="6F8CCC32">
      <w:numFmt w:val="bullet"/>
      <w:lvlText w:val="•"/>
      <w:lvlJc w:val="left"/>
      <w:pPr>
        <w:ind w:left="6117" w:hanging="360"/>
      </w:pPr>
      <w:rPr>
        <w:rFonts w:hint="default"/>
      </w:rPr>
    </w:lvl>
  </w:abstractNum>
  <w:abstractNum w:abstractNumId="26" w15:restartNumberingAfterBreak="0">
    <w:nsid w:val="59AB45BA"/>
    <w:multiLevelType w:val="hybridMultilevel"/>
    <w:tmpl w:val="58843FF8"/>
    <w:lvl w:ilvl="0" w:tplc="9A3440C4">
      <w:numFmt w:val="bullet"/>
      <w:lvlText w:val=""/>
      <w:lvlJc w:val="left"/>
      <w:pPr>
        <w:ind w:left="460" w:hanging="358"/>
      </w:pPr>
      <w:rPr>
        <w:rFonts w:ascii="Symbol" w:eastAsia="Symbol" w:hAnsi="Symbol" w:cs="Symbol" w:hint="default"/>
        <w:w w:val="99"/>
        <w:sz w:val="20"/>
        <w:szCs w:val="20"/>
      </w:rPr>
    </w:lvl>
    <w:lvl w:ilvl="1" w:tplc="280A4E7C">
      <w:numFmt w:val="bullet"/>
      <w:lvlText w:val="•"/>
      <w:lvlJc w:val="left"/>
      <w:pPr>
        <w:ind w:left="1170" w:hanging="358"/>
      </w:pPr>
      <w:rPr>
        <w:rFonts w:hint="default"/>
      </w:rPr>
    </w:lvl>
    <w:lvl w:ilvl="2" w:tplc="39BEB2CC">
      <w:numFmt w:val="bullet"/>
      <w:lvlText w:val="•"/>
      <w:lvlJc w:val="left"/>
      <w:pPr>
        <w:ind w:left="1880" w:hanging="358"/>
      </w:pPr>
      <w:rPr>
        <w:rFonts w:hint="default"/>
      </w:rPr>
    </w:lvl>
    <w:lvl w:ilvl="3" w:tplc="E7F2D398">
      <w:numFmt w:val="bullet"/>
      <w:lvlText w:val="•"/>
      <w:lvlJc w:val="left"/>
      <w:pPr>
        <w:ind w:left="2590" w:hanging="358"/>
      </w:pPr>
      <w:rPr>
        <w:rFonts w:hint="default"/>
      </w:rPr>
    </w:lvl>
    <w:lvl w:ilvl="4" w:tplc="0448AB3C">
      <w:numFmt w:val="bullet"/>
      <w:lvlText w:val="•"/>
      <w:lvlJc w:val="left"/>
      <w:pPr>
        <w:ind w:left="3300" w:hanging="358"/>
      </w:pPr>
      <w:rPr>
        <w:rFonts w:hint="default"/>
      </w:rPr>
    </w:lvl>
    <w:lvl w:ilvl="5" w:tplc="C4186B56">
      <w:numFmt w:val="bullet"/>
      <w:lvlText w:val="•"/>
      <w:lvlJc w:val="left"/>
      <w:pPr>
        <w:ind w:left="4010" w:hanging="358"/>
      </w:pPr>
      <w:rPr>
        <w:rFonts w:hint="default"/>
      </w:rPr>
    </w:lvl>
    <w:lvl w:ilvl="6" w:tplc="2AA0A182">
      <w:numFmt w:val="bullet"/>
      <w:lvlText w:val="•"/>
      <w:lvlJc w:val="left"/>
      <w:pPr>
        <w:ind w:left="4720" w:hanging="358"/>
      </w:pPr>
      <w:rPr>
        <w:rFonts w:hint="default"/>
      </w:rPr>
    </w:lvl>
    <w:lvl w:ilvl="7" w:tplc="87F427E4">
      <w:numFmt w:val="bullet"/>
      <w:lvlText w:val="•"/>
      <w:lvlJc w:val="left"/>
      <w:pPr>
        <w:ind w:left="5431" w:hanging="358"/>
      </w:pPr>
      <w:rPr>
        <w:rFonts w:hint="default"/>
      </w:rPr>
    </w:lvl>
    <w:lvl w:ilvl="8" w:tplc="D364490A">
      <w:numFmt w:val="bullet"/>
      <w:lvlText w:val="•"/>
      <w:lvlJc w:val="left"/>
      <w:pPr>
        <w:ind w:left="6141" w:hanging="358"/>
      </w:pPr>
      <w:rPr>
        <w:rFonts w:hint="default"/>
      </w:rPr>
    </w:lvl>
  </w:abstractNum>
  <w:abstractNum w:abstractNumId="27" w15:restartNumberingAfterBreak="0">
    <w:nsid w:val="5EDC6E64"/>
    <w:multiLevelType w:val="hybridMultilevel"/>
    <w:tmpl w:val="8A84756C"/>
    <w:lvl w:ilvl="0" w:tplc="2F9A8476">
      <w:numFmt w:val="bullet"/>
      <w:lvlText w:val=""/>
      <w:lvlJc w:val="left"/>
      <w:pPr>
        <w:ind w:left="827" w:hanging="361"/>
      </w:pPr>
      <w:rPr>
        <w:rFonts w:ascii="Symbol" w:eastAsia="Symbol" w:hAnsi="Symbol" w:cs="Symbol" w:hint="default"/>
        <w:w w:val="99"/>
        <w:sz w:val="20"/>
        <w:szCs w:val="20"/>
      </w:rPr>
    </w:lvl>
    <w:lvl w:ilvl="1" w:tplc="4984B792">
      <w:numFmt w:val="bullet"/>
      <w:lvlText w:val="•"/>
      <w:lvlJc w:val="left"/>
      <w:pPr>
        <w:ind w:left="1211" w:hanging="361"/>
      </w:pPr>
      <w:rPr>
        <w:rFonts w:hint="default"/>
      </w:rPr>
    </w:lvl>
    <w:lvl w:ilvl="2" w:tplc="0E426442">
      <w:numFmt w:val="bullet"/>
      <w:lvlText w:val="•"/>
      <w:lvlJc w:val="left"/>
      <w:pPr>
        <w:ind w:left="1603" w:hanging="361"/>
      </w:pPr>
      <w:rPr>
        <w:rFonts w:hint="default"/>
      </w:rPr>
    </w:lvl>
    <w:lvl w:ilvl="3" w:tplc="C8529410">
      <w:numFmt w:val="bullet"/>
      <w:lvlText w:val="•"/>
      <w:lvlJc w:val="left"/>
      <w:pPr>
        <w:ind w:left="1995" w:hanging="361"/>
      </w:pPr>
      <w:rPr>
        <w:rFonts w:hint="default"/>
      </w:rPr>
    </w:lvl>
    <w:lvl w:ilvl="4" w:tplc="8C9A70F2">
      <w:numFmt w:val="bullet"/>
      <w:lvlText w:val="•"/>
      <w:lvlJc w:val="left"/>
      <w:pPr>
        <w:ind w:left="2387" w:hanging="361"/>
      </w:pPr>
      <w:rPr>
        <w:rFonts w:hint="default"/>
      </w:rPr>
    </w:lvl>
    <w:lvl w:ilvl="5" w:tplc="9252F53C">
      <w:numFmt w:val="bullet"/>
      <w:lvlText w:val="•"/>
      <w:lvlJc w:val="left"/>
      <w:pPr>
        <w:ind w:left="2779" w:hanging="361"/>
      </w:pPr>
      <w:rPr>
        <w:rFonts w:hint="default"/>
      </w:rPr>
    </w:lvl>
    <w:lvl w:ilvl="6" w:tplc="995CEED4">
      <w:numFmt w:val="bullet"/>
      <w:lvlText w:val="•"/>
      <w:lvlJc w:val="left"/>
      <w:pPr>
        <w:ind w:left="3170" w:hanging="361"/>
      </w:pPr>
      <w:rPr>
        <w:rFonts w:hint="default"/>
      </w:rPr>
    </w:lvl>
    <w:lvl w:ilvl="7" w:tplc="EE66695A">
      <w:numFmt w:val="bullet"/>
      <w:lvlText w:val="•"/>
      <w:lvlJc w:val="left"/>
      <w:pPr>
        <w:ind w:left="3562" w:hanging="361"/>
      </w:pPr>
      <w:rPr>
        <w:rFonts w:hint="default"/>
      </w:rPr>
    </w:lvl>
    <w:lvl w:ilvl="8" w:tplc="296467EC">
      <w:numFmt w:val="bullet"/>
      <w:lvlText w:val="•"/>
      <w:lvlJc w:val="left"/>
      <w:pPr>
        <w:ind w:left="3954" w:hanging="361"/>
      </w:pPr>
      <w:rPr>
        <w:rFonts w:hint="default"/>
      </w:rPr>
    </w:lvl>
  </w:abstractNum>
  <w:abstractNum w:abstractNumId="28" w15:restartNumberingAfterBreak="0">
    <w:nsid w:val="625C3AE8"/>
    <w:multiLevelType w:val="hybridMultilevel"/>
    <w:tmpl w:val="1772F736"/>
    <w:lvl w:ilvl="0" w:tplc="5CF6D89E">
      <w:numFmt w:val="bullet"/>
      <w:lvlText w:val=""/>
      <w:lvlJc w:val="left"/>
      <w:pPr>
        <w:ind w:left="467" w:hanging="360"/>
      </w:pPr>
      <w:rPr>
        <w:rFonts w:ascii="Symbol" w:eastAsia="Symbol" w:hAnsi="Symbol" w:cs="Symbol" w:hint="default"/>
        <w:w w:val="99"/>
        <w:sz w:val="20"/>
        <w:szCs w:val="20"/>
      </w:rPr>
    </w:lvl>
    <w:lvl w:ilvl="1" w:tplc="ADF40D18">
      <w:numFmt w:val="bullet"/>
      <w:lvlText w:val="•"/>
      <w:lvlJc w:val="left"/>
      <w:pPr>
        <w:ind w:left="1170" w:hanging="360"/>
      </w:pPr>
      <w:rPr>
        <w:rFonts w:hint="default"/>
      </w:rPr>
    </w:lvl>
    <w:lvl w:ilvl="2" w:tplc="B7AE267C">
      <w:numFmt w:val="bullet"/>
      <w:lvlText w:val="•"/>
      <w:lvlJc w:val="left"/>
      <w:pPr>
        <w:ind w:left="1880" w:hanging="360"/>
      </w:pPr>
      <w:rPr>
        <w:rFonts w:hint="default"/>
      </w:rPr>
    </w:lvl>
    <w:lvl w:ilvl="3" w:tplc="EC2847F6">
      <w:numFmt w:val="bullet"/>
      <w:lvlText w:val="•"/>
      <w:lvlJc w:val="left"/>
      <w:pPr>
        <w:ind w:left="2590" w:hanging="360"/>
      </w:pPr>
      <w:rPr>
        <w:rFonts w:hint="default"/>
      </w:rPr>
    </w:lvl>
    <w:lvl w:ilvl="4" w:tplc="1D9C6DCC">
      <w:numFmt w:val="bullet"/>
      <w:lvlText w:val="•"/>
      <w:lvlJc w:val="left"/>
      <w:pPr>
        <w:ind w:left="3300" w:hanging="360"/>
      </w:pPr>
      <w:rPr>
        <w:rFonts w:hint="default"/>
      </w:rPr>
    </w:lvl>
    <w:lvl w:ilvl="5" w:tplc="A374076E">
      <w:numFmt w:val="bullet"/>
      <w:lvlText w:val="•"/>
      <w:lvlJc w:val="left"/>
      <w:pPr>
        <w:ind w:left="4010" w:hanging="360"/>
      </w:pPr>
      <w:rPr>
        <w:rFonts w:hint="default"/>
      </w:rPr>
    </w:lvl>
    <w:lvl w:ilvl="6" w:tplc="80EC4218">
      <w:numFmt w:val="bullet"/>
      <w:lvlText w:val="•"/>
      <w:lvlJc w:val="left"/>
      <w:pPr>
        <w:ind w:left="4720" w:hanging="360"/>
      </w:pPr>
      <w:rPr>
        <w:rFonts w:hint="default"/>
      </w:rPr>
    </w:lvl>
    <w:lvl w:ilvl="7" w:tplc="F512663C">
      <w:numFmt w:val="bullet"/>
      <w:lvlText w:val="•"/>
      <w:lvlJc w:val="left"/>
      <w:pPr>
        <w:ind w:left="5430" w:hanging="360"/>
      </w:pPr>
      <w:rPr>
        <w:rFonts w:hint="default"/>
      </w:rPr>
    </w:lvl>
    <w:lvl w:ilvl="8" w:tplc="69FC64AC">
      <w:numFmt w:val="bullet"/>
      <w:lvlText w:val="•"/>
      <w:lvlJc w:val="left"/>
      <w:pPr>
        <w:ind w:left="6140" w:hanging="360"/>
      </w:pPr>
      <w:rPr>
        <w:rFonts w:hint="default"/>
      </w:rPr>
    </w:lvl>
  </w:abstractNum>
  <w:abstractNum w:abstractNumId="29" w15:restartNumberingAfterBreak="0">
    <w:nsid w:val="62663BF2"/>
    <w:multiLevelType w:val="hybridMultilevel"/>
    <w:tmpl w:val="F3C21826"/>
    <w:lvl w:ilvl="0" w:tplc="BEB0E2C0">
      <w:start w:val="160"/>
      <w:numFmt w:val="decimal"/>
      <w:lvlText w:val="%1"/>
      <w:lvlJc w:val="left"/>
      <w:pPr>
        <w:ind w:left="100" w:hanging="312"/>
        <w:jc w:val="left"/>
      </w:pPr>
      <w:rPr>
        <w:rFonts w:ascii="Arial" w:eastAsia="Arial" w:hAnsi="Arial" w:cs="Arial" w:hint="default"/>
        <w:spacing w:val="-1"/>
        <w:w w:val="100"/>
        <w:sz w:val="16"/>
        <w:szCs w:val="16"/>
      </w:rPr>
    </w:lvl>
    <w:lvl w:ilvl="1" w:tplc="90A23F6C">
      <w:numFmt w:val="bullet"/>
      <w:lvlText w:val="•"/>
      <w:lvlJc w:val="left"/>
      <w:pPr>
        <w:ind w:left="1048" w:hanging="312"/>
      </w:pPr>
      <w:rPr>
        <w:rFonts w:hint="default"/>
      </w:rPr>
    </w:lvl>
    <w:lvl w:ilvl="2" w:tplc="988EF120">
      <w:numFmt w:val="bullet"/>
      <w:lvlText w:val="•"/>
      <w:lvlJc w:val="left"/>
      <w:pPr>
        <w:ind w:left="1996" w:hanging="312"/>
      </w:pPr>
      <w:rPr>
        <w:rFonts w:hint="default"/>
      </w:rPr>
    </w:lvl>
    <w:lvl w:ilvl="3" w:tplc="0BD66788">
      <w:numFmt w:val="bullet"/>
      <w:lvlText w:val="•"/>
      <w:lvlJc w:val="left"/>
      <w:pPr>
        <w:ind w:left="2944" w:hanging="312"/>
      </w:pPr>
      <w:rPr>
        <w:rFonts w:hint="default"/>
      </w:rPr>
    </w:lvl>
    <w:lvl w:ilvl="4" w:tplc="22464D80">
      <w:numFmt w:val="bullet"/>
      <w:lvlText w:val="•"/>
      <w:lvlJc w:val="left"/>
      <w:pPr>
        <w:ind w:left="3892" w:hanging="312"/>
      </w:pPr>
      <w:rPr>
        <w:rFonts w:hint="default"/>
      </w:rPr>
    </w:lvl>
    <w:lvl w:ilvl="5" w:tplc="7C6EF544">
      <w:numFmt w:val="bullet"/>
      <w:lvlText w:val="•"/>
      <w:lvlJc w:val="left"/>
      <w:pPr>
        <w:ind w:left="4840" w:hanging="312"/>
      </w:pPr>
      <w:rPr>
        <w:rFonts w:hint="default"/>
      </w:rPr>
    </w:lvl>
    <w:lvl w:ilvl="6" w:tplc="D8746BFA">
      <w:numFmt w:val="bullet"/>
      <w:lvlText w:val="•"/>
      <w:lvlJc w:val="left"/>
      <w:pPr>
        <w:ind w:left="5788" w:hanging="312"/>
      </w:pPr>
      <w:rPr>
        <w:rFonts w:hint="default"/>
      </w:rPr>
    </w:lvl>
    <w:lvl w:ilvl="7" w:tplc="DC56853C">
      <w:numFmt w:val="bullet"/>
      <w:lvlText w:val="•"/>
      <w:lvlJc w:val="left"/>
      <w:pPr>
        <w:ind w:left="6736" w:hanging="312"/>
      </w:pPr>
      <w:rPr>
        <w:rFonts w:hint="default"/>
      </w:rPr>
    </w:lvl>
    <w:lvl w:ilvl="8" w:tplc="D6AE48EE">
      <w:numFmt w:val="bullet"/>
      <w:lvlText w:val="•"/>
      <w:lvlJc w:val="left"/>
      <w:pPr>
        <w:ind w:left="7684" w:hanging="312"/>
      </w:pPr>
      <w:rPr>
        <w:rFonts w:hint="default"/>
      </w:rPr>
    </w:lvl>
  </w:abstractNum>
  <w:abstractNum w:abstractNumId="30" w15:restartNumberingAfterBreak="0">
    <w:nsid w:val="638F3837"/>
    <w:multiLevelType w:val="hybridMultilevel"/>
    <w:tmpl w:val="963A9654"/>
    <w:lvl w:ilvl="0" w:tplc="7D582FAA">
      <w:numFmt w:val="bullet"/>
      <w:lvlText w:val=""/>
      <w:lvlJc w:val="left"/>
      <w:pPr>
        <w:ind w:left="477" w:hanging="360"/>
      </w:pPr>
      <w:rPr>
        <w:rFonts w:hint="default"/>
        <w:w w:val="99"/>
      </w:rPr>
    </w:lvl>
    <w:lvl w:ilvl="1" w:tplc="0A00EF9A">
      <w:numFmt w:val="bullet"/>
      <w:lvlText w:val="•"/>
      <w:lvlJc w:val="left"/>
      <w:pPr>
        <w:ind w:left="1173" w:hanging="360"/>
      </w:pPr>
      <w:rPr>
        <w:rFonts w:hint="default"/>
      </w:rPr>
    </w:lvl>
    <w:lvl w:ilvl="2" w:tplc="80745820">
      <w:numFmt w:val="bullet"/>
      <w:lvlText w:val="•"/>
      <w:lvlJc w:val="left"/>
      <w:pPr>
        <w:ind w:left="1867" w:hanging="360"/>
      </w:pPr>
      <w:rPr>
        <w:rFonts w:hint="default"/>
      </w:rPr>
    </w:lvl>
    <w:lvl w:ilvl="3" w:tplc="1F0A1080">
      <w:numFmt w:val="bullet"/>
      <w:lvlText w:val="•"/>
      <w:lvlJc w:val="left"/>
      <w:pPr>
        <w:ind w:left="2560" w:hanging="360"/>
      </w:pPr>
      <w:rPr>
        <w:rFonts w:hint="default"/>
      </w:rPr>
    </w:lvl>
    <w:lvl w:ilvl="4" w:tplc="4F6A2DF2">
      <w:numFmt w:val="bullet"/>
      <w:lvlText w:val="•"/>
      <w:lvlJc w:val="left"/>
      <w:pPr>
        <w:ind w:left="3254" w:hanging="360"/>
      </w:pPr>
      <w:rPr>
        <w:rFonts w:hint="default"/>
      </w:rPr>
    </w:lvl>
    <w:lvl w:ilvl="5" w:tplc="2BFCE600">
      <w:numFmt w:val="bullet"/>
      <w:lvlText w:val="•"/>
      <w:lvlJc w:val="left"/>
      <w:pPr>
        <w:ind w:left="3947" w:hanging="360"/>
      </w:pPr>
      <w:rPr>
        <w:rFonts w:hint="default"/>
      </w:rPr>
    </w:lvl>
    <w:lvl w:ilvl="6" w:tplc="2CAC19A4">
      <w:numFmt w:val="bullet"/>
      <w:lvlText w:val="•"/>
      <w:lvlJc w:val="left"/>
      <w:pPr>
        <w:ind w:left="4641" w:hanging="360"/>
      </w:pPr>
      <w:rPr>
        <w:rFonts w:hint="default"/>
      </w:rPr>
    </w:lvl>
    <w:lvl w:ilvl="7" w:tplc="F57405BE">
      <w:numFmt w:val="bullet"/>
      <w:lvlText w:val="•"/>
      <w:lvlJc w:val="left"/>
      <w:pPr>
        <w:ind w:left="5334" w:hanging="360"/>
      </w:pPr>
      <w:rPr>
        <w:rFonts w:hint="default"/>
      </w:rPr>
    </w:lvl>
    <w:lvl w:ilvl="8" w:tplc="A8123134">
      <w:numFmt w:val="bullet"/>
      <w:lvlText w:val="•"/>
      <w:lvlJc w:val="left"/>
      <w:pPr>
        <w:ind w:left="6028" w:hanging="360"/>
      </w:pPr>
      <w:rPr>
        <w:rFonts w:hint="default"/>
      </w:rPr>
    </w:lvl>
  </w:abstractNum>
  <w:abstractNum w:abstractNumId="31" w15:restartNumberingAfterBreak="0">
    <w:nsid w:val="640E42F4"/>
    <w:multiLevelType w:val="hybridMultilevel"/>
    <w:tmpl w:val="B3A666BC"/>
    <w:lvl w:ilvl="0" w:tplc="9348D196">
      <w:start w:val="2"/>
      <w:numFmt w:val="decimal"/>
      <w:lvlText w:val="%1)"/>
      <w:lvlJc w:val="left"/>
      <w:pPr>
        <w:ind w:left="2659" w:hanging="361"/>
        <w:jc w:val="left"/>
      </w:pPr>
      <w:rPr>
        <w:rFonts w:ascii="Arial" w:eastAsia="Arial" w:hAnsi="Arial" w:cs="Arial" w:hint="default"/>
        <w:b/>
        <w:bCs/>
        <w:spacing w:val="-1"/>
        <w:w w:val="99"/>
        <w:sz w:val="20"/>
        <w:szCs w:val="20"/>
      </w:rPr>
    </w:lvl>
    <w:lvl w:ilvl="1" w:tplc="EC5C3206">
      <w:numFmt w:val="bullet"/>
      <w:lvlText w:val="-"/>
      <w:lvlJc w:val="left"/>
      <w:pPr>
        <w:ind w:left="3019" w:hanging="360"/>
      </w:pPr>
      <w:rPr>
        <w:rFonts w:ascii="Calibri" w:eastAsia="Calibri" w:hAnsi="Calibri" w:cs="Calibri" w:hint="default"/>
        <w:w w:val="99"/>
        <w:sz w:val="20"/>
        <w:szCs w:val="20"/>
      </w:rPr>
    </w:lvl>
    <w:lvl w:ilvl="2" w:tplc="7356296C">
      <w:numFmt w:val="bullet"/>
      <w:lvlText w:val="•"/>
      <w:lvlJc w:val="left"/>
      <w:pPr>
        <w:ind w:left="3748" w:hanging="360"/>
      </w:pPr>
      <w:rPr>
        <w:rFonts w:hint="default"/>
      </w:rPr>
    </w:lvl>
    <w:lvl w:ilvl="3" w:tplc="8FAC6030">
      <w:numFmt w:val="bullet"/>
      <w:lvlText w:val="•"/>
      <w:lvlJc w:val="left"/>
      <w:pPr>
        <w:ind w:left="4477" w:hanging="360"/>
      </w:pPr>
      <w:rPr>
        <w:rFonts w:hint="default"/>
      </w:rPr>
    </w:lvl>
    <w:lvl w:ilvl="4" w:tplc="B0BCCD34">
      <w:numFmt w:val="bullet"/>
      <w:lvlText w:val="•"/>
      <w:lvlJc w:val="left"/>
      <w:pPr>
        <w:ind w:left="5206" w:hanging="360"/>
      </w:pPr>
      <w:rPr>
        <w:rFonts w:hint="default"/>
      </w:rPr>
    </w:lvl>
    <w:lvl w:ilvl="5" w:tplc="F2AEC16C">
      <w:numFmt w:val="bullet"/>
      <w:lvlText w:val="•"/>
      <w:lvlJc w:val="left"/>
      <w:pPr>
        <w:ind w:left="5935" w:hanging="360"/>
      </w:pPr>
      <w:rPr>
        <w:rFonts w:hint="default"/>
      </w:rPr>
    </w:lvl>
    <w:lvl w:ilvl="6" w:tplc="E17CE784">
      <w:numFmt w:val="bullet"/>
      <w:lvlText w:val="•"/>
      <w:lvlJc w:val="left"/>
      <w:pPr>
        <w:ind w:left="6664" w:hanging="360"/>
      </w:pPr>
      <w:rPr>
        <w:rFonts w:hint="default"/>
      </w:rPr>
    </w:lvl>
    <w:lvl w:ilvl="7" w:tplc="3B2EBCEA">
      <w:numFmt w:val="bullet"/>
      <w:lvlText w:val="•"/>
      <w:lvlJc w:val="left"/>
      <w:pPr>
        <w:ind w:left="7393" w:hanging="360"/>
      </w:pPr>
      <w:rPr>
        <w:rFonts w:hint="default"/>
      </w:rPr>
    </w:lvl>
    <w:lvl w:ilvl="8" w:tplc="D08AC09A">
      <w:numFmt w:val="bullet"/>
      <w:lvlText w:val="•"/>
      <w:lvlJc w:val="left"/>
      <w:pPr>
        <w:ind w:left="8122" w:hanging="360"/>
      </w:pPr>
      <w:rPr>
        <w:rFonts w:hint="default"/>
      </w:rPr>
    </w:lvl>
  </w:abstractNum>
  <w:abstractNum w:abstractNumId="32" w15:restartNumberingAfterBreak="0">
    <w:nsid w:val="66CD15CF"/>
    <w:multiLevelType w:val="hybridMultilevel"/>
    <w:tmpl w:val="CF56C42C"/>
    <w:lvl w:ilvl="0" w:tplc="4F0E23F6">
      <w:numFmt w:val="bullet"/>
      <w:lvlText w:val=""/>
      <w:lvlJc w:val="left"/>
      <w:pPr>
        <w:ind w:left="484" w:hanging="360"/>
      </w:pPr>
      <w:rPr>
        <w:rFonts w:hint="default"/>
        <w:w w:val="100"/>
      </w:rPr>
    </w:lvl>
    <w:lvl w:ilvl="1" w:tplc="E51AA59A">
      <w:numFmt w:val="bullet"/>
      <w:lvlText w:val="•"/>
      <w:lvlJc w:val="left"/>
      <w:pPr>
        <w:ind w:left="1188" w:hanging="360"/>
      </w:pPr>
      <w:rPr>
        <w:rFonts w:hint="default"/>
      </w:rPr>
    </w:lvl>
    <w:lvl w:ilvl="2" w:tplc="A9A0D8B6">
      <w:numFmt w:val="bullet"/>
      <w:lvlText w:val="•"/>
      <w:lvlJc w:val="left"/>
      <w:pPr>
        <w:ind w:left="1896" w:hanging="360"/>
      </w:pPr>
      <w:rPr>
        <w:rFonts w:hint="default"/>
      </w:rPr>
    </w:lvl>
    <w:lvl w:ilvl="3" w:tplc="35F6A9BA">
      <w:numFmt w:val="bullet"/>
      <w:lvlText w:val="•"/>
      <w:lvlJc w:val="left"/>
      <w:pPr>
        <w:ind w:left="2604" w:hanging="360"/>
      </w:pPr>
      <w:rPr>
        <w:rFonts w:hint="default"/>
      </w:rPr>
    </w:lvl>
    <w:lvl w:ilvl="4" w:tplc="AFF4C366">
      <w:numFmt w:val="bullet"/>
      <w:lvlText w:val="•"/>
      <w:lvlJc w:val="left"/>
      <w:pPr>
        <w:ind w:left="3312" w:hanging="360"/>
      </w:pPr>
      <w:rPr>
        <w:rFonts w:hint="default"/>
      </w:rPr>
    </w:lvl>
    <w:lvl w:ilvl="5" w:tplc="BBA42964">
      <w:numFmt w:val="bullet"/>
      <w:lvlText w:val="•"/>
      <w:lvlJc w:val="left"/>
      <w:pPr>
        <w:ind w:left="4020" w:hanging="360"/>
      </w:pPr>
      <w:rPr>
        <w:rFonts w:hint="default"/>
      </w:rPr>
    </w:lvl>
    <w:lvl w:ilvl="6" w:tplc="3F90FC16">
      <w:numFmt w:val="bullet"/>
      <w:lvlText w:val="•"/>
      <w:lvlJc w:val="left"/>
      <w:pPr>
        <w:ind w:left="4728" w:hanging="360"/>
      </w:pPr>
      <w:rPr>
        <w:rFonts w:hint="default"/>
      </w:rPr>
    </w:lvl>
    <w:lvl w:ilvl="7" w:tplc="704C7A1A">
      <w:numFmt w:val="bullet"/>
      <w:lvlText w:val="•"/>
      <w:lvlJc w:val="left"/>
      <w:pPr>
        <w:ind w:left="5436" w:hanging="360"/>
      </w:pPr>
      <w:rPr>
        <w:rFonts w:hint="default"/>
      </w:rPr>
    </w:lvl>
    <w:lvl w:ilvl="8" w:tplc="D814F282">
      <w:numFmt w:val="bullet"/>
      <w:lvlText w:val="•"/>
      <w:lvlJc w:val="left"/>
      <w:pPr>
        <w:ind w:left="6144" w:hanging="360"/>
      </w:pPr>
      <w:rPr>
        <w:rFonts w:hint="default"/>
      </w:rPr>
    </w:lvl>
  </w:abstractNum>
  <w:abstractNum w:abstractNumId="33" w15:restartNumberingAfterBreak="0">
    <w:nsid w:val="695362DE"/>
    <w:multiLevelType w:val="hybridMultilevel"/>
    <w:tmpl w:val="36A24FF8"/>
    <w:lvl w:ilvl="0" w:tplc="56AA39E0">
      <w:start w:val="1"/>
      <w:numFmt w:val="lowerLetter"/>
      <w:lvlText w:val="%1)"/>
      <w:lvlJc w:val="left"/>
      <w:pPr>
        <w:ind w:left="3909" w:hanging="360"/>
        <w:jc w:val="left"/>
      </w:pPr>
      <w:rPr>
        <w:rFonts w:ascii="Arial" w:eastAsia="Arial" w:hAnsi="Arial" w:cs="Arial" w:hint="default"/>
        <w:spacing w:val="-1"/>
        <w:w w:val="99"/>
        <w:sz w:val="20"/>
        <w:szCs w:val="20"/>
      </w:rPr>
    </w:lvl>
    <w:lvl w:ilvl="1" w:tplc="95F69C6C">
      <w:numFmt w:val="bullet"/>
      <w:lvlText w:val="•"/>
      <w:lvlJc w:val="left"/>
      <w:pPr>
        <w:ind w:left="4468" w:hanging="360"/>
      </w:pPr>
      <w:rPr>
        <w:rFonts w:hint="default"/>
      </w:rPr>
    </w:lvl>
    <w:lvl w:ilvl="2" w:tplc="5A6A0DC0">
      <w:numFmt w:val="bullet"/>
      <w:lvlText w:val="•"/>
      <w:lvlJc w:val="left"/>
      <w:pPr>
        <w:ind w:left="5036" w:hanging="360"/>
      </w:pPr>
      <w:rPr>
        <w:rFonts w:hint="default"/>
      </w:rPr>
    </w:lvl>
    <w:lvl w:ilvl="3" w:tplc="EFB48F46">
      <w:numFmt w:val="bullet"/>
      <w:lvlText w:val="•"/>
      <w:lvlJc w:val="left"/>
      <w:pPr>
        <w:ind w:left="5604" w:hanging="360"/>
      </w:pPr>
      <w:rPr>
        <w:rFonts w:hint="default"/>
      </w:rPr>
    </w:lvl>
    <w:lvl w:ilvl="4" w:tplc="EB6E6790">
      <w:numFmt w:val="bullet"/>
      <w:lvlText w:val="•"/>
      <w:lvlJc w:val="left"/>
      <w:pPr>
        <w:ind w:left="6172" w:hanging="360"/>
      </w:pPr>
      <w:rPr>
        <w:rFonts w:hint="default"/>
      </w:rPr>
    </w:lvl>
    <w:lvl w:ilvl="5" w:tplc="8AE4D6F6">
      <w:numFmt w:val="bullet"/>
      <w:lvlText w:val="•"/>
      <w:lvlJc w:val="left"/>
      <w:pPr>
        <w:ind w:left="6740" w:hanging="360"/>
      </w:pPr>
      <w:rPr>
        <w:rFonts w:hint="default"/>
      </w:rPr>
    </w:lvl>
    <w:lvl w:ilvl="6" w:tplc="267267D0">
      <w:numFmt w:val="bullet"/>
      <w:lvlText w:val="•"/>
      <w:lvlJc w:val="left"/>
      <w:pPr>
        <w:ind w:left="7308" w:hanging="360"/>
      </w:pPr>
      <w:rPr>
        <w:rFonts w:hint="default"/>
      </w:rPr>
    </w:lvl>
    <w:lvl w:ilvl="7" w:tplc="EF3C8640">
      <w:numFmt w:val="bullet"/>
      <w:lvlText w:val="•"/>
      <w:lvlJc w:val="left"/>
      <w:pPr>
        <w:ind w:left="7876" w:hanging="360"/>
      </w:pPr>
      <w:rPr>
        <w:rFonts w:hint="default"/>
      </w:rPr>
    </w:lvl>
    <w:lvl w:ilvl="8" w:tplc="A8E4E6AA">
      <w:numFmt w:val="bullet"/>
      <w:lvlText w:val="•"/>
      <w:lvlJc w:val="left"/>
      <w:pPr>
        <w:ind w:left="8444" w:hanging="360"/>
      </w:pPr>
      <w:rPr>
        <w:rFonts w:hint="default"/>
      </w:rPr>
    </w:lvl>
  </w:abstractNum>
  <w:abstractNum w:abstractNumId="34" w15:restartNumberingAfterBreak="0">
    <w:nsid w:val="6E05023D"/>
    <w:multiLevelType w:val="hybridMultilevel"/>
    <w:tmpl w:val="2508132C"/>
    <w:lvl w:ilvl="0" w:tplc="CE566E12">
      <w:numFmt w:val="bullet"/>
      <w:lvlText w:val=""/>
      <w:lvlJc w:val="left"/>
      <w:pPr>
        <w:ind w:left="460" w:hanging="358"/>
      </w:pPr>
      <w:rPr>
        <w:rFonts w:ascii="Symbol" w:eastAsia="Symbol" w:hAnsi="Symbol" w:cs="Symbol" w:hint="default"/>
        <w:w w:val="99"/>
        <w:sz w:val="20"/>
        <w:szCs w:val="20"/>
      </w:rPr>
    </w:lvl>
    <w:lvl w:ilvl="1" w:tplc="15E42848">
      <w:numFmt w:val="bullet"/>
      <w:lvlText w:val="•"/>
      <w:lvlJc w:val="left"/>
      <w:pPr>
        <w:ind w:left="1155" w:hanging="358"/>
      </w:pPr>
      <w:rPr>
        <w:rFonts w:hint="default"/>
      </w:rPr>
    </w:lvl>
    <w:lvl w:ilvl="2" w:tplc="B910126C">
      <w:numFmt w:val="bullet"/>
      <w:lvlText w:val="•"/>
      <w:lvlJc w:val="left"/>
      <w:pPr>
        <w:ind w:left="1851" w:hanging="358"/>
      </w:pPr>
      <w:rPr>
        <w:rFonts w:hint="default"/>
      </w:rPr>
    </w:lvl>
    <w:lvl w:ilvl="3" w:tplc="26AE5C22">
      <w:numFmt w:val="bullet"/>
      <w:lvlText w:val="•"/>
      <w:lvlJc w:val="left"/>
      <w:pPr>
        <w:ind w:left="2546" w:hanging="358"/>
      </w:pPr>
      <w:rPr>
        <w:rFonts w:hint="default"/>
      </w:rPr>
    </w:lvl>
    <w:lvl w:ilvl="4" w:tplc="F320D270">
      <w:numFmt w:val="bullet"/>
      <w:lvlText w:val="•"/>
      <w:lvlJc w:val="left"/>
      <w:pPr>
        <w:ind w:left="3242" w:hanging="358"/>
      </w:pPr>
      <w:rPr>
        <w:rFonts w:hint="default"/>
      </w:rPr>
    </w:lvl>
    <w:lvl w:ilvl="5" w:tplc="BD62F7DC">
      <w:numFmt w:val="bullet"/>
      <w:lvlText w:val="•"/>
      <w:lvlJc w:val="left"/>
      <w:pPr>
        <w:ind w:left="3937" w:hanging="358"/>
      </w:pPr>
      <w:rPr>
        <w:rFonts w:hint="default"/>
      </w:rPr>
    </w:lvl>
    <w:lvl w:ilvl="6" w:tplc="5B9260C2">
      <w:numFmt w:val="bullet"/>
      <w:lvlText w:val="•"/>
      <w:lvlJc w:val="left"/>
      <w:pPr>
        <w:ind w:left="4633" w:hanging="358"/>
      </w:pPr>
      <w:rPr>
        <w:rFonts w:hint="default"/>
      </w:rPr>
    </w:lvl>
    <w:lvl w:ilvl="7" w:tplc="4F0610E2">
      <w:numFmt w:val="bullet"/>
      <w:lvlText w:val="•"/>
      <w:lvlJc w:val="left"/>
      <w:pPr>
        <w:ind w:left="5328" w:hanging="358"/>
      </w:pPr>
      <w:rPr>
        <w:rFonts w:hint="default"/>
      </w:rPr>
    </w:lvl>
    <w:lvl w:ilvl="8" w:tplc="020E4362">
      <w:numFmt w:val="bullet"/>
      <w:lvlText w:val="•"/>
      <w:lvlJc w:val="left"/>
      <w:pPr>
        <w:ind w:left="6024" w:hanging="358"/>
      </w:pPr>
      <w:rPr>
        <w:rFonts w:hint="default"/>
      </w:rPr>
    </w:lvl>
  </w:abstractNum>
  <w:abstractNum w:abstractNumId="35" w15:restartNumberingAfterBreak="0">
    <w:nsid w:val="76334E3A"/>
    <w:multiLevelType w:val="hybridMultilevel"/>
    <w:tmpl w:val="B56A3B28"/>
    <w:lvl w:ilvl="0" w:tplc="E8B28380">
      <w:numFmt w:val="bullet"/>
      <w:lvlText w:val=""/>
      <w:lvlJc w:val="left"/>
      <w:pPr>
        <w:ind w:left="465" w:hanging="358"/>
      </w:pPr>
      <w:rPr>
        <w:rFonts w:ascii="Symbol" w:eastAsia="Symbol" w:hAnsi="Symbol" w:cs="Symbol" w:hint="default"/>
        <w:w w:val="99"/>
        <w:sz w:val="20"/>
        <w:szCs w:val="20"/>
      </w:rPr>
    </w:lvl>
    <w:lvl w:ilvl="1" w:tplc="3A5C5C14">
      <w:numFmt w:val="bullet"/>
      <w:lvlText w:val="•"/>
      <w:lvlJc w:val="left"/>
      <w:pPr>
        <w:ind w:left="1155" w:hanging="358"/>
      </w:pPr>
      <w:rPr>
        <w:rFonts w:hint="default"/>
      </w:rPr>
    </w:lvl>
    <w:lvl w:ilvl="2" w:tplc="C8E48974">
      <w:numFmt w:val="bullet"/>
      <w:lvlText w:val="•"/>
      <w:lvlJc w:val="left"/>
      <w:pPr>
        <w:ind w:left="1851" w:hanging="358"/>
      </w:pPr>
      <w:rPr>
        <w:rFonts w:hint="default"/>
      </w:rPr>
    </w:lvl>
    <w:lvl w:ilvl="3" w:tplc="B65441AC">
      <w:numFmt w:val="bullet"/>
      <w:lvlText w:val="•"/>
      <w:lvlJc w:val="left"/>
      <w:pPr>
        <w:ind w:left="2546" w:hanging="358"/>
      </w:pPr>
      <w:rPr>
        <w:rFonts w:hint="default"/>
      </w:rPr>
    </w:lvl>
    <w:lvl w:ilvl="4" w:tplc="F042BEDA">
      <w:numFmt w:val="bullet"/>
      <w:lvlText w:val="•"/>
      <w:lvlJc w:val="left"/>
      <w:pPr>
        <w:ind w:left="3242" w:hanging="358"/>
      </w:pPr>
      <w:rPr>
        <w:rFonts w:hint="default"/>
      </w:rPr>
    </w:lvl>
    <w:lvl w:ilvl="5" w:tplc="5DBC6E42">
      <w:numFmt w:val="bullet"/>
      <w:lvlText w:val="•"/>
      <w:lvlJc w:val="left"/>
      <w:pPr>
        <w:ind w:left="3937" w:hanging="358"/>
      </w:pPr>
      <w:rPr>
        <w:rFonts w:hint="default"/>
      </w:rPr>
    </w:lvl>
    <w:lvl w:ilvl="6" w:tplc="37F4FD08">
      <w:numFmt w:val="bullet"/>
      <w:lvlText w:val="•"/>
      <w:lvlJc w:val="left"/>
      <w:pPr>
        <w:ind w:left="4633" w:hanging="358"/>
      </w:pPr>
      <w:rPr>
        <w:rFonts w:hint="default"/>
      </w:rPr>
    </w:lvl>
    <w:lvl w:ilvl="7" w:tplc="A27AACBE">
      <w:numFmt w:val="bullet"/>
      <w:lvlText w:val="•"/>
      <w:lvlJc w:val="left"/>
      <w:pPr>
        <w:ind w:left="5328" w:hanging="358"/>
      </w:pPr>
      <w:rPr>
        <w:rFonts w:hint="default"/>
      </w:rPr>
    </w:lvl>
    <w:lvl w:ilvl="8" w:tplc="751E71E8">
      <w:numFmt w:val="bullet"/>
      <w:lvlText w:val="•"/>
      <w:lvlJc w:val="left"/>
      <w:pPr>
        <w:ind w:left="6024" w:hanging="358"/>
      </w:pPr>
      <w:rPr>
        <w:rFonts w:hint="default"/>
      </w:rPr>
    </w:lvl>
  </w:abstractNum>
  <w:abstractNum w:abstractNumId="36" w15:restartNumberingAfterBreak="0">
    <w:nsid w:val="7B7A3C5F"/>
    <w:multiLevelType w:val="hybridMultilevel"/>
    <w:tmpl w:val="89B2FB46"/>
    <w:lvl w:ilvl="0" w:tplc="57C451CE">
      <w:numFmt w:val="bullet"/>
      <w:lvlText w:val=""/>
      <w:lvlJc w:val="left"/>
      <w:pPr>
        <w:ind w:left="467" w:hanging="360"/>
      </w:pPr>
      <w:rPr>
        <w:rFonts w:ascii="Symbol" w:eastAsia="Symbol" w:hAnsi="Symbol" w:cs="Symbol" w:hint="default"/>
        <w:w w:val="99"/>
        <w:sz w:val="20"/>
        <w:szCs w:val="20"/>
      </w:rPr>
    </w:lvl>
    <w:lvl w:ilvl="1" w:tplc="9AC632DE">
      <w:numFmt w:val="bullet"/>
      <w:lvlText w:val="•"/>
      <w:lvlJc w:val="left"/>
      <w:pPr>
        <w:ind w:left="1155" w:hanging="360"/>
      </w:pPr>
      <w:rPr>
        <w:rFonts w:hint="default"/>
      </w:rPr>
    </w:lvl>
    <w:lvl w:ilvl="2" w:tplc="C49C1A7A">
      <w:numFmt w:val="bullet"/>
      <w:lvlText w:val="•"/>
      <w:lvlJc w:val="left"/>
      <w:pPr>
        <w:ind w:left="1851" w:hanging="360"/>
      </w:pPr>
      <w:rPr>
        <w:rFonts w:hint="default"/>
      </w:rPr>
    </w:lvl>
    <w:lvl w:ilvl="3" w:tplc="308E05EC">
      <w:numFmt w:val="bullet"/>
      <w:lvlText w:val="•"/>
      <w:lvlJc w:val="left"/>
      <w:pPr>
        <w:ind w:left="2546" w:hanging="360"/>
      </w:pPr>
      <w:rPr>
        <w:rFonts w:hint="default"/>
      </w:rPr>
    </w:lvl>
    <w:lvl w:ilvl="4" w:tplc="9E268A34">
      <w:numFmt w:val="bullet"/>
      <w:lvlText w:val="•"/>
      <w:lvlJc w:val="left"/>
      <w:pPr>
        <w:ind w:left="3242" w:hanging="360"/>
      </w:pPr>
      <w:rPr>
        <w:rFonts w:hint="default"/>
      </w:rPr>
    </w:lvl>
    <w:lvl w:ilvl="5" w:tplc="9482CEDE">
      <w:numFmt w:val="bullet"/>
      <w:lvlText w:val="•"/>
      <w:lvlJc w:val="left"/>
      <w:pPr>
        <w:ind w:left="3937" w:hanging="360"/>
      </w:pPr>
      <w:rPr>
        <w:rFonts w:hint="default"/>
      </w:rPr>
    </w:lvl>
    <w:lvl w:ilvl="6" w:tplc="BB1E2764">
      <w:numFmt w:val="bullet"/>
      <w:lvlText w:val="•"/>
      <w:lvlJc w:val="left"/>
      <w:pPr>
        <w:ind w:left="4633" w:hanging="360"/>
      </w:pPr>
      <w:rPr>
        <w:rFonts w:hint="default"/>
      </w:rPr>
    </w:lvl>
    <w:lvl w:ilvl="7" w:tplc="8252FC86">
      <w:numFmt w:val="bullet"/>
      <w:lvlText w:val="•"/>
      <w:lvlJc w:val="left"/>
      <w:pPr>
        <w:ind w:left="5328" w:hanging="360"/>
      </w:pPr>
      <w:rPr>
        <w:rFonts w:hint="default"/>
      </w:rPr>
    </w:lvl>
    <w:lvl w:ilvl="8" w:tplc="6D722488">
      <w:numFmt w:val="bullet"/>
      <w:lvlText w:val="•"/>
      <w:lvlJc w:val="left"/>
      <w:pPr>
        <w:ind w:left="6024" w:hanging="360"/>
      </w:pPr>
      <w:rPr>
        <w:rFonts w:hint="default"/>
      </w:rPr>
    </w:lvl>
  </w:abstractNum>
  <w:num w:numId="1">
    <w:abstractNumId w:val="1"/>
  </w:num>
  <w:num w:numId="2">
    <w:abstractNumId w:val="34"/>
  </w:num>
  <w:num w:numId="3">
    <w:abstractNumId w:val="16"/>
  </w:num>
  <w:num w:numId="4">
    <w:abstractNumId w:val="22"/>
  </w:num>
  <w:num w:numId="5">
    <w:abstractNumId w:val="30"/>
  </w:num>
  <w:num w:numId="6">
    <w:abstractNumId w:val="35"/>
  </w:num>
  <w:num w:numId="7">
    <w:abstractNumId w:val="7"/>
  </w:num>
  <w:num w:numId="8">
    <w:abstractNumId w:val="36"/>
  </w:num>
  <w:num w:numId="9">
    <w:abstractNumId w:val="0"/>
  </w:num>
  <w:num w:numId="10">
    <w:abstractNumId w:val="14"/>
  </w:num>
  <w:num w:numId="11">
    <w:abstractNumId w:val="29"/>
  </w:num>
  <w:num w:numId="12">
    <w:abstractNumId w:val="11"/>
  </w:num>
  <w:num w:numId="13">
    <w:abstractNumId w:val="24"/>
  </w:num>
  <w:num w:numId="14">
    <w:abstractNumId w:val="25"/>
  </w:num>
  <w:num w:numId="15">
    <w:abstractNumId w:val="10"/>
  </w:num>
  <w:num w:numId="16">
    <w:abstractNumId w:val="31"/>
  </w:num>
  <w:num w:numId="17">
    <w:abstractNumId w:val="15"/>
  </w:num>
  <w:num w:numId="18">
    <w:abstractNumId w:val="12"/>
  </w:num>
  <w:num w:numId="19">
    <w:abstractNumId w:val="26"/>
  </w:num>
  <w:num w:numId="20">
    <w:abstractNumId w:val="19"/>
  </w:num>
  <w:num w:numId="21">
    <w:abstractNumId w:val="2"/>
  </w:num>
  <w:num w:numId="22">
    <w:abstractNumId w:val="4"/>
  </w:num>
  <w:num w:numId="23">
    <w:abstractNumId w:val="8"/>
  </w:num>
  <w:num w:numId="24">
    <w:abstractNumId w:val="20"/>
  </w:num>
  <w:num w:numId="25">
    <w:abstractNumId w:val="32"/>
  </w:num>
  <w:num w:numId="26">
    <w:abstractNumId w:val="3"/>
  </w:num>
  <w:num w:numId="27">
    <w:abstractNumId w:val="28"/>
  </w:num>
  <w:num w:numId="28">
    <w:abstractNumId w:val="13"/>
  </w:num>
  <w:num w:numId="29">
    <w:abstractNumId w:val="27"/>
  </w:num>
  <w:num w:numId="30">
    <w:abstractNumId w:val="9"/>
  </w:num>
  <w:num w:numId="31">
    <w:abstractNumId w:val="33"/>
  </w:num>
  <w:num w:numId="32">
    <w:abstractNumId w:val="17"/>
  </w:num>
  <w:num w:numId="33">
    <w:abstractNumId w:val="23"/>
  </w:num>
  <w:num w:numId="34">
    <w:abstractNumId w:val="21"/>
  </w:num>
  <w:num w:numId="35">
    <w:abstractNumId w:val="18"/>
  </w:num>
  <w:num w:numId="36">
    <w:abstractNumId w:val="5"/>
  </w:num>
  <w:num w:numId="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DF"/>
    <w:rsid w:val="00030D13"/>
    <w:rsid w:val="00036A20"/>
    <w:rsid w:val="000A7D5B"/>
    <w:rsid w:val="000C00FF"/>
    <w:rsid w:val="000C4850"/>
    <w:rsid w:val="000D11C7"/>
    <w:rsid w:val="00104915"/>
    <w:rsid w:val="00153D1B"/>
    <w:rsid w:val="00173756"/>
    <w:rsid w:val="001838B0"/>
    <w:rsid w:val="00196192"/>
    <w:rsid w:val="001975D6"/>
    <w:rsid w:val="002116A0"/>
    <w:rsid w:val="002207F8"/>
    <w:rsid w:val="002236B9"/>
    <w:rsid w:val="00227F64"/>
    <w:rsid w:val="00245E47"/>
    <w:rsid w:val="00262BBE"/>
    <w:rsid w:val="002A6CCD"/>
    <w:rsid w:val="0036048F"/>
    <w:rsid w:val="00395BDF"/>
    <w:rsid w:val="00404E4B"/>
    <w:rsid w:val="00410BDF"/>
    <w:rsid w:val="004371B0"/>
    <w:rsid w:val="00475F64"/>
    <w:rsid w:val="00475FCD"/>
    <w:rsid w:val="005008E9"/>
    <w:rsid w:val="00597918"/>
    <w:rsid w:val="005A6968"/>
    <w:rsid w:val="005E0318"/>
    <w:rsid w:val="005F0270"/>
    <w:rsid w:val="006012CB"/>
    <w:rsid w:val="006360C4"/>
    <w:rsid w:val="006A40B4"/>
    <w:rsid w:val="006D7A9B"/>
    <w:rsid w:val="006F3D3B"/>
    <w:rsid w:val="00720D67"/>
    <w:rsid w:val="00785E4E"/>
    <w:rsid w:val="00790520"/>
    <w:rsid w:val="007906C6"/>
    <w:rsid w:val="0079309D"/>
    <w:rsid w:val="008277A6"/>
    <w:rsid w:val="008538ED"/>
    <w:rsid w:val="008746A5"/>
    <w:rsid w:val="009002FA"/>
    <w:rsid w:val="0090154B"/>
    <w:rsid w:val="009C69C5"/>
    <w:rsid w:val="00B064E2"/>
    <w:rsid w:val="00B25066"/>
    <w:rsid w:val="00B83F9B"/>
    <w:rsid w:val="00BB0813"/>
    <w:rsid w:val="00C50AB2"/>
    <w:rsid w:val="00CA2F05"/>
    <w:rsid w:val="00CA526E"/>
    <w:rsid w:val="00CC2100"/>
    <w:rsid w:val="00CF5486"/>
    <w:rsid w:val="00CF7372"/>
    <w:rsid w:val="00D1575F"/>
    <w:rsid w:val="00D22611"/>
    <w:rsid w:val="00D313F3"/>
    <w:rsid w:val="00D42FA3"/>
    <w:rsid w:val="00D50B86"/>
    <w:rsid w:val="00E77D13"/>
    <w:rsid w:val="00EF01F3"/>
    <w:rsid w:val="00F42407"/>
    <w:rsid w:val="00F8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0D6922"/>
  <w15:docId w15:val="{348897DE-70C5-41D1-852F-211F4C16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80"/>
      <w:ind w:left="100" w:hanging="720"/>
      <w:outlineLvl w:val="0"/>
    </w:pPr>
    <w:rPr>
      <w:b/>
      <w:bCs/>
      <w:sz w:val="24"/>
      <w:szCs w:val="24"/>
    </w:rPr>
  </w:style>
  <w:style w:type="paragraph" w:styleId="2">
    <w:name w:val="heading 2"/>
    <w:basedOn w:val="a"/>
    <w:uiPriority w:val="1"/>
    <w:qFormat/>
    <w:pPr>
      <w:ind w:left="213"/>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820"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313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13F3"/>
    <w:rPr>
      <w:rFonts w:asciiTheme="majorHAnsi" w:eastAsiaTheme="majorEastAsia" w:hAnsiTheme="majorHAnsi" w:cstheme="majorBidi"/>
      <w:sz w:val="18"/>
      <w:szCs w:val="18"/>
    </w:rPr>
  </w:style>
  <w:style w:type="character" w:styleId="a7">
    <w:name w:val="annotation reference"/>
    <w:basedOn w:val="a0"/>
    <w:uiPriority w:val="99"/>
    <w:semiHidden/>
    <w:unhideWhenUsed/>
    <w:rsid w:val="008538ED"/>
    <w:rPr>
      <w:sz w:val="18"/>
      <w:szCs w:val="18"/>
    </w:rPr>
  </w:style>
  <w:style w:type="paragraph" w:styleId="a8">
    <w:name w:val="annotation text"/>
    <w:basedOn w:val="a"/>
    <w:link w:val="a9"/>
    <w:uiPriority w:val="99"/>
    <w:semiHidden/>
    <w:unhideWhenUsed/>
    <w:rsid w:val="008538ED"/>
  </w:style>
  <w:style w:type="character" w:customStyle="1" w:styleId="a9">
    <w:name w:val="コメント文字列 (文字)"/>
    <w:basedOn w:val="a0"/>
    <w:link w:val="a8"/>
    <w:uiPriority w:val="99"/>
    <w:semiHidden/>
    <w:rsid w:val="008538ED"/>
    <w:rPr>
      <w:rFonts w:ascii="Arial" w:eastAsia="ＭＳ Ｐゴシック" w:hAnsi="Arial" w:cs="Arial"/>
    </w:rPr>
  </w:style>
  <w:style w:type="paragraph" w:styleId="aa">
    <w:name w:val="annotation subject"/>
    <w:basedOn w:val="a8"/>
    <w:next w:val="a8"/>
    <w:link w:val="ab"/>
    <w:uiPriority w:val="99"/>
    <w:semiHidden/>
    <w:unhideWhenUsed/>
    <w:rsid w:val="008538ED"/>
    <w:rPr>
      <w:b/>
      <w:bCs/>
    </w:rPr>
  </w:style>
  <w:style w:type="character" w:customStyle="1" w:styleId="ab">
    <w:name w:val="コメント内容 (文字)"/>
    <w:basedOn w:val="a9"/>
    <w:link w:val="aa"/>
    <w:uiPriority w:val="99"/>
    <w:semiHidden/>
    <w:rsid w:val="008538ED"/>
    <w:rPr>
      <w:rFonts w:ascii="Arial" w:eastAsia="ＭＳ Ｐゴシック" w:hAnsi="Arial" w:cs="Arial"/>
      <w:b/>
      <w:bCs/>
    </w:rPr>
  </w:style>
  <w:style w:type="paragraph" w:styleId="ac">
    <w:name w:val="header"/>
    <w:basedOn w:val="a"/>
    <w:link w:val="ad"/>
    <w:uiPriority w:val="99"/>
    <w:unhideWhenUsed/>
    <w:rsid w:val="001838B0"/>
    <w:pPr>
      <w:tabs>
        <w:tab w:val="center" w:pos="4252"/>
        <w:tab w:val="right" w:pos="8504"/>
      </w:tabs>
      <w:snapToGrid w:val="0"/>
    </w:pPr>
  </w:style>
  <w:style w:type="character" w:customStyle="1" w:styleId="ad">
    <w:name w:val="ヘッダー (文字)"/>
    <w:basedOn w:val="a0"/>
    <w:link w:val="ac"/>
    <w:uiPriority w:val="99"/>
    <w:rsid w:val="001838B0"/>
    <w:rPr>
      <w:rFonts w:ascii="Arial" w:eastAsia="ＭＳ Ｐゴシック" w:hAnsi="Arial" w:cs="Arial"/>
    </w:rPr>
  </w:style>
  <w:style w:type="paragraph" w:styleId="ae">
    <w:name w:val="footer"/>
    <w:basedOn w:val="a"/>
    <w:link w:val="af"/>
    <w:uiPriority w:val="99"/>
    <w:unhideWhenUsed/>
    <w:rsid w:val="001838B0"/>
    <w:pPr>
      <w:tabs>
        <w:tab w:val="center" w:pos="4252"/>
        <w:tab w:val="right" w:pos="8504"/>
      </w:tabs>
      <w:snapToGrid w:val="0"/>
    </w:pPr>
  </w:style>
  <w:style w:type="character" w:customStyle="1" w:styleId="af">
    <w:name w:val="フッター (文字)"/>
    <w:basedOn w:val="a0"/>
    <w:link w:val="ae"/>
    <w:uiPriority w:val="99"/>
    <w:rsid w:val="001838B0"/>
    <w:rPr>
      <w:rFonts w:ascii="Arial" w:eastAsia="ＭＳ Ｐゴシック"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europa.eu/eurostat/statistics-explained/index.php?title=Archive%3AAgri%20environmental_indicator_greenhouse_gas_emission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europa.eu/eurostat/statistics-explained/index.php?title=Archive%3AAgri%20environmental_indicator_greenhouse_gas_emissions" TargetMode="External"/><Relationship Id="rId12" Type="http://schemas.microsoft.com/office/2016/09/relationships/commentsIds" Target="commentsIds.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olfarmt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6617</Words>
  <Characters>37717</Characters>
  <Application>Microsoft Office Word</Application>
  <DocSecurity>0</DocSecurity>
  <Lines>314</Lines>
  <Paragraphs>88</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44246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cp:lastPrinted>2020-12-01T06:05:00Z</cp:lastPrinted>
  <dcterms:created xsi:type="dcterms:W3CDTF">2021-01-28T02:18:00Z</dcterms:created>
  <dcterms:modified xsi:type="dcterms:W3CDTF">2021-01-28T02:18:00Z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