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A5404" w14:textId="77777777" w:rsidR="002B3AD5" w:rsidRDefault="00D66CD0">
      <w:pPr>
        <w:spacing w:before="61" w:line="354" w:lineRule="exact"/>
        <w:ind w:left="2189"/>
        <w:rPr>
          <w:sz w:val="34"/>
          <w:lang w:eastAsia="ja-JP"/>
        </w:rPr>
      </w:pPr>
      <w:r>
        <w:rPr>
          <w:noProof/>
          <w:lang w:val="en-US" w:eastAsia="ja-JP"/>
        </w:rPr>
        <w:drawing>
          <wp:anchor distT="0" distB="0" distL="0" distR="0" simplePos="0" relativeHeight="251650048" behindDoc="0" locked="0" layoutInCell="1" allowOverlap="1" wp14:anchorId="095A58E6" wp14:editId="095A58E7">
            <wp:simplePos x="0" y="0"/>
            <wp:positionH relativeFrom="page">
              <wp:posOffset>732667</wp:posOffset>
            </wp:positionH>
            <wp:positionV relativeFrom="paragraph">
              <wp:posOffset>27627</wp:posOffset>
            </wp:positionV>
            <wp:extent cx="781512" cy="5370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1512" cy="537098"/>
                    </a:xfrm>
                    <a:prstGeom prst="rect">
                      <a:avLst/>
                    </a:prstGeom>
                  </pic:spPr>
                </pic:pic>
              </a:graphicData>
            </a:graphic>
          </wp:anchor>
        </w:drawing>
      </w:r>
      <w:r>
        <w:rPr>
          <w:color w:val="494F82"/>
          <w:w w:val="75"/>
          <w:sz w:val="34"/>
          <w:lang w:eastAsia="ja-JP"/>
        </w:rPr>
        <w:t>EU技術専門家グループON</w:t>
      </w:r>
    </w:p>
    <w:p w14:paraId="095A5405" w14:textId="77777777" w:rsidR="002B3AD5" w:rsidRDefault="00D66CD0">
      <w:pPr>
        <w:spacing w:line="561" w:lineRule="exact"/>
        <w:ind w:left="2183"/>
        <w:rPr>
          <w:sz w:val="52"/>
          <w:lang w:eastAsia="ja-JP"/>
        </w:rPr>
      </w:pPr>
      <w:r>
        <w:rPr>
          <w:color w:val="364180"/>
          <w:w w:val="75"/>
          <w:sz w:val="52"/>
          <w:lang w:eastAsia="ja-JP"/>
        </w:rPr>
        <w:t>持続可能な金融</w:t>
      </w:r>
    </w:p>
    <w:p w14:paraId="095A5406" w14:textId="77777777" w:rsidR="002B3AD5" w:rsidRDefault="002B3AD5">
      <w:pPr>
        <w:pStyle w:val="a3"/>
        <w:rPr>
          <w:lang w:eastAsia="ja-JP"/>
        </w:rPr>
      </w:pPr>
    </w:p>
    <w:p w14:paraId="095A5407" w14:textId="77777777" w:rsidR="002B3AD5" w:rsidRDefault="00D66CD0">
      <w:pPr>
        <w:pStyle w:val="a3"/>
        <w:spacing w:before="7"/>
        <w:rPr>
          <w:sz w:val="27"/>
          <w:lang w:eastAsia="ja-JP"/>
        </w:rPr>
      </w:pPr>
      <w:r>
        <w:rPr>
          <w:noProof/>
          <w:lang w:val="en-US" w:eastAsia="ja-JP"/>
        </w:rPr>
        <w:drawing>
          <wp:anchor distT="0" distB="0" distL="0" distR="0" simplePos="0" relativeHeight="251651072" behindDoc="0" locked="0" layoutInCell="1" allowOverlap="1" wp14:anchorId="095A58E8" wp14:editId="095A58E9">
            <wp:simplePos x="0" y="0"/>
            <wp:positionH relativeFrom="page">
              <wp:posOffset>296119</wp:posOffset>
            </wp:positionH>
            <wp:positionV relativeFrom="paragraph">
              <wp:posOffset>226967</wp:posOffset>
            </wp:positionV>
            <wp:extent cx="7189742" cy="72908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189742" cy="7290816"/>
                    </a:xfrm>
                    <a:prstGeom prst="rect">
                      <a:avLst/>
                    </a:prstGeom>
                  </pic:spPr>
                </pic:pic>
              </a:graphicData>
            </a:graphic>
          </wp:anchor>
        </w:drawing>
      </w:r>
    </w:p>
    <w:p w14:paraId="095A5408" w14:textId="703C4AF9" w:rsidR="002B3AD5" w:rsidRDefault="00D66CD0">
      <w:pPr>
        <w:spacing w:before="451" w:line="535" w:lineRule="auto"/>
        <w:ind w:left="5356" w:right="2283" w:hanging="2443"/>
        <w:rPr>
          <w:sz w:val="19"/>
          <w:lang w:eastAsia="ja-JP"/>
        </w:rPr>
      </w:pPr>
      <w:r>
        <w:rPr>
          <w:w w:val="110"/>
          <w:sz w:val="19"/>
          <w:lang w:eastAsia="ja-JP"/>
        </w:rPr>
        <w:t>方法論の更新と技術スクリーニング基準の更新</w:t>
      </w:r>
      <w:r w:rsidR="00BF6216">
        <w:rPr>
          <w:rFonts w:hint="eastAsia"/>
          <w:w w:val="110"/>
          <w:sz w:val="19"/>
          <w:lang w:eastAsia="ja-JP"/>
        </w:rPr>
        <w:t xml:space="preserve">　</w:t>
      </w:r>
      <w:r w:rsidR="00BF6216" w:rsidRPr="00BF6216">
        <w:rPr>
          <w:rFonts w:hint="eastAsia"/>
          <w:w w:val="110"/>
          <w:sz w:val="19"/>
          <w:lang w:eastAsia="ja-JP"/>
        </w:rPr>
        <w:t>2020年3</w:t>
      </w:r>
      <w:r w:rsidR="00BF6216">
        <w:rPr>
          <w:rFonts w:hint="eastAsia"/>
          <w:w w:val="110"/>
          <w:sz w:val="19"/>
          <w:lang w:eastAsia="ja-JP"/>
        </w:rPr>
        <w:t>月</w:t>
      </w:r>
    </w:p>
    <w:p w14:paraId="095A5409" w14:textId="77777777" w:rsidR="002B3AD5" w:rsidRDefault="002B3AD5">
      <w:pPr>
        <w:spacing w:line="535" w:lineRule="auto"/>
        <w:rPr>
          <w:sz w:val="19"/>
          <w:lang w:eastAsia="ja-JP"/>
        </w:rPr>
        <w:sectPr w:rsidR="002B3AD5">
          <w:type w:val="continuous"/>
          <w:pgSz w:w="12240" w:h="15840"/>
          <w:pgMar w:top="840" w:right="320" w:bottom="280" w:left="360" w:header="720" w:footer="720" w:gutter="0"/>
          <w:cols w:space="720"/>
        </w:sectPr>
      </w:pPr>
    </w:p>
    <w:p w14:paraId="095A540A" w14:textId="77777777" w:rsidR="002B3AD5" w:rsidRDefault="00D66CD0">
      <w:pPr>
        <w:pStyle w:val="1"/>
        <w:rPr>
          <w:lang w:eastAsia="ja-JP"/>
        </w:rPr>
      </w:pPr>
      <w:r>
        <w:rPr>
          <w:color w:val="30A2A9"/>
          <w:lang w:eastAsia="ja-JP"/>
        </w:rPr>
        <w:lastRenderedPageBreak/>
        <w:t>本報告書について</w:t>
      </w:r>
    </w:p>
    <w:p w14:paraId="095A540B" w14:textId="77777777" w:rsidR="002B3AD5" w:rsidRDefault="00D66CD0">
      <w:pPr>
        <w:pStyle w:val="a3"/>
        <w:spacing w:before="364" w:line="276" w:lineRule="auto"/>
        <w:ind w:left="1080" w:right="1152"/>
        <w:rPr>
          <w:lang w:eastAsia="ja-JP"/>
        </w:rPr>
      </w:pPr>
      <w:r>
        <w:rPr>
          <w:lang w:eastAsia="ja-JP"/>
        </w:rPr>
        <w:t>本文書は、2019年6月の報告書から改訂されたPart B: Methodologyと、最新版のPart F:技術的スクリーニング基準の全リストを含んでいる。 2019年6月の報告書のその他の原文は、2019年6月の報告書に記載されているとおりである。</w:t>
      </w:r>
    </w:p>
    <w:p w14:paraId="095A540C" w14:textId="77777777" w:rsidR="002B3AD5" w:rsidRDefault="002B3AD5">
      <w:pPr>
        <w:pStyle w:val="a3"/>
        <w:spacing w:before="11"/>
        <w:rPr>
          <w:lang w:eastAsia="ja-JP"/>
        </w:rPr>
      </w:pPr>
    </w:p>
    <w:tbl>
      <w:tblPr>
        <w:tblStyle w:val="TableNormal"/>
        <w:tblW w:w="0" w:type="auto"/>
        <w:tblInd w:w="109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989"/>
        <w:gridCol w:w="8075"/>
      </w:tblGrid>
      <w:tr w:rsidR="002B3AD5" w14:paraId="095A540F" w14:textId="77777777">
        <w:trPr>
          <w:trHeight w:val="1154"/>
        </w:trPr>
        <w:tc>
          <w:tcPr>
            <w:tcW w:w="989" w:type="dxa"/>
            <w:shd w:val="clear" w:color="auto" w:fill="F1F1F1"/>
          </w:tcPr>
          <w:p w14:paraId="095A540D" w14:textId="77777777" w:rsidR="002B3AD5" w:rsidRDefault="00D66CD0">
            <w:pPr>
              <w:pStyle w:val="TableParagraph"/>
              <w:spacing w:before="119"/>
              <w:rPr>
                <w:sz w:val="20"/>
              </w:rPr>
            </w:pPr>
            <w:proofErr w:type="spellStart"/>
            <w:r>
              <w:rPr>
                <w:sz w:val="20"/>
              </w:rPr>
              <w:t>パートA</w:t>
            </w:r>
            <w:proofErr w:type="spellEnd"/>
          </w:p>
        </w:tc>
        <w:tc>
          <w:tcPr>
            <w:tcW w:w="8075" w:type="dxa"/>
            <w:shd w:val="clear" w:color="auto" w:fill="F1F1F1"/>
          </w:tcPr>
          <w:p w14:paraId="095A540E" w14:textId="4AC042A6" w:rsidR="002B3AD5" w:rsidRDefault="002F5B54">
            <w:pPr>
              <w:pStyle w:val="TableParagraph"/>
              <w:spacing w:before="119" w:line="276" w:lineRule="auto"/>
              <w:ind w:right="156"/>
              <w:jc w:val="both"/>
              <w:rPr>
                <w:sz w:val="20"/>
                <w:lang w:eastAsia="ja-JP"/>
              </w:rPr>
            </w:pPr>
            <w:r>
              <w:rPr>
                <w:sz w:val="20"/>
                <w:lang w:eastAsia="ja-JP"/>
              </w:rPr>
              <w:t>タクソノミー</w:t>
            </w:r>
            <w:r w:rsidR="00D66CD0">
              <w:rPr>
                <w:sz w:val="20"/>
                <w:lang w:eastAsia="ja-JP"/>
              </w:rPr>
              <w:t>的アプローチの説明。 このセクションでは、欧州における持続可能な金融の役割と重要性を、政策と投資の観点、EU</w:t>
            </w:r>
            <w:r>
              <w:rPr>
                <w:sz w:val="20"/>
                <w:lang w:eastAsia="ja-JP"/>
              </w:rPr>
              <w:t>タクソノミー</w:t>
            </w:r>
            <w:r w:rsidR="00D66CD0">
              <w:rPr>
                <w:sz w:val="20"/>
                <w:lang w:eastAsia="ja-JP"/>
              </w:rPr>
              <w:t>の発展の理論的根拠、ダフト規制、TEGのマンデートから説明する。</w:t>
            </w:r>
          </w:p>
        </w:tc>
      </w:tr>
      <w:tr w:rsidR="002B3AD5" w14:paraId="095A5413" w14:textId="77777777">
        <w:trPr>
          <w:trHeight w:val="1418"/>
        </w:trPr>
        <w:tc>
          <w:tcPr>
            <w:tcW w:w="989" w:type="dxa"/>
          </w:tcPr>
          <w:p w14:paraId="095A5410" w14:textId="4CC9ADD9" w:rsidR="002B3AD5" w:rsidRDefault="002F5B54">
            <w:pPr>
              <w:pStyle w:val="TableParagraph"/>
              <w:spacing w:before="120"/>
              <w:rPr>
                <w:b/>
                <w:sz w:val="20"/>
              </w:rPr>
            </w:pPr>
            <w:r>
              <w:rPr>
                <w:rFonts w:hint="eastAsia"/>
                <w:b/>
                <w:sz w:val="20"/>
                <w:lang w:eastAsia="ja-JP"/>
              </w:rPr>
              <w:t>パート</w:t>
            </w:r>
            <w:r w:rsidR="00D66CD0">
              <w:rPr>
                <w:b/>
                <w:sz w:val="20"/>
              </w:rPr>
              <w:t>B</w:t>
            </w:r>
          </w:p>
        </w:tc>
        <w:tc>
          <w:tcPr>
            <w:tcW w:w="8075" w:type="dxa"/>
          </w:tcPr>
          <w:p w14:paraId="095A5411" w14:textId="07A28120" w:rsidR="002B3AD5" w:rsidRDefault="00D66CD0">
            <w:pPr>
              <w:pStyle w:val="TableParagraph"/>
              <w:spacing w:before="120" w:line="276" w:lineRule="auto"/>
              <w:ind w:right="150"/>
              <w:jc w:val="both"/>
              <w:rPr>
                <w:b/>
                <w:sz w:val="20"/>
                <w:lang w:eastAsia="ja-JP"/>
              </w:rPr>
            </w:pPr>
            <w:r>
              <w:rPr>
                <w:b/>
                <w:sz w:val="20"/>
                <w:lang w:eastAsia="ja-JP"/>
              </w:rPr>
              <w:t>本稿では、気候変動緩和目標、適応目標、および法案の他の環境目標に対する「重大な害を及ぼさない」ための技術的スクリーニング</w:t>
            </w:r>
            <w:r w:rsidR="002F5B54">
              <w:rPr>
                <w:rFonts w:hint="eastAsia"/>
                <w:b/>
                <w:sz w:val="20"/>
                <w:lang w:eastAsia="ja-JP"/>
              </w:rPr>
              <w:t>(DNSH)</w:t>
            </w:r>
            <w:r>
              <w:rPr>
                <w:b/>
                <w:sz w:val="20"/>
                <w:lang w:eastAsia="ja-JP"/>
              </w:rPr>
              <w:t>基準を策定するための方法論について説明する。</w:t>
            </w:r>
          </w:p>
          <w:p w14:paraId="095A5412" w14:textId="7BB2901B" w:rsidR="002B3AD5" w:rsidRDefault="00D66CD0">
            <w:pPr>
              <w:pStyle w:val="TableParagraph"/>
              <w:spacing w:before="1"/>
              <w:jc w:val="both"/>
              <w:rPr>
                <w:b/>
                <w:sz w:val="20"/>
                <w:lang w:eastAsia="ja-JP"/>
              </w:rPr>
            </w:pPr>
            <w:r>
              <w:rPr>
                <w:b/>
                <w:sz w:val="20"/>
                <w:lang w:eastAsia="ja-JP"/>
              </w:rPr>
              <w:t>こ</w:t>
            </w:r>
            <w:r w:rsidR="002F5B54">
              <w:rPr>
                <w:rFonts w:hint="eastAsia"/>
                <w:b/>
                <w:sz w:val="20"/>
                <w:lang w:eastAsia="ja-JP"/>
              </w:rPr>
              <w:t>の部分</w:t>
            </w:r>
            <w:r>
              <w:rPr>
                <w:b/>
                <w:sz w:val="20"/>
                <w:lang w:eastAsia="ja-JP"/>
              </w:rPr>
              <w:t>は2019年</w:t>
            </w:r>
            <w:r w:rsidR="002F5B54">
              <w:rPr>
                <w:rFonts w:hint="eastAsia"/>
                <w:b/>
                <w:sz w:val="20"/>
                <w:lang w:eastAsia="ja-JP"/>
              </w:rPr>
              <w:t>版</w:t>
            </w:r>
            <w:r>
              <w:rPr>
                <w:b/>
                <w:sz w:val="20"/>
                <w:lang w:eastAsia="ja-JP"/>
              </w:rPr>
              <w:t>から</w:t>
            </w:r>
            <w:r w:rsidR="002F5B54">
              <w:rPr>
                <w:rFonts w:hint="eastAsia"/>
                <w:b/>
                <w:sz w:val="20"/>
                <w:lang w:eastAsia="ja-JP"/>
              </w:rPr>
              <w:t>アップデート</w:t>
            </w:r>
            <w:r>
              <w:rPr>
                <w:b/>
                <w:sz w:val="20"/>
                <w:lang w:eastAsia="ja-JP"/>
              </w:rPr>
              <w:t>されている。</w:t>
            </w:r>
          </w:p>
        </w:tc>
      </w:tr>
      <w:tr w:rsidR="002B3AD5" w14:paraId="095A5416" w14:textId="77777777">
        <w:trPr>
          <w:trHeight w:val="887"/>
        </w:trPr>
        <w:tc>
          <w:tcPr>
            <w:tcW w:w="989" w:type="dxa"/>
            <w:shd w:val="clear" w:color="auto" w:fill="F1F1F1"/>
          </w:tcPr>
          <w:p w14:paraId="095A5414" w14:textId="77777777" w:rsidR="002B3AD5" w:rsidRDefault="00D66CD0">
            <w:pPr>
              <w:pStyle w:val="TableParagraph"/>
              <w:spacing w:before="119"/>
              <w:rPr>
                <w:sz w:val="20"/>
              </w:rPr>
            </w:pPr>
            <w:proofErr w:type="spellStart"/>
            <w:r>
              <w:rPr>
                <w:sz w:val="20"/>
              </w:rPr>
              <w:t>パートC</w:t>
            </w:r>
            <w:proofErr w:type="spellEnd"/>
          </w:p>
        </w:tc>
        <w:tc>
          <w:tcPr>
            <w:tcW w:w="8075" w:type="dxa"/>
            <w:shd w:val="clear" w:color="auto" w:fill="F1F1F1"/>
          </w:tcPr>
          <w:p w14:paraId="095A5415" w14:textId="5AD778DA" w:rsidR="002B3AD5" w:rsidRDefault="002F5B54">
            <w:pPr>
              <w:pStyle w:val="TableParagraph"/>
              <w:spacing w:before="119" w:line="276" w:lineRule="auto"/>
              <w:ind w:right="656"/>
              <w:rPr>
                <w:sz w:val="20"/>
                <w:lang w:eastAsia="ja-JP"/>
              </w:rPr>
            </w:pPr>
            <w:r>
              <w:rPr>
                <w:sz w:val="20"/>
                <w:lang w:eastAsia="ja-JP"/>
              </w:rPr>
              <w:t>タクソノミー</w:t>
            </w:r>
            <w:r w:rsidR="00D66CD0">
              <w:rPr>
                <w:sz w:val="20"/>
                <w:lang w:eastAsia="ja-JP"/>
              </w:rPr>
              <w:t>ユーザとユースケース分析。 このセクションでは、事例研究を含め、</w:t>
            </w:r>
            <w:r>
              <w:rPr>
                <w:sz w:val="20"/>
                <w:lang w:eastAsia="ja-JP"/>
              </w:rPr>
              <w:t>タクソノミー</w:t>
            </w:r>
            <w:r w:rsidR="00D66CD0">
              <w:rPr>
                <w:sz w:val="20"/>
                <w:lang w:eastAsia="ja-JP"/>
              </w:rPr>
              <w:t>の潜在的利用者に対する実用的なガイダンスを提供する。</w:t>
            </w:r>
          </w:p>
        </w:tc>
      </w:tr>
      <w:tr w:rsidR="002B3AD5" w14:paraId="095A5419" w14:textId="77777777">
        <w:trPr>
          <w:trHeight w:val="890"/>
        </w:trPr>
        <w:tc>
          <w:tcPr>
            <w:tcW w:w="989" w:type="dxa"/>
            <w:shd w:val="clear" w:color="auto" w:fill="F1F1F1"/>
          </w:tcPr>
          <w:p w14:paraId="095A5417" w14:textId="77777777" w:rsidR="002B3AD5" w:rsidRDefault="00D66CD0">
            <w:pPr>
              <w:pStyle w:val="TableParagraph"/>
              <w:spacing w:before="119"/>
              <w:rPr>
                <w:sz w:val="20"/>
              </w:rPr>
            </w:pPr>
            <w:proofErr w:type="spellStart"/>
            <w:r>
              <w:rPr>
                <w:sz w:val="20"/>
              </w:rPr>
              <w:t>パートD</w:t>
            </w:r>
            <w:proofErr w:type="spellEnd"/>
          </w:p>
        </w:tc>
        <w:tc>
          <w:tcPr>
            <w:tcW w:w="8075" w:type="dxa"/>
            <w:shd w:val="clear" w:color="auto" w:fill="F1F1F1"/>
          </w:tcPr>
          <w:p w14:paraId="095A5418" w14:textId="2FE05CFB" w:rsidR="002B3AD5" w:rsidRDefault="002F5B54">
            <w:pPr>
              <w:pStyle w:val="TableParagraph"/>
              <w:spacing w:before="119" w:line="278" w:lineRule="auto"/>
              <w:ind w:right="501"/>
              <w:rPr>
                <w:sz w:val="20"/>
                <w:lang w:eastAsia="ja-JP"/>
              </w:rPr>
            </w:pPr>
            <w:r>
              <w:rPr>
                <w:sz w:val="20"/>
                <w:lang w:eastAsia="ja-JP"/>
              </w:rPr>
              <w:t>タクソノミー</w:t>
            </w:r>
            <w:r w:rsidR="00D66CD0">
              <w:rPr>
                <w:sz w:val="20"/>
                <w:lang w:eastAsia="ja-JP"/>
              </w:rPr>
              <w:t>の経済的影響。 このセクションでは、EU</w:t>
            </w:r>
            <w:r>
              <w:rPr>
                <w:sz w:val="20"/>
                <w:lang w:eastAsia="ja-JP"/>
              </w:rPr>
              <w:t>タクソノミー</w:t>
            </w:r>
            <w:r w:rsidR="00D66CD0">
              <w:rPr>
                <w:sz w:val="20"/>
                <w:lang w:eastAsia="ja-JP"/>
              </w:rPr>
              <w:t>を確立する際に起こりうる経済的影響に関するTEGの分析を示す。</w:t>
            </w:r>
          </w:p>
        </w:tc>
      </w:tr>
      <w:tr w:rsidR="002B3AD5" w14:paraId="095A541C" w14:textId="77777777">
        <w:trPr>
          <w:trHeight w:val="1154"/>
        </w:trPr>
        <w:tc>
          <w:tcPr>
            <w:tcW w:w="989" w:type="dxa"/>
            <w:shd w:val="clear" w:color="auto" w:fill="F1F1F1"/>
          </w:tcPr>
          <w:p w14:paraId="095A541A" w14:textId="77777777" w:rsidR="002B3AD5" w:rsidRDefault="00D66CD0">
            <w:pPr>
              <w:pStyle w:val="TableParagraph"/>
              <w:spacing w:before="120"/>
              <w:rPr>
                <w:sz w:val="20"/>
              </w:rPr>
            </w:pPr>
            <w:proofErr w:type="spellStart"/>
            <w:r>
              <w:rPr>
                <w:sz w:val="20"/>
              </w:rPr>
              <w:t>パートE</w:t>
            </w:r>
            <w:proofErr w:type="spellEnd"/>
          </w:p>
        </w:tc>
        <w:tc>
          <w:tcPr>
            <w:tcW w:w="8075" w:type="dxa"/>
            <w:shd w:val="clear" w:color="auto" w:fill="F1F1F1"/>
          </w:tcPr>
          <w:p w14:paraId="095A541B" w14:textId="554CFAF3" w:rsidR="002B3AD5" w:rsidRDefault="002F5B54">
            <w:pPr>
              <w:pStyle w:val="TableParagraph"/>
              <w:spacing w:before="120" w:line="276" w:lineRule="auto"/>
              <w:ind w:right="656"/>
              <w:rPr>
                <w:sz w:val="20"/>
                <w:lang w:eastAsia="ja-JP"/>
              </w:rPr>
            </w:pPr>
            <w:r>
              <w:rPr>
                <w:sz w:val="20"/>
                <w:lang w:eastAsia="ja-JP"/>
              </w:rPr>
              <w:t>タクソノミー</w:t>
            </w:r>
            <w:r w:rsidR="00D66CD0">
              <w:rPr>
                <w:sz w:val="20"/>
                <w:lang w:eastAsia="ja-JP"/>
              </w:rPr>
              <w:t>の次のステップ。 本節では、</w:t>
            </w:r>
            <w:r>
              <w:rPr>
                <w:sz w:val="20"/>
                <w:lang w:eastAsia="ja-JP"/>
              </w:rPr>
              <w:t>タクソノミー</w:t>
            </w:r>
            <w:r w:rsidR="00D66CD0">
              <w:rPr>
                <w:sz w:val="20"/>
                <w:lang w:eastAsia="ja-JP"/>
              </w:rPr>
              <w:t>の未解決の問題と、持続可能な金融に関するプラットフォームの技術的作業の前進の可能性について詳述する。</w:t>
            </w:r>
          </w:p>
        </w:tc>
      </w:tr>
      <w:tr w:rsidR="002B3AD5" w14:paraId="095A541F" w14:textId="77777777">
        <w:trPr>
          <w:trHeight w:val="1154"/>
        </w:trPr>
        <w:tc>
          <w:tcPr>
            <w:tcW w:w="989" w:type="dxa"/>
          </w:tcPr>
          <w:p w14:paraId="095A541D" w14:textId="77777777" w:rsidR="002B3AD5" w:rsidRDefault="00D66CD0">
            <w:pPr>
              <w:pStyle w:val="TableParagraph"/>
              <w:spacing w:before="119"/>
              <w:rPr>
                <w:b/>
                <w:sz w:val="20"/>
              </w:rPr>
            </w:pPr>
            <w:proofErr w:type="spellStart"/>
            <w:r>
              <w:rPr>
                <w:b/>
                <w:sz w:val="20"/>
              </w:rPr>
              <w:t>パートF</w:t>
            </w:r>
            <w:proofErr w:type="spellEnd"/>
          </w:p>
        </w:tc>
        <w:tc>
          <w:tcPr>
            <w:tcW w:w="8075" w:type="dxa"/>
          </w:tcPr>
          <w:p w14:paraId="095A541E" w14:textId="05442DDF" w:rsidR="002B3AD5" w:rsidRDefault="00D66CD0">
            <w:pPr>
              <w:pStyle w:val="TableParagraph"/>
              <w:spacing w:before="119" w:line="276" w:lineRule="auto"/>
              <w:rPr>
                <w:b/>
                <w:sz w:val="20"/>
                <w:lang w:eastAsia="ja-JP"/>
              </w:rPr>
            </w:pPr>
            <w:r>
              <w:rPr>
                <w:b/>
                <w:sz w:val="20"/>
                <w:lang w:eastAsia="ja-JP"/>
              </w:rPr>
              <w:t>技術的スクリーニング基準の完全なリスト。 この附属書は、TEGの分析のための部門別及び経済活動別の技術的スクリーニング基準及び理論的根拠を規定する。 これらは2019年</w:t>
            </w:r>
            <w:r w:rsidR="002F5B54">
              <w:rPr>
                <w:rFonts w:hint="eastAsia"/>
                <w:b/>
                <w:sz w:val="20"/>
                <w:lang w:eastAsia="ja-JP"/>
              </w:rPr>
              <w:t>版</w:t>
            </w:r>
            <w:r>
              <w:rPr>
                <w:b/>
                <w:sz w:val="20"/>
                <w:lang w:eastAsia="ja-JP"/>
              </w:rPr>
              <w:t>から</w:t>
            </w:r>
            <w:r w:rsidR="002F5B54">
              <w:rPr>
                <w:rFonts w:hint="eastAsia"/>
                <w:b/>
                <w:sz w:val="20"/>
                <w:lang w:eastAsia="ja-JP"/>
              </w:rPr>
              <w:t>アップデート</w:t>
            </w:r>
            <w:r>
              <w:rPr>
                <w:b/>
                <w:sz w:val="20"/>
                <w:lang w:eastAsia="ja-JP"/>
              </w:rPr>
              <w:t>されている。</w:t>
            </w:r>
          </w:p>
        </w:tc>
      </w:tr>
    </w:tbl>
    <w:p w14:paraId="095A5420" w14:textId="77777777" w:rsidR="002B3AD5" w:rsidRDefault="002B3AD5">
      <w:pPr>
        <w:pStyle w:val="a3"/>
        <w:rPr>
          <w:lang w:eastAsia="ja-JP"/>
        </w:rPr>
      </w:pPr>
    </w:p>
    <w:p w14:paraId="095A5421" w14:textId="77777777" w:rsidR="002B3AD5" w:rsidRDefault="002B3AD5">
      <w:pPr>
        <w:pStyle w:val="a3"/>
        <w:rPr>
          <w:lang w:eastAsia="ja-JP"/>
        </w:rPr>
      </w:pPr>
    </w:p>
    <w:p w14:paraId="095A5422" w14:textId="77777777" w:rsidR="002B3AD5" w:rsidRDefault="002B3AD5">
      <w:pPr>
        <w:pStyle w:val="a3"/>
        <w:rPr>
          <w:lang w:eastAsia="ja-JP"/>
        </w:rPr>
      </w:pPr>
    </w:p>
    <w:p w14:paraId="095A5423" w14:textId="71DCEB92" w:rsidR="002B3AD5" w:rsidRDefault="00C37D34">
      <w:pPr>
        <w:pStyle w:val="a3"/>
        <w:spacing w:before="6"/>
        <w:rPr>
          <w:lang w:eastAsia="ja-JP"/>
        </w:rPr>
      </w:pPr>
      <w:r>
        <w:rPr>
          <w:noProof/>
          <w:lang w:val="en-US" w:eastAsia="ja-JP"/>
        </w:rPr>
        <mc:AlternateContent>
          <mc:Choice Requires="wps">
            <w:drawing>
              <wp:anchor distT="0" distB="0" distL="0" distR="0" simplePos="0" relativeHeight="251654144" behindDoc="1" locked="0" layoutInCell="1" allowOverlap="1" wp14:anchorId="095A58EB" wp14:editId="3233374A">
                <wp:simplePos x="0" y="0"/>
                <wp:positionH relativeFrom="page">
                  <wp:posOffset>1428750</wp:posOffset>
                </wp:positionH>
                <wp:positionV relativeFrom="paragraph">
                  <wp:posOffset>165100</wp:posOffset>
                </wp:positionV>
                <wp:extent cx="4911090" cy="1329690"/>
                <wp:effectExtent l="0" t="0" r="3810" b="0"/>
                <wp:wrapTopAndBottom/>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132969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A5916" w14:textId="77777777" w:rsidR="00BF6216" w:rsidRDefault="00BF6216">
                            <w:pPr>
                              <w:pStyle w:val="a3"/>
                              <w:spacing w:before="4"/>
                              <w:rPr>
                                <w:sz w:val="17"/>
                              </w:rPr>
                            </w:pPr>
                          </w:p>
                          <w:p w14:paraId="095A5917" w14:textId="77777777" w:rsidR="00BF6216" w:rsidRDefault="00BF6216">
                            <w:pPr>
                              <w:ind w:left="3359"/>
                              <w:rPr>
                                <w:b/>
                                <w:sz w:val="20"/>
                                <w:lang w:eastAsia="ja-JP"/>
                              </w:rPr>
                            </w:pPr>
                            <w:r>
                              <w:rPr>
                                <w:b/>
                                <w:sz w:val="20"/>
                                <w:lang w:eastAsia="ja-JP"/>
                              </w:rPr>
                              <w:t>免責事項</w:t>
                            </w:r>
                          </w:p>
                          <w:p w14:paraId="095A5919" w14:textId="0F019C29" w:rsidR="00BF6216" w:rsidRDefault="00BF6216">
                            <w:pPr>
                              <w:pStyle w:val="a3"/>
                              <w:spacing w:line="276" w:lineRule="auto"/>
                              <w:ind w:left="150" w:right="56"/>
                              <w:rPr>
                                <w:lang w:eastAsia="ja-JP"/>
                              </w:rPr>
                            </w:pPr>
                            <w:r>
                              <w:rPr>
                                <w:lang w:eastAsia="ja-JP"/>
                              </w:rPr>
                              <w:t>この報告書は、技術専門家グループのメンバーの全体</w:t>
                            </w:r>
                            <w:r>
                              <w:rPr>
                                <w:rFonts w:hint="eastAsia"/>
                                <w:lang w:eastAsia="ja-JP"/>
                              </w:rPr>
                              <w:t>的な見方</w:t>
                            </w:r>
                            <w:r>
                              <w:rPr>
                                <w:lang w:eastAsia="ja-JP"/>
                              </w:rPr>
                              <w:t>を示しており、そのようなコンセンサスを表しているとはいえ、必ずしもすべての詳細について、メンバー機関又は専門家の個々の見解を表しているとは限らない。 本報告書に反映されている見解は、専門家の見解のみである。 本報告書は、欧州委員会またはそのサービスの見解を反映していない。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58EB" id="_x0000_t202" coordsize="21600,21600" o:spt="202" path="m,l,21600r21600,l21600,xe">
                <v:stroke joinstyle="miter"/>
                <v:path gradientshapeok="t" o:connecttype="rect"/>
              </v:shapetype>
              <v:shape id="Text Box 22" o:spid="_x0000_s1026" type="#_x0000_t202" style="position:absolute;margin-left:112.5pt;margin-top:13pt;width:386.7pt;height:104.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" fillcolor="#e7e6e6" stroked="f">
                <v:textbox inset="0,0,0,0">
                  <w:txbxContent>
                    <w:p w14:paraId="095A5916" w14:textId="77777777" w:rsidR="00BF6216" w:rsidRDefault="00BF6216">
                      <w:pPr>
                        <w:pStyle w:val="a3"/>
                        <w:spacing w:before="4"/>
                        <w:rPr>
                          <w:sz w:val="17"/>
                        </w:rPr>
                      </w:pPr>
                    </w:p>
                    <w:p w14:paraId="095A5917" w14:textId="77777777" w:rsidR="00BF6216" w:rsidRDefault="00BF6216">
                      <w:pPr>
                        <w:ind w:left="3359"/>
                        <w:rPr>
                          <w:b/>
                          <w:sz w:val="20"/>
                          <w:lang w:eastAsia="ja-JP"/>
                        </w:rPr>
                      </w:pPr>
                      <w:r>
                        <w:rPr>
                          <w:b/>
                          <w:sz w:val="20"/>
                          <w:lang w:eastAsia="ja-JP"/>
                        </w:rPr>
                        <w:t>免責事項</w:t>
                      </w:r>
                    </w:p>
                    <w:p w14:paraId="095A5919" w14:textId="0F019C29" w:rsidR="00BF6216" w:rsidRDefault="00BF6216">
                      <w:pPr>
                        <w:pStyle w:val="a3"/>
                        <w:spacing w:line="276" w:lineRule="auto"/>
                        <w:ind w:left="150" w:right="56"/>
                        <w:rPr>
                          <w:lang w:eastAsia="ja-JP"/>
                        </w:rPr>
                      </w:pPr>
                      <w:r>
                        <w:rPr>
                          <w:lang w:eastAsia="ja-JP"/>
                        </w:rPr>
                        <w:t>この報告書は、技術専門家グループのメンバーの全体</w:t>
                      </w:r>
                      <w:r>
                        <w:rPr>
                          <w:rFonts w:hint="eastAsia"/>
                          <w:lang w:eastAsia="ja-JP"/>
                        </w:rPr>
                        <w:t>的な見方</w:t>
                      </w:r>
                      <w:r>
                        <w:rPr>
                          <w:lang w:eastAsia="ja-JP"/>
                        </w:rPr>
                        <w:t>を示しており、そのようなコンセンサスを表しているとはいえ、必ずしもすべての詳細について、メンバー機関又は専門家の個々の見解を表しているとは限らない。 本報告書に反映されている見解は、専門家の見解のみである。 本報告書は、欧州委員会またはそのサービスの見解を反映していない。</w:t>
                      </w:r>
                    </w:p>
                  </w:txbxContent>
                </v:textbox>
                <w10:wrap type="topAndBottom" anchorx="page"/>
              </v:shape>
            </w:pict>
          </mc:Fallback>
        </mc:AlternateContent>
      </w:r>
    </w:p>
    <w:p w14:paraId="095A5424" w14:textId="77777777" w:rsidR="002B3AD5" w:rsidRDefault="002B3AD5">
      <w:pPr>
        <w:rPr>
          <w:lang w:eastAsia="ja-JP"/>
        </w:rPr>
        <w:sectPr w:rsidR="002B3AD5">
          <w:footerReference w:type="default" r:id="rId10"/>
          <w:pgSz w:w="12240" w:h="15840"/>
          <w:pgMar w:top="1360" w:right="320" w:bottom="1200" w:left="360" w:header="0" w:footer="1020" w:gutter="0"/>
          <w:pgNumType w:start="2"/>
          <w:cols w:space="720"/>
        </w:sectPr>
      </w:pPr>
    </w:p>
    <w:p w14:paraId="095A5425" w14:textId="77777777" w:rsidR="002B3AD5" w:rsidRDefault="00D66CD0">
      <w:pPr>
        <w:pStyle w:val="1"/>
        <w:spacing w:before="80"/>
        <w:rPr>
          <w:lang w:eastAsia="ja-JP"/>
        </w:rPr>
      </w:pPr>
      <w:r>
        <w:rPr>
          <w:color w:val="30A2A9"/>
          <w:lang w:eastAsia="ja-JP"/>
        </w:rPr>
        <w:lastRenderedPageBreak/>
        <w:t>目次</w:t>
      </w:r>
    </w:p>
    <w:p w14:paraId="095A5426" w14:textId="77777777" w:rsidR="002B3AD5" w:rsidRDefault="002B3AD5">
      <w:pPr>
        <w:rPr>
          <w:lang w:eastAsia="ja-JP"/>
        </w:rPr>
        <w:sectPr w:rsidR="002B3AD5">
          <w:pgSz w:w="12240" w:h="15840"/>
          <w:pgMar w:top="1360" w:right="320" w:bottom="1846" w:left="360" w:header="0" w:footer="1020" w:gutter="0"/>
          <w:cols w:space="720"/>
        </w:sectPr>
      </w:pPr>
    </w:p>
    <w:sdt>
      <w:sdtPr>
        <w:rPr>
          <w:rFonts w:ascii="Arial" w:hAnsi="Arial" w:cs="Arial"/>
          <w:sz w:val="20"/>
          <w:szCs w:val="20"/>
        </w:rPr>
        <w:id w:val="1376426936"/>
        <w:docPartObj>
          <w:docPartGallery w:val="Table of Contents"/>
          <w:docPartUnique/>
        </w:docPartObj>
      </w:sdtPr>
      <w:sdtEndPr/>
      <w:sdtContent>
        <w:p w14:paraId="095A5427" w14:textId="77777777" w:rsidR="002B3AD5" w:rsidRDefault="004339EC">
          <w:pPr>
            <w:pStyle w:val="20"/>
            <w:tabs>
              <w:tab w:val="left" w:leader="dot" w:pos="9779"/>
            </w:tabs>
            <w:spacing w:before="366"/>
            <w:rPr>
              <w:lang w:eastAsia="ja-JP"/>
            </w:rPr>
          </w:pPr>
          <w:hyperlink w:anchor="_bookmark0" w:history="1">
            <w:r w:rsidR="00D66CD0">
              <w:rPr>
                <w:color w:val="30A2A9"/>
                <w:lang w:eastAsia="ja-JP"/>
              </w:rPr>
              <w:t>メソッドステートメント</w:t>
            </w:r>
            <w:r w:rsidR="00D66CD0">
              <w:rPr>
                <w:color w:val="30A2A9"/>
                <w:lang w:eastAsia="ja-JP"/>
              </w:rPr>
              <w:tab/>
              <w:t>10</w:t>
            </w:r>
          </w:hyperlink>
        </w:p>
        <w:p w14:paraId="095A5428" w14:textId="77777777" w:rsidR="002B3AD5" w:rsidRDefault="004339EC">
          <w:pPr>
            <w:pStyle w:val="30"/>
            <w:numPr>
              <w:ilvl w:val="0"/>
              <w:numId w:val="30"/>
            </w:numPr>
            <w:tabs>
              <w:tab w:val="left" w:pos="1961"/>
              <w:tab w:val="left" w:pos="1962"/>
              <w:tab w:val="left" w:leader="dot" w:pos="9875"/>
            </w:tabs>
            <w:spacing w:before="170"/>
            <w:rPr>
              <w:lang w:eastAsia="ja-JP"/>
            </w:rPr>
          </w:pPr>
          <w:hyperlink w:anchor="_bookmark1" w:history="1">
            <w:r w:rsidR="00D66CD0">
              <w:rPr>
                <w:color w:val="2951C1"/>
                <w:lang w:eastAsia="ja-JP"/>
              </w:rPr>
              <w:t>気候変動緩和への実質的な貢献</w:t>
            </w:r>
            <w:r w:rsidR="00D66CD0">
              <w:rPr>
                <w:color w:val="2951C1"/>
                <w:lang w:eastAsia="ja-JP"/>
              </w:rPr>
              <w:tab/>
              <w:t>10</w:t>
            </w:r>
          </w:hyperlink>
        </w:p>
        <w:p w14:paraId="095A5429"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2" w:history="1">
            <w:r w:rsidR="00D66CD0">
              <w:rPr>
                <w:lang w:eastAsia="ja-JP"/>
              </w:rPr>
              <w:t>業務プロセス - 概念的アプローチ</w:t>
            </w:r>
            <w:r w:rsidR="00D66CD0">
              <w:rPr>
                <w:lang w:eastAsia="ja-JP"/>
              </w:rPr>
              <w:tab/>
              <w:t>10</w:t>
            </w:r>
          </w:hyperlink>
        </w:p>
        <w:p w14:paraId="095A542A" w14:textId="77777777" w:rsidR="002B3AD5" w:rsidRDefault="004339EC">
          <w:pPr>
            <w:pStyle w:val="40"/>
            <w:numPr>
              <w:ilvl w:val="1"/>
              <w:numId w:val="30"/>
            </w:numPr>
            <w:tabs>
              <w:tab w:val="left" w:pos="2640"/>
              <w:tab w:val="left" w:pos="2641"/>
              <w:tab w:val="left" w:leader="dot" w:pos="10209"/>
            </w:tabs>
            <w:spacing w:before="156"/>
            <w:ind w:hanging="1159"/>
            <w:rPr>
              <w:lang w:eastAsia="ja-JP"/>
            </w:rPr>
          </w:pPr>
          <w:hyperlink w:anchor="_bookmark3" w:history="1">
            <w:r w:rsidR="00D66CD0">
              <w:rPr>
                <w:lang w:eastAsia="ja-JP"/>
              </w:rPr>
              <w:t>気候変動緩和への実質的な貢献の明確化</w:t>
            </w:r>
            <w:r w:rsidR="00D66CD0">
              <w:rPr>
                <w:lang w:eastAsia="ja-JP"/>
              </w:rPr>
              <w:tab/>
              <w:t>14</w:t>
            </w:r>
          </w:hyperlink>
        </w:p>
        <w:p w14:paraId="095A542B"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4" w:history="1">
            <w:r w:rsidR="00D66CD0">
              <w:rPr>
                <w:lang w:eastAsia="ja-JP"/>
              </w:rPr>
              <w:t>実質的に緩和に寄与する活動に対する資金の適格性</w:t>
            </w:r>
            <w:r w:rsidR="00D66CD0">
              <w:rPr>
                <w:lang w:eastAsia="ja-JP"/>
              </w:rPr>
              <w:tab/>
              <w:t>16</w:t>
            </w:r>
          </w:hyperlink>
        </w:p>
        <w:p w14:paraId="095A542C" w14:textId="77777777" w:rsidR="002B3AD5" w:rsidRDefault="00755CE4">
          <w:pPr>
            <w:pStyle w:val="40"/>
            <w:numPr>
              <w:ilvl w:val="1"/>
              <w:numId w:val="30"/>
            </w:numPr>
            <w:tabs>
              <w:tab w:val="left" w:pos="2640"/>
              <w:tab w:val="left" w:pos="2641"/>
              <w:tab w:val="left" w:leader="dot" w:pos="10209"/>
            </w:tabs>
            <w:ind w:hanging="1159"/>
          </w:pPr>
          <w:hyperlink w:anchor="_bookmark5" w:history="1">
            <w:r w:rsidR="00D66CD0">
              <w:t>今後の展開</w:t>
            </w:r>
            <w:r w:rsidR="00D66CD0">
              <w:tab/>
              <w:t>16</w:t>
            </w:r>
          </w:hyperlink>
        </w:p>
        <w:p w14:paraId="095A542D" w14:textId="77777777" w:rsidR="002B3AD5" w:rsidRDefault="004339EC">
          <w:pPr>
            <w:pStyle w:val="30"/>
            <w:numPr>
              <w:ilvl w:val="0"/>
              <w:numId w:val="30"/>
            </w:numPr>
            <w:tabs>
              <w:tab w:val="left" w:pos="1961"/>
              <w:tab w:val="left" w:pos="1962"/>
              <w:tab w:val="left" w:leader="dot" w:pos="9875"/>
            </w:tabs>
            <w:spacing w:before="155"/>
            <w:rPr>
              <w:lang w:eastAsia="ja-JP"/>
            </w:rPr>
          </w:pPr>
          <w:hyperlink w:anchor="_bookmark6" w:history="1">
            <w:r w:rsidR="00D66CD0">
              <w:rPr>
                <w:color w:val="2951C1"/>
                <w:lang w:eastAsia="ja-JP"/>
              </w:rPr>
              <w:t>気候変動への適応に大きく貢献</w:t>
            </w:r>
            <w:r w:rsidR="00D66CD0">
              <w:rPr>
                <w:color w:val="2951C1"/>
                <w:lang w:eastAsia="ja-JP"/>
              </w:rPr>
              <w:tab/>
              <w:t>18</w:t>
            </w:r>
          </w:hyperlink>
        </w:p>
        <w:p w14:paraId="095A542E"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7" w:history="1">
            <w:r w:rsidR="00D66CD0">
              <w:rPr>
                <w:lang w:eastAsia="ja-JP"/>
              </w:rPr>
              <w:t>業務プロセス - 概念的アプローチ</w:t>
            </w:r>
            <w:r w:rsidR="00D66CD0">
              <w:rPr>
                <w:lang w:eastAsia="ja-JP"/>
              </w:rPr>
              <w:tab/>
              <w:t>18</w:t>
            </w:r>
          </w:hyperlink>
        </w:p>
        <w:p w14:paraId="095A542F" w14:textId="77777777" w:rsidR="002B3AD5" w:rsidRDefault="004339EC">
          <w:pPr>
            <w:pStyle w:val="40"/>
            <w:numPr>
              <w:ilvl w:val="1"/>
              <w:numId w:val="30"/>
            </w:numPr>
            <w:tabs>
              <w:tab w:val="left" w:pos="2640"/>
              <w:tab w:val="left" w:pos="2641"/>
              <w:tab w:val="left" w:leader="dot" w:pos="10209"/>
            </w:tabs>
            <w:spacing w:before="157"/>
            <w:ind w:hanging="1159"/>
            <w:rPr>
              <w:lang w:eastAsia="ja-JP"/>
            </w:rPr>
          </w:pPr>
          <w:hyperlink w:anchor="_bookmark8" w:history="1">
            <w:r w:rsidR="00D66CD0">
              <w:rPr>
                <w:lang w:eastAsia="ja-JP"/>
              </w:rPr>
              <w:t>気候変動への適応への実質的な貢献の明確化</w:t>
            </w:r>
            <w:r w:rsidR="00D66CD0">
              <w:rPr>
                <w:lang w:eastAsia="ja-JP"/>
              </w:rPr>
              <w:tab/>
              <w:t>20</w:t>
            </w:r>
          </w:hyperlink>
        </w:p>
        <w:p w14:paraId="095A5430"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9" w:history="1">
            <w:r w:rsidR="00D66CD0">
              <w:rPr>
                <w:lang w:eastAsia="ja-JP"/>
              </w:rPr>
              <w:t>適応に大きく寄与する活動のスクリーニング基準</w:t>
            </w:r>
            <w:r w:rsidR="00D66CD0">
              <w:rPr>
                <w:lang w:eastAsia="ja-JP"/>
              </w:rPr>
              <w:tab/>
              <w:t>25</w:t>
            </w:r>
          </w:hyperlink>
        </w:p>
        <w:p w14:paraId="095A5431"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10" w:history="1">
            <w:r w:rsidR="00D66CD0">
              <w:rPr>
                <w:lang w:eastAsia="ja-JP"/>
              </w:rPr>
              <w:t>適応に大きく寄与する活動に対する資金の適格性</w:t>
            </w:r>
            <w:r w:rsidR="00D66CD0">
              <w:rPr>
                <w:lang w:eastAsia="ja-JP"/>
              </w:rPr>
              <w:tab/>
              <w:t>27</w:t>
            </w:r>
          </w:hyperlink>
        </w:p>
        <w:p w14:paraId="095A5432"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11" w:history="1">
            <w:r w:rsidR="00D66CD0">
              <w:rPr>
                <w:lang w:eastAsia="ja-JP"/>
              </w:rPr>
              <w:t>気候関連の危険性の分類</w:t>
            </w:r>
            <w:r w:rsidR="00D66CD0">
              <w:rPr>
                <w:lang w:eastAsia="ja-JP"/>
              </w:rPr>
              <w:tab/>
              <w:t>28</w:t>
            </w:r>
          </w:hyperlink>
        </w:p>
        <w:p w14:paraId="095A5433" w14:textId="29BB1F2A" w:rsidR="002B3AD5" w:rsidRDefault="004339EC">
          <w:pPr>
            <w:pStyle w:val="30"/>
            <w:numPr>
              <w:ilvl w:val="0"/>
              <w:numId w:val="30"/>
            </w:numPr>
            <w:tabs>
              <w:tab w:val="left" w:pos="1961"/>
              <w:tab w:val="left" w:pos="1962"/>
              <w:tab w:val="left" w:leader="dot" w:pos="9875"/>
            </w:tabs>
            <w:rPr>
              <w:lang w:eastAsia="ja-JP"/>
            </w:rPr>
          </w:pPr>
          <w:hyperlink w:anchor="_bookmark12" w:history="1">
            <w:r w:rsidR="00D66CD0">
              <w:rPr>
                <w:color w:val="2951C1"/>
                <w:lang w:eastAsia="ja-JP"/>
              </w:rPr>
              <w:t>重大な有害性</w:t>
            </w:r>
            <w:r w:rsidR="002F5B54">
              <w:rPr>
                <w:rFonts w:hint="eastAsia"/>
                <w:color w:val="2951C1"/>
                <w:lang w:eastAsia="ja-JP"/>
              </w:rPr>
              <w:t>について</w:t>
            </w:r>
            <w:r w:rsidR="00D66CD0">
              <w:rPr>
                <w:color w:val="2951C1"/>
                <w:lang w:eastAsia="ja-JP"/>
              </w:rPr>
              <w:t>(DNSH)</w:t>
            </w:r>
            <w:r w:rsidR="00D66CD0">
              <w:rPr>
                <w:color w:val="2951C1"/>
                <w:lang w:eastAsia="ja-JP"/>
              </w:rPr>
              <w:tab/>
              <w:t>29</w:t>
            </w:r>
          </w:hyperlink>
        </w:p>
        <w:p w14:paraId="095A5434" w14:textId="77777777" w:rsidR="002B3AD5" w:rsidRDefault="004339EC">
          <w:pPr>
            <w:pStyle w:val="40"/>
            <w:numPr>
              <w:ilvl w:val="1"/>
              <w:numId w:val="30"/>
            </w:numPr>
            <w:tabs>
              <w:tab w:val="left" w:pos="2640"/>
              <w:tab w:val="left" w:pos="2641"/>
              <w:tab w:val="left" w:leader="dot" w:pos="10209"/>
            </w:tabs>
            <w:spacing w:before="156"/>
            <w:ind w:hanging="1159"/>
            <w:rPr>
              <w:lang w:eastAsia="ja-JP"/>
            </w:rPr>
          </w:pPr>
          <w:hyperlink w:anchor="_bookmark13" w:history="1">
            <w:r w:rsidR="00D66CD0">
              <w:rPr>
                <w:lang w:eastAsia="ja-JP"/>
              </w:rPr>
              <w:t>環境目標3-6へのDNSH</w:t>
            </w:r>
            <w:r w:rsidR="00D66CD0">
              <w:rPr>
                <w:lang w:eastAsia="ja-JP"/>
              </w:rPr>
              <w:tab/>
              <w:t>29</w:t>
            </w:r>
          </w:hyperlink>
        </w:p>
        <w:p w14:paraId="095A5435"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14" w:history="1">
            <w:r w:rsidR="00D66CD0">
              <w:rPr>
                <w:lang w:eastAsia="ja-JP"/>
              </w:rPr>
              <w:t>気候変動への適応に対するDNSH</w:t>
            </w:r>
            <w:r w:rsidR="00D66CD0">
              <w:rPr>
                <w:lang w:eastAsia="ja-JP"/>
              </w:rPr>
              <w:tab/>
              <w:t>29</w:t>
            </w:r>
          </w:hyperlink>
        </w:p>
        <w:p w14:paraId="095A5436" w14:textId="77777777" w:rsidR="002B3AD5" w:rsidRDefault="004339EC">
          <w:pPr>
            <w:pStyle w:val="40"/>
            <w:numPr>
              <w:ilvl w:val="1"/>
              <w:numId w:val="30"/>
            </w:numPr>
            <w:tabs>
              <w:tab w:val="left" w:pos="2640"/>
              <w:tab w:val="left" w:pos="2641"/>
              <w:tab w:val="left" w:leader="dot" w:pos="10209"/>
            </w:tabs>
            <w:ind w:hanging="1159"/>
            <w:rPr>
              <w:lang w:eastAsia="ja-JP"/>
            </w:rPr>
          </w:pPr>
          <w:hyperlink w:anchor="_bookmark15" w:history="1">
            <w:r w:rsidR="00D66CD0">
              <w:rPr>
                <w:lang w:eastAsia="ja-JP"/>
              </w:rPr>
              <w:t>環境目標3-6へのDNSH</w:t>
            </w:r>
            <w:r w:rsidR="00D66CD0">
              <w:rPr>
                <w:lang w:eastAsia="ja-JP"/>
              </w:rPr>
              <w:tab/>
              <w:t>31</w:t>
            </w:r>
          </w:hyperlink>
        </w:p>
        <w:p w14:paraId="095A5437" w14:textId="77777777" w:rsidR="002B3AD5" w:rsidRDefault="004339EC">
          <w:pPr>
            <w:pStyle w:val="20"/>
            <w:tabs>
              <w:tab w:val="left" w:leader="dot" w:pos="9779"/>
            </w:tabs>
            <w:spacing w:before="275"/>
            <w:rPr>
              <w:lang w:eastAsia="ja-JP"/>
            </w:rPr>
          </w:pPr>
          <w:hyperlink w:anchor="_bookmark16" w:history="1">
            <w:r w:rsidR="00D66CD0">
              <w:rPr>
                <w:color w:val="30A2A9"/>
                <w:lang w:eastAsia="ja-JP"/>
              </w:rPr>
              <w:t>適格NACEコード - 注記事項</w:t>
            </w:r>
            <w:r w:rsidR="00D66CD0">
              <w:rPr>
                <w:color w:val="30A2A9"/>
                <w:lang w:eastAsia="ja-JP"/>
              </w:rPr>
              <w:tab/>
              <w:t>36</w:t>
            </w:r>
          </w:hyperlink>
        </w:p>
        <w:p w14:paraId="095A5438" w14:textId="77777777" w:rsidR="002B3AD5" w:rsidRDefault="00755CE4">
          <w:pPr>
            <w:pStyle w:val="40"/>
            <w:numPr>
              <w:ilvl w:val="1"/>
              <w:numId w:val="30"/>
            </w:numPr>
            <w:tabs>
              <w:tab w:val="left" w:pos="2640"/>
              <w:tab w:val="left" w:pos="2641"/>
              <w:tab w:val="left" w:leader="dot" w:pos="10209"/>
            </w:tabs>
            <w:spacing w:before="170"/>
            <w:ind w:hanging="1159"/>
          </w:pPr>
          <w:hyperlink w:anchor="_bookmark17" w:history="1">
            <w:r w:rsidR="00D66CD0">
              <w:t>NACEの利用</w:t>
            </w:r>
            <w:r w:rsidR="00D66CD0">
              <w:tab/>
              <w:t>36</w:t>
            </w:r>
          </w:hyperlink>
        </w:p>
        <w:p w14:paraId="095A5439" w14:textId="77777777" w:rsidR="002B3AD5" w:rsidRDefault="004339EC">
          <w:pPr>
            <w:pStyle w:val="40"/>
            <w:numPr>
              <w:ilvl w:val="1"/>
              <w:numId w:val="30"/>
            </w:numPr>
            <w:tabs>
              <w:tab w:val="left" w:pos="2640"/>
              <w:tab w:val="left" w:pos="2641"/>
              <w:tab w:val="left" w:leader="dot" w:pos="10209"/>
            </w:tabs>
            <w:spacing w:before="156"/>
            <w:ind w:hanging="1159"/>
            <w:rPr>
              <w:lang w:eastAsia="ja-JP"/>
            </w:rPr>
          </w:pPr>
          <w:hyperlink w:anchor="_bookmark18" w:history="1">
            <w:r w:rsidR="00D66CD0">
              <w:rPr>
                <w:lang w:eastAsia="ja-JP"/>
              </w:rPr>
              <w:t>グリーン債務・ローンの分類基準の評価</w:t>
            </w:r>
            <w:r w:rsidR="00D66CD0">
              <w:rPr>
                <w:lang w:eastAsia="ja-JP"/>
              </w:rPr>
              <w:tab/>
              <w:t>37</w:t>
            </w:r>
          </w:hyperlink>
        </w:p>
        <w:p w14:paraId="095A543A" w14:textId="77777777" w:rsidR="002B3AD5" w:rsidRDefault="004339EC">
          <w:pPr>
            <w:pStyle w:val="20"/>
            <w:tabs>
              <w:tab w:val="left" w:leader="dot" w:pos="9779"/>
            </w:tabs>
            <w:spacing w:line="273" w:lineRule="auto"/>
            <w:ind w:right="1456"/>
            <w:rPr>
              <w:lang w:eastAsia="ja-JP"/>
            </w:rPr>
          </w:pPr>
          <w:hyperlink w:anchor="_bookmark19" w:history="1">
            <w:r w:rsidR="00D66CD0">
              <w:rPr>
                <w:color w:val="30A2A9"/>
                <w:lang w:eastAsia="ja-JP"/>
              </w:rPr>
              <w:t>技術的スクリーニング基準:気候変動緩和への実質的寄与</w:t>
            </w:r>
          </w:hyperlink>
          <w:hyperlink w:anchor="_bookmark19" w:history="1">
            <w:r w:rsidR="00D66CD0">
              <w:rPr>
                <w:color w:val="30A2A9"/>
                <w:lang w:eastAsia="ja-JP"/>
              </w:rPr>
              <w:tab/>
            </w:r>
            <w:r w:rsidR="00D66CD0">
              <w:rPr>
                <w:color w:val="30A2A9"/>
                <w:spacing w:val="-8"/>
                <w:lang w:eastAsia="ja-JP"/>
              </w:rPr>
              <w:t>39</w:t>
            </w:r>
          </w:hyperlink>
        </w:p>
        <w:p w14:paraId="095A543B" w14:textId="77777777" w:rsidR="002B3AD5" w:rsidRDefault="00755CE4">
          <w:pPr>
            <w:pStyle w:val="30"/>
            <w:numPr>
              <w:ilvl w:val="0"/>
              <w:numId w:val="29"/>
            </w:numPr>
            <w:tabs>
              <w:tab w:val="left" w:pos="1961"/>
              <w:tab w:val="left" w:pos="1962"/>
              <w:tab w:val="left" w:leader="dot" w:pos="9875"/>
            </w:tabs>
            <w:spacing w:before="123"/>
          </w:pPr>
          <w:hyperlink w:anchor="_bookmark20" w:history="1">
            <w:r w:rsidR="00D66CD0">
              <w:rPr>
                <w:color w:val="2951C1"/>
              </w:rPr>
              <w:t>林業</w:t>
            </w:r>
            <w:r w:rsidR="00D66CD0">
              <w:rPr>
                <w:color w:val="2951C1"/>
              </w:rPr>
              <w:tab/>
              <w:t>40</w:t>
            </w:r>
          </w:hyperlink>
        </w:p>
        <w:p w14:paraId="095A543C" w14:textId="77777777" w:rsidR="002B3AD5" w:rsidRDefault="00D66CD0">
          <w:pPr>
            <w:pStyle w:val="40"/>
            <w:numPr>
              <w:ilvl w:val="1"/>
              <w:numId w:val="29"/>
            </w:numPr>
            <w:tabs>
              <w:tab w:val="left" w:pos="2640"/>
              <w:tab w:val="left" w:pos="2641"/>
              <w:tab w:val="left" w:leader="dot" w:pos="10209"/>
            </w:tabs>
            <w:spacing w:before="155"/>
            <w:ind w:hanging="1159"/>
          </w:pPr>
          <w:proofErr w:type="spellStart"/>
          <w:r>
            <w:t>植林</w:t>
          </w:r>
          <w:proofErr w:type="spellEnd"/>
          <w:r>
            <w:tab/>
            <w:t>52</w:t>
          </w:r>
        </w:p>
        <w:p w14:paraId="095A543D" w14:textId="77777777" w:rsidR="002B3AD5" w:rsidRDefault="00D66CD0">
          <w:pPr>
            <w:pStyle w:val="40"/>
            <w:numPr>
              <w:ilvl w:val="1"/>
              <w:numId w:val="29"/>
            </w:numPr>
            <w:tabs>
              <w:tab w:val="left" w:pos="2640"/>
              <w:tab w:val="left" w:pos="2641"/>
              <w:tab w:val="left" w:leader="dot" w:pos="10209"/>
            </w:tabs>
            <w:spacing w:before="156"/>
            <w:ind w:hanging="1159"/>
          </w:pPr>
          <w:proofErr w:type="spellStart"/>
          <w:r>
            <w:t>再生、回復</w:t>
          </w:r>
          <w:proofErr w:type="spellEnd"/>
          <w:r>
            <w:tab/>
            <w:t>60</w:t>
          </w:r>
        </w:p>
        <w:p w14:paraId="095A543E" w14:textId="77777777" w:rsidR="002B3AD5" w:rsidRDefault="00D66CD0">
          <w:pPr>
            <w:pStyle w:val="40"/>
            <w:numPr>
              <w:ilvl w:val="1"/>
              <w:numId w:val="29"/>
            </w:numPr>
            <w:tabs>
              <w:tab w:val="left" w:pos="2640"/>
              <w:tab w:val="left" w:pos="2641"/>
              <w:tab w:val="left" w:leader="dot" w:pos="10209"/>
            </w:tabs>
            <w:ind w:hanging="1159"/>
          </w:pPr>
          <w:proofErr w:type="spellStart"/>
          <w:r>
            <w:t>植林</w:t>
          </w:r>
          <w:proofErr w:type="spellEnd"/>
          <w:r>
            <w:tab/>
            <w:t>68</w:t>
          </w:r>
        </w:p>
        <w:p w14:paraId="095A543F" w14:textId="77777777" w:rsidR="002B3AD5" w:rsidRDefault="00D66CD0">
          <w:pPr>
            <w:pStyle w:val="40"/>
            <w:numPr>
              <w:ilvl w:val="1"/>
              <w:numId w:val="29"/>
            </w:numPr>
            <w:tabs>
              <w:tab w:val="left" w:pos="2640"/>
              <w:tab w:val="left" w:pos="2641"/>
              <w:tab w:val="left" w:leader="dot" w:pos="10209"/>
            </w:tabs>
            <w:ind w:hanging="1159"/>
          </w:pPr>
          <w:proofErr w:type="spellStart"/>
          <w:r>
            <w:t>既存の森林管理</w:t>
          </w:r>
          <w:proofErr w:type="spellEnd"/>
          <w:r>
            <w:tab/>
            <w:t>76</w:t>
          </w:r>
        </w:p>
        <w:p w14:paraId="095A5440" w14:textId="77777777" w:rsidR="002B3AD5" w:rsidRDefault="00D66CD0">
          <w:pPr>
            <w:pStyle w:val="40"/>
            <w:numPr>
              <w:ilvl w:val="1"/>
              <w:numId w:val="29"/>
            </w:numPr>
            <w:tabs>
              <w:tab w:val="left" w:pos="2640"/>
              <w:tab w:val="left" w:pos="2641"/>
              <w:tab w:val="left" w:leader="dot" w:pos="10209"/>
            </w:tabs>
            <w:ind w:hanging="1159"/>
          </w:pPr>
          <w:proofErr w:type="spellStart"/>
          <w:r>
            <w:t>保全林</w:t>
          </w:r>
          <w:proofErr w:type="spellEnd"/>
          <w:r>
            <w:tab/>
            <w:t>85</w:t>
          </w:r>
        </w:p>
        <w:p w14:paraId="095A5441" w14:textId="77777777" w:rsidR="002B3AD5" w:rsidRDefault="00D66CD0">
          <w:pPr>
            <w:pStyle w:val="30"/>
            <w:numPr>
              <w:ilvl w:val="0"/>
              <w:numId w:val="29"/>
            </w:numPr>
            <w:tabs>
              <w:tab w:val="left" w:pos="1961"/>
              <w:tab w:val="left" w:pos="1962"/>
              <w:tab w:val="left" w:leader="dot" w:pos="9765"/>
            </w:tabs>
            <w:spacing w:after="111"/>
          </w:pPr>
          <w:proofErr w:type="spellStart"/>
          <w:r>
            <w:rPr>
              <w:color w:val="2951C1"/>
            </w:rPr>
            <w:lastRenderedPageBreak/>
            <w:t>農業</w:t>
          </w:r>
          <w:proofErr w:type="spellEnd"/>
          <w:r>
            <w:rPr>
              <w:color w:val="2951C1"/>
            </w:rPr>
            <w:tab/>
            <w:t>102</w:t>
          </w:r>
        </w:p>
        <w:p w14:paraId="095A5442" w14:textId="77777777" w:rsidR="002B3AD5" w:rsidRDefault="00D66CD0">
          <w:pPr>
            <w:pStyle w:val="40"/>
            <w:numPr>
              <w:ilvl w:val="1"/>
              <w:numId w:val="29"/>
            </w:numPr>
            <w:tabs>
              <w:tab w:val="left" w:pos="2640"/>
              <w:tab w:val="left" w:pos="2641"/>
              <w:tab w:val="right" w:leader="dot" w:pos="10429"/>
            </w:tabs>
            <w:spacing w:before="79"/>
            <w:ind w:hanging="1159"/>
          </w:pPr>
          <w:proofErr w:type="spellStart"/>
          <w:r>
            <w:t>多年生作物の栽培</w:t>
          </w:r>
          <w:proofErr w:type="spellEnd"/>
          <w:r>
            <w:tab/>
            <w:t>112</w:t>
          </w:r>
        </w:p>
        <w:p w14:paraId="095A5443" w14:textId="77777777" w:rsidR="002B3AD5" w:rsidRDefault="00D66CD0">
          <w:pPr>
            <w:pStyle w:val="40"/>
            <w:numPr>
              <w:ilvl w:val="1"/>
              <w:numId w:val="28"/>
            </w:numPr>
            <w:tabs>
              <w:tab w:val="left" w:pos="2640"/>
              <w:tab w:val="left" w:pos="2641"/>
              <w:tab w:val="right" w:leader="dot" w:pos="10429"/>
            </w:tabs>
            <w:spacing w:before="155"/>
            <w:ind w:hanging="1159"/>
          </w:pPr>
          <w:proofErr w:type="spellStart"/>
          <w:r>
            <w:t>非多年生作物の栽培</w:t>
          </w:r>
          <w:proofErr w:type="spellEnd"/>
          <w:r>
            <w:tab/>
            <w:t>126</w:t>
          </w:r>
        </w:p>
        <w:p w14:paraId="095A5444" w14:textId="77777777" w:rsidR="002B3AD5" w:rsidRDefault="00D66CD0">
          <w:pPr>
            <w:pStyle w:val="40"/>
            <w:numPr>
              <w:ilvl w:val="1"/>
              <w:numId w:val="28"/>
            </w:numPr>
            <w:tabs>
              <w:tab w:val="left" w:pos="2640"/>
              <w:tab w:val="left" w:pos="2641"/>
              <w:tab w:val="right" w:leader="dot" w:pos="10429"/>
            </w:tabs>
            <w:ind w:hanging="1159"/>
          </w:pPr>
          <w:proofErr w:type="spellStart"/>
          <w:r>
            <w:t>畜産</w:t>
          </w:r>
          <w:proofErr w:type="spellEnd"/>
          <w:r>
            <w:tab/>
            <w:t>140</w:t>
          </w:r>
        </w:p>
        <w:p w14:paraId="095A5445" w14:textId="77777777" w:rsidR="002B3AD5" w:rsidRDefault="00D66CD0">
          <w:pPr>
            <w:pStyle w:val="30"/>
            <w:numPr>
              <w:ilvl w:val="0"/>
              <w:numId w:val="29"/>
            </w:numPr>
            <w:tabs>
              <w:tab w:val="left" w:pos="1961"/>
              <w:tab w:val="left" w:pos="1962"/>
              <w:tab w:val="right" w:leader="dot" w:pos="10096"/>
            </w:tabs>
          </w:pPr>
          <w:proofErr w:type="spellStart"/>
          <w:r>
            <w:rPr>
              <w:color w:val="2951C1"/>
            </w:rPr>
            <w:t>製造</w:t>
          </w:r>
          <w:proofErr w:type="spellEnd"/>
          <w:r>
            <w:rPr>
              <w:color w:val="2951C1"/>
            </w:rPr>
            <w:tab/>
            <w:t>155</w:t>
          </w:r>
        </w:p>
        <w:p w14:paraId="095A5446" w14:textId="77777777" w:rsidR="002B3AD5" w:rsidRDefault="00D66CD0">
          <w:pPr>
            <w:pStyle w:val="40"/>
            <w:numPr>
              <w:ilvl w:val="1"/>
              <w:numId w:val="29"/>
            </w:numPr>
            <w:tabs>
              <w:tab w:val="left" w:pos="2640"/>
              <w:tab w:val="left" w:pos="2641"/>
              <w:tab w:val="right" w:leader="dot" w:pos="10429"/>
            </w:tabs>
            <w:ind w:hanging="1159"/>
          </w:pPr>
          <w:proofErr w:type="spellStart"/>
          <w:r>
            <w:t>低炭素技術の製造</w:t>
          </w:r>
          <w:proofErr w:type="spellEnd"/>
          <w:r>
            <w:tab/>
            <w:t>162</w:t>
          </w:r>
        </w:p>
        <w:p w14:paraId="095A5447" w14:textId="77777777" w:rsidR="002B3AD5" w:rsidRDefault="00D66CD0">
          <w:pPr>
            <w:pStyle w:val="40"/>
            <w:numPr>
              <w:ilvl w:val="1"/>
              <w:numId w:val="29"/>
            </w:numPr>
            <w:tabs>
              <w:tab w:val="left" w:pos="2640"/>
              <w:tab w:val="left" w:pos="2641"/>
              <w:tab w:val="right" w:leader="dot" w:pos="10429"/>
            </w:tabs>
            <w:spacing w:before="156"/>
            <w:ind w:hanging="1159"/>
          </w:pPr>
          <w:proofErr w:type="spellStart"/>
          <w:r>
            <w:t>セメント製造</w:t>
          </w:r>
          <w:proofErr w:type="spellEnd"/>
          <w:r>
            <w:tab/>
            <w:t>167</w:t>
          </w:r>
        </w:p>
        <w:p w14:paraId="095A5448" w14:textId="77777777" w:rsidR="002B3AD5" w:rsidRDefault="00D66CD0">
          <w:pPr>
            <w:pStyle w:val="40"/>
            <w:numPr>
              <w:ilvl w:val="1"/>
              <w:numId w:val="29"/>
            </w:numPr>
            <w:tabs>
              <w:tab w:val="left" w:pos="2640"/>
              <w:tab w:val="left" w:pos="2641"/>
              <w:tab w:val="right" w:leader="dot" w:pos="10429"/>
            </w:tabs>
            <w:ind w:hanging="1159"/>
          </w:pPr>
          <w:proofErr w:type="spellStart"/>
          <w:r>
            <w:t>アルミニウムの製造</w:t>
          </w:r>
          <w:proofErr w:type="spellEnd"/>
          <w:r>
            <w:tab/>
            <w:t>172</w:t>
          </w:r>
        </w:p>
        <w:p w14:paraId="095A5449" w14:textId="77777777" w:rsidR="002B3AD5" w:rsidRDefault="00D66CD0">
          <w:pPr>
            <w:pStyle w:val="40"/>
            <w:numPr>
              <w:ilvl w:val="1"/>
              <w:numId w:val="29"/>
            </w:numPr>
            <w:tabs>
              <w:tab w:val="left" w:pos="2640"/>
              <w:tab w:val="left" w:pos="2641"/>
              <w:tab w:val="right" w:leader="dot" w:pos="10429"/>
            </w:tabs>
            <w:ind w:hanging="1159"/>
          </w:pPr>
          <w:proofErr w:type="spellStart"/>
          <w:r>
            <w:t>鉄鋼業</w:t>
          </w:r>
          <w:proofErr w:type="spellEnd"/>
          <w:r>
            <w:tab/>
            <w:t>176</w:t>
          </w:r>
        </w:p>
        <w:p w14:paraId="095A544A" w14:textId="77777777" w:rsidR="002B3AD5" w:rsidRDefault="00D66CD0">
          <w:pPr>
            <w:pStyle w:val="40"/>
            <w:numPr>
              <w:ilvl w:val="1"/>
              <w:numId w:val="29"/>
            </w:numPr>
            <w:tabs>
              <w:tab w:val="left" w:pos="2640"/>
              <w:tab w:val="left" w:pos="2641"/>
              <w:tab w:val="right" w:leader="dot" w:pos="10429"/>
            </w:tabs>
            <w:ind w:hanging="1159"/>
          </w:pPr>
          <w:proofErr w:type="spellStart"/>
          <w:r>
            <w:t>水素の製造</w:t>
          </w:r>
          <w:proofErr w:type="spellEnd"/>
          <w:r>
            <w:tab/>
            <w:t>180</w:t>
          </w:r>
        </w:p>
        <w:p w14:paraId="095A544B" w14:textId="77777777" w:rsidR="002B3AD5" w:rsidRDefault="00D66CD0">
          <w:pPr>
            <w:pStyle w:val="40"/>
            <w:numPr>
              <w:ilvl w:val="1"/>
              <w:numId w:val="29"/>
            </w:numPr>
            <w:tabs>
              <w:tab w:val="left" w:pos="2640"/>
              <w:tab w:val="left" w:pos="2641"/>
              <w:tab w:val="right" w:leader="dot" w:pos="10429"/>
            </w:tabs>
            <w:spacing w:before="155"/>
            <w:ind w:hanging="1159"/>
            <w:rPr>
              <w:lang w:eastAsia="ja-JP"/>
            </w:rPr>
          </w:pPr>
          <w:r>
            <w:rPr>
              <w:lang w:eastAsia="ja-JP"/>
            </w:rPr>
            <w:t>その他の無機基礎化学品の製造</w:t>
          </w:r>
          <w:r>
            <w:rPr>
              <w:lang w:eastAsia="ja-JP"/>
            </w:rPr>
            <w:tab/>
            <w:t>183</w:t>
          </w:r>
        </w:p>
        <w:p w14:paraId="095A544C" w14:textId="77777777" w:rsidR="002B3AD5" w:rsidRDefault="00D66CD0">
          <w:pPr>
            <w:pStyle w:val="40"/>
            <w:numPr>
              <w:ilvl w:val="1"/>
              <w:numId w:val="29"/>
            </w:numPr>
            <w:tabs>
              <w:tab w:val="left" w:pos="2640"/>
              <w:tab w:val="left" w:pos="2641"/>
              <w:tab w:val="right" w:leader="dot" w:pos="10429"/>
            </w:tabs>
            <w:spacing w:before="156"/>
            <w:ind w:hanging="1159"/>
            <w:rPr>
              <w:lang w:eastAsia="ja-JP"/>
            </w:rPr>
          </w:pPr>
          <w:r>
            <w:rPr>
              <w:lang w:eastAsia="ja-JP"/>
            </w:rPr>
            <w:t>その他の有機基礎化学品の製造</w:t>
          </w:r>
          <w:r>
            <w:rPr>
              <w:lang w:eastAsia="ja-JP"/>
            </w:rPr>
            <w:tab/>
            <w:t>189</w:t>
          </w:r>
        </w:p>
        <w:p w14:paraId="095A544D"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肥料・窒素化合物製造</w:t>
          </w:r>
          <w:r>
            <w:rPr>
              <w:lang w:eastAsia="ja-JP"/>
            </w:rPr>
            <w:tab/>
            <w:t>196</w:t>
          </w:r>
        </w:p>
        <w:p w14:paraId="095A544E"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プラスチック一次製品製造業</w:t>
          </w:r>
          <w:r>
            <w:rPr>
              <w:lang w:eastAsia="ja-JP"/>
            </w:rPr>
            <w:tab/>
            <w:t>200</w:t>
          </w:r>
        </w:p>
        <w:p w14:paraId="095A544F" w14:textId="77777777" w:rsidR="002B3AD5" w:rsidRDefault="00D66CD0">
          <w:pPr>
            <w:pStyle w:val="30"/>
            <w:numPr>
              <w:ilvl w:val="0"/>
              <w:numId w:val="29"/>
            </w:numPr>
            <w:tabs>
              <w:tab w:val="left" w:pos="1961"/>
              <w:tab w:val="left" w:pos="1962"/>
              <w:tab w:val="right" w:leader="dot" w:pos="10096"/>
            </w:tabs>
            <w:rPr>
              <w:lang w:eastAsia="ja-JP"/>
            </w:rPr>
          </w:pPr>
          <w:r>
            <w:rPr>
              <w:color w:val="2951C1"/>
              <w:lang w:eastAsia="ja-JP"/>
            </w:rPr>
            <w:t>電気・ガス・蒸気・空調の供給</w:t>
          </w:r>
          <w:r>
            <w:rPr>
              <w:color w:val="2951C1"/>
              <w:lang w:eastAsia="ja-JP"/>
            </w:rPr>
            <w:tab/>
            <w:t>205</w:t>
          </w:r>
        </w:p>
        <w:p w14:paraId="095A5450"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太陽光発電からの発電</w:t>
          </w:r>
          <w:r>
            <w:rPr>
              <w:lang w:eastAsia="ja-JP"/>
            </w:rPr>
            <w:tab/>
            <w:t>212</w:t>
          </w:r>
        </w:p>
        <w:p w14:paraId="095A5451" w14:textId="77777777" w:rsidR="002B3AD5" w:rsidRDefault="00D66CD0">
          <w:pPr>
            <w:pStyle w:val="40"/>
            <w:numPr>
              <w:ilvl w:val="1"/>
              <w:numId w:val="29"/>
            </w:numPr>
            <w:tabs>
              <w:tab w:val="left" w:pos="2640"/>
              <w:tab w:val="left" w:pos="2641"/>
              <w:tab w:val="right" w:leader="dot" w:pos="10429"/>
            </w:tabs>
            <w:spacing w:before="157"/>
            <w:ind w:hanging="1159"/>
            <w:rPr>
              <w:lang w:eastAsia="ja-JP"/>
            </w:rPr>
          </w:pPr>
          <w:r>
            <w:rPr>
              <w:lang w:eastAsia="ja-JP"/>
            </w:rPr>
            <w:t>集光型太陽光発電による発電</w:t>
          </w:r>
          <w:r>
            <w:rPr>
              <w:lang w:eastAsia="ja-JP"/>
            </w:rPr>
            <w:tab/>
            <w:t>215</w:t>
          </w:r>
        </w:p>
        <w:p w14:paraId="095A5452" w14:textId="77777777" w:rsidR="002B3AD5" w:rsidRDefault="00D66CD0">
          <w:pPr>
            <w:pStyle w:val="40"/>
            <w:numPr>
              <w:ilvl w:val="1"/>
              <w:numId w:val="29"/>
            </w:numPr>
            <w:tabs>
              <w:tab w:val="left" w:pos="2640"/>
              <w:tab w:val="left" w:pos="2641"/>
              <w:tab w:val="right" w:leader="dot" w:pos="10429"/>
            </w:tabs>
            <w:ind w:hanging="1159"/>
          </w:pPr>
          <w:proofErr w:type="spellStart"/>
          <w:r>
            <w:t>風力発電による発電</w:t>
          </w:r>
          <w:proofErr w:type="spellEnd"/>
          <w:r>
            <w:tab/>
            <w:t>218</w:t>
          </w:r>
        </w:p>
        <w:p w14:paraId="095A5453" w14:textId="77777777" w:rsidR="002B3AD5" w:rsidRDefault="00D66CD0">
          <w:pPr>
            <w:pStyle w:val="40"/>
            <w:numPr>
              <w:ilvl w:val="1"/>
              <w:numId w:val="29"/>
            </w:numPr>
            <w:tabs>
              <w:tab w:val="left" w:pos="2640"/>
              <w:tab w:val="left" w:pos="2641"/>
              <w:tab w:val="right" w:leader="dot" w:pos="10429"/>
            </w:tabs>
            <w:ind w:hanging="1159"/>
          </w:pPr>
          <w:proofErr w:type="spellStart"/>
          <w:r>
            <w:t>海洋エネルギー発電</w:t>
          </w:r>
          <w:proofErr w:type="spellEnd"/>
          <w:r>
            <w:tab/>
            <w:t>221</w:t>
          </w:r>
        </w:p>
        <w:p w14:paraId="095A5454" w14:textId="77777777" w:rsidR="002B3AD5" w:rsidRDefault="00D66CD0">
          <w:pPr>
            <w:pStyle w:val="40"/>
            <w:numPr>
              <w:ilvl w:val="1"/>
              <w:numId w:val="29"/>
            </w:numPr>
            <w:tabs>
              <w:tab w:val="left" w:pos="2640"/>
              <w:tab w:val="left" w:pos="2641"/>
              <w:tab w:val="right" w:leader="dot" w:pos="10429"/>
            </w:tabs>
            <w:ind w:hanging="1159"/>
          </w:pPr>
          <w:proofErr w:type="spellStart"/>
          <w:r>
            <w:t>水力発電</w:t>
          </w:r>
          <w:proofErr w:type="spellEnd"/>
          <w:r>
            <w:tab/>
            <w:t>224</w:t>
          </w:r>
        </w:p>
        <w:p w14:paraId="095A5455" w14:textId="77777777" w:rsidR="002B3AD5" w:rsidRDefault="00D66CD0">
          <w:pPr>
            <w:pStyle w:val="40"/>
            <w:numPr>
              <w:ilvl w:val="1"/>
              <w:numId w:val="29"/>
            </w:numPr>
            <w:tabs>
              <w:tab w:val="left" w:pos="2640"/>
              <w:tab w:val="left" w:pos="2641"/>
              <w:tab w:val="right" w:leader="dot" w:pos="10429"/>
            </w:tabs>
            <w:ind w:hanging="1159"/>
          </w:pPr>
          <w:proofErr w:type="spellStart"/>
          <w:r>
            <w:t>地熱発電</w:t>
          </w:r>
          <w:proofErr w:type="spellEnd"/>
          <w:r>
            <w:tab/>
            <w:t>228</w:t>
          </w:r>
        </w:p>
        <w:p w14:paraId="095A5456" w14:textId="77777777" w:rsidR="002B3AD5" w:rsidRDefault="00D66CD0">
          <w:pPr>
            <w:pStyle w:val="40"/>
            <w:numPr>
              <w:ilvl w:val="1"/>
              <w:numId w:val="29"/>
            </w:numPr>
            <w:tabs>
              <w:tab w:val="left" w:pos="2640"/>
              <w:tab w:val="left" w:pos="2641"/>
              <w:tab w:val="right" w:leader="dot" w:pos="10429"/>
            </w:tabs>
            <w:spacing w:before="157"/>
            <w:ind w:hanging="1159"/>
            <w:rPr>
              <w:lang w:eastAsia="ja-JP"/>
            </w:rPr>
          </w:pPr>
          <w:r>
            <w:rPr>
              <w:lang w:eastAsia="ja-JP"/>
            </w:rPr>
            <w:t>ガス(天然ガスを除く)からの発電</w:t>
          </w:r>
          <w:r>
            <w:rPr>
              <w:lang w:eastAsia="ja-JP"/>
            </w:rPr>
            <w:tab/>
            <w:t>231</w:t>
          </w:r>
        </w:p>
        <w:p w14:paraId="095A5457"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バイオエネルギー(バイオマス、バイオガス、バイオ燃料)からの電力生産</w:t>
          </w:r>
          <w:r>
            <w:rPr>
              <w:lang w:eastAsia="ja-JP"/>
            </w:rPr>
            <w:tab/>
            <w:t>234</w:t>
          </w:r>
        </w:p>
        <w:p w14:paraId="095A5458" w14:textId="77777777" w:rsidR="002B3AD5" w:rsidRDefault="00D66CD0">
          <w:pPr>
            <w:pStyle w:val="40"/>
            <w:numPr>
              <w:ilvl w:val="1"/>
              <w:numId w:val="29"/>
            </w:numPr>
            <w:tabs>
              <w:tab w:val="left" w:pos="2640"/>
              <w:tab w:val="left" w:pos="2641"/>
              <w:tab w:val="right" w:leader="dot" w:pos="10429"/>
            </w:tabs>
            <w:ind w:hanging="1159"/>
          </w:pPr>
          <w:proofErr w:type="spellStart"/>
          <w:r>
            <w:t>送配電</w:t>
          </w:r>
          <w:proofErr w:type="spellEnd"/>
          <w:r>
            <w:tab/>
            <w:t>238</w:t>
          </w:r>
        </w:p>
        <w:p w14:paraId="095A5459" w14:textId="77777777" w:rsidR="002B3AD5" w:rsidRDefault="00D66CD0">
          <w:pPr>
            <w:pStyle w:val="40"/>
            <w:numPr>
              <w:ilvl w:val="1"/>
              <w:numId w:val="29"/>
            </w:numPr>
            <w:tabs>
              <w:tab w:val="left" w:pos="2640"/>
              <w:tab w:val="left" w:pos="2641"/>
              <w:tab w:val="right" w:leader="dot" w:pos="10429"/>
            </w:tabs>
            <w:ind w:hanging="1159"/>
          </w:pPr>
          <w:proofErr w:type="spellStart"/>
          <w:r>
            <w:t>電力の貯蔵</w:t>
          </w:r>
          <w:proofErr w:type="spellEnd"/>
          <w:r>
            <w:tab/>
            <w:t>243</w:t>
          </w:r>
        </w:p>
        <w:p w14:paraId="095A545A" w14:textId="77777777" w:rsidR="002B3AD5" w:rsidRDefault="00D66CD0">
          <w:pPr>
            <w:pStyle w:val="40"/>
            <w:numPr>
              <w:ilvl w:val="1"/>
              <w:numId w:val="29"/>
            </w:numPr>
            <w:tabs>
              <w:tab w:val="left" w:pos="2640"/>
              <w:tab w:val="left" w:pos="2641"/>
              <w:tab w:val="right" w:leader="dot" w:pos="10429"/>
            </w:tabs>
            <w:ind w:hanging="1159"/>
          </w:pPr>
          <w:proofErr w:type="spellStart"/>
          <w:r>
            <w:t>蓄熱</w:t>
          </w:r>
          <w:proofErr w:type="spellEnd"/>
          <w:r>
            <w:tab/>
            <w:t>245</w:t>
          </w:r>
        </w:p>
        <w:p w14:paraId="095A545B" w14:textId="77777777" w:rsidR="002B3AD5" w:rsidRDefault="00D66CD0">
          <w:pPr>
            <w:pStyle w:val="40"/>
            <w:numPr>
              <w:ilvl w:val="1"/>
              <w:numId w:val="29"/>
            </w:numPr>
            <w:tabs>
              <w:tab w:val="left" w:pos="2640"/>
              <w:tab w:val="left" w:pos="2641"/>
              <w:tab w:val="right" w:leader="dot" w:pos="10429"/>
            </w:tabs>
            <w:spacing w:before="156"/>
            <w:ind w:hanging="1159"/>
          </w:pPr>
          <w:proofErr w:type="spellStart"/>
          <w:r>
            <w:t>水素の貯蔵</w:t>
          </w:r>
          <w:proofErr w:type="spellEnd"/>
          <w:r>
            <w:tab/>
            <w:t>247</w:t>
          </w:r>
        </w:p>
        <w:p w14:paraId="095A545C"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バイオマス、バイオガスまたはバイオ燃料の製造</w:t>
          </w:r>
          <w:r>
            <w:rPr>
              <w:lang w:eastAsia="ja-JP"/>
            </w:rPr>
            <w:tab/>
            <w:t>249</w:t>
          </w:r>
        </w:p>
        <w:p w14:paraId="095A545D" w14:textId="77777777" w:rsidR="002B3AD5" w:rsidRDefault="00D66CD0">
          <w:pPr>
            <w:pStyle w:val="40"/>
            <w:numPr>
              <w:ilvl w:val="1"/>
              <w:numId w:val="29"/>
            </w:numPr>
            <w:tabs>
              <w:tab w:val="left" w:pos="2640"/>
              <w:tab w:val="left" w:pos="2641"/>
              <w:tab w:val="right" w:leader="dot" w:pos="10429"/>
            </w:tabs>
            <w:spacing w:before="155"/>
            <w:ind w:hanging="1159"/>
          </w:pPr>
          <w:proofErr w:type="spellStart"/>
          <w:r>
            <w:t>送配電網の改良</w:t>
          </w:r>
          <w:proofErr w:type="spellEnd"/>
          <w:r>
            <w:tab/>
            <w:t>252</w:t>
          </w:r>
        </w:p>
        <w:p w14:paraId="095A545E" w14:textId="77777777" w:rsidR="002B3AD5" w:rsidRDefault="00D66CD0">
          <w:pPr>
            <w:pStyle w:val="40"/>
            <w:numPr>
              <w:ilvl w:val="1"/>
              <w:numId w:val="29"/>
            </w:numPr>
            <w:tabs>
              <w:tab w:val="left" w:pos="2640"/>
              <w:tab w:val="left" w:pos="2641"/>
              <w:tab w:val="right" w:leader="dot" w:pos="10429"/>
            </w:tabs>
            <w:ind w:hanging="1159"/>
          </w:pPr>
          <w:proofErr w:type="spellStart"/>
          <w:r>
            <w:t>地域冷暖房分布</w:t>
          </w:r>
          <w:proofErr w:type="spellEnd"/>
          <w:r>
            <w:tab/>
            <w:t>255</w:t>
          </w:r>
        </w:p>
        <w:p w14:paraId="095A545F"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電動ヒートポンプの設置・運転</w:t>
          </w:r>
          <w:r>
            <w:rPr>
              <w:lang w:eastAsia="ja-JP"/>
            </w:rPr>
            <w:tab/>
            <w:t>258</w:t>
          </w:r>
        </w:p>
        <w:p w14:paraId="095A5460" w14:textId="77777777" w:rsidR="002B3AD5" w:rsidRDefault="00D66CD0">
          <w:pPr>
            <w:pStyle w:val="40"/>
            <w:numPr>
              <w:ilvl w:val="1"/>
              <w:numId w:val="29"/>
            </w:numPr>
            <w:tabs>
              <w:tab w:val="left" w:pos="2640"/>
              <w:tab w:val="left" w:pos="2641"/>
              <w:tab w:val="right" w:leader="dot" w:pos="10429"/>
            </w:tabs>
            <w:spacing w:before="156"/>
            <w:ind w:hanging="1159"/>
            <w:rPr>
              <w:lang w:eastAsia="ja-JP"/>
            </w:rPr>
          </w:pPr>
          <w:r>
            <w:rPr>
              <w:lang w:eastAsia="ja-JP"/>
            </w:rPr>
            <w:t>集光型太陽光発電による熱・冷房と電力のコージェネレーション</w:t>
          </w:r>
          <w:r>
            <w:rPr>
              <w:lang w:eastAsia="ja-JP"/>
            </w:rPr>
            <w:tab/>
            <w:t>260</w:t>
          </w:r>
        </w:p>
        <w:p w14:paraId="095A5461" w14:textId="77777777" w:rsidR="002B3AD5" w:rsidRDefault="00D66CD0">
          <w:pPr>
            <w:pStyle w:val="40"/>
            <w:numPr>
              <w:ilvl w:val="1"/>
              <w:numId w:val="29"/>
            </w:numPr>
            <w:tabs>
              <w:tab w:val="left" w:pos="2640"/>
              <w:tab w:val="left" w:pos="2641"/>
              <w:tab w:val="right" w:leader="dot" w:pos="10429"/>
            </w:tabs>
            <w:ind w:hanging="1159"/>
            <w:rPr>
              <w:lang w:eastAsia="ja-JP"/>
            </w:rPr>
          </w:pPr>
          <w:r>
            <w:rPr>
              <w:lang w:eastAsia="ja-JP"/>
            </w:rPr>
            <w:t>地熱による熱・冷熱・動力のコージェネレーション</w:t>
          </w:r>
          <w:r>
            <w:rPr>
              <w:lang w:eastAsia="ja-JP"/>
            </w:rPr>
            <w:tab/>
            <w:t>263</w:t>
          </w:r>
        </w:p>
        <w:p w14:paraId="095A5462" w14:textId="77777777" w:rsidR="002B3AD5" w:rsidRDefault="00D66CD0">
          <w:pPr>
            <w:pStyle w:val="40"/>
            <w:numPr>
              <w:ilvl w:val="1"/>
              <w:numId w:val="29"/>
            </w:numPr>
            <w:tabs>
              <w:tab w:val="left" w:pos="2640"/>
              <w:tab w:val="left" w:pos="2641"/>
              <w:tab w:val="right" w:leader="dot" w:pos="10429"/>
            </w:tabs>
            <w:spacing w:after="20"/>
            <w:ind w:hanging="1159"/>
            <w:rPr>
              <w:lang w:eastAsia="ja-JP"/>
            </w:rPr>
          </w:pPr>
          <w:r>
            <w:rPr>
              <w:lang w:eastAsia="ja-JP"/>
            </w:rPr>
            <w:t>ガスコージェネレーション(天然ガス以外)</w:t>
          </w:r>
          <w:r>
            <w:rPr>
              <w:lang w:eastAsia="ja-JP"/>
            </w:rPr>
            <w:tab/>
            <w:t>266</w:t>
          </w:r>
        </w:p>
        <w:p w14:paraId="095A5463" w14:textId="77777777" w:rsidR="002B3AD5" w:rsidRDefault="00D66CD0">
          <w:pPr>
            <w:pStyle w:val="40"/>
            <w:numPr>
              <w:ilvl w:val="1"/>
              <w:numId w:val="29"/>
            </w:numPr>
            <w:tabs>
              <w:tab w:val="left" w:pos="2640"/>
              <w:tab w:val="left" w:pos="2641"/>
            </w:tabs>
            <w:spacing w:before="79"/>
            <w:ind w:hanging="1159"/>
            <w:rPr>
              <w:lang w:eastAsia="ja-JP"/>
            </w:rPr>
          </w:pPr>
          <w:r>
            <w:rPr>
              <w:lang w:eastAsia="ja-JP"/>
            </w:rPr>
            <w:t>バイオエネルギー(バイオマス、バイオガス、バイオ燃料)からの熱/冷熱と電力のコージェネレーシ</w:t>
          </w:r>
          <w:r>
            <w:rPr>
              <w:lang w:eastAsia="ja-JP"/>
            </w:rPr>
            <w:lastRenderedPageBreak/>
            <w:t>ョン</w:t>
          </w:r>
          <w:r>
            <w:rPr>
              <w:spacing w:val="-33"/>
              <w:lang w:eastAsia="ja-JP"/>
            </w:rPr>
            <w:t xml:space="preserve"> 269</w:t>
          </w:r>
        </w:p>
        <w:p w14:paraId="095A5464" w14:textId="77777777" w:rsidR="002B3AD5" w:rsidRDefault="00D66CD0">
          <w:pPr>
            <w:pStyle w:val="40"/>
            <w:numPr>
              <w:ilvl w:val="1"/>
              <w:numId w:val="29"/>
            </w:numPr>
            <w:tabs>
              <w:tab w:val="left" w:pos="2640"/>
              <w:tab w:val="left" w:pos="2641"/>
              <w:tab w:val="left" w:leader="dot" w:pos="10098"/>
            </w:tabs>
            <w:spacing w:before="155"/>
            <w:ind w:hanging="1159"/>
            <w:rPr>
              <w:lang w:eastAsia="ja-JP"/>
            </w:rPr>
          </w:pPr>
          <w:r>
            <w:rPr>
              <w:lang w:eastAsia="ja-JP"/>
            </w:rPr>
            <w:t>集光型太陽光発電による熱・冷房の製造</w:t>
          </w:r>
          <w:r>
            <w:rPr>
              <w:lang w:eastAsia="ja-JP"/>
            </w:rPr>
            <w:tab/>
            <w:t>273</w:t>
          </w:r>
        </w:p>
        <w:p w14:paraId="095A5465"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地熱による熱・冷房の製造</w:t>
          </w:r>
          <w:r>
            <w:rPr>
              <w:lang w:eastAsia="ja-JP"/>
            </w:rPr>
            <w:tab/>
            <w:t>275</w:t>
          </w:r>
        </w:p>
        <w:p w14:paraId="095A5466"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ガス燃焼による熱・冷の製造</w:t>
          </w:r>
          <w:r>
            <w:rPr>
              <w:lang w:eastAsia="ja-JP"/>
            </w:rPr>
            <w:tab/>
            <w:t>278</w:t>
          </w:r>
        </w:p>
        <w:p w14:paraId="095A5467"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バイオエネルギー(バイオマス、バイオガス、バイオ燃料)からの熱/冷却の生産</w:t>
          </w:r>
          <w:r>
            <w:rPr>
              <w:lang w:eastAsia="ja-JP"/>
            </w:rPr>
            <w:tab/>
            <w:t>281</w:t>
          </w:r>
        </w:p>
        <w:p w14:paraId="095A5468" w14:textId="77777777" w:rsidR="002B3AD5" w:rsidRDefault="00D66CD0">
          <w:pPr>
            <w:pStyle w:val="40"/>
            <w:numPr>
              <w:ilvl w:val="1"/>
              <w:numId w:val="29"/>
            </w:numPr>
            <w:tabs>
              <w:tab w:val="left" w:pos="2640"/>
              <w:tab w:val="left" w:pos="2641"/>
              <w:tab w:val="left" w:leader="dot" w:pos="10098"/>
            </w:tabs>
            <w:spacing w:before="156"/>
            <w:ind w:hanging="1159"/>
            <w:rPr>
              <w:lang w:eastAsia="ja-JP"/>
            </w:rPr>
          </w:pPr>
          <w:r>
            <w:rPr>
              <w:lang w:eastAsia="ja-JP"/>
            </w:rPr>
            <w:t>廃熱を利用した熱・冷房の製造</w:t>
          </w:r>
          <w:r>
            <w:rPr>
              <w:lang w:eastAsia="ja-JP"/>
            </w:rPr>
            <w:tab/>
            <w:t>285</w:t>
          </w:r>
        </w:p>
        <w:p w14:paraId="095A5469" w14:textId="77777777" w:rsidR="002B3AD5" w:rsidRDefault="00D66CD0">
          <w:pPr>
            <w:pStyle w:val="30"/>
            <w:numPr>
              <w:ilvl w:val="0"/>
              <w:numId w:val="29"/>
            </w:numPr>
            <w:tabs>
              <w:tab w:val="left" w:pos="1961"/>
              <w:tab w:val="left" w:pos="1962"/>
              <w:tab w:val="left" w:leader="dot" w:pos="9765"/>
            </w:tabs>
            <w:rPr>
              <w:lang w:eastAsia="ja-JP"/>
            </w:rPr>
          </w:pPr>
          <w:r>
            <w:rPr>
              <w:color w:val="2951C1"/>
              <w:lang w:eastAsia="ja-JP"/>
            </w:rPr>
            <w:t>上下水道・廃棄物・浄化</w:t>
          </w:r>
          <w:r>
            <w:rPr>
              <w:color w:val="2951C1"/>
              <w:lang w:eastAsia="ja-JP"/>
            </w:rPr>
            <w:tab/>
            <w:t>287</w:t>
          </w:r>
        </w:p>
        <w:p w14:paraId="095A546A" w14:textId="77777777" w:rsidR="002B3AD5" w:rsidRDefault="00D66CD0">
          <w:pPr>
            <w:pStyle w:val="40"/>
            <w:numPr>
              <w:ilvl w:val="1"/>
              <w:numId w:val="29"/>
            </w:numPr>
            <w:tabs>
              <w:tab w:val="left" w:pos="2640"/>
              <w:tab w:val="left" w:pos="2641"/>
              <w:tab w:val="left" w:leader="dot" w:pos="10098"/>
            </w:tabs>
            <w:ind w:hanging="1159"/>
          </w:pPr>
          <w:proofErr w:type="spellStart"/>
          <w:r>
            <w:t>集水・処理・給水</w:t>
          </w:r>
          <w:proofErr w:type="spellEnd"/>
          <w:r>
            <w:tab/>
            <w:t>293</w:t>
          </w:r>
        </w:p>
        <w:p w14:paraId="095A546B" w14:textId="77777777" w:rsidR="002B3AD5" w:rsidRDefault="00D66CD0">
          <w:pPr>
            <w:pStyle w:val="40"/>
            <w:numPr>
              <w:ilvl w:val="1"/>
              <w:numId w:val="29"/>
            </w:numPr>
            <w:tabs>
              <w:tab w:val="left" w:pos="2640"/>
              <w:tab w:val="left" w:pos="2641"/>
              <w:tab w:val="left" w:leader="dot" w:pos="10098"/>
            </w:tabs>
            <w:ind w:hanging="1159"/>
          </w:pPr>
          <w:proofErr w:type="spellStart"/>
          <w:r>
            <w:t>集中排水処理</w:t>
          </w:r>
          <w:proofErr w:type="spellEnd"/>
          <w:r>
            <w:tab/>
            <w:t>296</w:t>
          </w:r>
        </w:p>
        <w:p w14:paraId="095A546C" w14:textId="77777777" w:rsidR="002B3AD5" w:rsidRDefault="00D66CD0">
          <w:pPr>
            <w:pStyle w:val="40"/>
            <w:numPr>
              <w:ilvl w:val="1"/>
              <w:numId w:val="29"/>
            </w:numPr>
            <w:tabs>
              <w:tab w:val="left" w:pos="2640"/>
              <w:tab w:val="left" w:pos="2641"/>
              <w:tab w:val="left" w:leader="dot" w:pos="10098"/>
            </w:tabs>
            <w:spacing w:before="155"/>
            <w:ind w:hanging="1159"/>
            <w:rPr>
              <w:lang w:eastAsia="ja-JP"/>
            </w:rPr>
          </w:pPr>
          <w:r>
            <w:rPr>
              <w:lang w:eastAsia="ja-JP"/>
            </w:rPr>
            <w:t>下水汚泥の嫌気的消化</w:t>
          </w:r>
          <w:r>
            <w:rPr>
              <w:lang w:eastAsia="ja-JP"/>
            </w:rPr>
            <w:tab/>
            <w:t>298</w:t>
          </w:r>
        </w:p>
        <w:p w14:paraId="095A546D" w14:textId="77777777" w:rsidR="002B3AD5" w:rsidRDefault="00D66CD0">
          <w:pPr>
            <w:pStyle w:val="40"/>
            <w:numPr>
              <w:ilvl w:val="1"/>
              <w:numId w:val="29"/>
            </w:numPr>
            <w:tabs>
              <w:tab w:val="left" w:pos="2640"/>
              <w:tab w:val="left" w:pos="2641"/>
            </w:tabs>
            <w:spacing w:before="159" w:line="273" w:lineRule="auto"/>
            <w:ind w:left="1481" w:right="1869" w:firstLine="0"/>
            <w:rPr>
              <w:lang w:eastAsia="ja-JP"/>
            </w:rPr>
          </w:pPr>
          <w:r>
            <w:rPr>
              <w:lang w:eastAsia="ja-JP"/>
            </w:rPr>
            <w:t>非有害廃棄物の分別収集・運搬</w:t>
          </w:r>
          <w:r>
            <w:rPr>
              <w:lang w:eastAsia="ja-JP"/>
            </w:rPr>
            <w:tab/>
            <w:t>300</w:t>
          </w:r>
        </w:p>
        <w:p w14:paraId="095A546E" w14:textId="77777777" w:rsidR="002B3AD5" w:rsidRDefault="00D66CD0">
          <w:pPr>
            <w:pStyle w:val="40"/>
            <w:numPr>
              <w:ilvl w:val="1"/>
              <w:numId w:val="29"/>
            </w:numPr>
            <w:tabs>
              <w:tab w:val="left" w:pos="2640"/>
              <w:tab w:val="left" w:pos="2641"/>
              <w:tab w:val="left" w:leader="dot" w:pos="10098"/>
            </w:tabs>
            <w:spacing w:before="121"/>
            <w:ind w:hanging="1159"/>
            <w:rPr>
              <w:lang w:eastAsia="ja-JP"/>
            </w:rPr>
          </w:pPr>
          <w:r>
            <w:rPr>
              <w:lang w:eastAsia="ja-JP"/>
            </w:rPr>
            <w:t>生物系廃棄物の嫌気的消化</w:t>
          </w:r>
          <w:r>
            <w:rPr>
              <w:lang w:eastAsia="ja-JP"/>
            </w:rPr>
            <w:tab/>
            <w:t>302</w:t>
          </w:r>
        </w:p>
        <w:p w14:paraId="095A546F"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生物系廃棄物の堆肥化</w:t>
          </w:r>
          <w:r>
            <w:rPr>
              <w:lang w:eastAsia="ja-JP"/>
            </w:rPr>
            <w:tab/>
            <w:t>305</w:t>
          </w:r>
        </w:p>
        <w:p w14:paraId="095A5470"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非有害廃棄物のマテリアルリカバリー</w:t>
          </w:r>
          <w:r>
            <w:rPr>
              <w:lang w:eastAsia="ja-JP"/>
            </w:rPr>
            <w:tab/>
            <w:t>307</w:t>
          </w:r>
        </w:p>
        <w:p w14:paraId="095A5471" w14:textId="77777777" w:rsidR="002B3AD5" w:rsidRDefault="00D66CD0">
          <w:pPr>
            <w:pStyle w:val="40"/>
            <w:numPr>
              <w:ilvl w:val="1"/>
              <w:numId w:val="29"/>
            </w:numPr>
            <w:tabs>
              <w:tab w:val="left" w:pos="2640"/>
              <w:tab w:val="left" w:pos="2641"/>
              <w:tab w:val="left" w:leader="dot" w:pos="10098"/>
            </w:tabs>
            <w:spacing w:before="156"/>
            <w:ind w:hanging="1159"/>
            <w:rPr>
              <w:lang w:eastAsia="ja-JP"/>
            </w:rPr>
          </w:pPr>
          <w:r>
            <w:rPr>
              <w:lang w:eastAsia="ja-JP"/>
            </w:rPr>
            <w:t>埋立地ガスの回収・利用</w:t>
          </w:r>
          <w:r>
            <w:rPr>
              <w:lang w:eastAsia="ja-JP"/>
            </w:rPr>
            <w:tab/>
            <w:t>309</w:t>
          </w:r>
        </w:p>
        <w:p w14:paraId="095A5472" w14:textId="77777777" w:rsidR="002B3AD5" w:rsidRDefault="00D66CD0">
          <w:pPr>
            <w:pStyle w:val="40"/>
            <w:numPr>
              <w:ilvl w:val="1"/>
              <w:numId w:val="29"/>
            </w:numPr>
            <w:tabs>
              <w:tab w:val="left" w:pos="2640"/>
              <w:tab w:val="left" w:pos="2641"/>
              <w:tab w:val="left" w:leader="dot" w:pos="10098"/>
            </w:tabs>
            <w:ind w:hanging="1159"/>
          </w:pPr>
          <w:r>
            <w:t>CO2の直接空気回収</w:t>
          </w:r>
          <w:r>
            <w:tab/>
            <w:t>311</w:t>
          </w:r>
        </w:p>
        <w:p w14:paraId="095A5473" w14:textId="77777777" w:rsidR="002B3AD5" w:rsidRDefault="00D66CD0">
          <w:pPr>
            <w:pStyle w:val="40"/>
            <w:numPr>
              <w:ilvl w:val="1"/>
              <w:numId w:val="29"/>
            </w:numPr>
            <w:tabs>
              <w:tab w:val="left" w:pos="2640"/>
              <w:tab w:val="left" w:pos="2641"/>
              <w:tab w:val="left" w:leader="dot" w:pos="10098"/>
            </w:tabs>
            <w:ind w:hanging="1159"/>
          </w:pPr>
          <w:proofErr w:type="spellStart"/>
          <w:r>
            <w:t>人為的排出の捕捉</w:t>
          </w:r>
          <w:proofErr w:type="spellEnd"/>
          <w:r>
            <w:tab/>
            <w:t>313</w:t>
          </w:r>
        </w:p>
        <w:p w14:paraId="095A5474" w14:textId="77777777" w:rsidR="002B3AD5" w:rsidRDefault="00D66CD0">
          <w:pPr>
            <w:pStyle w:val="40"/>
            <w:numPr>
              <w:ilvl w:val="1"/>
              <w:numId w:val="29"/>
            </w:numPr>
            <w:tabs>
              <w:tab w:val="left" w:pos="2640"/>
              <w:tab w:val="left" w:pos="2641"/>
              <w:tab w:val="left" w:leader="dot" w:pos="10098"/>
            </w:tabs>
            <w:spacing w:before="155"/>
            <w:ind w:hanging="1159"/>
          </w:pPr>
          <w:r>
            <w:t>CO2の輸送</w:t>
          </w:r>
          <w:r>
            <w:tab/>
            <w:t>316</w:t>
          </w:r>
        </w:p>
        <w:p w14:paraId="095A5475"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回収されたCO2の永久隔離</w:t>
          </w:r>
          <w:r>
            <w:rPr>
              <w:lang w:eastAsia="ja-JP"/>
            </w:rPr>
            <w:tab/>
            <w:t>319</w:t>
          </w:r>
        </w:p>
        <w:p w14:paraId="095A5476" w14:textId="77777777" w:rsidR="002B3AD5" w:rsidRDefault="00D66CD0">
          <w:pPr>
            <w:pStyle w:val="30"/>
            <w:numPr>
              <w:ilvl w:val="0"/>
              <w:numId w:val="29"/>
            </w:numPr>
            <w:tabs>
              <w:tab w:val="left" w:pos="1961"/>
              <w:tab w:val="left" w:pos="1962"/>
              <w:tab w:val="left" w:leader="dot" w:pos="9765"/>
            </w:tabs>
            <w:spacing w:before="156"/>
          </w:pPr>
          <w:proofErr w:type="spellStart"/>
          <w:r>
            <w:rPr>
              <w:color w:val="2951C1"/>
            </w:rPr>
            <w:t>輸送・保管</w:t>
          </w:r>
          <w:proofErr w:type="spellEnd"/>
          <w:r>
            <w:rPr>
              <w:color w:val="2951C1"/>
            </w:rPr>
            <w:tab/>
            <w:t>321</w:t>
          </w:r>
        </w:p>
        <w:p w14:paraId="095A5477" w14:textId="77777777" w:rsidR="002B3AD5" w:rsidRDefault="00D66CD0">
          <w:pPr>
            <w:pStyle w:val="40"/>
            <w:numPr>
              <w:ilvl w:val="1"/>
              <w:numId w:val="29"/>
            </w:numPr>
            <w:tabs>
              <w:tab w:val="left" w:pos="2640"/>
              <w:tab w:val="left" w:pos="2641"/>
              <w:tab w:val="left" w:leader="dot" w:pos="10098"/>
            </w:tabs>
            <w:ind w:hanging="1159"/>
          </w:pPr>
          <w:proofErr w:type="spellStart"/>
          <w:r>
            <w:t>旅客鉄道</w:t>
          </w:r>
          <w:proofErr w:type="spellEnd"/>
          <w:r>
            <w:t>(</w:t>
          </w:r>
          <w:proofErr w:type="spellStart"/>
          <w:r>
            <w:t>都市間</w:t>
          </w:r>
          <w:proofErr w:type="spellEnd"/>
          <w:r>
            <w:t>)</w:t>
          </w:r>
          <w:r>
            <w:tab/>
            <w:t>327</w:t>
          </w:r>
        </w:p>
        <w:p w14:paraId="095A5478" w14:textId="77777777" w:rsidR="002B3AD5" w:rsidRDefault="00D66CD0">
          <w:pPr>
            <w:pStyle w:val="40"/>
            <w:numPr>
              <w:ilvl w:val="1"/>
              <w:numId w:val="29"/>
            </w:numPr>
            <w:tabs>
              <w:tab w:val="left" w:pos="2640"/>
              <w:tab w:val="left" w:pos="2641"/>
              <w:tab w:val="left" w:leader="dot" w:pos="10098"/>
            </w:tabs>
            <w:ind w:hanging="1159"/>
          </w:pPr>
          <w:proofErr w:type="spellStart"/>
          <w:r>
            <w:t>貨物鉄道輸送</w:t>
          </w:r>
          <w:proofErr w:type="spellEnd"/>
          <w:r>
            <w:tab/>
            <w:t>330</w:t>
          </w:r>
        </w:p>
        <w:p w14:paraId="095A5479" w14:textId="77777777" w:rsidR="002B3AD5" w:rsidRDefault="00D66CD0">
          <w:pPr>
            <w:pStyle w:val="40"/>
            <w:numPr>
              <w:ilvl w:val="1"/>
              <w:numId w:val="29"/>
            </w:numPr>
            <w:tabs>
              <w:tab w:val="left" w:pos="2640"/>
              <w:tab w:val="left" w:pos="2641"/>
              <w:tab w:val="left" w:leader="dot" w:pos="10098"/>
            </w:tabs>
            <w:ind w:hanging="1159"/>
          </w:pPr>
          <w:proofErr w:type="spellStart"/>
          <w:r>
            <w:t>公共交通</w:t>
          </w:r>
          <w:proofErr w:type="spellEnd"/>
          <w:r>
            <w:tab/>
            <w:t>332</w:t>
          </w:r>
        </w:p>
        <w:p w14:paraId="095A547A"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低炭素輸送インフラ(陸上輸送)</w:t>
          </w:r>
          <w:r>
            <w:rPr>
              <w:lang w:eastAsia="ja-JP"/>
            </w:rPr>
            <w:tab/>
            <w:t>335</w:t>
          </w:r>
        </w:p>
        <w:p w14:paraId="095A547B" w14:textId="77777777" w:rsidR="002B3AD5" w:rsidRDefault="00D66CD0">
          <w:pPr>
            <w:pStyle w:val="40"/>
            <w:numPr>
              <w:ilvl w:val="1"/>
              <w:numId w:val="29"/>
            </w:numPr>
            <w:tabs>
              <w:tab w:val="left" w:pos="2640"/>
              <w:tab w:val="left" w:pos="2641"/>
              <w:tab w:val="left" w:leader="dot" w:pos="10098"/>
            </w:tabs>
            <w:spacing w:before="157"/>
            <w:ind w:hanging="1159"/>
          </w:pPr>
          <w:proofErr w:type="spellStart"/>
          <w:r>
            <w:t>乗用車・商用車</w:t>
          </w:r>
          <w:proofErr w:type="spellEnd"/>
          <w:r>
            <w:tab/>
            <w:t>339</w:t>
          </w:r>
        </w:p>
        <w:p w14:paraId="095A547C"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道路による貨物の運送サービス</w:t>
          </w:r>
          <w:r>
            <w:rPr>
              <w:lang w:eastAsia="ja-JP"/>
            </w:rPr>
            <w:tab/>
            <w:t>343</w:t>
          </w:r>
        </w:p>
        <w:p w14:paraId="095A547D"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都市間定期道路運送業</w:t>
          </w:r>
          <w:r>
            <w:rPr>
              <w:lang w:eastAsia="ja-JP"/>
            </w:rPr>
            <w:tab/>
            <w:t>346</w:t>
          </w:r>
        </w:p>
        <w:p w14:paraId="095A547E" w14:textId="77777777" w:rsidR="002B3AD5" w:rsidRDefault="00D66CD0">
          <w:pPr>
            <w:pStyle w:val="40"/>
            <w:numPr>
              <w:ilvl w:val="1"/>
              <w:numId w:val="29"/>
            </w:numPr>
            <w:tabs>
              <w:tab w:val="left" w:pos="2640"/>
              <w:tab w:val="left" w:pos="2641"/>
              <w:tab w:val="left" w:leader="dot" w:pos="10098"/>
            </w:tabs>
            <w:ind w:hanging="1159"/>
          </w:pPr>
          <w:proofErr w:type="spellStart"/>
          <w:r>
            <w:t>内陸旅客水運業</w:t>
          </w:r>
          <w:proofErr w:type="spellEnd"/>
          <w:r>
            <w:tab/>
            <w:t>350</w:t>
          </w:r>
        </w:p>
        <w:p w14:paraId="095A547F" w14:textId="77777777" w:rsidR="002B3AD5" w:rsidRDefault="00D66CD0">
          <w:pPr>
            <w:pStyle w:val="40"/>
            <w:numPr>
              <w:ilvl w:val="1"/>
              <w:numId w:val="29"/>
            </w:numPr>
            <w:tabs>
              <w:tab w:val="left" w:pos="2640"/>
              <w:tab w:val="left" w:pos="2641"/>
              <w:tab w:val="left" w:leader="dot" w:pos="10098"/>
            </w:tabs>
            <w:ind w:hanging="1159"/>
          </w:pPr>
          <w:proofErr w:type="spellStart"/>
          <w:r>
            <w:t>内陸貨物水運業</w:t>
          </w:r>
          <w:proofErr w:type="spellEnd"/>
          <w:r>
            <w:tab/>
            <w:t>353</w:t>
          </w:r>
        </w:p>
        <w:p w14:paraId="095A5480" w14:textId="77777777" w:rsidR="002B3AD5" w:rsidRDefault="00D66CD0">
          <w:pPr>
            <w:pStyle w:val="40"/>
            <w:numPr>
              <w:ilvl w:val="1"/>
              <w:numId w:val="29"/>
            </w:numPr>
            <w:tabs>
              <w:tab w:val="left" w:pos="2640"/>
              <w:tab w:val="left" w:pos="2641"/>
              <w:tab w:val="left" w:leader="dot" w:pos="10098"/>
            </w:tabs>
            <w:spacing w:before="157"/>
            <w:ind w:hanging="1159"/>
            <w:rPr>
              <w:lang w:eastAsia="ja-JP"/>
            </w:rPr>
          </w:pPr>
          <w:r>
            <w:rPr>
              <w:lang w:eastAsia="ja-JP"/>
            </w:rPr>
            <w:t>低炭素輸送(水運)インフラ</w:t>
          </w:r>
          <w:r>
            <w:rPr>
              <w:lang w:eastAsia="ja-JP"/>
            </w:rPr>
            <w:tab/>
            <w:t>356</w:t>
          </w:r>
        </w:p>
        <w:p w14:paraId="095A5481" w14:textId="77777777" w:rsidR="002B3AD5" w:rsidRDefault="00D66CD0">
          <w:pPr>
            <w:pStyle w:val="30"/>
            <w:numPr>
              <w:ilvl w:val="0"/>
              <w:numId w:val="29"/>
            </w:numPr>
            <w:tabs>
              <w:tab w:val="left" w:pos="1961"/>
              <w:tab w:val="left" w:pos="1962"/>
              <w:tab w:val="left" w:leader="dot" w:pos="9765"/>
            </w:tabs>
          </w:pPr>
          <w:proofErr w:type="spellStart"/>
          <w:r>
            <w:rPr>
              <w:color w:val="2951C1"/>
            </w:rPr>
            <w:t>情報通信業</w:t>
          </w:r>
          <w:proofErr w:type="spellEnd"/>
          <w:r>
            <w:rPr>
              <w:color w:val="2951C1"/>
            </w:rPr>
            <w:tab/>
            <w:t>359</w:t>
          </w:r>
        </w:p>
        <w:p w14:paraId="095A5482" w14:textId="77777777" w:rsidR="002B3AD5" w:rsidRDefault="00D66CD0">
          <w:pPr>
            <w:pStyle w:val="40"/>
            <w:numPr>
              <w:ilvl w:val="1"/>
              <w:numId w:val="29"/>
            </w:numPr>
            <w:tabs>
              <w:tab w:val="left" w:pos="2640"/>
              <w:tab w:val="left" w:pos="2641"/>
              <w:tab w:val="left" w:leader="dot" w:pos="10098"/>
            </w:tabs>
            <w:spacing w:after="139"/>
            <w:ind w:hanging="1159"/>
            <w:rPr>
              <w:lang w:eastAsia="ja-JP"/>
            </w:rPr>
          </w:pPr>
          <w:r>
            <w:rPr>
              <w:lang w:eastAsia="ja-JP"/>
            </w:rPr>
            <w:t>データ処理、ホスティングおよび関連活動</w:t>
          </w:r>
          <w:r>
            <w:rPr>
              <w:lang w:eastAsia="ja-JP"/>
            </w:rPr>
            <w:tab/>
            <w:t>363</w:t>
          </w:r>
        </w:p>
        <w:p w14:paraId="095A5483" w14:textId="77777777" w:rsidR="002B3AD5" w:rsidRDefault="00D66CD0">
          <w:pPr>
            <w:pStyle w:val="40"/>
            <w:numPr>
              <w:ilvl w:val="1"/>
              <w:numId w:val="29"/>
            </w:numPr>
            <w:tabs>
              <w:tab w:val="left" w:pos="2640"/>
              <w:tab w:val="left" w:pos="2641"/>
              <w:tab w:val="left" w:leader="dot" w:pos="10098"/>
            </w:tabs>
            <w:spacing w:before="79"/>
            <w:ind w:hanging="1159"/>
            <w:rPr>
              <w:lang w:eastAsia="ja-JP"/>
            </w:rPr>
          </w:pPr>
          <w:r>
            <w:rPr>
              <w:lang w:eastAsia="ja-JP"/>
            </w:rPr>
            <w:t>GHG排出削減のためのデータ駆動型ソリューション</w:t>
          </w:r>
          <w:r>
            <w:rPr>
              <w:lang w:eastAsia="ja-JP"/>
            </w:rPr>
            <w:tab/>
            <w:t>365</w:t>
          </w:r>
        </w:p>
        <w:p w14:paraId="095A5484" w14:textId="77777777" w:rsidR="002B3AD5" w:rsidRDefault="00D66CD0">
          <w:pPr>
            <w:pStyle w:val="30"/>
            <w:numPr>
              <w:ilvl w:val="0"/>
              <w:numId w:val="29"/>
            </w:numPr>
            <w:tabs>
              <w:tab w:val="left" w:pos="1961"/>
              <w:tab w:val="left" w:pos="1962"/>
              <w:tab w:val="left" w:leader="dot" w:pos="9765"/>
            </w:tabs>
            <w:spacing w:before="155"/>
          </w:pPr>
          <w:proofErr w:type="spellStart"/>
          <w:r>
            <w:rPr>
              <w:color w:val="2951C1"/>
            </w:rPr>
            <w:t>建設・不動産業</w:t>
          </w:r>
          <w:proofErr w:type="spellEnd"/>
          <w:r>
            <w:rPr>
              <w:color w:val="2951C1"/>
            </w:rPr>
            <w:tab/>
            <w:t>367</w:t>
          </w:r>
        </w:p>
        <w:p w14:paraId="095A5485" w14:textId="77777777" w:rsidR="002B3AD5" w:rsidRDefault="00D66CD0">
          <w:pPr>
            <w:pStyle w:val="40"/>
            <w:numPr>
              <w:ilvl w:val="1"/>
              <w:numId w:val="29"/>
            </w:numPr>
            <w:tabs>
              <w:tab w:val="left" w:pos="2640"/>
              <w:tab w:val="left" w:pos="2641"/>
              <w:tab w:val="left" w:leader="dot" w:pos="10098"/>
            </w:tabs>
            <w:ind w:hanging="1159"/>
          </w:pPr>
          <w:proofErr w:type="spellStart"/>
          <w:r>
            <w:t>新築工事</w:t>
          </w:r>
          <w:proofErr w:type="spellEnd"/>
          <w:r>
            <w:tab/>
            <w:t>375</w:t>
          </w:r>
        </w:p>
        <w:p w14:paraId="095A5486" w14:textId="77777777" w:rsidR="002B3AD5" w:rsidRDefault="00D66CD0">
          <w:pPr>
            <w:pStyle w:val="40"/>
            <w:numPr>
              <w:ilvl w:val="1"/>
              <w:numId w:val="29"/>
            </w:numPr>
            <w:tabs>
              <w:tab w:val="left" w:pos="2640"/>
              <w:tab w:val="left" w:pos="2641"/>
              <w:tab w:val="left" w:leader="dot" w:pos="10098"/>
            </w:tabs>
            <w:ind w:hanging="1159"/>
          </w:pPr>
          <w:proofErr w:type="spellStart"/>
          <w:r>
            <w:lastRenderedPageBreak/>
            <w:t>ビルリフォーム</w:t>
          </w:r>
          <w:proofErr w:type="spellEnd"/>
          <w:r>
            <w:tab/>
            <w:t>379</w:t>
          </w:r>
        </w:p>
        <w:p w14:paraId="095A5487" w14:textId="77777777" w:rsidR="002B3AD5" w:rsidRDefault="00D66CD0">
          <w:pPr>
            <w:pStyle w:val="40"/>
            <w:numPr>
              <w:ilvl w:val="1"/>
              <w:numId w:val="29"/>
            </w:numPr>
            <w:tabs>
              <w:tab w:val="left" w:pos="2640"/>
              <w:tab w:val="left" w:pos="2641"/>
              <w:tab w:val="left" w:leader="dot" w:pos="10098"/>
            </w:tabs>
            <w:ind w:hanging="1159"/>
            <w:rPr>
              <w:lang w:eastAsia="ja-JP"/>
            </w:rPr>
          </w:pPr>
          <w:r>
            <w:rPr>
              <w:lang w:eastAsia="ja-JP"/>
            </w:rPr>
            <w:t>個別対応・専門サービス</w:t>
          </w:r>
          <w:r>
            <w:rPr>
              <w:lang w:eastAsia="ja-JP"/>
            </w:rPr>
            <w:tab/>
            <w:t>383</w:t>
          </w:r>
        </w:p>
        <w:p w14:paraId="095A5488" w14:textId="77777777" w:rsidR="002B3AD5" w:rsidRDefault="00D66CD0">
          <w:pPr>
            <w:pStyle w:val="40"/>
            <w:numPr>
              <w:ilvl w:val="1"/>
              <w:numId w:val="29"/>
            </w:numPr>
            <w:tabs>
              <w:tab w:val="left" w:pos="2640"/>
              <w:tab w:val="left" w:pos="2641"/>
              <w:tab w:val="left" w:leader="dot" w:pos="10098"/>
            </w:tabs>
            <w:spacing w:before="156"/>
            <w:ind w:hanging="1159"/>
          </w:pPr>
          <w:proofErr w:type="spellStart"/>
          <w:r>
            <w:t>取得および所有権</w:t>
          </w:r>
          <w:proofErr w:type="spellEnd"/>
          <w:r>
            <w:tab/>
            <w:t>387</w:t>
          </w:r>
        </w:p>
        <w:p w14:paraId="095A5489" w14:textId="77777777" w:rsidR="002B3AD5" w:rsidRDefault="00D66CD0">
          <w:pPr>
            <w:pStyle w:val="20"/>
            <w:tabs>
              <w:tab w:val="left" w:leader="dot" w:pos="9618"/>
            </w:tabs>
            <w:spacing w:line="273" w:lineRule="auto"/>
            <w:ind w:right="1456"/>
            <w:rPr>
              <w:lang w:eastAsia="ja-JP"/>
            </w:rPr>
          </w:pPr>
          <w:r>
            <w:rPr>
              <w:color w:val="30A2A9"/>
              <w:lang w:eastAsia="ja-JP"/>
            </w:rPr>
            <w:t>技術的スクリーニング基準:気候変動適応への実質的寄与</w:t>
          </w:r>
          <w:r>
            <w:rPr>
              <w:color w:val="30A2A9"/>
              <w:lang w:eastAsia="ja-JP"/>
            </w:rPr>
            <w:tab/>
          </w:r>
          <w:r>
            <w:rPr>
              <w:color w:val="30A2A9"/>
              <w:spacing w:val="-5"/>
              <w:lang w:eastAsia="ja-JP"/>
            </w:rPr>
            <w:t>391</w:t>
          </w:r>
        </w:p>
        <w:p w14:paraId="095A548A" w14:textId="77777777" w:rsidR="002B3AD5" w:rsidRDefault="00D66CD0">
          <w:pPr>
            <w:pStyle w:val="30"/>
            <w:numPr>
              <w:ilvl w:val="0"/>
              <w:numId w:val="27"/>
            </w:numPr>
            <w:tabs>
              <w:tab w:val="left" w:pos="1961"/>
              <w:tab w:val="left" w:pos="1962"/>
              <w:tab w:val="left" w:leader="dot" w:pos="9765"/>
            </w:tabs>
            <w:spacing w:before="123"/>
          </w:pPr>
          <w:proofErr w:type="spellStart"/>
          <w:r>
            <w:rPr>
              <w:color w:val="2951C1"/>
            </w:rPr>
            <w:t>林業</w:t>
          </w:r>
          <w:proofErr w:type="spellEnd"/>
          <w:r>
            <w:rPr>
              <w:color w:val="2951C1"/>
            </w:rPr>
            <w:tab/>
            <w:t>395</w:t>
          </w:r>
        </w:p>
        <w:p w14:paraId="095A548B" w14:textId="77777777" w:rsidR="002B3AD5" w:rsidRDefault="00D66CD0">
          <w:pPr>
            <w:pStyle w:val="40"/>
            <w:numPr>
              <w:ilvl w:val="1"/>
              <w:numId w:val="27"/>
            </w:numPr>
            <w:tabs>
              <w:tab w:val="left" w:pos="2640"/>
              <w:tab w:val="left" w:pos="2641"/>
              <w:tab w:val="left" w:leader="dot" w:pos="10098"/>
            </w:tabs>
            <w:spacing w:before="155"/>
            <w:ind w:hanging="1159"/>
          </w:pPr>
          <w:proofErr w:type="spellStart"/>
          <w:r>
            <w:t>植林</w:t>
          </w:r>
          <w:proofErr w:type="spellEnd"/>
          <w:r>
            <w:tab/>
            <w:t>395</w:t>
          </w:r>
        </w:p>
        <w:p w14:paraId="095A548C" w14:textId="77777777" w:rsidR="002B3AD5" w:rsidRDefault="00D66CD0">
          <w:pPr>
            <w:pStyle w:val="40"/>
            <w:numPr>
              <w:ilvl w:val="1"/>
              <w:numId w:val="27"/>
            </w:numPr>
            <w:tabs>
              <w:tab w:val="left" w:pos="2640"/>
              <w:tab w:val="left" w:pos="2641"/>
              <w:tab w:val="left" w:leader="dot" w:pos="10098"/>
            </w:tabs>
            <w:spacing w:before="156"/>
            <w:ind w:hanging="1159"/>
          </w:pPr>
          <w:proofErr w:type="spellStart"/>
          <w:r>
            <w:t>再生、回復</w:t>
          </w:r>
          <w:proofErr w:type="spellEnd"/>
          <w:r>
            <w:tab/>
            <w:t>398</w:t>
          </w:r>
        </w:p>
        <w:p w14:paraId="095A548D" w14:textId="77777777" w:rsidR="002B3AD5" w:rsidRDefault="00D66CD0">
          <w:pPr>
            <w:pStyle w:val="40"/>
            <w:numPr>
              <w:ilvl w:val="1"/>
              <w:numId w:val="27"/>
            </w:numPr>
            <w:tabs>
              <w:tab w:val="left" w:pos="2640"/>
              <w:tab w:val="left" w:pos="2641"/>
              <w:tab w:val="left" w:leader="dot" w:pos="10098"/>
            </w:tabs>
            <w:ind w:hanging="1159"/>
          </w:pPr>
          <w:proofErr w:type="spellStart"/>
          <w:r>
            <w:t>植林</w:t>
          </w:r>
          <w:proofErr w:type="spellEnd"/>
          <w:r>
            <w:tab/>
            <w:t>398</w:t>
          </w:r>
        </w:p>
        <w:p w14:paraId="095A548E" w14:textId="77777777" w:rsidR="002B3AD5" w:rsidRDefault="00D66CD0">
          <w:pPr>
            <w:pStyle w:val="40"/>
            <w:numPr>
              <w:ilvl w:val="1"/>
              <w:numId w:val="27"/>
            </w:numPr>
            <w:tabs>
              <w:tab w:val="left" w:pos="2640"/>
              <w:tab w:val="left" w:pos="2641"/>
              <w:tab w:val="left" w:leader="dot" w:pos="10098"/>
            </w:tabs>
            <w:ind w:hanging="1159"/>
          </w:pPr>
          <w:proofErr w:type="spellStart"/>
          <w:r>
            <w:t>既存の森林管理</w:t>
          </w:r>
          <w:proofErr w:type="spellEnd"/>
          <w:r>
            <w:tab/>
            <w:t>405</w:t>
          </w:r>
        </w:p>
        <w:p w14:paraId="095A548F" w14:textId="77777777" w:rsidR="002B3AD5" w:rsidRDefault="00D66CD0">
          <w:pPr>
            <w:pStyle w:val="40"/>
            <w:numPr>
              <w:ilvl w:val="1"/>
              <w:numId w:val="27"/>
            </w:numPr>
            <w:tabs>
              <w:tab w:val="left" w:pos="2640"/>
              <w:tab w:val="left" w:pos="2641"/>
              <w:tab w:val="left" w:leader="dot" w:pos="10098"/>
            </w:tabs>
            <w:ind w:hanging="1159"/>
          </w:pPr>
          <w:proofErr w:type="spellStart"/>
          <w:r>
            <w:t>保全林</w:t>
          </w:r>
          <w:proofErr w:type="spellEnd"/>
          <w:r>
            <w:tab/>
            <w:t>409</w:t>
          </w:r>
        </w:p>
        <w:p w14:paraId="095A5490" w14:textId="77777777" w:rsidR="002B3AD5" w:rsidRDefault="00D66CD0">
          <w:pPr>
            <w:pStyle w:val="30"/>
            <w:numPr>
              <w:ilvl w:val="0"/>
              <w:numId w:val="27"/>
            </w:numPr>
            <w:tabs>
              <w:tab w:val="left" w:pos="1961"/>
              <w:tab w:val="left" w:pos="1962"/>
              <w:tab w:val="left" w:leader="dot" w:pos="9765"/>
            </w:tabs>
          </w:pPr>
          <w:proofErr w:type="spellStart"/>
          <w:r>
            <w:rPr>
              <w:color w:val="2951C1"/>
            </w:rPr>
            <w:t>農業</w:t>
          </w:r>
          <w:proofErr w:type="spellEnd"/>
          <w:r>
            <w:rPr>
              <w:color w:val="2951C1"/>
            </w:rPr>
            <w:tab/>
            <w:t>412</w:t>
          </w:r>
        </w:p>
        <w:p w14:paraId="095A5491" w14:textId="77777777" w:rsidR="002B3AD5" w:rsidRDefault="00D66CD0">
          <w:pPr>
            <w:pStyle w:val="40"/>
            <w:numPr>
              <w:ilvl w:val="1"/>
              <w:numId w:val="27"/>
            </w:numPr>
            <w:tabs>
              <w:tab w:val="left" w:pos="2640"/>
              <w:tab w:val="left" w:pos="2641"/>
              <w:tab w:val="left" w:leader="dot" w:pos="10098"/>
            </w:tabs>
            <w:spacing w:before="157"/>
            <w:ind w:hanging="1159"/>
          </w:pPr>
          <w:proofErr w:type="spellStart"/>
          <w:r>
            <w:t>多年生作物の栽培</w:t>
          </w:r>
          <w:proofErr w:type="spellEnd"/>
          <w:r>
            <w:tab/>
            <w:t>412</w:t>
          </w:r>
        </w:p>
        <w:p w14:paraId="095A5492" w14:textId="77777777" w:rsidR="002B3AD5" w:rsidRDefault="00D66CD0">
          <w:pPr>
            <w:pStyle w:val="40"/>
            <w:numPr>
              <w:ilvl w:val="1"/>
              <w:numId w:val="27"/>
            </w:numPr>
            <w:tabs>
              <w:tab w:val="left" w:pos="2640"/>
              <w:tab w:val="left" w:pos="2641"/>
              <w:tab w:val="left" w:leader="dot" w:pos="10098"/>
            </w:tabs>
            <w:ind w:hanging="1159"/>
          </w:pPr>
          <w:proofErr w:type="spellStart"/>
          <w:r>
            <w:t>非多年生作物の栽培</w:t>
          </w:r>
          <w:proofErr w:type="spellEnd"/>
          <w:r>
            <w:tab/>
            <w:t>416</w:t>
          </w:r>
        </w:p>
        <w:p w14:paraId="095A5493" w14:textId="77777777" w:rsidR="002B3AD5" w:rsidRDefault="00D66CD0">
          <w:pPr>
            <w:pStyle w:val="40"/>
            <w:numPr>
              <w:ilvl w:val="1"/>
              <w:numId w:val="27"/>
            </w:numPr>
            <w:tabs>
              <w:tab w:val="left" w:pos="2640"/>
              <w:tab w:val="left" w:pos="2641"/>
              <w:tab w:val="left" w:leader="dot" w:pos="10098"/>
            </w:tabs>
            <w:ind w:hanging="1159"/>
          </w:pPr>
          <w:proofErr w:type="spellStart"/>
          <w:r>
            <w:t>畜産</w:t>
          </w:r>
          <w:proofErr w:type="spellEnd"/>
          <w:r>
            <w:tab/>
            <w:t>423</w:t>
          </w:r>
        </w:p>
        <w:p w14:paraId="095A5494" w14:textId="77777777" w:rsidR="002B3AD5" w:rsidRDefault="00D66CD0">
          <w:pPr>
            <w:pStyle w:val="30"/>
            <w:numPr>
              <w:ilvl w:val="0"/>
              <w:numId w:val="27"/>
            </w:numPr>
            <w:tabs>
              <w:tab w:val="left" w:pos="1961"/>
              <w:tab w:val="left" w:pos="1962"/>
              <w:tab w:val="left" w:leader="dot" w:pos="9765"/>
            </w:tabs>
          </w:pPr>
          <w:proofErr w:type="spellStart"/>
          <w:r>
            <w:rPr>
              <w:color w:val="2951C1"/>
            </w:rPr>
            <w:t>製造</w:t>
          </w:r>
          <w:proofErr w:type="spellEnd"/>
          <w:r>
            <w:rPr>
              <w:color w:val="2951C1"/>
            </w:rPr>
            <w:tab/>
            <w:t>427</w:t>
          </w:r>
        </w:p>
        <w:p w14:paraId="095A5495" w14:textId="77777777" w:rsidR="002B3AD5" w:rsidRDefault="00D66CD0">
          <w:pPr>
            <w:pStyle w:val="40"/>
            <w:numPr>
              <w:ilvl w:val="1"/>
              <w:numId w:val="27"/>
            </w:numPr>
            <w:tabs>
              <w:tab w:val="left" w:pos="2640"/>
              <w:tab w:val="left" w:pos="2641"/>
              <w:tab w:val="left" w:leader="dot" w:pos="10098"/>
            </w:tabs>
            <w:ind w:hanging="1159"/>
          </w:pPr>
          <w:proofErr w:type="spellStart"/>
          <w:r>
            <w:t>低炭素技術の製造</w:t>
          </w:r>
          <w:proofErr w:type="spellEnd"/>
          <w:r>
            <w:tab/>
            <w:t>427</w:t>
          </w:r>
        </w:p>
        <w:p w14:paraId="095A5496" w14:textId="77777777" w:rsidR="002B3AD5" w:rsidRDefault="00D66CD0">
          <w:pPr>
            <w:pStyle w:val="40"/>
            <w:numPr>
              <w:ilvl w:val="1"/>
              <w:numId w:val="27"/>
            </w:numPr>
            <w:tabs>
              <w:tab w:val="left" w:pos="2640"/>
              <w:tab w:val="left" w:pos="2641"/>
              <w:tab w:val="left" w:leader="dot" w:pos="10098"/>
            </w:tabs>
            <w:spacing w:before="157"/>
            <w:ind w:hanging="1159"/>
          </w:pPr>
          <w:proofErr w:type="spellStart"/>
          <w:r>
            <w:t>セメント製造</w:t>
          </w:r>
          <w:proofErr w:type="spellEnd"/>
          <w:r>
            <w:tab/>
            <w:t>430</w:t>
          </w:r>
        </w:p>
        <w:p w14:paraId="095A5497" w14:textId="77777777" w:rsidR="002B3AD5" w:rsidRDefault="00D66CD0">
          <w:pPr>
            <w:pStyle w:val="40"/>
            <w:numPr>
              <w:ilvl w:val="1"/>
              <w:numId w:val="27"/>
            </w:numPr>
            <w:tabs>
              <w:tab w:val="left" w:pos="2640"/>
              <w:tab w:val="left" w:pos="2641"/>
              <w:tab w:val="left" w:leader="dot" w:pos="10098"/>
            </w:tabs>
            <w:ind w:hanging="1159"/>
          </w:pPr>
          <w:proofErr w:type="spellStart"/>
          <w:r>
            <w:t>アルミニウムの製造</w:t>
          </w:r>
          <w:proofErr w:type="spellEnd"/>
          <w:r>
            <w:tab/>
            <w:t>433</w:t>
          </w:r>
        </w:p>
        <w:p w14:paraId="095A5498" w14:textId="77777777" w:rsidR="002B3AD5" w:rsidRDefault="00D66CD0">
          <w:pPr>
            <w:pStyle w:val="40"/>
            <w:numPr>
              <w:ilvl w:val="1"/>
              <w:numId w:val="27"/>
            </w:numPr>
            <w:tabs>
              <w:tab w:val="left" w:pos="2640"/>
              <w:tab w:val="left" w:pos="2641"/>
              <w:tab w:val="left" w:leader="dot" w:pos="10098"/>
            </w:tabs>
            <w:ind w:hanging="1159"/>
          </w:pPr>
          <w:proofErr w:type="spellStart"/>
          <w:r>
            <w:t>鉄鋼業</w:t>
          </w:r>
          <w:proofErr w:type="spellEnd"/>
          <w:r>
            <w:tab/>
            <w:t>436</w:t>
          </w:r>
        </w:p>
        <w:p w14:paraId="095A5499" w14:textId="77777777" w:rsidR="002B3AD5" w:rsidRDefault="00D66CD0">
          <w:pPr>
            <w:pStyle w:val="40"/>
            <w:numPr>
              <w:ilvl w:val="1"/>
              <w:numId w:val="27"/>
            </w:numPr>
            <w:tabs>
              <w:tab w:val="left" w:pos="2640"/>
              <w:tab w:val="left" w:pos="2641"/>
              <w:tab w:val="left" w:leader="dot" w:pos="10098"/>
            </w:tabs>
            <w:ind w:hanging="1159"/>
          </w:pPr>
          <w:proofErr w:type="spellStart"/>
          <w:r>
            <w:t>水素の製造</w:t>
          </w:r>
          <w:proofErr w:type="spellEnd"/>
          <w:r>
            <w:tab/>
            <w:t>439</w:t>
          </w:r>
        </w:p>
        <w:p w14:paraId="095A549A"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その他の無機基礎化学品の製造</w:t>
          </w:r>
          <w:r>
            <w:rPr>
              <w:lang w:eastAsia="ja-JP"/>
            </w:rPr>
            <w:tab/>
            <w:t>442</w:t>
          </w:r>
        </w:p>
        <w:p w14:paraId="095A549B" w14:textId="77777777" w:rsidR="002B3AD5" w:rsidRDefault="00D66CD0">
          <w:pPr>
            <w:pStyle w:val="40"/>
            <w:numPr>
              <w:ilvl w:val="1"/>
              <w:numId w:val="27"/>
            </w:numPr>
            <w:tabs>
              <w:tab w:val="left" w:pos="2640"/>
              <w:tab w:val="left" w:pos="2641"/>
              <w:tab w:val="left" w:leader="dot" w:pos="10098"/>
            </w:tabs>
            <w:spacing w:before="156"/>
            <w:ind w:hanging="1159"/>
            <w:rPr>
              <w:lang w:eastAsia="ja-JP"/>
            </w:rPr>
          </w:pPr>
          <w:r>
            <w:rPr>
              <w:lang w:eastAsia="ja-JP"/>
            </w:rPr>
            <w:t>その他の有機基礎化学品の製造</w:t>
          </w:r>
          <w:r>
            <w:rPr>
              <w:lang w:eastAsia="ja-JP"/>
            </w:rPr>
            <w:tab/>
            <w:t>447</w:t>
          </w:r>
        </w:p>
        <w:p w14:paraId="095A549C" w14:textId="77777777" w:rsidR="002B3AD5" w:rsidRDefault="00D66CD0">
          <w:pPr>
            <w:pStyle w:val="40"/>
            <w:numPr>
              <w:ilvl w:val="1"/>
              <w:numId w:val="27"/>
            </w:numPr>
            <w:tabs>
              <w:tab w:val="left" w:pos="2640"/>
              <w:tab w:val="left" w:pos="2641"/>
              <w:tab w:val="left" w:leader="dot" w:pos="10098"/>
            </w:tabs>
            <w:spacing w:before="155"/>
            <w:ind w:hanging="1159"/>
            <w:rPr>
              <w:lang w:eastAsia="ja-JP"/>
            </w:rPr>
          </w:pPr>
          <w:r>
            <w:rPr>
              <w:lang w:eastAsia="ja-JP"/>
            </w:rPr>
            <w:t>肥料・窒素化合物製造</w:t>
          </w:r>
          <w:r>
            <w:rPr>
              <w:lang w:eastAsia="ja-JP"/>
            </w:rPr>
            <w:tab/>
            <w:t>451</w:t>
          </w:r>
        </w:p>
        <w:p w14:paraId="095A549D"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プラスチック一次製品製造業</w:t>
          </w:r>
          <w:r>
            <w:rPr>
              <w:lang w:eastAsia="ja-JP"/>
            </w:rPr>
            <w:tab/>
            <w:t>453</w:t>
          </w:r>
        </w:p>
        <w:p w14:paraId="095A549E" w14:textId="77777777" w:rsidR="002B3AD5" w:rsidRDefault="00D66CD0">
          <w:pPr>
            <w:pStyle w:val="30"/>
            <w:numPr>
              <w:ilvl w:val="0"/>
              <w:numId w:val="27"/>
            </w:numPr>
            <w:tabs>
              <w:tab w:val="left" w:pos="1961"/>
              <w:tab w:val="left" w:pos="1962"/>
              <w:tab w:val="left" w:leader="dot" w:pos="9765"/>
            </w:tabs>
            <w:rPr>
              <w:lang w:eastAsia="ja-JP"/>
            </w:rPr>
          </w:pPr>
          <w:r>
            <w:rPr>
              <w:color w:val="2951C1"/>
              <w:lang w:eastAsia="ja-JP"/>
            </w:rPr>
            <w:t>電気・ガス・蒸気・空調の供給</w:t>
          </w:r>
          <w:r>
            <w:rPr>
              <w:color w:val="2951C1"/>
              <w:lang w:eastAsia="ja-JP"/>
            </w:rPr>
            <w:tab/>
            <w:t>456</w:t>
          </w:r>
        </w:p>
        <w:p w14:paraId="095A549F"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太陽光発電からの発電</w:t>
          </w:r>
          <w:r>
            <w:rPr>
              <w:lang w:eastAsia="ja-JP"/>
            </w:rPr>
            <w:tab/>
            <w:t>456</w:t>
          </w:r>
        </w:p>
        <w:p w14:paraId="095A54A0" w14:textId="77777777" w:rsidR="002B3AD5" w:rsidRDefault="00D66CD0">
          <w:pPr>
            <w:pStyle w:val="40"/>
            <w:numPr>
              <w:ilvl w:val="1"/>
              <w:numId w:val="27"/>
            </w:numPr>
            <w:tabs>
              <w:tab w:val="left" w:pos="2640"/>
              <w:tab w:val="left" w:pos="2641"/>
              <w:tab w:val="left" w:leader="dot" w:pos="10098"/>
            </w:tabs>
            <w:spacing w:before="156"/>
            <w:ind w:hanging="1159"/>
            <w:rPr>
              <w:lang w:eastAsia="ja-JP"/>
            </w:rPr>
          </w:pPr>
          <w:r>
            <w:rPr>
              <w:lang w:eastAsia="ja-JP"/>
            </w:rPr>
            <w:t>集光型太陽光発電による発電</w:t>
          </w:r>
          <w:r>
            <w:rPr>
              <w:lang w:eastAsia="ja-JP"/>
            </w:rPr>
            <w:tab/>
            <w:t>458</w:t>
          </w:r>
        </w:p>
        <w:p w14:paraId="095A54A1" w14:textId="77777777" w:rsidR="002B3AD5" w:rsidRDefault="00D66CD0">
          <w:pPr>
            <w:pStyle w:val="40"/>
            <w:numPr>
              <w:ilvl w:val="1"/>
              <w:numId w:val="27"/>
            </w:numPr>
            <w:tabs>
              <w:tab w:val="left" w:pos="2640"/>
              <w:tab w:val="left" w:pos="2641"/>
              <w:tab w:val="left" w:leader="dot" w:pos="10098"/>
            </w:tabs>
            <w:spacing w:after="154"/>
            <w:ind w:hanging="1159"/>
          </w:pPr>
          <w:proofErr w:type="spellStart"/>
          <w:r>
            <w:t>風力発電による発電</w:t>
          </w:r>
          <w:proofErr w:type="spellEnd"/>
          <w:r>
            <w:tab/>
            <w:t>460</w:t>
          </w:r>
        </w:p>
        <w:p w14:paraId="095A54A2" w14:textId="77777777" w:rsidR="002B3AD5" w:rsidRDefault="00D66CD0">
          <w:pPr>
            <w:pStyle w:val="40"/>
            <w:numPr>
              <w:ilvl w:val="1"/>
              <w:numId w:val="27"/>
            </w:numPr>
            <w:tabs>
              <w:tab w:val="left" w:pos="2640"/>
              <w:tab w:val="left" w:pos="2641"/>
              <w:tab w:val="left" w:leader="dot" w:pos="10098"/>
            </w:tabs>
            <w:spacing w:before="79"/>
            <w:ind w:hanging="1159"/>
          </w:pPr>
          <w:proofErr w:type="spellStart"/>
          <w:r>
            <w:t>海洋エネルギー発電</w:t>
          </w:r>
          <w:proofErr w:type="spellEnd"/>
          <w:r>
            <w:tab/>
            <w:t>462</w:t>
          </w:r>
        </w:p>
        <w:p w14:paraId="095A54A3" w14:textId="77777777" w:rsidR="002B3AD5" w:rsidRDefault="00D66CD0">
          <w:pPr>
            <w:pStyle w:val="40"/>
            <w:numPr>
              <w:ilvl w:val="1"/>
              <w:numId w:val="27"/>
            </w:numPr>
            <w:tabs>
              <w:tab w:val="left" w:pos="2640"/>
              <w:tab w:val="left" w:pos="2641"/>
              <w:tab w:val="left" w:leader="dot" w:pos="10098"/>
            </w:tabs>
            <w:spacing w:before="155"/>
            <w:ind w:hanging="1159"/>
          </w:pPr>
          <w:proofErr w:type="spellStart"/>
          <w:r>
            <w:t>水力発電</w:t>
          </w:r>
          <w:proofErr w:type="spellEnd"/>
          <w:r>
            <w:tab/>
            <w:t>464</w:t>
          </w:r>
        </w:p>
        <w:p w14:paraId="095A54A4" w14:textId="77777777" w:rsidR="002B3AD5" w:rsidRDefault="00D66CD0">
          <w:pPr>
            <w:pStyle w:val="40"/>
            <w:numPr>
              <w:ilvl w:val="1"/>
              <w:numId w:val="27"/>
            </w:numPr>
            <w:tabs>
              <w:tab w:val="left" w:pos="2640"/>
              <w:tab w:val="left" w:pos="2641"/>
              <w:tab w:val="left" w:leader="dot" w:pos="10098"/>
            </w:tabs>
            <w:ind w:hanging="1159"/>
          </w:pPr>
          <w:proofErr w:type="spellStart"/>
          <w:r>
            <w:t>地熱発電</w:t>
          </w:r>
          <w:proofErr w:type="spellEnd"/>
          <w:r>
            <w:tab/>
            <w:t>471</w:t>
          </w:r>
        </w:p>
        <w:p w14:paraId="095A54A5"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ガス(天然ガスを除く)からの発電</w:t>
          </w:r>
          <w:r>
            <w:rPr>
              <w:lang w:eastAsia="ja-JP"/>
            </w:rPr>
            <w:tab/>
            <w:t>473</w:t>
          </w:r>
        </w:p>
        <w:p w14:paraId="095A54A6"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バイオエネルギー(バイオマス、バイオガス、バイオ燃料)からの電力生産</w:t>
          </w:r>
          <w:r>
            <w:rPr>
              <w:lang w:eastAsia="ja-JP"/>
            </w:rPr>
            <w:tab/>
            <w:t>475</w:t>
          </w:r>
        </w:p>
        <w:p w14:paraId="095A54A7" w14:textId="77777777" w:rsidR="002B3AD5" w:rsidRDefault="00D66CD0">
          <w:pPr>
            <w:pStyle w:val="40"/>
            <w:numPr>
              <w:ilvl w:val="1"/>
              <w:numId w:val="27"/>
            </w:numPr>
            <w:tabs>
              <w:tab w:val="left" w:pos="2640"/>
              <w:tab w:val="left" w:pos="2641"/>
              <w:tab w:val="left" w:leader="dot" w:pos="10098"/>
            </w:tabs>
            <w:spacing w:before="156"/>
            <w:ind w:hanging="1159"/>
          </w:pPr>
          <w:proofErr w:type="spellStart"/>
          <w:r>
            <w:t>送配電</w:t>
          </w:r>
          <w:proofErr w:type="spellEnd"/>
          <w:r>
            <w:tab/>
            <w:t>479</w:t>
          </w:r>
        </w:p>
        <w:p w14:paraId="095A54A8" w14:textId="77777777" w:rsidR="002B3AD5" w:rsidRDefault="00D66CD0">
          <w:pPr>
            <w:pStyle w:val="40"/>
            <w:numPr>
              <w:ilvl w:val="1"/>
              <w:numId w:val="27"/>
            </w:numPr>
            <w:tabs>
              <w:tab w:val="left" w:pos="2640"/>
              <w:tab w:val="left" w:pos="2641"/>
              <w:tab w:val="left" w:leader="dot" w:pos="10098"/>
            </w:tabs>
            <w:ind w:hanging="1159"/>
          </w:pPr>
          <w:proofErr w:type="spellStart"/>
          <w:r>
            <w:lastRenderedPageBreak/>
            <w:t>電力の貯蔵</w:t>
          </w:r>
          <w:proofErr w:type="spellEnd"/>
          <w:r>
            <w:tab/>
            <w:t>485</w:t>
          </w:r>
        </w:p>
        <w:p w14:paraId="095A54A9" w14:textId="77777777" w:rsidR="002B3AD5" w:rsidRDefault="00D66CD0">
          <w:pPr>
            <w:pStyle w:val="40"/>
            <w:numPr>
              <w:ilvl w:val="1"/>
              <w:numId w:val="27"/>
            </w:numPr>
            <w:tabs>
              <w:tab w:val="left" w:pos="2640"/>
              <w:tab w:val="left" w:pos="2641"/>
              <w:tab w:val="left" w:leader="dot" w:pos="10098"/>
            </w:tabs>
            <w:ind w:hanging="1159"/>
          </w:pPr>
          <w:proofErr w:type="spellStart"/>
          <w:r>
            <w:t>蓄熱</w:t>
          </w:r>
          <w:proofErr w:type="spellEnd"/>
          <w:r>
            <w:tab/>
            <w:t>487</w:t>
          </w:r>
        </w:p>
        <w:p w14:paraId="095A54AA" w14:textId="77777777" w:rsidR="002B3AD5" w:rsidRDefault="00D66CD0">
          <w:pPr>
            <w:pStyle w:val="40"/>
            <w:numPr>
              <w:ilvl w:val="1"/>
              <w:numId w:val="27"/>
            </w:numPr>
            <w:tabs>
              <w:tab w:val="left" w:pos="2640"/>
              <w:tab w:val="left" w:pos="2641"/>
              <w:tab w:val="left" w:leader="dot" w:pos="10098"/>
            </w:tabs>
            <w:ind w:hanging="1159"/>
          </w:pPr>
          <w:proofErr w:type="spellStart"/>
          <w:r>
            <w:t>水素の貯蔵</w:t>
          </w:r>
          <w:proofErr w:type="spellEnd"/>
          <w:r>
            <w:tab/>
            <w:t>489</w:t>
          </w:r>
        </w:p>
        <w:p w14:paraId="095A54AB" w14:textId="77777777" w:rsidR="002B3AD5" w:rsidRDefault="00D66CD0">
          <w:pPr>
            <w:pStyle w:val="40"/>
            <w:numPr>
              <w:ilvl w:val="1"/>
              <w:numId w:val="27"/>
            </w:numPr>
            <w:tabs>
              <w:tab w:val="left" w:pos="2640"/>
              <w:tab w:val="left" w:pos="2641"/>
              <w:tab w:val="left" w:leader="dot" w:pos="10098"/>
            </w:tabs>
            <w:spacing w:before="155"/>
            <w:ind w:hanging="1159"/>
            <w:rPr>
              <w:lang w:eastAsia="ja-JP"/>
            </w:rPr>
          </w:pPr>
          <w:r>
            <w:rPr>
              <w:lang w:eastAsia="ja-JP"/>
            </w:rPr>
            <w:t>バイオマス、バイオガスまたはバイオ燃料の製造</w:t>
          </w:r>
          <w:r>
            <w:rPr>
              <w:lang w:eastAsia="ja-JP"/>
            </w:rPr>
            <w:tab/>
            <w:t>491</w:t>
          </w:r>
        </w:p>
        <w:p w14:paraId="095A54AC" w14:textId="77777777" w:rsidR="002B3AD5" w:rsidRDefault="00D66CD0">
          <w:pPr>
            <w:pStyle w:val="40"/>
            <w:numPr>
              <w:ilvl w:val="1"/>
              <w:numId w:val="27"/>
            </w:numPr>
            <w:tabs>
              <w:tab w:val="left" w:pos="2640"/>
              <w:tab w:val="left" w:pos="2641"/>
              <w:tab w:val="left" w:leader="dot" w:pos="10098"/>
            </w:tabs>
            <w:spacing w:before="156"/>
            <w:ind w:hanging="1159"/>
          </w:pPr>
          <w:proofErr w:type="spellStart"/>
          <w:r>
            <w:t>送配電網の改良</w:t>
          </w:r>
          <w:proofErr w:type="spellEnd"/>
          <w:r>
            <w:tab/>
            <w:t>493</w:t>
          </w:r>
        </w:p>
        <w:p w14:paraId="095A54AD" w14:textId="77777777" w:rsidR="002B3AD5" w:rsidRDefault="00D66CD0">
          <w:pPr>
            <w:pStyle w:val="40"/>
            <w:numPr>
              <w:ilvl w:val="1"/>
              <w:numId w:val="27"/>
            </w:numPr>
            <w:tabs>
              <w:tab w:val="left" w:pos="2640"/>
              <w:tab w:val="left" w:pos="2641"/>
              <w:tab w:val="left" w:leader="dot" w:pos="10098"/>
            </w:tabs>
            <w:ind w:hanging="1159"/>
          </w:pPr>
          <w:proofErr w:type="spellStart"/>
          <w:r>
            <w:t>地域冷暖房分布</w:t>
          </w:r>
          <w:proofErr w:type="spellEnd"/>
          <w:r>
            <w:tab/>
            <w:t>495</w:t>
          </w:r>
        </w:p>
        <w:p w14:paraId="095A54AE"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電動ヒートポンプの設置・運転</w:t>
          </w:r>
          <w:r>
            <w:rPr>
              <w:lang w:eastAsia="ja-JP"/>
            </w:rPr>
            <w:tab/>
            <w:t>497</w:t>
          </w:r>
        </w:p>
        <w:p w14:paraId="095A54AF"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集光型太陽光発電による熱・冷房と電力のコージェネレーション</w:t>
          </w:r>
          <w:r>
            <w:rPr>
              <w:lang w:eastAsia="ja-JP"/>
            </w:rPr>
            <w:tab/>
            <w:t>498</w:t>
          </w:r>
        </w:p>
        <w:p w14:paraId="095A54B0"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地熱による熱・冷熱・動力のコージェネレーション</w:t>
          </w:r>
          <w:r>
            <w:rPr>
              <w:lang w:eastAsia="ja-JP"/>
            </w:rPr>
            <w:tab/>
            <w:t>500</w:t>
          </w:r>
        </w:p>
        <w:p w14:paraId="095A54B1" w14:textId="77777777" w:rsidR="002B3AD5" w:rsidRDefault="00D66CD0">
          <w:pPr>
            <w:pStyle w:val="40"/>
            <w:numPr>
              <w:ilvl w:val="1"/>
              <w:numId w:val="27"/>
            </w:numPr>
            <w:tabs>
              <w:tab w:val="left" w:pos="2640"/>
              <w:tab w:val="left" w:pos="2641"/>
              <w:tab w:val="left" w:leader="dot" w:pos="10098"/>
            </w:tabs>
            <w:spacing w:before="157"/>
            <w:ind w:hanging="1159"/>
            <w:rPr>
              <w:lang w:eastAsia="ja-JP"/>
            </w:rPr>
          </w:pPr>
          <w:r>
            <w:rPr>
              <w:lang w:eastAsia="ja-JP"/>
            </w:rPr>
            <w:t>ガスコージェネレーション(天然ガス以外)</w:t>
          </w:r>
          <w:r>
            <w:rPr>
              <w:lang w:eastAsia="ja-JP"/>
            </w:rPr>
            <w:tab/>
            <w:t>502</w:t>
          </w:r>
        </w:p>
        <w:p w14:paraId="095A54B2"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バイオエネルギー(バイオマス、バイオガス、バイオ燃料)による熱・冷熱・電力のコージェネレーション</w:t>
          </w:r>
          <w:r>
            <w:rPr>
              <w:lang w:eastAsia="ja-JP"/>
            </w:rPr>
            <w:tab/>
            <w:t>504</w:t>
          </w:r>
        </w:p>
        <w:p w14:paraId="095A54B3" w14:textId="77777777" w:rsidR="002B3AD5" w:rsidRDefault="00D66CD0">
          <w:pPr>
            <w:pStyle w:val="40"/>
            <w:numPr>
              <w:ilvl w:val="1"/>
              <w:numId w:val="26"/>
            </w:numPr>
            <w:tabs>
              <w:tab w:val="left" w:pos="2640"/>
              <w:tab w:val="left" w:pos="2641"/>
              <w:tab w:val="left" w:leader="dot" w:pos="10098"/>
            </w:tabs>
            <w:ind w:hanging="1159"/>
            <w:rPr>
              <w:lang w:eastAsia="ja-JP"/>
            </w:rPr>
          </w:pPr>
          <w:r>
            <w:rPr>
              <w:lang w:eastAsia="ja-JP"/>
            </w:rPr>
            <w:t>集光型太陽光発電による熱・冷房の製造</w:t>
          </w:r>
          <w:r>
            <w:rPr>
              <w:lang w:eastAsia="ja-JP"/>
            </w:rPr>
            <w:tab/>
            <w:t>507</w:t>
          </w:r>
        </w:p>
        <w:p w14:paraId="095A54B4" w14:textId="77777777" w:rsidR="002B3AD5" w:rsidRDefault="00D66CD0">
          <w:pPr>
            <w:pStyle w:val="40"/>
            <w:numPr>
              <w:ilvl w:val="1"/>
              <w:numId w:val="26"/>
            </w:numPr>
            <w:tabs>
              <w:tab w:val="left" w:pos="2640"/>
              <w:tab w:val="left" w:pos="2641"/>
              <w:tab w:val="left" w:leader="dot" w:pos="10098"/>
            </w:tabs>
            <w:ind w:hanging="1159"/>
            <w:rPr>
              <w:lang w:eastAsia="ja-JP"/>
            </w:rPr>
          </w:pPr>
          <w:r>
            <w:rPr>
              <w:lang w:eastAsia="ja-JP"/>
            </w:rPr>
            <w:t>地熱による熱・冷房の製造</w:t>
          </w:r>
          <w:r>
            <w:rPr>
              <w:lang w:eastAsia="ja-JP"/>
            </w:rPr>
            <w:tab/>
            <w:t>509</w:t>
          </w:r>
        </w:p>
        <w:p w14:paraId="095A54B5" w14:textId="77777777" w:rsidR="002B3AD5" w:rsidRDefault="00D66CD0">
          <w:pPr>
            <w:pStyle w:val="40"/>
            <w:numPr>
              <w:ilvl w:val="1"/>
              <w:numId w:val="26"/>
            </w:numPr>
            <w:tabs>
              <w:tab w:val="left" w:pos="2640"/>
              <w:tab w:val="left" w:pos="2641"/>
              <w:tab w:val="left" w:leader="dot" w:pos="10098"/>
            </w:tabs>
            <w:ind w:hanging="1159"/>
            <w:rPr>
              <w:lang w:eastAsia="ja-JP"/>
            </w:rPr>
          </w:pPr>
          <w:r>
            <w:rPr>
              <w:lang w:eastAsia="ja-JP"/>
            </w:rPr>
            <w:t>ガス(天然ガス以外)からの熱・冷の製造</w:t>
          </w:r>
          <w:r>
            <w:rPr>
              <w:lang w:eastAsia="ja-JP"/>
            </w:rPr>
            <w:tab/>
            <w:t>511</w:t>
          </w:r>
        </w:p>
        <w:p w14:paraId="095A54B6" w14:textId="77777777" w:rsidR="002B3AD5" w:rsidRDefault="00D66CD0">
          <w:pPr>
            <w:pStyle w:val="40"/>
            <w:numPr>
              <w:ilvl w:val="1"/>
              <w:numId w:val="26"/>
            </w:numPr>
            <w:tabs>
              <w:tab w:val="left" w:pos="2640"/>
              <w:tab w:val="left" w:pos="2641"/>
              <w:tab w:val="left" w:leader="dot" w:pos="10098"/>
            </w:tabs>
            <w:spacing w:before="157"/>
            <w:ind w:hanging="1159"/>
            <w:rPr>
              <w:lang w:eastAsia="ja-JP"/>
            </w:rPr>
          </w:pPr>
          <w:r>
            <w:rPr>
              <w:lang w:eastAsia="ja-JP"/>
            </w:rPr>
            <w:t>バイオエネルギー(バイオマス、バイオガス、バイオ燃料)からの熱/冷却の生産</w:t>
          </w:r>
          <w:r>
            <w:rPr>
              <w:lang w:eastAsia="ja-JP"/>
            </w:rPr>
            <w:tab/>
            <w:t>513</w:t>
          </w:r>
        </w:p>
        <w:p w14:paraId="095A54B7" w14:textId="77777777" w:rsidR="002B3AD5" w:rsidRDefault="00D66CD0">
          <w:pPr>
            <w:pStyle w:val="40"/>
            <w:numPr>
              <w:ilvl w:val="1"/>
              <w:numId w:val="26"/>
            </w:numPr>
            <w:tabs>
              <w:tab w:val="left" w:pos="2640"/>
              <w:tab w:val="left" w:pos="2641"/>
              <w:tab w:val="left" w:leader="dot" w:pos="10098"/>
            </w:tabs>
            <w:ind w:hanging="1159"/>
            <w:rPr>
              <w:lang w:eastAsia="ja-JP"/>
            </w:rPr>
          </w:pPr>
          <w:r>
            <w:rPr>
              <w:lang w:eastAsia="ja-JP"/>
            </w:rPr>
            <w:t>廃熱を利用した熱・冷房の製造</w:t>
          </w:r>
          <w:r>
            <w:rPr>
              <w:lang w:eastAsia="ja-JP"/>
            </w:rPr>
            <w:tab/>
            <w:t>516</w:t>
          </w:r>
        </w:p>
        <w:p w14:paraId="095A54B8" w14:textId="77777777" w:rsidR="002B3AD5" w:rsidRDefault="00D66CD0">
          <w:pPr>
            <w:pStyle w:val="30"/>
            <w:numPr>
              <w:ilvl w:val="0"/>
              <w:numId w:val="27"/>
            </w:numPr>
            <w:tabs>
              <w:tab w:val="left" w:pos="1961"/>
              <w:tab w:val="left" w:pos="1962"/>
              <w:tab w:val="left" w:leader="dot" w:pos="9765"/>
            </w:tabs>
            <w:rPr>
              <w:lang w:eastAsia="ja-JP"/>
            </w:rPr>
          </w:pPr>
          <w:r>
            <w:rPr>
              <w:color w:val="2951C1"/>
              <w:lang w:eastAsia="ja-JP"/>
            </w:rPr>
            <w:t>上下水道・廃棄物・浄化</w:t>
          </w:r>
          <w:r>
            <w:rPr>
              <w:color w:val="2951C1"/>
              <w:lang w:eastAsia="ja-JP"/>
            </w:rPr>
            <w:tab/>
            <w:t>518</w:t>
          </w:r>
        </w:p>
        <w:p w14:paraId="095A54B9" w14:textId="77777777" w:rsidR="002B3AD5" w:rsidRDefault="00D66CD0">
          <w:pPr>
            <w:pStyle w:val="40"/>
            <w:numPr>
              <w:ilvl w:val="1"/>
              <w:numId w:val="27"/>
            </w:numPr>
            <w:tabs>
              <w:tab w:val="left" w:pos="2640"/>
              <w:tab w:val="left" w:pos="2641"/>
              <w:tab w:val="left" w:leader="dot" w:pos="10098"/>
            </w:tabs>
            <w:ind w:hanging="1159"/>
          </w:pPr>
          <w:proofErr w:type="spellStart"/>
          <w:r>
            <w:t>集水・処理・給水</w:t>
          </w:r>
          <w:proofErr w:type="spellEnd"/>
          <w:r>
            <w:tab/>
            <w:t>518</w:t>
          </w:r>
        </w:p>
        <w:p w14:paraId="095A54BA" w14:textId="77777777" w:rsidR="002B3AD5" w:rsidRDefault="00D66CD0">
          <w:pPr>
            <w:pStyle w:val="40"/>
            <w:numPr>
              <w:ilvl w:val="1"/>
              <w:numId w:val="27"/>
            </w:numPr>
            <w:tabs>
              <w:tab w:val="left" w:pos="2640"/>
              <w:tab w:val="left" w:pos="2641"/>
              <w:tab w:val="left" w:leader="dot" w:pos="10098"/>
            </w:tabs>
            <w:ind w:hanging="1159"/>
          </w:pPr>
          <w:proofErr w:type="spellStart"/>
          <w:r>
            <w:t>集中排水処理</w:t>
          </w:r>
          <w:proofErr w:type="spellEnd"/>
          <w:r>
            <w:tab/>
            <w:t>520</w:t>
          </w:r>
        </w:p>
        <w:p w14:paraId="095A54BB" w14:textId="77777777" w:rsidR="002B3AD5" w:rsidRDefault="00D66CD0">
          <w:pPr>
            <w:pStyle w:val="40"/>
            <w:numPr>
              <w:ilvl w:val="1"/>
              <w:numId w:val="27"/>
            </w:numPr>
            <w:tabs>
              <w:tab w:val="left" w:pos="2640"/>
              <w:tab w:val="left" w:pos="2641"/>
              <w:tab w:val="left" w:leader="dot" w:pos="10098"/>
            </w:tabs>
            <w:spacing w:before="156"/>
            <w:ind w:hanging="1159"/>
            <w:rPr>
              <w:lang w:eastAsia="ja-JP"/>
            </w:rPr>
          </w:pPr>
          <w:r>
            <w:rPr>
              <w:lang w:eastAsia="ja-JP"/>
            </w:rPr>
            <w:t>下水汚泥の嫌気的消化</w:t>
          </w:r>
          <w:r>
            <w:rPr>
              <w:lang w:eastAsia="ja-JP"/>
            </w:rPr>
            <w:tab/>
            <w:t>526</w:t>
          </w:r>
        </w:p>
        <w:p w14:paraId="095A54BC" w14:textId="77777777" w:rsidR="002B3AD5" w:rsidRDefault="00D66CD0">
          <w:pPr>
            <w:pStyle w:val="40"/>
            <w:numPr>
              <w:ilvl w:val="1"/>
              <w:numId w:val="27"/>
            </w:numPr>
            <w:tabs>
              <w:tab w:val="left" w:pos="2640"/>
              <w:tab w:val="left" w:pos="2641"/>
            </w:tabs>
            <w:spacing w:before="157" w:line="273" w:lineRule="auto"/>
            <w:ind w:left="1481" w:right="1872" w:firstLine="0"/>
            <w:rPr>
              <w:lang w:eastAsia="ja-JP"/>
            </w:rPr>
          </w:pPr>
          <w:r>
            <w:rPr>
              <w:lang w:eastAsia="ja-JP"/>
            </w:rPr>
            <w:t>非有害廃棄物の分別収集・運搬</w:t>
          </w:r>
          <w:r>
            <w:rPr>
              <w:lang w:eastAsia="ja-JP"/>
            </w:rPr>
            <w:tab/>
            <w:t>531</w:t>
          </w:r>
        </w:p>
        <w:p w14:paraId="095A54BD" w14:textId="77777777" w:rsidR="002B3AD5" w:rsidRDefault="00D66CD0">
          <w:pPr>
            <w:pStyle w:val="40"/>
            <w:numPr>
              <w:ilvl w:val="1"/>
              <w:numId w:val="27"/>
            </w:numPr>
            <w:tabs>
              <w:tab w:val="left" w:pos="2640"/>
              <w:tab w:val="left" w:pos="2641"/>
              <w:tab w:val="left" w:leader="dot" w:pos="10098"/>
            </w:tabs>
            <w:spacing w:before="121"/>
            <w:ind w:hanging="1159"/>
            <w:rPr>
              <w:lang w:eastAsia="ja-JP"/>
            </w:rPr>
          </w:pPr>
          <w:r>
            <w:rPr>
              <w:lang w:eastAsia="ja-JP"/>
            </w:rPr>
            <w:t>生物系廃棄物の嫌気的消化</w:t>
          </w:r>
          <w:r>
            <w:rPr>
              <w:lang w:eastAsia="ja-JP"/>
            </w:rPr>
            <w:tab/>
            <w:t>532</w:t>
          </w:r>
        </w:p>
        <w:p w14:paraId="095A54BE"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生物系廃棄物の堆肥化</w:t>
          </w:r>
          <w:r>
            <w:rPr>
              <w:lang w:eastAsia="ja-JP"/>
            </w:rPr>
            <w:tab/>
            <w:t>534</w:t>
          </w:r>
        </w:p>
        <w:p w14:paraId="095A54BF" w14:textId="77777777" w:rsidR="002B3AD5" w:rsidRDefault="00D66CD0">
          <w:pPr>
            <w:pStyle w:val="40"/>
            <w:numPr>
              <w:ilvl w:val="1"/>
              <w:numId w:val="27"/>
            </w:numPr>
            <w:tabs>
              <w:tab w:val="left" w:pos="2640"/>
              <w:tab w:val="left" w:pos="2641"/>
              <w:tab w:val="left" w:leader="dot" w:pos="10098"/>
            </w:tabs>
            <w:spacing w:before="157"/>
            <w:ind w:hanging="1159"/>
            <w:rPr>
              <w:lang w:eastAsia="ja-JP"/>
            </w:rPr>
          </w:pPr>
          <w:r>
            <w:rPr>
              <w:lang w:eastAsia="ja-JP"/>
            </w:rPr>
            <w:t>非有害廃棄物のマテリアルリカバリー</w:t>
          </w:r>
          <w:r>
            <w:rPr>
              <w:lang w:eastAsia="ja-JP"/>
            </w:rPr>
            <w:tab/>
            <w:t>536</w:t>
          </w:r>
        </w:p>
        <w:p w14:paraId="095A54C0"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埋立地ガスの回収・利用</w:t>
          </w:r>
          <w:r>
            <w:rPr>
              <w:lang w:eastAsia="ja-JP"/>
            </w:rPr>
            <w:tab/>
            <w:t>537</w:t>
          </w:r>
        </w:p>
        <w:p w14:paraId="095A54C1" w14:textId="77777777" w:rsidR="002B3AD5" w:rsidRDefault="00D66CD0">
          <w:pPr>
            <w:pStyle w:val="40"/>
            <w:numPr>
              <w:ilvl w:val="1"/>
              <w:numId w:val="27"/>
            </w:numPr>
            <w:tabs>
              <w:tab w:val="left" w:pos="2640"/>
              <w:tab w:val="left" w:pos="2641"/>
              <w:tab w:val="left" w:leader="dot" w:pos="10098"/>
            </w:tabs>
            <w:spacing w:after="139"/>
            <w:ind w:hanging="1159"/>
          </w:pPr>
          <w:r>
            <w:t>CO2の直接空気回収</w:t>
          </w:r>
          <w:r>
            <w:tab/>
            <w:t>539</w:t>
          </w:r>
        </w:p>
        <w:p w14:paraId="095A54C2" w14:textId="77777777" w:rsidR="002B3AD5" w:rsidRDefault="00D66CD0">
          <w:pPr>
            <w:pStyle w:val="40"/>
            <w:numPr>
              <w:ilvl w:val="1"/>
              <w:numId w:val="27"/>
            </w:numPr>
            <w:tabs>
              <w:tab w:val="left" w:pos="2640"/>
              <w:tab w:val="left" w:pos="2641"/>
              <w:tab w:val="left" w:leader="dot" w:pos="10098"/>
            </w:tabs>
            <w:spacing w:before="79"/>
            <w:ind w:hanging="1159"/>
          </w:pPr>
          <w:proofErr w:type="spellStart"/>
          <w:r>
            <w:t>人為的排出の捕捉</w:t>
          </w:r>
          <w:proofErr w:type="spellEnd"/>
          <w:r>
            <w:tab/>
            <w:t>541</w:t>
          </w:r>
        </w:p>
        <w:p w14:paraId="095A54C3" w14:textId="77777777" w:rsidR="002B3AD5" w:rsidRDefault="00D66CD0">
          <w:pPr>
            <w:pStyle w:val="40"/>
            <w:numPr>
              <w:ilvl w:val="1"/>
              <w:numId w:val="27"/>
            </w:numPr>
            <w:tabs>
              <w:tab w:val="left" w:pos="2640"/>
              <w:tab w:val="left" w:pos="2641"/>
              <w:tab w:val="left" w:leader="dot" w:pos="10098"/>
            </w:tabs>
            <w:spacing w:before="155"/>
            <w:ind w:hanging="1159"/>
          </w:pPr>
          <w:r>
            <w:t>CO2の輸送</w:t>
          </w:r>
          <w:r>
            <w:tab/>
            <w:t>543</w:t>
          </w:r>
        </w:p>
        <w:p w14:paraId="095A54C4"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回収されたCO2の永久隔離</w:t>
          </w:r>
          <w:r>
            <w:rPr>
              <w:lang w:eastAsia="ja-JP"/>
            </w:rPr>
            <w:tab/>
            <w:t>545</w:t>
          </w:r>
        </w:p>
        <w:p w14:paraId="095A54C5" w14:textId="77777777" w:rsidR="002B3AD5" w:rsidRDefault="00D66CD0">
          <w:pPr>
            <w:pStyle w:val="30"/>
            <w:numPr>
              <w:ilvl w:val="0"/>
              <w:numId w:val="27"/>
            </w:numPr>
            <w:tabs>
              <w:tab w:val="left" w:pos="1961"/>
              <w:tab w:val="left" w:pos="1962"/>
              <w:tab w:val="left" w:leader="dot" w:pos="9765"/>
            </w:tabs>
          </w:pPr>
          <w:proofErr w:type="spellStart"/>
          <w:r>
            <w:rPr>
              <w:color w:val="2951C1"/>
            </w:rPr>
            <w:t>輸送・保管</w:t>
          </w:r>
          <w:proofErr w:type="spellEnd"/>
          <w:r>
            <w:rPr>
              <w:color w:val="2951C1"/>
            </w:rPr>
            <w:tab/>
            <w:t>547</w:t>
          </w:r>
        </w:p>
        <w:p w14:paraId="095A54C6" w14:textId="77777777" w:rsidR="002B3AD5" w:rsidRDefault="00D66CD0">
          <w:pPr>
            <w:pStyle w:val="40"/>
            <w:numPr>
              <w:ilvl w:val="1"/>
              <w:numId w:val="27"/>
            </w:numPr>
            <w:tabs>
              <w:tab w:val="left" w:pos="2640"/>
              <w:tab w:val="left" w:pos="2641"/>
              <w:tab w:val="left" w:leader="dot" w:pos="10098"/>
            </w:tabs>
            <w:ind w:hanging="1159"/>
          </w:pPr>
          <w:proofErr w:type="spellStart"/>
          <w:r>
            <w:t>旅客鉄道</w:t>
          </w:r>
          <w:proofErr w:type="spellEnd"/>
          <w:r>
            <w:t>(</w:t>
          </w:r>
          <w:proofErr w:type="spellStart"/>
          <w:r>
            <w:t>都市間</w:t>
          </w:r>
          <w:proofErr w:type="spellEnd"/>
          <w:r>
            <w:t>)</w:t>
          </w:r>
          <w:r>
            <w:tab/>
            <w:t>547</w:t>
          </w:r>
        </w:p>
        <w:p w14:paraId="095A54C7" w14:textId="77777777" w:rsidR="002B3AD5" w:rsidRDefault="00D66CD0">
          <w:pPr>
            <w:pStyle w:val="40"/>
            <w:numPr>
              <w:ilvl w:val="1"/>
              <w:numId w:val="27"/>
            </w:numPr>
            <w:tabs>
              <w:tab w:val="left" w:pos="2640"/>
              <w:tab w:val="left" w:pos="2641"/>
              <w:tab w:val="left" w:leader="dot" w:pos="10098"/>
            </w:tabs>
            <w:spacing w:before="156"/>
            <w:ind w:hanging="1159"/>
          </w:pPr>
          <w:proofErr w:type="spellStart"/>
          <w:r>
            <w:t>貨物鉄道輸送</w:t>
          </w:r>
          <w:proofErr w:type="spellEnd"/>
          <w:r>
            <w:tab/>
            <w:t>549</w:t>
          </w:r>
        </w:p>
        <w:p w14:paraId="095A54C8" w14:textId="77777777" w:rsidR="002B3AD5" w:rsidRDefault="00D66CD0">
          <w:pPr>
            <w:pStyle w:val="40"/>
            <w:numPr>
              <w:ilvl w:val="1"/>
              <w:numId w:val="27"/>
            </w:numPr>
            <w:tabs>
              <w:tab w:val="left" w:pos="2640"/>
              <w:tab w:val="left" w:pos="2641"/>
              <w:tab w:val="left" w:leader="dot" w:pos="10098"/>
            </w:tabs>
            <w:ind w:hanging="1159"/>
          </w:pPr>
          <w:proofErr w:type="spellStart"/>
          <w:r>
            <w:t>公共交通</w:t>
          </w:r>
          <w:proofErr w:type="spellEnd"/>
          <w:r>
            <w:tab/>
            <w:t>551</w:t>
          </w:r>
        </w:p>
        <w:p w14:paraId="095A54C9"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低炭素輸送インフラ(陸上輸送)</w:t>
          </w:r>
          <w:r>
            <w:rPr>
              <w:lang w:eastAsia="ja-JP"/>
            </w:rPr>
            <w:tab/>
            <w:t>553</w:t>
          </w:r>
        </w:p>
        <w:p w14:paraId="095A54CA" w14:textId="77777777" w:rsidR="002B3AD5" w:rsidRDefault="00D66CD0">
          <w:pPr>
            <w:pStyle w:val="40"/>
            <w:numPr>
              <w:ilvl w:val="1"/>
              <w:numId w:val="27"/>
            </w:numPr>
            <w:tabs>
              <w:tab w:val="left" w:pos="2640"/>
              <w:tab w:val="left" w:pos="2641"/>
              <w:tab w:val="left" w:leader="dot" w:pos="10098"/>
            </w:tabs>
            <w:ind w:hanging="1159"/>
          </w:pPr>
          <w:proofErr w:type="spellStart"/>
          <w:r>
            <w:lastRenderedPageBreak/>
            <w:t>乗用車・商用車</w:t>
          </w:r>
          <w:proofErr w:type="spellEnd"/>
          <w:r>
            <w:tab/>
            <w:t>556</w:t>
          </w:r>
        </w:p>
        <w:p w14:paraId="095A54CB" w14:textId="77777777" w:rsidR="002B3AD5" w:rsidRDefault="00D66CD0">
          <w:pPr>
            <w:pStyle w:val="40"/>
            <w:numPr>
              <w:ilvl w:val="1"/>
              <w:numId w:val="27"/>
            </w:numPr>
            <w:tabs>
              <w:tab w:val="left" w:pos="2640"/>
              <w:tab w:val="left" w:pos="2641"/>
              <w:tab w:val="left" w:leader="dot" w:pos="10098"/>
            </w:tabs>
            <w:spacing w:before="155"/>
            <w:ind w:hanging="1159"/>
            <w:rPr>
              <w:lang w:eastAsia="ja-JP"/>
            </w:rPr>
          </w:pPr>
          <w:r>
            <w:rPr>
              <w:lang w:eastAsia="ja-JP"/>
            </w:rPr>
            <w:t>道路による貨物の運送サービス</w:t>
          </w:r>
          <w:r>
            <w:rPr>
              <w:lang w:eastAsia="ja-JP"/>
            </w:rPr>
            <w:tab/>
            <w:t>558</w:t>
          </w:r>
        </w:p>
        <w:p w14:paraId="095A54CC" w14:textId="77777777" w:rsidR="002B3AD5" w:rsidRDefault="00D66CD0">
          <w:pPr>
            <w:pStyle w:val="40"/>
            <w:numPr>
              <w:ilvl w:val="1"/>
              <w:numId w:val="27"/>
            </w:numPr>
            <w:tabs>
              <w:tab w:val="left" w:pos="2640"/>
              <w:tab w:val="left" w:pos="2641"/>
              <w:tab w:val="left" w:leader="dot" w:pos="10098"/>
            </w:tabs>
            <w:spacing w:before="156"/>
            <w:ind w:hanging="1159"/>
            <w:rPr>
              <w:lang w:eastAsia="ja-JP"/>
            </w:rPr>
          </w:pPr>
          <w:r>
            <w:rPr>
              <w:lang w:eastAsia="ja-JP"/>
            </w:rPr>
            <w:t>都市間定期道路運送業</w:t>
          </w:r>
          <w:r>
            <w:rPr>
              <w:lang w:eastAsia="ja-JP"/>
            </w:rPr>
            <w:tab/>
            <w:t>560</w:t>
          </w:r>
        </w:p>
        <w:p w14:paraId="095A54CD" w14:textId="77777777" w:rsidR="002B3AD5" w:rsidRDefault="00D66CD0">
          <w:pPr>
            <w:pStyle w:val="40"/>
            <w:numPr>
              <w:ilvl w:val="1"/>
              <w:numId w:val="27"/>
            </w:numPr>
            <w:tabs>
              <w:tab w:val="left" w:pos="2640"/>
              <w:tab w:val="left" w:pos="2641"/>
              <w:tab w:val="left" w:leader="dot" w:pos="10098"/>
            </w:tabs>
            <w:ind w:hanging="1159"/>
          </w:pPr>
          <w:proofErr w:type="spellStart"/>
          <w:r>
            <w:t>内陸旅客水運業</w:t>
          </w:r>
          <w:proofErr w:type="spellEnd"/>
          <w:r>
            <w:tab/>
            <w:t>562</w:t>
          </w:r>
        </w:p>
        <w:p w14:paraId="095A54CE" w14:textId="77777777" w:rsidR="002B3AD5" w:rsidRDefault="00D66CD0">
          <w:pPr>
            <w:pStyle w:val="40"/>
            <w:numPr>
              <w:ilvl w:val="1"/>
              <w:numId w:val="27"/>
            </w:numPr>
            <w:tabs>
              <w:tab w:val="left" w:pos="2640"/>
              <w:tab w:val="left" w:pos="2641"/>
              <w:tab w:val="left" w:leader="dot" w:pos="10098"/>
            </w:tabs>
            <w:ind w:hanging="1159"/>
          </w:pPr>
          <w:proofErr w:type="spellStart"/>
          <w:r>
            <w:t>内陸貨物水運業</w:t>
          </w:r>
          <w:proofErr w:type="spellEnd"/>
          <w:r>
            <w:tab/>
            <w:t>564</w:t>
          </w:r>
        </w:p>
        <w:p w14:paraId="095A54CF"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低炭素輸送(水運)インフラ</w:t>
          </w:r>
          <w:r>
            <w:rPr>
              <w:lang w:eastAsia="ja-JP"/>
            </w:rPr>
            <w:tab/>
            <w:t>566</w:t>
          </w:r>
        </w:p>
        <w:p w14:paraId="095A54D0" w14:textId="77777777" w:rsidR="002B3AD5" w:rsidRDefault="00D66CD0">
          <w:pPr>
            <w:pStyle w:val="30"/>
            <w:numPr>
              <w:ilvl w:val="0"/>
              <w:numId w:val="27"/>
            </w:numPr>
            <w:tabs>
              <w:tab w:val="left" w:pos="1961"/>
              <w:tab w:val="left" w:pos="1962"/>
              <w:tab w:val="left" w:leader="dot" w:pos="9765"/>
            </w:tabs>
          </w:pPr>
          <w:proofErr w:type="spellStart"/>
          <w:r>
            <w:rPr>
              <w:color w:val="2951C1"/>
            </w:rPr>
            <w:t>建物</w:t>
          </w:r>
          <w:proofErr w:type="spellEnd"/>
          <w:r>
            <w:rPr>
              <w:color w:val="2951C1"/>
            </w:rPr>
            <w:tab/>
            <w:t>568</w:t>
          </w:r>
        </w:p>
        <w:p w14:paraId="095A54D1" w14:textId="77777777" w:rsidR="002B3AD5" w:rsidRDefault="00D66CD0">
          <w:pPr>
            <w:pStyle w:val="40"/>
            <w:numPr>
              <w:ilvl w:val="1"/>
              <w:numId w:val="27"/>
            </w:numPr>
            <w:tabs>
              <w:tab w:val="left" w:pos="2640"/>
              <w:tab w:val="left" w:pos="2641"/>
              <w:tab w:val="left" w:leader="dot" w:pos="10098"/>
            </w:tabs>
            <w:spacing w:before="157"/>
            <w:ind w:hanging="1159"/>
          </w:pPr>
          <w:proofErr w:type="spellStart"/>
          <w:r>
            <w:t>新築工事</w:t>
          </w:r>
          <w:proofErr w:type="spellEnd"/>
          <w:r>
            <w:tab/>
            <w:t>568</w:t>
          </w:r>
        </w:p>
        <w:p w14:paraId="095A54D2" w14:textId="77777777" w:rsidR="002B3AD5" w:rsidRDefault="00D66CD0">
          <w:pPr>
            <w:pStyle w:val="40"/>
            <w:numPr>
              <w:ilvl w:val="1"/>
              <w:numId w:val="27"/>
            </w:numPr>
            <w:tabs>
              <w:tab w:val="left" w:pos="2640"/>
              <w:tab w:val="left" w:pos="2641"/>
              <w:tab w:val="left" w:leader="dot" w:pos="10098"/>
            </w:tabs>
            <w:ind w:hanging="1159"/>
          </w:pPr>
          <w:proofErr w:type="spellStart"/>
          <w:r>
            <w:t>ビルリフォーム</w:t>
          </w:r>
          <w:proofErr w:type="spellEnd"/>
          <w:r>
            <w:tab/>
            <w:t>571</w:t>
          </w:r>
        </w:p>
        <w:p w14:paraId="095A54D3" w14:textId="77777777" w:rsidR="002B3AD5" w:rsidRDefault="00D66CD0">
          <w:pPr>
            <w:pStyle w:val="30"/>
            <w:numPr>
              <w:ilvl w:val="0"/>
              <w:numId w:val="27"/>
            </w:numPr>
            <w:tabs>
              <w:tab w:val="left" w:pos="1961"/>
              <w:tab w:val="left" w:pos="1962"/>
              <w:tab w:val="left" w:leader="dot" w:pos="9765"/>
            </w:tabs>
          </w:pPr>
          <w:proofErr w:type="spellStart"/>
          <w:r>
            <w:rPr>
              <w:color w:val="2951C1"/>
            </w:rPr>
            <w:t>金融・保険業</w:t>
          </w:r>
          <w:proofErr w:type="spellEnd"/>
          <w:r>
            <w:rPr>
              <w:color w:val="2951C1"/>
            </w:rPr>
            <w:tab/>
            <w:t>573</w:t>
          </w:r>
        </w:p>
        <w:p w14:paraId="095A54D4" w14:textId="77777777" w:rsidR="002B3AD5" w:rsidRDefault="00D66CD0">
          <w:pPr>
            <w:pStyle w:val="40"/>
            <w:numPr>
              <w:ilvl w:val="1"/>
              <w:numId w:val="27"/>
            </w:numPr>
            <w:tabs>
              <w:tab w:val="left" w:pos="2640"/>
              <w:tab w:val="left" w:pos="2641"/>
              <w:tab w:val="left" w:leader="dot" w:pos="10098"/>
            </w:tabs>
            <w:ind w:hanging="1159"/>
          </w:pPr>
          <w:proofErr w:type="spellStart"/>
          <w:r>
            <w:t>損害保険</w:t>
          </w:r>
          <w:proofErr w:type="spellEnd"/>
          <w:r>
            <w:tab/>
            <w:t>574</w:t>
          </w:r>
        </w:p>
        <w:p w14:paraId="095A54D5" w14:textId="77777777" w:rsidR="002B3AD5" w:rsidRDefault="00D66CD0">
          <w:pPr>
            <w:pStyle w:val="30"/>
            <w:numPr>
              <w:ilvl w:val="0"/>
              <w:numId w:val="27"/>
            </w:numPr>
            <w:tabs>
              <w:tab w:val="left" w:pos="1961"/>
              <w:tab w:val="left" w:pos="1962"/>
              <w:tab w:val="left" w:leader="dot" w:pos="9765"/>
            </w:tabs>
            <w:rPr>
              <w:lang w:eastAsia="ja-JP"/>
            </w:rPr>
          </w:pPr>
          <w:r>
            <w:rPr>
              <w:color w:val="2951C1"/>
              <w:lang w:eastAsia="ja-JP"/>
            </w:rPr>
            <w:t>専門的、科学的及び技術的活動</w:t>
          </w:r>
          <w:r>
            <w:rPr>
              <w:color w:val="2951C1"/>
              <w:lang w:eastAsia="ja-JP"/>
            </w:rPr>
            <w:tab/>
            <w:t>578</w:t>
          </w:r>
        </w:p>
        <w:p w14:paraId="095A54D6" w14:textId="77777777" w:rsidR="002B3AD5" w:rsidRDefault="00D66CD0">
          <w:pPr>
            <w:pStyle w:val="40"/>
            <w:numPr>
              <w:ilvl w:val="1"/>
              <w:numId w:val="27"/>
            </w:numPr>
            <w:tabs>
              <w:tab w:val="left" w:pos="2640"/>
              <w:tab w:val="left" w:pos="2641"/>
              <w:tab w:val="left" w:leader="dot" w:pos="10098"/>
            </w:tabs>
            <w:spacing w:before="159" w:line="273" w:lineRule="auto"/>
            <w:ind w:left="1481" w:right="1128" w:firstLine="0"/>
            <w:rPr>
              <w:lang w:eastAsia="ja-JP"/>
            </w:rPr>
          </w:pPr>
          <w:r>
            <w:rPr>
              <w:lang w:eastAsia="ja-JP"/>
            </w:rPr>
            <w:t>気候変動への適応に特化した工学的活動及び関連する技術コンサルタント業</w:t>
          </w:r>
          <w:r>
            <w:rPr>
              <w:lang w:eastAsia="ja-JP"/>
            </w:rPr>
            <w:tab/>
          </w:r>
          <w:r>
            <w:rPr>
              <w:spacing w:val="-7"/>
              <w:lang w:eastAsia="ja-JP"/>
            </w:rPr>
            <w:t>578</w:t>
          </w:r>
        </w:p>
        <w:p w14:paraId="095A54D7" w14:textId="77777777" w:rsidR="002B3AD5" w:rsidRDefault="00D66CD0">
          <w:pPr>
            <w:pStyle w:val="10"/>
            <w:tabs>
              <w:tab w:val="left" w:leader="dot" w:pos="8538"/>
            </w:tabs>
            <w:rPr>
              <w:lang w:eastAsia="ja-JP"/>
            </w:rPr>
          </w:pPr>
          <w:r>
            <w:rPr>
              <w:color w:val="30A2A9"/>
              <w:lang w:eastAsia="ja-JP"/>
            </w:rPr>
            <w:t>今後の検討のための追加的な適応活動</w:t>
          </w:r>
          <w:r>
            <w:rPr>
              <w:color w:val="30A2A9"/>
              <w:lang w:eastAsia="ja-JP"/>
            </w:rPr>
            <w:tab/>
            <w:t>580</w:t>
          </w:r>
        </w:p>
        <w:p w14:paraId="095A54D8" w14:textId="77777777" w:rsidR="002B3AD5" w:rsidRDefault="00D66CD0">
          <w:pPr>
            <w:pStyle w:val="30"/>
            <w:numPr>
              <w:ilvl w:val="0"/>
              <w:numId w:val="27"/>
            </w:numPr>
            <w:tabs>
              <w:tab w:val="left" w:pos="1961"/>
              <w:tab w:val="left" w:pos="1962"/>
              <w:tab w:val="left" w:leader="dot" w:pos="9765"/>
            </w:tabs>
            <w:spacing w:before="170"/>
            <w:rPr>
              <w:lang w:eastAsia="ja-JP"/>
            </w:rPr>
          </w:pPr>
          <w:r>
            <w:rPr>
              <w:color w:val="2951C1"/>
              <w:lang w:eastAsia="ja-JP"/>
            </w:rPr>
            <w:t>専門的、科学的及び技術的活動</w:t>
          </w:r>
          <w:r>
            <w:rPr>
              <w:color w:val="2951C1"/>
              <w:lang w:eastAsia="ja-JP"/>
            </w:rPr>
            <w:tab/>
            <w:t>582</w:t>
          </w:r>
        </w:p>
        <w:p w14:paraId="095A54D9" w14:textId="77777777" w:rsidR="002B3AD5" w:rsidRDefault="00D66CD0">
          <w:pPr>
            <w:pStyle w:val="40"/>
            <w:numPr>
              <w:ilvl w:val="1"/>
              <w:numId w:val="27"/>
            </w:numPr>
            <w:tabs>
              <w:tab w:val="left" w:pos="2640"/>
              <w:tab w:val="left" w:pos="2641"/>
              <w:tab w:val="left" w:leader="dot" w:pos="10098"/>
            </w:tabs>
            <w:ind w:hanging="1159"/>
            <w:rPr>
              <w:lang w:eastAsia="ja-JP"/>
            </w:rPr>
          </w:pPr>
          <w:r>
            <w:rPr>
              <w:lang w:eastAsia="ja-JP"/>
            </w:rPr>
            <w:t>研究開発(自然科学・工学)</w:t>
          </w:r>
          <w:r>
            <w:rPr>
              <w:lang w:eastAsia="ja-JP"/>
            </w:rPr>
            <w:tab/>
            <w:t>582</w:t>
          </w:r>
        </w:p>
        <w:p w14:paraId="095A54DA" w14:textId="77777777" w:rsidR="002B3AD5" w:rsidRDefault="00D66CD0">
          <w:pPr>
            <w:pStyle w:val="30"/>
            <w:numPr>
              <w:ilvl w:val="0"/>
              <w:numId w:val="27"/>
            </w:numPr>
            <w:tabs>
              <w:tab w:val="left" w:pos="1961"/>
              <w:tab w:val="left" w:pos="1962"/>
              <w:tab w:val="left" w:leader="dot" w:pos="9765"/>
            </w:tabs>
            <w:spacing w:before="156"/>
          </w:pPr>
          <w:proofErr w:type="spellStart"/>
          <w:r>
            <w:rPr>
              <w:color w:val="2951C1"/>
            </w:rPr>
            <w:t>情報通信業</w:t>
          </w:r>
          <w:proofErr w:type="spellEnd"/>
          <w:r>
            <w:rPr>
              <w:color w:val="2951C1"/>
            </w:rPr>
            <w:tab/>
            <w:t>584</w:t>
          </w:r>
        </w:p>
        <w:p w14:paraId="095A54DB" w14:textId="77777777" w:rsidR="002B3AD5" w:rsidRDefault="00D66CD0">
          <w:pPr>
            <w:pStyle w:val="40"/>
            <w:numPr>
              <w:ilvl w:val="1"/>
              <w:numId w:val="27"/>
            </w:numPr>
            <w:tabs>
              <w:tab w:val="left" w:pos="2640"/>
              <w:tab w:val="left" w:pos="2641"/>
            </w:tabs>
            <w:spacing w:before="157" w:line="273" w:lineRule="auto"/>
            <w:ind w:left="1481" w:right="1467" w:firstLine="0"/>
            <w:rPr>
              <w:lang w:eastAsia="ja-JP"/>
            </w:rPr>
          </w:pPr>
          <w:r>
            <w:rPr>
              <w:lang w:eastAsia="ja-JP"/>
            </w:rPr>
            <w:t>気象観測・予報のための特殊な電気通信アプリケーションの提供</w:t>
          </w:r>
          <w:r>
            <w:rPr>
              <w:lang w:eastAsia="ja-JP"/>
            </w:rPr>
            <w:tab/>
            <w:t>584</w:t>
          </w:r>
        </w:p>
        <w:p w14:paraId="095A54DC" w14:textId="77777777" w:rsidR="002B3AD5" w:rsidRDefault="00D66CD0">
          <w:pPr>
            <w:pStyle w:val="10"/>
            <w:tabs>
              <w:tab w:val="left" w:leader="dot" w:pos="8538"/>
            </w:tabs>
          </w:pPr>
          <w:proofErr w:type="spellStart"/>
          <w:r>
            <w:rPr>
              <w:color w:val="30A2A9"/>
            </w:rPr>
            <w:t>部門別気候感度行列</w:t>
          </w:r>
          <w:proofErr w:type="spellEnd"/>
          <w:r>
            <w:rPr>
              <w:color w:val="30A2A9"/>
            </w:rPr>
            <w:tab/>
            <w:t>586</w:t>
          </w:r>
        </w:p>
        <w:p w14:paraId="095A54DD" w14:textId="77777777" w:rsidR="002B3AD5" w:rsidRDefault="00D66CD0">
          <w:pPr>
            <w:pStyle w:val="30"/>
            <w:numPr>
              <w:ilvl w:val="0"/>
              <w:numId w:val="25"/>
            </w:numPr>
            <w:tabs>
              <w:tab w:val="left" w:pos="1961"/>
              <w:tab w:val="left" w:pos="1962"/>
              <w:tab w:val="left" w:leader="dot" w:pos="9765"/>
            </w:tabs>
            <w:spacing w:before="170"/>
          </w:pPr>
          <w:proofErr w:type="spellStart"/>
          <w:r>
            <w:rPr>
              <w:color w:val="2951C1"/>
            </w:rPr>
            <w:t>農林業</w:t>
          </w:r>
          <w:proofErr w:type="spellEnd"/>
          <w:r>
            <w:rPr>
              <w:color w:val="2951C1"/>
            </w:rPr>
            <w:tab/>
            <w:t>586</w:t>
          </w:r>
        </w:p>
        <w:p w14:paraId="095A54DE" w14:textId="77777777" w:rsidR="002B3AD5" w:rsidRDefault="00D66CD0">
          <w:pPr>
            <w:pStyle w:val="30"/>
            <w:numPr>
              <w:ilvl w:val="0"/>
              <w:numId w:val="25"/>
            </w:numPr>
            <w:tabs>
              <w:tab w:val="left" w:pos="1961"/>
              <w:tab w:val="left" w:pos="1962"/>
              <w:tab w:val="left" w:leader="dot" w:pos="9765"/>
            </w:tabs>
            <w:spacing w:before="156"/>
            <w:rPr>
              <w:lang w:eastAsia="ja-JP"/>
            </w:rPr>
          </w:pPr>
          <w:r>
            <w:rPr>
              <w:color w:val="2951C1"/>
              <w:lang w:eastAsia="ja-JP"/>
            </w:rPr>
            <w:t>電気、ガス、蒸気及び空調の供給</w:t>
          </w:r>
          <w:r>
            <w:rPr>
              <w:color w:val="2951C1"/>
              <w:lang w:eastAsia="ja-JP"/>
            </w:rPr>
            <w:tab/>
            <w:t>589</w:t>
          </w:r>
        </w:p>
        <w:p w14:paraId="095A54DF" w14:textId="77777777" w:rsidR="002B3AD5" w:rsidRDefault="00D66CD0">
          <w:pPr>
            <w:pStyle w:val="30"/>
            <w:numPr>
              <w:ilvl w:val="0"/>
              <w:numId w:val="25"/>
            </w:numPr>
            <w:tabs>
              <w:tab w:val="left" w:pos="1961"/>
              <w:tab w:val="left" w:pos="1962"/>
              <w:tab w:val="left" w:leader="dot" w:pos="9765"/>
            </w:tabs>
            <w:spacing w:after="154"/>
          </w:pPr>
          <w:proofErr w:type="spellStart"/>
          <w:r>
            <w:rPr>
              <w:color w:val="2951C1"/>
            </w:rPr>
            <w:t>情報通信業</w:t>
          </w:r>
          <w:proofErr w:type="spellEnd"/>
          <w:r>
            <w:rPr>
              <w:color w:val="2951C1"/>
            </w:rPr>
            <w:tab/>
            <w:t>589</w:t>
          </w:r>
        </w:p>
        <w:p w14:paraId="095A54E0" w14:textId="77777777" w:rsidR="002B3AD5" w:rsidRDefault="00D66CD0">
          <w:pPr>
            <w:pStyle w:val="30"/>
            <w:numPr>
              <w:ilvl w:val="0"/>
              <w:numId w:val="25"/>
            </w:numPr>
            <w:tabs>
              <w:tab w:val="left" w:pos="1961"/>
              <w:tab w:val="left" w:pos="1962"/>
              <w:tab w:val="right" w:leader="dot" w:pos="10096"/>
            </w:tabs>
            <w:spacing w:before="79"/>
          </w:pPr>
          <w:proofErr w:type="spellStart"/>
          <w:r>
            <w:rPr>
              <w:color w:val="2951C1"/>
            </w:rPr>
            <w:t>金融・保険業務</w:t>
          </w:r>
          <w:proofErr w:type="spellEnd"/>
          <w:r>
            <w:rPr>
              <w:color w:val="2951C1"/>
            </w:rPr>
            <w:tab/>
            <w:t>592</w:t>
          </w:r>
        </w:p>
        <w:p w14:paraId="095A54E1" w14:textId="77777777" w:rsidR="002B3AD5" w:rsidRDefault="00D66CD0">
          <w:pPr>
            <w:pStyle w:val="30"/>
            <w:numPr>
              <w:ilvl w:val="0"/>
              <w:numId w:val="25"/>
            </w:numPr>
            <w:tabs>
              <w:tab w:val="left" w:pos="1961"/>
              <w:tab w:val="left" w:pos="1962"/>
              <w:tab w:val="right" w:leader="dot" w:pos="10096"/>
            </w:tabs>
            <w:spacing w:before="155"/>
            <w:rPr>
              <w:lang w:eastAsia="ja-JP"/>
            </w:rPr>
          </w:pPr>
          <w:r>
            <w:rPr>
              <w:color w:val="2951C1"/>
              <w:lang w:eastAsia="ja-JP"/>
            </w:rPr>
            <w:t>上下水道・廃棄物管理・浄化活動</w:t>
          </w:r>
          <w:r>
            <w:rPr>
              <w:color w:val="2951C1"/>
              <w:lang w:eastAsia="ja-JP"/>
            </w:rPr>
            <w:tab/>
            <w:t>593</w:t>
          </w:r>
        </w:p>
      </w:sdtContent>
    </w:sdt>
    <w:p w14:paraId="095A54E2" w14:textId="77777777" w:rsidR="002B3AD5" w:rsidRDefault="002B3AD5">
      <w:pPr>
        <w:rPr>
          <w:lang w:eastAsia="ja-JP"/>
        </w:rPr>
        <w:sectPr w:rsidR="002B3AD5" w:rsidSect="00D66CD0">
          <w:type w:val="continuous"/>
          <w:pgSz w:w="12240" w:h="15840"/>
          <w:pgMar w:top="720" w:right="720" w:bottom="720" w:left="720" w:header="720" w:footer="720" w:gutter="0"/>
          <w:cols w:space="720"/>
          <w:docGrid w:linePitch="299"/>
        </w:sectPr>
      </w:pPr>
    </w:p>
    <w:p w14:paraId="095A54E3" w14:textId="77777777" w:rsidR="002B3AD5" w:rsidRDefault="00D66CD0">
      <w:pPr>
        <w:pStyle w:val="1"/>
        <w:rPr>
          <w:lang w:eastAsia="ja-JP"/>
        </w:rPr>
      </w:pPr>
      <w:bookmarkStart w:id="0" w:name="_bookmark0"/>
      <w:bookmarkEnd w:id="0"/>
      <w:r>
        <w:rPr>
          <w:color w:val="30A2A9"/>
          <w:lang w:eastAsia="ja-JP"/>
        </w:rPr>
        <w:lastRenderedPageBreak/>
        <w:t>メソッドステートメント</w:t>
      </w:r>
    </w:p>
    <w:p w14:paraId="095A54E4" w14:textId="77777777" w:rsidR="002B3AD5" w:rsidRPr="00C03292" w:rsidRDefault="00D66CD0">
      <w:pPr>
        <w:pStyle w:val="2"/>
        <w:numPr>
          <w:ilvl w:val="0"/>
          <w:numId w:val="24"/>
        </w:numPr>
        <w:tabs>
          <w:tab w:val="left" w:pos="1800"/>
          <w:tab w:val="left" w:pos="1801"/>
        </w:tabs>
        <w:spacing w:before="404" w:line="276" w:lineRule="auto"/>
        <w:ind w:right="2477" w:firstLine="0"/>
        <w:rPr>
          <w:lang w:eastAsia="ja-JP"/>
        </w:rPr>
      </w:pPr>
      <w:bookmarkStart w:id="1" w:name="_bookmark1"/>
      <w:bookmarkEnd w:id="1"/>
      <w:r w:rsidRPr="00C03292">
        <w:rPr>
          <w:rFonts w:hint="eastAsia"/>
          <w:color w:val="087ADA"/>
          <w:lang w:eastAsia="ja-JP"/>
        </w:rPr>
        <w:t>気候変動緩和への実質的貢献</w:t>
      </w:r>
    </w:p>
    <w:p w14:paraId="095A54E5" w14:textId="77777777" w:rsidR="002B3AD5" w:rsidRDefault="00D66CD0">
      <w:pPr>
        <w:pStyle w:val="3"/>
        <w:numPr>
          <w:ilvl w:val="1"/>
          <w:numId w:val="24"/>
        </w:numPr>
        <w:tabs>
          <w:tab w:val="left" w:pos="1800"/>
          <w:tab w:val="left" w:pos="1801"/>
        </w:tabs>
        <w:spacing w:before="242"/>
        <w:rPr>
          <w:lang w:eastAsia="ja-JP"/>
        </w:rPr>
      </w:pPr>
      <w:bookmarkStart w:id="2" w:name="_bookmark2"/>
      <w:bookmarkEnd w:id="2"/>
      <w:r>
        <w:rPr>
          <w:color w:val="006FC0"/>
          <w:lang w:eastAsia="ja-JP"/>
        </w:rPr>
        <w:t>業務プロセス - 概念的アプローチ</w:t>
      </w:r>
    </w:p>
    <w:p w14:paraId="095A54E6" w14:textId="42518470" w:rsidR="002B3AD5" w:rsidRDefault="00D66CD0">
      <w:pPr>
        <w:pStyle w:val="a3"/>
        <w:spacing w:before="201" w:line="276" w:lineRule="auto"/>
        <w:ind w:left="1080" w:right="1152"/>
        <w:rPr>
          <w:lang w:eastAsia="ja-JP"/>
        </w:rPr>
      </w:pPr>
      <w:r>
        <w:rPr>
          <w:lang w:eastAsia="ja-JP"/>
        </w:rPr>
        <w:t>2019年6月の報告書では、TEGは、</w:t>
      </w:r>
      <w:r w:rsidR="002F5B54">
        <w:rPr>
          <w:lang w:eastAsia="ja-JP"/>
        </w:rPr>
        <w:t>タクソノミー</w:t>
      </w:r>
      <w:r>
        <w:rPr>
          <w:lang w:eastAsia="ja-JP"/>
        </w:rPr>
        <w:t xml:space="preserve">に含めるための経済活動を評価・選定するプロセスについて説明した。 (図1に示す)。 </w:t>
      </w:r>
      <w:r w:rsidR="002F5B54">
        <w:rPr>
          <w:lang w:eastAsia="ja-JP"/>
        </w:rPr>
        <w:t>タクソノミー</w:t>
      </w:r>
      <w:r>
        <w:rPr>
          <w:lang w:eastAsia="ja-JP"/>
        </w:rPr>
        <w:t>規制は、部門を選択する方法論に関するTEGの考え方を大きく変えていない。 さらに</w:t>
      </w:r>
      <w:r w:rsidR="009E6B95">
        <w:rPr>
          <w:rFonts w:hint="eastAsia"/>
          <w:lang w:eastAsia="ja-JP"/>
        </w:rPr>
        <w:t>タクソノミー規則</w:t>
      </w:r>
      <w:r>
        <w:rPr>
          <w:lang w:eastAsia="ja-JP"/>
        </w:rPr>
        <w:t>は、</w:t>
      </w:r>
      <w:r w:rsidR="009E6B95">
        <w:rPr>
          <w:rFonts w:hint="eastAsia"/>
          <w:lang w:eastAsia="ja-JP"/>
        </w:rPr>
        <w:t>イネーブリング（側面支援）</w:t>
      </w:r>
      <w:r>
        <w:rPr>
          <w:lang w:eastAsia="ja-JP"/>
        </w:rPr>
        <w:t>活動を活動の一種として特定するためのTEGの推奨アプローチを取り上げる。</w:t>
      </w:r>
    </w:p>
    <w:p w14:paraId="095A54E7" w14:textId="77777777" w:rsidR="002B3AD5" w:rsidRDefault="00D66CD0">
      <w:pPr>
        <w:pStyle w:val="a3"/>
        <w:spacing w:before="4"/>
        <w:rPr>
          <w:sz w:val="17"/>
          <w:lang w:eastAsia="ja-JP"/>
        </w:rPr>
      </w:pPr>
      <w:r>
        <w:rPr>
          <w:noProof/>
          <w:lang w:val="en-US" w:eastAsia="ja-JP"/>
        </w:rPr>
        <w:drawing>
          <wp:anchor distT="0" distB="0" distL="0" distR="0" simplePos="0" relativeHeight="251646976" behindDoc="0" locked="0" layoutInCell="1" allowOverlap="1" wp14:anchorId="095A58EC" wp14:editId="095A58ED">
            <wp:simplePos x="0" y="0"/>
            <wp:positionH relativeFrom="page">
              <wp:posOffset>2354579</wp:posOffset>
            </wp:positionH>
            <wp:positionV relativeFrom="paragraph">
              <wp:posOffset>151944</wp:posOffset>
            </wp:positionV>
            <wp:extent cx="3265249" cy="391334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265249" cy="3913346"/>
                    </a:xfrm>
                    <a:prstGeom prst="rect">
                      <a:avLst/>
                    </a:prstGeom>
                  </pic:spPr>
                </pic:pic>
              </a:graphicData>
            </a:graphic>
          </wp:anchor>
        </w:drawing>
      </w:r>
    </w:p>
    <w:p w14:paraId="095A54E8" w14:textId="77777777" w:rsidR="002B3AD5" w:rsidRDefault="002B3AD5">
      <w:pPr>
        <w:pStyle w:val="a3"/>
        <w:spacing w:before="8"/>
        <w:rPr>
          <w:sz w:val="21"/>
          <w:lang w:eastAsia="ja-JP"/>
        </w:rPr>
      </w:pPr>
    </w:p>
    <w:p w14:paraId="095A54E9" w14:textId="77777777" w:rsidR="002B3AD5" w:rsidRDefault="00D66CD0">
      <w:pPr>
        <w:ind w:left="3094"/>
        <w:rPr>
          <w:sz w:val="18"/>
          <w:lang w:eastAsia="ja-JP"/>
        </w:rPr>
      </w:pPr>
      <w:r>
        <w:rPr>
          <w:color w:val="44536A"/>
          <w:sz w:val="18"/>
          <w:lang w:eastAsia="ja-JP"/>
        </w:rPr>
        <w:t>図1 技術審査基準策定業務プロセス</w:t>
      </w:r>
    </w:p>
    <w:p w14:paraId="095A54EA" w14:textId="77777777" w:rsidR="002B3AD5" w:rsidRDefault="002B3AD5">
      <w:pPr>
        <w:pStyle w:val="a3"/>
        <w:rPr>
          <w:lang w:eastAsia="ja-JP"/>
        </w:rPr>
      </w:pPr>
    </w:p>
    <w:p w14:paraId="095A54EB" w14:textId="77777777" w:rsidR="002B3AD5" w:rsidRDefault="002B3AD5">
      <w:pPr>
        <w:pStyle w:val="a3"/>
        <w:rPr>
          <w:lang w:eastAsia="ja-JP"/>
        </w:rPr>
      </w:pPr>
    </w:p>
    <w:p w14:paraId="095A54EC" w14:textId="77777777" w:rsidR="002B3AD5" w:rsidRDefault="002B3AD5">
      <w:pPr>
        <w:pStyle w:val="a3"/>
        <w:spacing w:before="11"/>
        <w:rPr>
          <w:lang w:eastAsia="ja-JP"/>
        </w:rPr>
      </w:pPr>
    </w:p>
    <w:p w14:paraId="095A54ED" w14:textId="77777777" w:rsidR="002B3AD5" w:rsidRDefault="00D66CD0">
      <w:pPr>
        <w:pStyle w:val="4"/>
        <w:rPr>
          <w:b w:val="0"/>
          <w:lang w:eastAsia="ja-JP"/>
        </w:rPr>
      </w:pPr>
      <w:r>
        <w:rPr>
          <w:lang w:eastAsia="ja-JP"/>
        </w:rPr>
        <w:t>潜在的な経済活動領域内の優先順位を特定する。</w:t>
      </w:r>
    </w:p>
    <w:p w14:paraId="095A54EE" w14:textId="77777777" w:rsidR="002B3AD5" w:rsidRDefault="002B3AD5">
      <w:pPr>
        <w:pStyle w:val="a3"/>
        <w:rPr>
          <w:sz w:val="24"/>
          <w:lang w:eastAsia="ja-JP"/>
        </w:rPr>
      </w:pPr>
    </w:p>
    <w:p w14:paraId="095A54EF" w14:textId="66297235" w:rsidR="002B3AD5" w:rsidRDefault="00D66CD0">
      <w:pPr>
        <w:pStyle w:val="a3"/>
        <w:spacing w:before="1" w:line="276" w:lineRule="auto"/>
        <w:ind w:left="1080" w:right="1288"/>
        <w:rPr>
          <w:lang w:eastAsia="ja-JP"/>
        </w:rPr>
      </w:pPr>
      <w:r>
        <w:rPr>
          <w:lang w:eastAsia="ja-JP"/>
        </w:rPr>
        <w:t>NACEコードを用いて経済活動の領域を記述した。 NACEコードは、4つのレベルのサブコードを持つ21の幅広いセクタをカバーする。 第4レベルでは、615</w:t>
      </w:r>
      <w:r w:rsidR="00BF6216">
        <w:rPr>
          <w:rFonts w:hint="eastAsia"/>
          <w:lang w:eastAsia="ja-JP"/>
        </w:rPr>
        <w:t>クラス</w:t>
      </w:r>
      <w:r>
        <w:rPr>
          <w:lang w:eastAsia="ja-JP"/>
        </w:rPr>
        <w:t>の経済活動が特定される。</w:t>
      </w:r>
    </w:p>
    <w:p w14:paraId="095A54F0"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4F1" w14:textId="0A25C91B" w:rsidR="002B3AD5" w:rsidRDefault="00BF6216">
      <w:pPr>
        <w:pStyle w:val="a3"/>
        <w:spacing w:before="79" w:line="276" w:lineRule="auto"/>
        <w:ind w:left="1080" w:right="1152"/>
        <w:rPr>
          <w:lang w:eastAsia="ja-JP"/>
        </w:rPr>
      </w:pPr>
      <w:r>
        <w:rPr>
          <w:lang w:eastAsia="ja-JP"/>
        </w:rPr>
        <w:lastRenderedPageBreak/>
        <w:t>これらの部門、すなわち経済活動のすべて</w:t>
      </w:r>
      <w:r>
        <w:rPr>
          <w:rFonts w:hint="eastAsia"/>
          <w:lang w:eastAsia="ja-JP"/>
        </w:rPr>
        <w:t>でCO2</w:t>
      </w:r>
      <w:r w:rsidR="00D66CD0">
        <w:rPr>
          <w:lang w:eastAsia="ja-JP"/>
        </w:rPr>
        <w:t>排出量が多い</w:t>
      </w:r>
      <w:r>
        <w:rPr>
          <w:rFonts w:hint="eastAsia"/>
          <w:lang w:eastAsia="ja-JP"/>
        </w:rPr>
        <w:t>という</w:t>
      </w:r>
      <w:r w:rsidR="00D66CD0">
        <w:rPr>
          <w:lang w:eastAsia="ja-JP"/>
        </w:rPr>
        <w:t xml:space="preserve">わけではない1。 </w:t>
      </w:r>
      <w:r>
        <w:rPr>
          <w:rFonts w:hint="eastAsia"/>
          <w:lang w:eastAsia="ja-JP"/>
        </w:rPr>
        <w:t>逆に</w:t>
      </w:r>
      <w:r w:rsidR="00D66CD0">
        <w:rPr>
          <w:lang w:eastAsia="ja-JP"/>
        </w:rPr>
        <w:t>一部の部門</w:t>
      </w:r>
      <w:r>
        <w:rPr>
          <w:rFonts w:hint="eastAsia"/>
          <w:lang w:eastAsia="ja-JP"/>
        </w:rPr>
        <w:t>で</w:t>
      </w:r>
      <w:r w:rsidR="00D66CD0">
        <w:rPr>
          <w:lang w:eastAsia="ja-JP"/>
        </w:rPr>
        <w:t>は、実質的な排出量</w:t>
      </w:r>
      <w:r>
        <w:rPr>
          <w:rFonts w:hint="eastAsia"/>
          <w:lang w:eastAsia="ja-JP"/>
        </w:rPr>
        <w:t>が全く</w:t>
      </w:r>
      <w:r w:rsidR="00D66CD0">
        <w:rPr>
          <w:lang w:eastAsia="ja-JP"/>
        </w:rPr>
        <w:t>ないかもしれない。 また、</w:t>
      </w:r>
      <w:r>
        <w:rPr>
          <w:rFonts w:hint="eastAsia"/>
          <w:lang w:eastAsia="ja-JP"/>
        </w:rPr>
        <w:t>他分野の</w:t>
      </w:r>
      <w:r w:rsidR="00D66CD0">
        <w:rPr>
          <w:lang w:eastAsia="ja-JP"/>
        </w:rPr>
        <w:t>低炭素経済への移行を</w:t>
      </w:r>
      <w:r>
        <w:rPr>
          <w:rFonts w:hint="eastAsia"/>
          <w:lang w:eastAsia="ja-JP"/>
        </w:rPr>
        <w:t>イネーブル（側面支援）</w:t>
      </w:r>
      <w:r w:rsidR="00D66CD0">
        <w:rPr>
          <w:lang w:eastAsia="ja-JP"/>
        </w:rPr>
        <w:t>する排出活動もある。</w:t>
      </w:r>
    </w:p>
    <w:p w14:paraId="095A54F2" w14:textId="77777777" w:rsidR="002B3AD5" w:rsidRDefault="002B3AD5">
      <w:pPr>
        <w:pStyle w:val="a3"/>
        <w:spacing w:before="10"/>
        <w:rPr>
          <w:lang w:eastAsia="ja-JP"/>
        </w:rPr>
      </w:pPr>
    </w:p>
    <w:p w14:paraId="095A54F3" w14:textId="4C529C38" w:rsidR="002B3AD5" w:rsidRDefault="00D66CD0">
      <w:pPr>
        <w:pStyle w:val="a3"/>
        <w:spacing w:line="276" w:lineRule="auto"/>
        <w:ind w:left="1080" w:right="1149"/>
        <w:rPr>
          <w:lang w:eastAsia="ja-JP"/>
        </w:rPr>
      </w:pPr>
      <w:r>
        <w:rPr>
          <w:lang w:eastAsia="ja-JP"/>
        </w:rPr>
        <w:t>TEGはまた、いくつかの重要な活動がNACEコードによって捕捉されていないことを認識している。 例えば、旅行回避を含めた低炭素開発のための都市・地域計画、菜食のような低炭素の個人的選択に対する支援、天然林や湿地のような公共の天然資本を維持するための投資などである。 今後、これらを</w:t>
      </w:r>
      <w:r w:rsidR="002F5B54">
        <w:rPr>
          <w:lang w:eastAsia="ja-JP"/>
        </w:rPr>
        <w:t>タクソノミー</w:t>
      </w:r>
      <w:r>
        <w:rPr>
          <w:lang w:eastAsia="ja-JP"/>
        </w:rPr>
        <w:t>に含めるために、さらなる研究が必要である。</w:t>
      </w:r>
    </w:p>
    <w:p w14:paraId="095A54F4" w14:textId="77777777" w:rsidR="002B3AD5" w:rsidRDefault="002B3AD5">
      <w:pPr>
        <w:pStyle w:val="a3"/>
        <w:spacing w:before="10"/>
        <w:rPr>
          <w:lang w:eastAsia="ja-JP"/>
        </w:rPr>
      </w:pPr>
    </w:p>
    <w:p w14:paraId="095A54F5" w14:textId="7386FD66" w:rsidR="002B3AD5" w:rsidRDefault="00BF6216">
      <w:pPr>
        <w:pStyle w:val="a3"/>
        <w:spacing w:line="276" w:lineRule="auto"/>
        <w:ind w:left="1080" w:right="1199"/>
        <w:rPr>
          <w:lang w:eastAsia="ja-JP"/>
        </w:rPr>
      </w:pPr>
      <w:r>
        <w:rPr>
          <w:rFonts w:hint="eastAsia"/>
          <w:lang w:eastAsia="ja-JP"/>
        </w:rPr>
        <w:t>TEGによって評価対象</w:t>
      </w:r>
      <w:r w:rsidR="00D66CD0">
        <w:rPr>
          <w:lang w:eastAsia="ja-JP"/>
        </w:rPr>
        <w:t>に含まれる</w:t>
      </w:r>
      <w:r>
        <w:rPr>
          <w:rFonts w:hint="eastAsia"/>
          <w:lang w:eastAsia="ja-JP"/>
        </w:rPr>
        <w:t>とされた</w:t>
      </w:r>
      <w:r w:rsidR="00D66CD0">
        <w:rPr>
          <w:lang w:eastAsia="ja-JP"/>
        </w:rPr>
        <w:t>セクターの第1グループは、スコープ1の排出量データ2に基づいて、気候変動緩和の必要性と潜在性が高いセクターであった。 さらに、TEGは、</w:t>
      </w:r>
      <w:r>
        <w:rPr>
          <w:rFonts w:hint="eastAsia"/>
          <w:lang w:eastAsia="ja-JP"/>
        </w:rPr>
        <w:t>「</w:t>
      </w:r>
      <w:r w:rsidR="00D66CD0">
        <w:rPr>
          <w:lang w:eastAsia="ja-JP"/>
        </w:rPr>
        <w:t>B-鉱業及び採石業</w:t>
      </w:r>
      <w:r>
        <w:rPr>
          <w:rFonts w:hint="eastAsia"/>
          <w:lang w:eastAsia="ja-JP"/>
        </w:rPr>
        <w:t>とその支援活動」</w:t>
      </w:r>
      <w:r w:rsidR="00D66CD0">
        <w:rPr>
          <w:lang w:eastAsia="ja-JP"/>
        </w:rPr>
        <w:t>の側面を、</w:t>
      </w:r>
      <w:r>
        <w:rPr>
          <w:rFonts w:hint="eastAsia"/>
          <w:lang w:eastAsia="ja-JP"/>
        </w:rPr>
        <w:t>「</w:t>
      </w:r>
      <w:r w:rsidR="00D66CD0">
        <w:rPr>
          <w:lang w:eastAsia="ja-JP"/>
        </w:rPr>
        <w:t>C-製造</w:t>
      </w:r>
      <w:r>
        <w:rPr>
          <w:rFonts w:hint="eastAsia"/>
          <w:lang w:eastAsia="ja-JP"/>
        </w:rPr>
        <w:t>」</w:t>
      </w:r>
      <w:r w:rsidR="00D66CD0">
        <w:rPr>
          <w:lang w:eastAsia="ja-JP"/>
        </w:rPr>
        <w:t>の範囲内で検討した。 しかし、採鉱・採石部門の完全な評価は行われなかった。</w:t>
      </w:r>
    </w:p>
    <w:p w14:paraId="095A54F6" w14:textId="77777777" w:rsidR="002B3AD5" w:rsidRDefault="002B3AD5">
      <w:pPr>
        <w:pStyle w:val="a3"/>
        <w:spacing w:before="11"/>
        <w:rPr>
          <w:lang w:eastAsia="ja-JP"/>
        </w:rPr>
      </w:pPr>
    </w:p>
    <w:p w14:paraId="095A54F7" w14:textId="5B11AF30" w:rsidR="002B3AD5" w:rsidRDefault="00D66CD0">
      <w:pPr>
        <w:pStyle w:val="a3"/>
        <w:spacing w:line="276" w:lineRule="auto"/>
        <w:ind w:left="1080" w:right="1152"/>
        <w:rPr>
          <w:lang w:eastAsia="ja-JP"/>
        </w:rPr>
      </w:pPr>
      <w:r>
        <w:rPr>
          <w:lang w:eastAsia="ja-JP"/>
        </w:rPr>
        <w:t>TEGは当初、2016年から</w:t>
      </w:r>
      <w:r w:rsidR="00BF6216">
        <w:rPr>
          <w:rFonts w:hint="eastAsia"/>
          <w:lang w:eastAsia="ja-JP"/>
        </w:rPr>
        <w:t>の</w:t>
      </w:r>
      <w:r>
        <w:rPr>
          <w:lang w:eastAsia="ja-JP"/>
        </w:rPr>
        <w:t>Eurostatの排出インベントリデータを使用した。 より最近の排出量データは現在入手可能であるが、欧州の排出量の部門プロファイルが2016年と2018年で概ね同じであったため、これはTEGの知見を変えるものではない。</w:t>
      </w:r>
    </w:p>
    <w:p w14:paraId="095A54F8" w14:textId="77777777" w:rsidR="002B3AD5" w:rsidRDefault="002B3AD5">
      <w:pPr>
        <w:pStyle w:val="a3"/>
        <w:spacing w:before="11"/>
        <w:rPr>
          <w:lang w:eastAsia="ja-JP"/>
        </w:rPr>
      </w:pPr>
    </w:p>
    <w:p w14:paraId="095A54F9" w14:textId="6A30CE5B" w:rsidR="002B3AD5" w:rsidRDefault="00D66CD0">
      <w:pPr>
        <w:pStyle w:val="a3"/>
        <w:spacing w:line="276" w:lineRule="auto"/>
        <w:ind w:left="1080" w:right="1152"/>
        <w:rPr>
          <w:lang w:eastAsia="ja-JP"/>
        </w:rPr>
      </w:pPr>
      <w:r>
        <w:rPr>
          <w:lang w:eastAsia="ja-JP"/>
        </w:rPr>
        <w:t>さらに、TEGは、EU28</w:t>
      </w:r>
      <w:r w:rsidR="00C03292">
        <w:rPr>
          <w:rFonts w:hint="eastAsia"/>
          <w:lang w:eastAsia="ja-JP"/>
        </w:rPr>
        <w:t>ヶ国</w:t>
      </w:r>
      <w:r>
        <w:rPr>
          <w:lang w:eastAsia="ja-JP"/>
        </w:rPr>
        <w:t>3</w:t>
      </w:r>
      <w:r w:rsidR="00C03292">
        <w:rPr>
          <w:rFonts w:hint="eastAsia"/>
          <w:lang w:eastAsia="ja-JP"/>
        </w:rPr>
        <w:t xml:space="preserve">　</w:t>
      </w:r>
      <w:r>
        <w:rPr>
          <w:lang w:eastAsia="ja-JP"/>
        </w:rPr>
        <w:t>におけるCO2e排出量の36%を占める建築物の炭素</w:t>
      </w:r>
      <w:r w:rsidR="00C03292">
        <w:rPr>
          <w:rFonts w:hint="eastAsia"/>
          <w:lang w:eastAsia="ja-JP"/>
        </w:rPr>
        <w:t>削減</w:t>
      </w:r>
      <w:r>
        <w:rPr>
          <w:lang w:eastAsia="ja-JP"/>
        </w:rPr>
        <w:t>性能に取り組まないと、気候目標に悪影響を与えるリスクがあることを認識した。</w:t>
      </w:r>
      <w:r>
        <w:rPr>
          <w:position w:val="1"/>
          <w:lang w:eastAsia="ja-JP"/>
        </w:rPr>
        <w:t xml:space="preserve"> 建物はNACEシステムの下では単一の経済活動ではない。</w:t>
      </w:r>
      <w:r>
        <w:rPr>
          <w:lang w:eastAsia="ja-JP"/>
        </w:rPr>
        <w:t xml:space="preserve"> TEGの建築基準は、明確に除外された部門(化石燃料の専用貯蔵)を除き、横断的で経済全体に適用されるように設計されている。 プレゼンテーションの目的で、TEGは建築基準を建築および不動産活動のNACEコードと整合させた。 しかし、建築基準はこれらのNACEコードに限定されず、他の部門や経済活動にも適用できる。</w:t>
      </w:r>
    </w:p>
    <w:p w14:paraId="095A54FA" w14:textId="77777777" w:rsidR="002B3AD5" w:rsidRDefault="002B3AD5">
      <w:pPr>
        <w:pStyle w:val="a3"/>
        <w:spacing w:before="9"/>
        <w:rPr>
          <w:lang w:eastAsia="ja-JP"/>
        </w:rPr>
      </w:pPr>
    </w:p>
    <w:p w14:paraId="095A54FB" w14:textId="417A50E0" w:rsidR="002B3AD5" w:rsidRDefault="00D66CD0">
      <w:pPr>
        <w:pStyle w:val="a3"/>
        <w:spacing w:line="276" w:lineRule="auto"/>
        <w:ind w:left="1080" w:right="1176"/>
        <w:rPr>
          <w:lang w:eastAsia="ja-JP"/>
        </w:rPr>
      </w:pPr>
      <w:r>
        <w:rPr>
          <w:lang w:eastAsia="ja-JP"/>
        </w:rPr>
        <w:t>TEGはまた、他の選択されたセクターのいずれかにおいて実質的な</w:t>
      </w:r>
      <w:r w:rsidR="00687DA8">
        <w:rPr>
          <w:rFonts w:hint="eastAsia"/>
          <w:lang w:eastAsia="ja-JP"/>
        </w:rPr>
        <w:t>イネーブリング（側面支援）的</w:t>
      </w:r>
      <w:r>
        <w:rPr>
          <w:lang w:eastAsia="ja-JP"/>
        </w:rPr>
        <w:t>貢献を可能にするセクターを検討した。 J - 情報通信およびM - 専門的、科学的技術的活動、ならびにそれらが</w:t>
      </w:r>
      <w:r w:rsidR="00687DA8">
        <w:rPr>
          <w:rFonts w:hint="eastAsia"/>
          <w:lang w:eastAsia="ja-JP"/>
        </w:rPr>
        <w:t>イネ―ブリング</w:t>
      </w:r>
      <w:r>
        <w:rPr>
          <w:lang w:eastAsia="ja-JP"/>
        </w:rPr>
        <w:t>活動</w:t>
      </w:r>
      <w:r w:rsidR="00687DA8">
        <w:rPr>
          <w:rFonts w:hint="eastAsia"/>
          <w:lang w:eastAsia="ja-JP"/>
        </w:rPr>
        <w:t>となるポテンシャルによってである</w:t>
      </w:r>
      <w:r>
        <w:rPr>
          <w:lang w:eastAsia="ja-JP"/>
        </w:rPr>
        <w:t>。</w:t>
      </w:r>
      <w:r w:rsidR="00687DA8">
        <w:rPr>
          <w:rFonts w:hint="eastAsia"/>
          <w:lang w:eastAsia="ja-JP"/>
        </w:rPr>
        <w:t>何がイネ―ブリング活動になるのか</w:t>
      </w:r>
      <w:r>
        <w:rPr>
          <w:lang w:eastAsia="ja-JP"/>
        </w:rPr>
        <w:t>の説明については、表Xを参照</w:t>
      </w:r>
      <w:r w:rsidR="00687DA8">
        <w:rPr>
          <w:rFonts w:hint="eastAsia"/>
          <w:lang w:eastAsia="ja-JP"/>
        </w:rPr>
        <w:t>されたい</w:t>
      </w:r>
      <w:r>
        <w:rPr>
          <w:lang w:eastAsia="ja-JP"/>
        </w:rPr>
        <w:t>。</w:t>
      </w:r>
    </w:p>
    <w:p w14:paraId="095A54FC" w14:textId="77777777" w:rsidR="002B3AD5" w:rsidRDefault="002B3AD5">
      <w:pPr>
        <w:pStyle w:val="a3"/>
        <w:rPr>
          <w:sz w:val="21"/>
          <w:lang w:eastAsia="ja-JP"/>
        </w:rPr>
      </w:pPr>
    </w:p>
    <w:p w14:paraId="095A54FD" w14:textId="23864272" w:rsidR="002B3AD5" w:rsidRDefault="00D66CD0">
      <w:pPr>
        <w:pStyle w:val="a3"/>
        <w:spacing w:line="276" w:lineRule="auto"/>
        <w:ind w:left="1080" w:right="1152"/>
        <w:rPr>
          <w:lang w:eastAsia="ja-JP"/>
        </w:rPr>
      </w:pPr>
      <w:r>
        <w:rPr>
          <w:lang w:eastAsia="ja-JP"/>
        </w:rPr>
        <w:t>選択されたマクロセクターは、NACEベースのスコープ1排出量(2018年のデータに基づく)の最低93.5%を占めるが、この数字はすべてのセクターにおける建築物排出量を考慮してい</w:t>
      </w:r>
      <w:r w:rsidR="00687DA8">
        <w:rPr>
          <w:rFonts w:hint="eastAsia"/>
          <w:lang w:eastAsia="ja-JP"/>
        </w:rPr>
        <w:t>るわけでは</w:t>
      </w:r>
      <w:r>
        <w:rPr>
          <w:lang w:eastAsia="ja-JP"/>
        </w:rPr>
        <w:t>ないため、過小評価される可能性が高い。</w:t>
      </w:r>
    </w:p>
    <w:p w14:paraId="095A54FE" w14:textId="77777777" w:rsidR="002B3AD5" w:rsidRDefault="002B3AD5">
      <w:pPr>
        <w:pStyle w:val="a3"/>
        <w:rPr>
          <w:lang w:eastAsia="ja-JP"/>
        </w:rPr>
      </w:pPr>
    </w:p>
    <w:p w14:paraId="095A54FF" w14:textId="77777777" w:rsidR="002B3AD5" w:rsidRDefault="002B3AD5">
      <w:pPr>
        <w:pStyle w:val="a3"/>
        <w:rPr>
          <w:lang w:eastAsia="ja-JP"/>
        </w:rPr>
      </w:pPr>
    </w:p>
    <w:p w14:paraId="095A5500" w14:textId="77777777" w:rsidR="002B3AD5" w:rsidRDefault="002B3AD5">
      <w:pPr>
        <w:pStyle w:val="a3"/>
        <w:rPr>
          <w:lang w:eastAsia="ja-JP"/>
        </w:rPr>
      </w:pPr>
    </w:p>
    <w:p w14:paraId="095A5501" w14:textId="77777777" w:rsidR="002B3AD5" w:rsidRDefault="002B3AD5">
      <w:pPr>
        <w:pStyle w:val="a3"/>
        <w:rPr>
          <w:lang w:eastAsia="ja-JP"/>
        </w:rPr>
      </w:pPr>
    </w:p>
    <w:p w14:paraId="095A5502" w14:textId="77777777" w:rsidR="002B3AD5" w:rsidRDefault="002B3AD5">
      <w:pPr>
        <w:pStyle w:val="a3"/>
        <w:rPr>
          <w:lang w:eastAsia="ja-JP"/>
        </w:rPr>
      </w:pPr>
    </w:p>
    <w:p w14:paraId="095A5503" w14:textId="77777777" w:rsidR="002B3AD5" w:rsidRDefault="002B3AD5">
      <w:pPr>
        <w:pStyle w:val="a3"/>
        <w:rPr>
          <w:lang w:eastAsia="ja-JP"/>
        </w:rPr>
      </w:pPr>
    </w:p>
    <w:p w14:paraId="095A5504" w14:textId="77777777" w:rsidR="002B3AD5" w:rsidRDefault="002B3AD5">
      <w:pPr>
        <w:pStyle w:val="a3"/>
        <w:rPr>
          <w:lang w:eastAsia="ja-JP"/>
        </w:rPr>
      </w:pPr>
    </w:p>
    <w:p w14:paraId="095A5505" w14:textId="53E3FB6C" w:rsidR="002B3AD5" w:rsidRDefault="00C37D34">
      <w:pPr>
        <w:pStyle w:val="a3"/>
        <w:spacing w:before="1"/>
        <w:rPr>
          <w:sz w:val="29"/>
          <w:lang w:eastAsia="ja-JP"/>
        </w:rPr>
      </w:pPr>
      <w:r>
        <w:rPr>
          <w:noProof/>
          <w:lang w:val="en-US" w:eastAsia="ja-JP"/>
        </w:rPr>
        <mc:AlternateContent>
          <mc:Choice Requires="wps">
            <w:drawing>
              <wp:anchor distT="0" distB="0" distL="0" distR="0" simplePos="0" relativeHeight="251655168" behindDoc="1" locked="0" layoutInCell="1" allowOverlap="1" wp14:anchorId="095A58EE" wp14:editId="66FB5B21">
                <wp:simplePos x="0" y="0"/>
                <wp:positionH relativeFrom="page">
                  <wp:posOffset>914400</wp:posOffset>
                </wp:positionH>
                <wp:positionV relativeFrom="paragraph">
                  <wp:posOffset>240665</wp:posOffset>
                </wp:positionV>
                <wp:extent cx="1829435" cy="0"/>
                <wp:effectExtent l="9525" t="13335" r="8890" b="5715"/>
                <wp:wrapTopAndBottom/>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DE03" id="Line 21" o:spid="_x0000_s1026" style="position:absolute;left:0;text-align:lef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5pt" to="21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s0FQIAACoEAAAOAAAAZHJzL2Uyb0RvYy54bWysU8uu2jAQ3VfqP1jeQxLIpR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" strokeweight=".48pt">
                <w10:wrap type="topAndBottom" anchorx="page"/>
              </v:line>
            </w:pict>
          </mc:Fallback>
        </mc:AlternateContent>
      </w:r>
    </w:p>
    <w:p w14:paraId="095A5506" w14:textId="77777777" w:rsidR="002B3AD5" w:rsidRDefault="002B3AD5">
      <w:pPr>
        <w:pStyle w:val="a3"/>
        <w:spacing w:before="4"/>
        <w:rPr>
          <w:sz w:val="17"/>
          <w:lang w:eastAsia="ja-JP"/>
        </w:rPr>
      </w:pPr>
    </w:p>
    <w:p w14:paraId="095A5507" w14:textId="77777777" w:rsidR="002B3AD5" w:rsidRDefault="00D66CD0">
      <w:pPr>
        <w:spacing w:before="96"/>
        <w:ind w:left="1080"/>
        <w:rPr>
          <w:sz w:val="16"/>
          <w:lang w:eastAsia="ja-JP"/>
        </w:rPr>
      </w:pPr>
      <w:r>
        <w:rPr>
          <w:sz w:val="16"/>
          <w:lang w:eastAsia="ja-JP"/>
        </w:rPr>
        <w:t>1. これらは他の環境目的に大きな影響を与える可能性があるが、</w:t>
      </w:r>
    </w:p>
    <w:p w14:paraId="095A5508" w14:textId="77777777" w:rsidR="002B3AD5" w:rsidRDefault="002B3AD5">
      <w:pPr>
        <w:pStyle w:val="a3"/>
        <w:spacing w:before="9"/>
        <w:rPr>
          <w:sz w:val="14"/>
          <w:lang w:eastAsia="ja-JP"/>
        </w:rPr>
      </w:pPr>
    </w:p>
    <w:p w14:paraId="095A5509" w14:textId="445185A3" w:rsidR="002B3AD5" w:rsidRDefault="00D66CD0">
      <w:pPr>
        <w:ind w:left="1080" w:right="1152"/>
        <w:rPr>
          <w:sz w:val="16"/>
          <w:lang w:eastAsia="ja-JP"/>
        </w:rPr>
      </w:pPr>
      <w:r>
        <w:rPr>
          <w:position w:val="6"/>
          <w:sz w:val="10"/>
          <w:lang w:eastAsia="ja-JP"/>
        </w:rPr>
        <w:t>2つのTEGの分析は、NACEコードによるスコープ2および3のデータが入手できなかったため、スコープ1の排出データに基づいている。</w:t>
      </w:r>
      <w:r>
        <w:rPr>
          <w:sz w:val="16"/>
          <w:lang w:eastAsia="ja-JP"/>
        </w:rPr>
        <w:t xml:space="preserve"> しかし、</w:t>
      </w:r>
      <w:r w:rsidR="002F5B54">
        <w:rPr>
          <w:sz w:val="16"/>
          <w:lang w:eastAsia="ja-JP"/>
        </w:rPr>
        <w:t>タクソノミー</w:t>
      </w:r>
      <w:r>
        <w:rPr>
          <w:sz w:val="16"/>
          <w:lang w:eastAsia="ja-JP"/>
        </w:rPr>
        <w:t>は、</w:t>
      </w:r>
      <w:r w:rsidR="002F5B54">
        <w:rPr>
          <w:sz w:val="16"/>
          <w:lang w:eastAsia="ja-JP"/>
        </w:rPr>
        <w:t>タクソノミー</w:t>
      </w:r>
      <w:r>
        <w:rPr>
          <w:sz w:val="16"/>
          <w:lang w:eastAsia="ja-JP"/>
        </w:rPr>
        <w:t>規制の要件と整合的なエネルギー効率の改善を認めている。</w:t>
      </w:r>
    </w:p>
    <w:p w14:paraId="095A550A" w14:textId="77777777" w:rsidR="002B3AD5" w:rsidRDefault="002B3AD5">
      <w:pPr>
        <w:pStyle w:val="a3"/>
        <w:spacing w:before="9"/>
        <w:rPr>
          <w:lang w:eastAsia="ja-JP"/>
        </w:rPr>
      </w:pPr>
    </w:p>
    <w:p w14:paraId="095A550B" w14:textId="06808FF7" w:rsidR="002B3AD5" w:rsidRDefault="00D66CD0">
      <w:pPr>
        <w:pStyle w:val="a4"/>
        <w:numPr>
          <w:ilvl w:val="0"/>
          <w:numId w:val="23"/>
        </w:numPr>
        <w:tabs>
          <w:tab w:val="left" w:pos="1215"/>
        </w:tabs>
        <w:spacing w:before="0" w:line="259" w:lineRule="auto"/>
        <w:ind w:right="1149" w:firstLine="0"/>
        <w:rPr>
          <w:sz w:val="16"/>
          <w:lang w:eastAsia="ja-JP"/>
        </w:rPr>
      </w:pPr>
      <w:r>
        <w:rPr>
          <w:sz w:val="16"/>
          <w:lang w:eastAsia="ja-JP"/>
        </w:rPr>
        <w:lastRenderedPageBreak/>
        <w:t>https://ec.europa.eu/energy/en/topics/energy-efficiency/buildings参照。</w:t>
      </w:r>
      <w:r w:rsidR="004339EC">
        <w:fldChar w:fldCharType="begin"/>
      </w:r>
      <w:r w:rsidR="004339EC">
        <w:rPr>
          <w:lang w:eastAsia="ja-JP"/>
        </w:rPr>
        <w:instrText xml:space="preserve"> HYPERLINK "https://ec.europa.eu/energy/en/topics/energy-efficiency/buildings" \h </w:instrText>
      </w:r>
      <w:r w:rsidR="004339EC">
        <w:fldChar w:fldCharType="separate"/>
      </w:r>
      <w:r>
        <w:rPr>
          <w:sz w:val="16"/>
          <w:lang w:eastAsia="ja-JP"/>
        </w:rPr>
        <w:t xml:space="preserve"> 建築物からの排出は、NACEコードを超えて考慮されることに注意。</w:t>
      </w:r>
      <w:r w:rsidR="004339EC">
        <w:rPr>
          <w:sz w:val="16"/>
          <w:lang w:eastAsia="ja-JP"/>
        </w:rPr>
        <w:fldChar w:fldCharType="end"/>
      </w:r>
      <w:r>
        <w:rPr>
          <w:sz w:val="16"/>
          <w:lang w:eastAsia="ja-JP"/>
        </w:rPr>
        <w:t xml:space="preserve"> 国内の建築物からの排出は、通常、国内の職業が経済活動とはみなされないため、NACEコードから除外される。</w:t>
      </w:r>
      <w:r>
        <w:rPr>
          <w:spacing w:val="-3"/>
          <w:sz w:val="16"/>
          <w:lang w:eastAsia="ja-JP"/>
        </w:rPr>
        <w:t xml:space="preserve"> それにもかかわらず、居住部門からの排出を削減する活動は、</w:t>
      </w:r>
      <w:r w:rsidR="002F5B54">
        <w:rPr>
          <w:spacing w:val="-3"/>
          <w:sz w:val="16"/>
          <w:lang w:eastAsia="ja-JP"/>
        </w:rPr>
        <w:t>タクソノミー</w:t>
      </w:r>
      <w:r>
        <w:rPr>
          <w:spacing w:val="-3"/>
          <w:sz w:val="16"/>
          <w:lang w:eastAsia="ja-JP"/>
        </w:rPr>
        <w:t>において考慮されるべきである。</w:t>
      </w:r>
    </w:p>
    <w:p w14:paraId="095A550C" w14:textId="77777777" w:rsidR="002B3AD5" w:rsidRDefault="002B3AD5">
      <w:pPr>
        <w:spacing w:line="259" w:lineRule="auto"/>
        <w:rPr>
          <w:sz w:val="16"/>
          <w:lang w:eastAsia="ja-JP"/>
        </w:rPr>
        <w:sectPr w:rsidR="002B3AD5">
          <w:pgSz w:w="12240" w:h="15840"/>
          <w:pgMar w:top="1360" w:right="320" w:bottom="1200" w:left="360" w:header="0" w:footer="1020" w:gutter="0"/>
          <w:cols w:space="720"/>
        </w:sectPr>
      </w:pPr>
    </w:p>
    <w:p w14:paraId="095A550D" w14:textId="77777777" w:rsidR="002B3AD5" w:rsidRDefault="00D66CD0">
      <w:pPr>
        <w:spacing w:before="81"/>
        <w:ind w:left="3889"/>
        <w:rPr>
          <w:sz w:val="18"/>
          <w:lang w:eastAsia="ja-JP"/>
        </w:rPr>
      </w:pPr>
      <w:r>
        <w:rPr>
          <w:color w:val="44536A"/>
          <w:sz w:val="18"/>
          <w:lang w:eastAsia="ja-JP"/>
        </w:rPr>
        <w:lastRenderedPageBreak/>
        <w:t>表1経済活動寄与度の種類</w:t>
      </w:r>
    </w:p>
    <w:p w14:paraId="095A550E" w14:textId="77777777" w:rsidR="002B3AD5" w:rsidRDefault="002B3AD5">
      <w:pPr>
        <w:pStyle w:val="a3"/>
        <w:spacing w:before="4" w:after="1"/>
        <w:rPr>
          <w:sz w:val="17"/>
          <w:lang w:eastAsia="ja-JP"/>
        </w:rPr>
      </w:pPr>
    </w:p>
    <w:tbl>
      <w:tblPr>
        <w:tblStyle w:val="TableNormal"/>
        <w:tblW w:w="0" w:type="auto"/>
        <w:tblInd w:w="1258" w:type="dxa"/>
        <w:tblBorders>
          <w:top w:val="single" w:sz="4" w:space="0" w:color="087ADA"/>
          <w:left w:val="single" w:sz="4" w:space="0" w:color="087ADA"/>
          <w:bottom w:val="single" w:sz="4" w:space="0" w:color="087ADA"/>
          <w:right w:val="single" w:sz="4" w:space="0" w:color="087ADA"/>
          <w:insideH w:val="single" w:sz="4" w:space="0" w:color="087ADA"/>
          <w:insideV w:val="single" w:sz="4" w:space="0" w:color="087ADA"/>
        </w:tblBorders>
        <w:tblLayout w:type="fixed"/>
        <w:tblLook w:val="01E0" w:firstRow="1" w:lastRow="1" w:firstColumn="1" w:lastColumn="1" w:noHBand="0" w:noVBand="0"/>
      </w:tblPr>
      <w:tblGrid>
        <w:gridCol w:w="3257"/>
        <w:gridCol w:w="5761"/>
      </w:tblGrid>
      <w:tr w:rsidR="002B3AD5" w14:paraId="095A5511" w14:textId="77777777">
        <w:trPr>
          <w:trHeight w:val="623"/>
        </w:trPr>
        <w:tc>
          <w:tcPr>
            <w:tcW w:w="3257" w:type="dxa"/>
            <w:shd w:val="clear" w:color="auto" w:fill="FFC000"/>
          </w:tcPr>
          <w:p w14:paraId="095A550F" w14:textId="77777777" w:rsidR="002B3AD5" w:rsidRDefault="00D66CD0">
            <w:pPr>
              <w:pStyle w:val="TableParagraph"/>
              <w:spacing w:before="119"/>
              <w:rPr>
                <w:b/>
                <w:sz w:val="20"/>
              </w:rPr>
            </w:pPr>
            <w:proofErr w:type="spellStart"/>
            <w:r>
              <w:rPr>
                <w:b/>
                <w:color w:val="FFFFFF"/>
                <w:sz w:val="20"/>
              </w:rPr>
              <w:t>考察</w:t>
            </w:r>
            <w:proofErr w:type="spellEnd"/>
          </w:p>
        </w:tc>
        <w:tc>
          <w:tcPr>
            <w:tcW w:w="5761" w:type="dxa"/>
            <w:shd w:val="clear" w:color="auto" w:fill="FFC000"/>
          </w:tcPr>
          <w:p w14:paraId="095A5510" w14:textId="77777777" w:rsidR="002B3AD5" w:rsidRDefault="00D66CD0">
            <w:pPr>
              <w:pStyle w:val="TableParagraph"/>
              <w:spacing w:before="119"/>
              <w:ind w:left="105"/>
              <w:rPr>
                <w:b/>
                <w:sz w:val="20"/>
              </w:rPr>
            </w:pPr>
            <w:proofErr w:type="spellStart"/>
            <w:r>
              <w:rPr>
                <w:b/>
                <w:color w:val="FFFFFF"/>
                <w:sz w:val="20"/>
              </w:rPr>
              <w:t>説明</w:t>
            </w:r>
            <w:proofErr w:type="spellEnd"/>
          </w:p>
        </w:tc>
      </w:tr>
      <w:tr w:rsidR="002B3AD5" w14:paraId="095A5514" w14:textId="77777777">
        <w:trPr>
          <w:trHeight w:val="1153"/>
        </w:trPr>
        <w:tc>
          <w:tcPr>
            <w:tcW w:w="3257" w:type="dxa"/>
            <w:shd w:val="clear" w:color="auto" w:fill="FFF1CC"/>
          </w:tcPr>
          <w:p w14:paraId="095A5512" w14:textId="77777777" w:rsidR="002B3AD5" w:rsidRDefault="00D66CD0">
            <w:pPr>
              <w:pStyle w:val="TableParagraph"/>
              <w:spacing w:before="179" w:line="276" w:lineRule="auto"/>
              <w:ind w:left="467" w:hanging="360"/>
              <w:rPr>
                <w:b/>
                <w:sz w:val="20"/>
                <w:lang w:eastAsia="ja-JP"/>
              </w:rPr>
            </w:pPr>
            <w:r>
              <w:rPr>
                <w:sz w:val="20"/>
                <w:lang w:eastAsia="ja-JP"/>
              </w:rPr>
              <w:t>(1) 大きな寄与の可能性を持つ高排出NACEマクロセクター</w:t>
            </w:r>
          </w:p>
        </w:tc>
        <w:tc>
          <w:tcPr>
            <w:tcW w:w="5761" w:type="dxa"/>
            <w:shd w:val="clear" w:color="auto" w:fill="FFF1CC"/>
          </w:tcPr>
          <w:p w14:paraId="095A5513" w14:textId="0D1FB0BA" w:rsidR="002B3AD5" w:rsidRDefault="00D66CD0" w:rsidP="00687DA8">
            <w:pPr>
              <w:pStyle w:val="TableParagraph"/>
              <w:spacing w:before="119" w:line="276" w:lineRule="auto"/>
              <w:ind w:left="105" w:right="207"/>
              <w:jc w:val="both"/>
              <w:rPr>
                <w:sz w:val="20"/>
                <w:lang w:eastAsia="ja-JP"/>
              </w:rPr>
            </w:pPr>
            <w:r>
              <w:rPr>
                <w:position w:val="1"/>
                <w:sz w:val="20"/>
                <w:lang w:eastAsia="ja-JP"/>
              </w:rPr>
              <w:t>EUにおけるNACEコードによるスコープ1 CO2e排出量の定量データ。</w:t>
            </w:r>
            <w:r>
              <w:rPr>
                <w:sz w:val="20"/>
                <w:lang w:eastAsia="ja-JP"/>
              </w:rPr>
              <w:t xml:space="preserve"> 分析時点での最新データは2016年のもの。</w:t>
            </w:r>
          </w:p>
        </w:tc>
      </w:tr>
      <w:tr w:rsidR="002B3AD5" w14:paraId="095A5519" w14:textId="77777777">
        <w:trPr>
          <w:trHeight w:val="1418"/>
        </w:trPr>
        <w:tc>
          <w:tcPr>
            <w:tcW w:w="3257" w:type="dxa"/>
          </w:tcPr>
          <w:p w14:paraId="095A5515" w14:textId="77777777" w:rsidR="002B3AD5" w:rsidRDefault="002B3AD5">
            <w:pPr>
              <w:pStyle w:val="TableParagraph"/>
              <w:spacing w:before="0"/>
              <w:ind w:left="0"/>
              <w:rPr>
                <w:lang w:eastAsia="ja-JP"/>
              </w:rPr>
            </w:pPr>
          </w:p>
          <w:p w14:paraId="095A5516" w14:textId="77777777" w:rsidR="002B3AD5" w:rsidRDefault="002B3AD5">
            <w:pPr>
              <w:pStyle w:val="TableParagraph"/>
              <w:spacing w:before="0"/>
              <w:ind w:left="0"/>
              <w:rPr>
                <w:sz w:val="28"/>
                <w:lang w:eastAsia="ja-JP"/>
              </w:rPr>
            </w:pPr>
          </w:p>
          <w:p w14:paraId="095A5517" w14:textId="13CB99AD" w:rsidR="002B3AD5" w:rsidRDefault="00D66CD0" w:rsidP="00687DA8">
            <w:pPr>
              <w:pStyle w:val="TableParagraph"/>
              <w:spacing w:before="0"/>
              <w:rPr>
                <w:b/>
                <w:sz w:val="20"/>
              </w:rPr>
            </w:pPr>
            <w:r>
              <w:rPr>
                <w:sz w:val="20"/>
              </w:rPr>
              <w:t xml:space="preserve">(2) </w:t>
            </w:r>
            <w:r w:rsidR="00687DA8">
              <w:rPr>
                <w:rFonts w:hint="eastAsia"/>
                <w:sz w:val="20"/>
                <w:lang w:eastAsia="ja-JP"/>
              </w:rPr>
              <w:t>イネ―ブリング部門</w:t>
            </w:r>
          </w:p>
        </w:tc>
        <w:tc>
          <w:tcPr>
            <w:tcW w:w="5761" w:type="dxa"/>
          </w:tcPr>
          <w:p w14:paraId="095A5518" w14:textId="77777777" w:rsidR="002B3AD5" w:rsidRDefault="00D66CD0">
            <w:pPr>
              <w:pStyle w:val="TableParagraph"/>
              <w:spacing w:before="119" w:line="276" w:lineRule="auto"/>
              <w:ind w:left="105"/>
              <w:rPr>
                <w:sz w:val="20"/>
                <w:lang w:eastAsia="ja-JP"/>
              </w:rPr>
            </w:pPr>
            <w:r>
              <w:rPr>
                <w:sz w:val="20"/>
                <w:lang w:eastAsia="ja-JP"/>
              </w:rPr>
              <w:t>経済活動が他の部門で実質的なGHG排出削減を可能にする可能性がある場合には、これらも含めるべきである(活動のライフサイクル排出が緩和目標を損なわないと仮定する)。</w:t>
            </w:r>
          </w:p>
        </w:tc>
      </w:tr>
    </w:tbl>
    <w:p w14:paraId="095A551A" w14:textId="77777777" w:rsidR="002B3AD5" w:rsidRDefault="002B3AD5">
      <w:pPr>
        <w:pStyle w:val="a3"/>
        <w:rPr>
          <w:lang w:eastAsia="ja-JP"/>
        </w:rPr>
      </w:pPr>
    </w:p>
    <w:p w14:paraId="095A551B" w14:textId="77777777" w:rsidR="002B3AD5" w:rsidRDefault="002B3AD5">
      <w:pPr>
        <w:pStyle w:val="a3"/>
        <w:rPr>
          <w:lang w:eastAsia="ja-JP"/>
        </w:rPr>
      </w:pPr>
    </w:p>
    <w:p w14:paraId="095A551C" w14:textId="77777777" w:rsidR="002B3AD5" w:rsidRDefault="00D66CD0">
      <w:pPr>
        <w:pStyle w:val="a3"/>
        <w:spacing w:before="163" w:line="276" w:lineRule="auto"/>
        <w:ind w:left="1080" w:right="1152"/>
        <w:rPr>
          <w:lang w:eastAsia="ja-JP"/>
        </w:rPr>
      </w:pPr>
      <w:r>
        <w:rPr>
          <w:lang w:eastAsia="ja-JP"/>
        </w:rPr>
        <w:t>TEGでは、各セクターにおける重点活動を特定している。 各マクロセクターの名称は、NACE分類システムから直接引用されており、対象とされていない活動(例えば、TEGは農林業のための技術的スクリーニング基準を策定したが、漁業のための技術的スクリーニング基準は策定していない)に言及してもよい。</w:t>
      </w:r>
    </w:p>
    <w:p w14:paraId="095A551D" w14:textId="77777777" w:rsidR="002B3AD5" w:rsidRDefault="002B3AD5">
      <w:pPr>
        <w:pStyle w:val="a3"/>
        <w:rPr>
          <w:sz w:val="21"/>
          <w:lang w:eastAsia="ja-JP"/>
        </w:rPr>
      </w:pPr>
    </w:p>
    <w:p w14:paraId="095A551E" w14:textId="77777777" w:rsidR="002B3AD5" w:rsidRDefault="00D66CD0">
      <w:pPr>
        <w:pStyle w:val="a3"/>
        <w:ind w:left="1080"/>
      </w:pPr>
      <w:r>
        <w:t>キー:</w:t>
      </w:r>
    </w:p>
    <w:p w14:paraId="095A551F" w14:textId="77777777" w:rsidR="002B3AD5" w:rsidRDefault="002B3AD5">
      <w:pPr>
        <w:pStyle w:val="a3"/>
        <w:spacing w:before="10"/>
        <w:rPr>
          <w:sz w:val="23"/>
        </w:r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236"/>
      </w:tblGrid>
      <w:tr w:rsidR="002B3AD5" w14:paraId="095A5522" w14:textId="77777777">
        <w:trPr>
          <w:trHeight w:val="350"/>
        </w:trPr>
        <w:tc>
          <w:tcPr>
            <w:tcW w:w="3116" w:type="dxa"/>
            <w:shd w:val="clear" w:color="auto" w:fill="00AFEF"/>
          </w:tcPr>
          <w:p w14:paraId="095A5520" w14:textId="77777777" w:rsidR="002B3AD5" w:rsidRDefault="00D66CD0">
            <w:pPr>
              <w:pStyle w:val="TableParagraph"/>
              <w:rPr>
                <w:b/>
                <w:sz w:val="20"/>
              </w:rPr>
            </w:pPr>
            <w:proofErr w:type="spellStart"/>
            <w:r>
              <w:rPr>
                <w:b/>
                <w:color w:val="FFFFFF"/>
                <w:sz w:val="20"/>
              </w:rPr>
              <w:t>カラーコード</w:t>
            </w:r>
            <w:proofErr w:type="spellEnd"/>
          </w:p>
        </w:tc>
        <w:tc>
          <w:tcPr>
            <w:tcW w:w="6236" w:type="dxa"/>
            <w:shd w:val="clear" w:color="auto" w:fill="00AFEF"/>
          </w:tcPr>
          <w:p w14:paraId="095A5521" w14:textId="77777777" w:rsidR="002B3AD5" w:rsidRDefault="00D66CD0">
            <w:pPr>
              <w:pStyle w:val="TableParagraph"/>
              <w:rPr>
                <w:b/>
                <w:sz w:val="20"/>
              </w:rPr>
            </w:pPr>
            <w:proofErr w:type="spellStart"/>
            <w:r>
              <w:rPr>
                <w:b/>
                <w:color w:val="FFFFFF"/>
                <w:sz w:val="20"/>
              </w:rPr>
              <w:t>内容</w:t>
            </w:r>
            <w:proofErr w:type="spellEnd"/>
          </w:p>
        </w:tc>
      </w:tr>
      <w:tr w:rsidR="002B3AD5" w14:paraId="095A5525" w14:textId="77777777">
        <w:trPr>
          <w:trHeight w:val="808"/>
        </w:trPr>
        <w:tc>
          <w:tcPr>
            <w:tcW w:w="3116" w:type="dxa"/>
            <w:shd w:val="clear" w:color="auto" w:fill="FFD966"/>
          </w:tcPr>
          <w:p w14:paraId="095A5523" w14:textId="77777777" w:rsidR="002B3AD5" w:rsidRDefault="00D66CD0">
            <w:pPr>
              <w:pStyle w:val="TableParagraph"/>
              <w:spacing w:before="38"/>
              <w:ind w:right="321"/>
              <w:rPr>
                <w:sz w:val="20"/>
                <w:lang w:eastAsia="ja-JP"/>
              </w:rPr>
            </w:pPr>
            <w:r>
              <w:rPr>
                <w:sz w:val="20"/>
                <w:lang w:eastAsia="ja-JP"/>
              </w:rPr>
              <w:t>排出量に基づき選定し、十分に考慮</w:t>
            </w:r>
          </w:p>
        </w:tc>
        <w:tc>
          <w:tcPr>
            <w:tcW w:w="6236" w:type="dxa"/>
          </w:tcPr>
          <w:p w14:paraId="095A5524" w14:textId="04D34DFB" w:rsidR="002B3AD5" w:rsidRDefault="00D66CD0">
            <w:pPr>
              <w:pStyle w:val="TableParagraph"/>
              <w:spacing w:before="38"/>
              <w:rPr>
                <w:sz w:val="20"/>
                <w:lang w:eastAsia="ja-JP"/>
              </w:rPr>
            </w:pPr>
            <w:r>
              <w:rPr>
                <w:sz w:val="20"/>
                <w:lang w:eastAsia="ja-JP"/>
              </w:rPr>
              <w:t>この部門は、その排出プロファイルのために選択された。 TEGは、この部門</w:t>
            </w:r>
            <w:r w:rsidR="00687DA8">
              <w:rPr>
                <w:rFonts w:hint="eastAsia"/>
                <w:sz w:val="20"/>
                <w:lang w:eastAsia="ja-JP"/>
              </w:rPr>
              <w:t>において</w:t>
            </w:r>
            <w:r>
              <w:rPr>
                <w:sz w:val="20"/>
                <w:lang w:eastAsia="ja-JP"/>
              </w:rPr>
              <w:t>気候変動緩和に大きく寄与する可能性のある主な経済活動を特定した。</w:t>
            </w:r>
          </w:p>
        </w:tc>
      </w:tr>
      <w:tr w:rsidR="002B3AD5" w14:paraId="095A5528" w14:textId="77777777">
        <w:trPr>
          <w:trHeight w:val="1041"/>
        </w:trPr>
        <w:tc>
          <w:tcPr>
            <w:tcW w:w="3116" w:type="dxa"/>
            <w:shd w:val="clear" w:color="auto" w:fill="FFF1C8"/>
          </w:tcPr>
          <w:p w14:paraId="095A5526" w14:textId="77777777" w:rsidR="002B3AD5" w:rsidRDefault="00D66CD0">
            <w:pPr>
              <w:pStyle w:val="TableParagraph"/>
              <w:ind w:right="321"/>
              <w:rPr>
                <w:sz w:val="20"/>
                <w:lang w:eastAsia="ja-JP"/>
              </w:rPr>
            </w:pPr>
            <w:r>
              <w:rPr>
                <w:sz w:val="20"/>
                <w:lang w:eastAsia="ja-JP"/>
              </w:rPr>
              <w:t>排出量に基づいて選択され、部分的に考慮される。</w:t>
            </w:r>
          </w:p>
        </w:tc>
        <w:tc>
          <w:tcPr>
            <w:tcW w:w="6236" w:type="dxa"/>
          </w:tcPr>
          <w:p w14:paraId="095A5527" w14:textId="77777777" w:rsidR="002B3AD5" w:rsidRDefault="00D66CD0">
            <w:pPr>
              <w:pStyle w:val="TableParagraph"/>
              <w:ind w:right="58"/>
              <w:rPr>
                <w:sz w:val="20"/>
                <w:lang w:eastAsia="ja-JP"/>
              </w:rPr>
            </w:pPr>
            <w:r>
              <w:rPr>
                <w:sz w:val="20"/>
                <w:lang w:eastAsia="ja-JP"/>
              </w:rPr>
              <w:t>この部門は、その排出プロファイルのために選択された。 TEGは、この部門の気候変動緩和に実質的に寄与すると思われるいくつかの重要な経済活動を特定したが、更なる分析が行われるべきである。</w:t>
            </w:r>
          </w:p>
        </w:tc>
      </w:tr>
      <w:tr w:rsidR="002B3AD5" w14:paraId="095A552B" w14:textId="77777777">
        <w:trPr>
          <w:trHeight w:val="1038"/>
        </w:trPr>
        <w:tc>
          <w:tcPr>
            <w:tcW w:w="3116" w:type="dxa"/>
            <w:shd w:val="clear" w:color="auto" w:fill="F4AF83"/>
          </w:tcPr>
          <w:p w14:paraId="095A5529" w14:textId="39633847" w:rsidR="002B3AD5" w:rsidRDefault="00687DA8">
            <w:pPr>
              <w:pStyle w:val="TableParagraph"/>
              <w:spacing w:before="38" w:line="242" w:lineRule="auto"/>
              <w:ind w:right="454"/>
              <w:rPr>
                <w:sz w:val="20"/>
                <w:lang w:eastAsia="ja-JP"/>
              </w:rPr>
            </w:pPr>
            <w:r>
              <w:rPr>
                <w:rFonts w:hint="eastAsia"/>
                <w:sz w:val="20"/>
                <w:lang w:eastAsia="ja-JP"/>
              </w:rPr>
              <w:t>イネ―ブリング性</w:t>
            </w:r>
            <w:r w:rsidR="00D66CD0">
              <w:rPr>
                <w:sz w:val="20"/>
                <w:lang w:eastAsia="ja-JP"/>
              </w:rPr>
              <w:t>に基づいて選択され、十分に考慮されている</w:t>
            </w:r>
          </w:p>
        </w:tc>
        <w:tc>
          <w:tcPr>
            <w:tcW w:w="6236" w:type="dxa"/>
          </w:tcPr>
          <w:p w14:paraId="095A552A" w14:textId="77777777" w:rsidR="002B3AD5" w:rsidRDefault="00D66CD0">
            <w:pPr>
              <w:pStyle w:val="TableParagraph"/>
              <w:spacing w:before="38"/>
              <w:ind w:right="440"/>
              <w:rPr>
                <w:sz w:val="20"/>
                <w:lang w:eastAsia="ja-JP"/>
              </w:rPr>
            </w:pPr>
            <w:r>
              <w:rPr>
                <w:sz w:val="20"/>
                <w:lang w:eastAsia="ja-JP"/>
              </w:rPr>
              <w:t>この部門は、他の部門で実質的な排出削減を可能にする可能性があるため、選択された。 TEGは、この部門の気候変動緩和に大きく寄与する可能性のある主な経済活動を特定した。</w:t>
            </w:r>
          </w:p>
        </w:tc>
      </w:tr>
      <w:tr w:rsidR="002B3AD5" w14:paraId="095A552E" w14:textId="77777777">
        <w:trPr>
          <w:trHeight w:val="1272"/>
        </w:trPr>
        <w:tc>
          <w:tcPr>
            <w:tcW w:w="3116" w:type="dxa"/>
            <w:shd w:val="clear" w:color="auto" w:fill="FAE2D3"/>
          </w:tcPr>
          <w:p w14:paraId="095A552C" w14:textId="2E72C812" w:rsidR="002B3AD5" w:rsidRDefault="00687DA8">
            <w:pPr>
              <w:pStyle w:val="TableParagraph"/>
              <w:rPr>
                <w:sz w:val="20"/>
                <w:lang w:eastAsia="ja-JP"/>
              </w:rPr>
            </w:pPr>
            <w:r>
              <w:rPr>
                <w:rFonts w:hint="eastAsia"/>
                <w:sz w:val="20"/>
                <w:lang w:eastAsia="ja-JP"/>
              </w:rPr>
              <w:t>イネ―ブリング性</w:t>
            </w:r>
            <w:r w:rsidR="00D66CD0">
              <w:rPr>
                <w:sz w:val="20"/>
                <w:lang w:eastAsia="ja-JP"/>
              </w:rPr>
              <w:t>に基づいて選択され、部分的に考慮される</w:t>
            </w:r>
          </w:p>
        </w:tc>
        <w:tc>
          <w:tcPr>
            <w:tcW w:w="6236" w:type="dxa"/>
          </w:tcPr>
          <w:p w14:paraId="095A552D" w14:textId="77777777" w:rsidR="002B3AD5" w:rsidRDefault="00D66CD0">
            <w:pPr>
              <w:pStyle w:val="TableParagraph"/>
              <w:ind w:right="251"/>
              <w:rPr>
                <w:sz w:val="20"/>
                <w:lang w:eastAsia="ja-JP"/>
              </w:rPr>
            </w:pPr>
            <w:r>
              <w:rPr>
                <w:sz w:val="20"/>
                <w:lang w:eastAsia="ja-JP"/>
              </w:rPr>
              <w:t>この部門は、他の部門で実質的な排出削減を可能にする可能性があるため、選択された。 TEGは、この部門の気候変動緩和に実質的に寄与すると思われるいくつかの重要な経済活動を特定したが、更なる分析が行われるべきである。</w:t>
            </w:r>
          </w:p>
        </w:tc>
      </w:tr>
      <w:tr w:rsidR="002B3AD5" w14:paraId="095A5531" w14:textId="77777777">
        <w:trPr>
          <w:trHeight w:val="580"/>
        </w:trPr>
        <w:tc>
          <w:tcPr>
            <w:tcW w:w="3116" w:type="dxa"/>
          </w:tcPr>
          <w:p w14:paraId="095A552F" w14:textId="77777777" w:rsidR="002B3AD5" w:rsidRDefault="00D66CD0">
            <w:pPr>
              <w:pStyle w:val="TableParagraph"/>
              <w:rPr>
                <w:sz w:val="20"/>
              </w:rPr>
            </w:pPr>
            <w:proofErr w:type="spellStart"/>
            <w:r>
              <w:rPr>
                <w:sz w:val="20"/>
              </w:rPr>
              <w:t>考慮せず</w:t>
            </w:r>
            <w:proofErr w:type="spellEnd"/>
          </w:p>
        </w:tc>
        <w:tc>
          <w:tcPr>
            <w:tcW w:w="6236" w:type="dxa"/>
          </w:tcPr>
          <w:p w14:paraId="095A5530" w14:textId="77777777" w:rsidR="002B3AD5" w:rsidRDefault="00D66CD0">
            <w:pPr>
              <w:pStyle w:val="TableParagraph"/>
              <w:spacing w:before="38"/>
              <w:rPr>
                <w:sz w:val="20"/>
                <w:lang w:eastAsia="ja-JP"/>
              </w:rPr>
            </w:pPr>
            <w:r>
              <w:rPr>
                <w:sz w:val="20"/>
                <w:lang w:eastAsia="ja-JP"/>
              </w:rPr>
              <w:t>TEGは、排出量または可能性に基づいてこの部門を選択していない。</w:t>
            </w:r>
          </w:p>
        </w:tc>
      </w:tr>
    </w:tbl>
    <w:p w14:paraId="095A5532" w14:textId="77777777" w:rsidR="002B3AD5" w:rsidRDefault="002B3AD5">
      <w:pPr>
        <w:rPr>
          <w:sz w:val="20"/>
          <w:lang w:eastAsia="ja-JP"/>
        </w:rPr>
        <w:sectPr w:rsidR="002B3AD5">
          <w:pgSz w:w="12240" w:h="15840"/>
          <w:pgMar w:top="1360" w:right="320" w:bottom="1200" w:left="360" w:header="0" w:footer="1020" w:gutter="0"/>
          <w:cols w:space="720"/>
        </w:sectPr>
      </w:pPr>
    </w:p>
    <w:p w14:paraId="095A5533" w14:textId="77777777" w:rsidR="002B3AD5" w:rsidRDefault="00D66CD0">
      <w:pPr>
        <w:spacing w:before="81"/>
        <w:ind w:left="4145"/>
        <w:rPr>
          <w:sz w:val="18"/>
          <w:lang w:eastAsia="ja-JP"/>
        </w:rPr>
      </w:pPr>
      <w:r>
        <w:rPr>
          <w:color w:val="44536A"/>
          <w:sz w:val="18"/>
          <w:lang w:eastAsia="ja-JP"/>
        </w:rPr>
        <w:lastRenderedPageBreak/>
        <w:t>本報告書で考察する表2セクター</w:t>
      </w:r>
    </w:p>
    <w:p w14:paraId="095A5534" w14:textId="77777777" w:rsidR="002B3AD5" w:rsidRDefault="002B3AD5">
      <w:pPr>
        <w:pStyle w:val="a3"/>
        <w:spacing w:before="4" w:after="1"/>
        <w:rPr>
          <w:sz w:val="17"/>
          <w:lang w:eastAsia="ja-JP"/>
        </w:r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1"/>
      </w:tblGrid>
      <w:tr w:rsidR="002B3AD5" w14:paraId="095A5537" w14:textId="77777777">
        <w:trPr>
          <w:trHeight w:val="350"/>
        </w:trPr>
        <w:tc>
          <w:tcPr>
            <w:tcW w:w="4671" w:type="dxa"/>
            <w:shd w:val="clear" w:color="auto" w:fill="00AFEF"/>
          </w:tcPr>
          <w:p w14:paraId="095A5535" w14:textId="77777777" w:rsidR="002B3AD5" w:rsidRDefault="00D66CD0">
            <w:pPr>
              <w:pStyle w:val="TableParagraph"/>
              <w:rPr>
                <w:b/>
                <w:sz w:val="20"/>
                <w:lang w:eastAsia="ja-JP"/>
              </w:rPr>
            </w:pPr>
            <w:r>
              <w:rPr>
                <w:b/>
                <w:color w:val="FFFFFF"/>
                <w:sz w:val="20"/>
                <w:lang w:eastAsia="ja-JP"/>
              </w:rPr>
              <w:t>NACEマクロセクタコード</w:t>
            </w:r>
          </w:p>
        </w:tc>
        <w:tc>
          <w:tcPr>
            <w:tcW w:w="4671" w:type="dxa"/>
            <w:shd w:val="clear" w:color="auto" w:fill="00AFEF"/>
          </w:tcPr>
          <w:p w14:paraId="095A5536" w14:textId="77777777" w:rsidR="002B3AD5" w:rsidRDefault="00D66CD0">
            <w:pPr>
              <w:pStyle w:val="TableParagraph"/>
              <w:spacing w:before="39"/>
              <w:ind w:left="0" w:right="99"/>
              <w:jc w:val="right"/>
              <w:rPr>
                <w:b/>
                <w:sz w:val="20"/>
                <w:lang w:eastAsia="ja-JP"/>
              </w:rPr>
            </w:pPr>
            <w:r>
              <w:rPr>
                <w:b/>
                <w:color w:val="FFFFFF"/>
                <w:position w:val="2"/>
                <w:sz w:val="20"/>
                <w:u w:val="thick" w:color="FFFFFF"/>
                <w:lang w:eastAsia="ja-JP"/>
              </w:rPr>
              <w:t>(スコープ1)トンCO2e(2018年)</w:t>
            </w:r>
          </w:p>
        </w:tc>
      </w:tr>
      <w:tr w:rsidR="002B3AD5" w14:paraId="095A553A" w14:textId="77777777">
        <w:trPr>
          <w:trHeight w:val="577"/>
        </w:trPr>
        <w:tc>
          <w:tcPr>
            <w:tcW w:w="4671" w:type="dxa"/>
            <w:shd w:val="clear" w:color="auto" w:fill="FFD966"/>
          </w:tcPr>
          <w:p w14:paraId="095A5538" w14:textId="77777777" w:rsidR="002B3AD5" w:rsidRDefault="00D66CD0">
            <w:pPr>
              <w:pStyle w:val="TableParagraph"/>
              <w:spacing w:before="38"/>
              <w:rPr>
                <w:sz w:val="20"/>
                <w:lang w:eastAsia="ja-JP"/>
              </w:rPr>
            </w:pPr>
            <w:r>
              <w:rPr>
                <w:sz w:val="20"/>
                <w:lang w:eastAsia="ja-JP"/>
              </w:rPr>
              <w:t>D - 電気、ガス、蒸気、空調の供給</w:t>
            </w:r>
          </w:p>
        </w:tc>
        <w:tc>
          <w:tcPr>
            <w:tcW w:w="4671" w:type="dxa"/>
            <w:shd w:val="clear" w:color="auto" w:fill="FFD966"/>
          </w:tcPr>
          <w:p w14:paraId="095A5539" w14:textId="77777777" w:rsidR="002B3AD5" w:rsidRDefault="00D66CD0">
            <w:pPr>
              <w:pStyle w:val="TableParagraph"/>
              <w:ind w:left="0" w:right="98"/>
              <w:jc w:val="right"/>
              <w:rPr>
                <w:sz w:val="20"/>
              </w:rPr>
            </w:pPr>
            <w:r>
              <w:rPr>
                <w:w w:val="95"/>
                <w:sz w:val="20"/>
              </w:rPr>
              <w:t>1,021,327,916.14</w:t>
            </w:r>
          </w:p>
        </w:tc>
      </w:tr>
      <w:tr w:rsidR="002B3AD5" w14:paraId="095A553D" w14:textId="77777777">
        <w:trPr>
          <w:trHeight w:val="350"/>
        </w:trPr>
        <w:tc>
          <w:tcPr>
            <w:tcW w:w="4671" w:type="dxa"/>
            <w:shd w:val="clear" w:color="auto" w:fill="FFE9A6"/>
          </w:tcPr>
          <w:p w14:paraId="095A553B" w14:textId="77777777" w:rsidR="002B3AD5" w:rsidRDefault="00D66CD0">
            <w:pPr>
              <w:pStyle w:val="TableParagraph"/>
              <w:spacing w:before="42"/>
              <w:rPr>
                <w:sz w:val="20"/>
              </w:rPr>
            </w:pPr>
            <w:r>
              <w:rPr>
                <w:sz w:val="20"/>
              </w:rPr>
              <w:t>C-</w:t>
            </w:r>
            <w:proofErr w:type="spellStart"/>
            <w:r>
              <w:rPr>
                <w:sz w:val="20"/>
              </w:rPr>
              <w:t>製造</w:t>
            </w:r>
            <w:proofErr w:type="spellEnd"/>
          </w:p>
        </w:tc>
        <w:tc>
          <w:tcPr>
            <w:tcW w:w="4671" w:type="dxa"/>
            <w:shd w:val="clear" w:color="auto" w:fill="FFE9A6"/>
          </w:tcPr>
          <w:p w14:paraId="095A553C" w14:textId="77777777" w:rsidR="002B3AD5" w:rsidRDefault="00D66CD0">
            <w:pPr>
              <w:pStyle w:val="TableParagraph"/>
              <w:spacing w:before="42"/>
              <w:ind w:left="0" w:right="98"/>
              <w:jc w:val="right"/>
              <w:rPr>
                <w:sz w:val="20"/>
              </w:rPr>
            </w:pPr>
            <w:r>
              <w:rPr>
                <w:sz w:val="20"/>
              </w:rPr>
              <w:t>836,131,368.27</w:t>
            </w:r>
          </w:p>
        </w:tc>
      </w:tr>
      <w:tr w:rsidR="002B3AD5" w14:paraId="095A5540" w14:textId="77777777">
        <w:trPr>
          <w:trHeight w:val="350"/>
        </w:trPr>
        <w:tc>
          <w:tcPr>
            <w:tcW w:w="4671" w:type="dxa"/>
            <w:shd w:val="clear" w:color="auto" w:fill="FFE9A6"/>
          </w:tcPr>
          <w:p w14:paraId="095A553E" w14:textId="77777777" w:rsidR="002B3AD5" w:rsidRDefault="00D66CD0">
            <w:pPr>
              <w:pStyle w:val="TableParagraph"/>
              <w:spacing w:before="42"/>
              <w:rPr>
                <w:sz w:val="20"/>
              </w:rPr>
            </w:pPr>
            <w:r>
              <w:rPr>
                <w:sz w:val="20"/>
              </w:rPr>
              <w:t xml:space="preserve">H - </w:t>
            </w:r>
            <w:proofErr w:type="spellStart"/>
            <w:r>
              <w:rPr>
                <w:sz w:val="20"/>
              </w:rPr>
              <w:t>輸送・保管</w:t>
            </w:r>
            <w:proofErr w:type="spellEnd"/>
          </w:p>
        </w:tc>
        <w:tc>
          <w:tcPr>
            <w:tcW w:w="4671" w:type="dxa"/>
            <w:shd w:val="clear" w:color="auto" w:fill="FFE9A6"/>
          </w:tcPr>
          <w:p w14:paraId="095A553F" w14:textId="77777777" w:rsidR="002B3AD5" w:rsidRDefault="00D66CD0">
            <w:pPr>
              <w:pStyle w:val="TableParagraph"/>
              <w:spacing w:before="42"/>
              <w:ind w:left="0" w:right="98"/>
              <w:jc w:val="right"/>
              <w:rPr>
                <w:sz w:val="20"/>
              </w:rPr>
            </w:pPr>
            <w:r>
              <w:rPr>
                <w:sz w:val="20"/>
              </w:rPr>
              <w:t>543,990,599.69</w:t>
            </w:r>
          </w:p>
        </w:tc>
      </w:tr>
      <w:tr w:rsidR="002B3AD5" w14:paraId="095A5543" w14:textId="77777777">
        <w:trPr>
          <w:trHeight w:val="350"/>
        </w:trPr>
        <w:tc>
          <w:tcPr>
            <w:tcW w:w="4671" w:type="dxa"/>
            <w:shd w:val="clear" w:color="auto" w:fill="FFD966"/>
          </w:tcPr>
          <w:p w14:paraId="095A5541" w14:textId="77777777" w:rsidR="002B3AD5" w:rsidRDefault="00D66CD0">
            <w:pPr>
              <w:pStyle w:val="TableParagraph"/>
              <w:spacing w:before="42"/>
              <w:rPr>
                <w:sz w:val="20"/>
              </w:rPr>
            </w:pPr>
            <w:r>
              <w:rPr>
                <w:sz w:val="20"/>
              </w:rPr>
              <w:t>A-</w:t>
            </w:r>
            <w:proofErr w:type="spellStart"/>
            <w:r>
              <w:rPr>
                <w:sz w:val="20"/>
              </w:rPr>
              <w:t>農林漁業</w:t>
            </w:r>
            <w:proofErr w:type="spellEnd"/>
          </w:p>
        </w:tc>
        <w:tc>
          <w:tcPr>
            <w:tcW w:w="4671" w:type="dxa"/>
            <w:shd w:val="clear" w:color="auto" w:fill="FFD966"/>
          </w:tcPr>
          <w:p w14:paraId="095A5542" w14:textId="77777777" w:rsidR="002B3AD5" w:rsidRDefault="00D66CD0">
            <w:pPr>
              <w:pStyle w:val="TableParagraph"/>
              <w:spacing w:before="42"/>
              <w:ind w:left="0" w:right="98"/>
              <w:jc w:val="right"/>
              <w:rPr>
                <w:sz w:val="20"/>
              </w:rPr>
            </w:pPr>
            <w:r>
              <w:rPr>
                <w:sz w:val="20"/>
              </w:rPr>
              <w:t>526,387,217.14</w:t>
            </w:r>
          </w:p>
        </w:tc>
      </w:tr>
      <w:tr w:rsidR="002B3AD5" w14:paraId="095A5546" w14:textId="77777777">
        <w:trPr>
          <w:trHeight w:val="580"/>
        </w:trPr>
        <w:tc>
          <w:tcPr>
            <w:tcW w:w="4671" w:type="dxa"/>
            <w:shd w:val="clear" w:color="auto" w:fill="FFD966"/>
          </w:tcPr>
          <w:p w14:paraId="095A5544" w14:textId="77777777" w:rsidR="002B3AD5" w:rsidRDefault="00D66CD0">
            <w:pPr>
              <w:pStyle w:val="TableParagraph"/>
              <w:rPr>
                <w:sz w:val="20"/>
              </w:rPr>
            </w:pPr>
            <w:proofErr w:type="spellStart"/>
            <w:r>
              <w:rPr>
                <w:sz w:val="20"/>
              </w:rPr>
              <w:t>E-上水道、下水道、廃棄物管理、浄化活動</w:t>
            </w:r>
            <w:proofErr w:type="spellEnd"/>
          </w:p>
        </w:tc>
        <w:tc>
          <w:tcPr>
            <w:tcW w:w="4671" w:type="dxa"/>
            <w:shd w:val="clear" w:color="auto" w:fill="FFD966"/>
          </w:tcPr>
          <w:p w14:paraId="095A5545" w14:textId="77777777" w:rsidR="002B3AD5" w:rsidRDefault="00D66CD0">
            <w:pPr>
              <w:pStyle w:val="TableParagraph"/>
              <w:spacing w:before="42"/>
              <w:ind w:left="0" w:right="98"/>
              <w:jc w:val="right"/>
              <w:rPr>
                <w:sz w:val="20"/>
              </w:rPr>
            </w:pPr>
            <w:r>
              <w:rPr>
                <w:sz w:val="20"/>
              </w:rPr>
              <w:t>161,962,114.37</w:t>
            </w:r>
          </w:p>
        </w:tc>
      </w:tr>
      <w:tr w:rsidR="002B3AD5" w14:paraId="095A5549" w14:textId="77777777">
        <w:trPr>
          <w:trHeight w:val="350"/>
        </w:trPr>
        <w:tc>
          <w:tcPr>
            <w:tcW w:w="4671" w:type="dxa"/>
            <w:shd w:val="clear" w:color="auto" w:fill="FFE9A6"/>
          </w:tcPr>
          <w:p w14:paraId="095A5547" w14:textId="77777777" w:rsidR="002B3AD5" w:rsidRDefault="00D66CD0">
            <w:pPr>
              <w:pStyle w:val="TableParagraph"/>
              <w:rPr>
                <w:sz w:val="20"/>
              </w:rPr>
            </w:pPr>
            <w:proofErr w:type="spellStart"/>
            <w:r>
              <w:rPr>
                <w:sz w:val="20"/>
              </w:rPr>
              <w:t>B-鉱業・採石業</w:t>
            </w:r>
            <w:proofErr w:type="spellEnd"/>
          </w:p>
        </w:tc>
        <w:tc>
          <w:tcPr>
            <w:tcW w:w="4671" w:type="dxa"/>
            <w:shd w:val="clear" w:color="auto" w:fill="FFE9A6"/>
          </w:tcPr>
          <w:p w14:paraId="095A5548" w14:textId="77777777" w:rsidR="002B3AD5" w:rsidRDefault="00D66CD0">
            <w:pPr>
              <w:pStyle w:val="TableParagraph"/>
              <w:ind w:left="0" w:right="97"/>
              <w:jc w:val="right"/>
              <w:rPr>
                <w:sz w:val="20"/>
              </w:rPr>
            </w:pPr>
            <w:r>
              <w:rPr>
                <w:w w:val="95"/>
                <w:sz w:val="20"/>
              </w:rPr>
              <w:t>81,201,552.02</w:t>
            </w:r>
          </w:p>
        </w:tc>
      </w:tr>
      <w:tr w:rsidR="002B3AD5" w14:paraId="095A554C" w14:textId="77777777">
        <w:trPr>
          <w:trHeight w:val="580"/>
        </w:trPr>
        <w:tc>
          <w:tcPr>
            <w:tcW w:w="4671" w:type="dxa"/>
          </w:tcPr>
          <w:p w14:paraId="095A554A" w14:textId="77777777" w:rsidR="002B3AD5" w:rsidRDefault="00D66CD0">
            <w:pPr>
              <w:pStyle w:val="TableParagraph"/>
              <w:spacing w:before="38" w:line="242" w:lineRule="auto"/>
              <w:rPr>
                <w:sz w:val="20"/>
                <w:lang w:eastAsia="ja-JP"/>
              </w:rPr>
            </w:pPr>
            <w:r>
              <w:rPr>
                <w:sz w:val="20"/>
                <w:lang w:eastAsia="ja-JP"/>
              </w:rPr>
              <w:t>G-卸売・小売業、自動車・二輪車修理業</w:t>
            </w:r>
          </w:p>
        </w:tc>
        <w:tc>
          <w:tcPr>
            <w:tcW w:w="4671" w:type="dxa"/>
          </w:tcPr>
          <w:p w14:paraId="095A554B" w14:textId="77777777" w:rsidR="002B3AD5" w:rsidRDefault="00D66CD0">
            <w:pPr>
              <w:pStyle w:val="TableParagraph"/>
              <w:spacing w:before="41"/>
              <w:ind w:left="0" w:right="98"/>
              <w:jc w:val="right"/>
              <w:rPr>
                <w:sz w:val="20"/>
              </w:rPr>
            </w:pPr>
            <w:r>
              <w:rPr>
                <w:w w:val="95"/>
                <w:sz w:val="20"/>
              </w:rPr>
              <w:t>79,399,182.95</w:t>
            </w:r>
          </w:p>
        </w:tc>
      </w:tr>
      <w:tr w:rsidR="002B3AD5" w14:paraId="095A554F" w14:textId="77777777">
        <w:trPr>
          <w:trHeight w:val="350"/>
        </w:trPr>
        <w:tc>
          <w:tcPr>
            <w:tcW w:w="4671" w:type="dxa"/>
            <w:shd w:val="clear" w:color="auto" w:fill="FFE9A6"/>
          </w:tcPr>
          <w:p w14:paraId="095A554D" w14:textId="047230EF" w:rsidR="002B3AD5" w:rsidRDefault="00D66CD0">
            <w:pPr>
              <w:pStyle w:val="TableParagraph"/>
              <w:rPr>
                <w:sz w:val="10"/>
              </w:rPr>
            </w:pPr>
            <w:r>
              <w:rPr>
                <w:sz w:val="20"/>
              </w:rPr>
              <w:t xml:space="preserve">F </w:t>
            </w:r>
            <w:r w:rsidR="00687DA8">
              <w:rPr>
                <w:sz w:val="20"/>
              </w:rPr>
              <w:t>–</w:t>
            </w:r>
            <w:r>
              <w:rPr>
                <w:sz w:val="20"/>
              </w:rPr>
              <w:t xml:space="preserve"> </w:t>
            </w:r>
            <w:r w:rsidR="00687DA8">
              <w:rPr>
                <w:rFonts w:hint="eastAsia"/>
                <w:sz w:val="20"/>
                <w:lang w:eastAsia="ja-JP"/>
              </w:rPr>
              <w:t>建築</w:t>
            </w:r>
            <w:r>
              <w:rPr>
                <w:sz w:val="20"/>
              </w:rPr>
              <w:t>施工4</w:t>
            </w:r>
          </w:p>
        </w:tc>
        <w:tc>
          <w:tcPr>
            <w:tcW w:w="4671" w:type="dxa"/>
            <w:shd w:val="clear" w:color="auto" w:fill="FFE9A6"/>
          </w:tcPr>
          <w:p w14:paraId="095A554E" w14:textId="77777777" w:rsidR="002B3AD5" w:rsidRDefault="00D66CD0">
            <w:pPr>
              <w:pStyle w:val="TableParagraph"/>
              <w:ind w:left="0" w:right="98"/>
              <w:jc w:val="right"/>
              <w:rPr>
                <w:sz w:val="20"/>
              </w:rPr>
            </w:pPr>
            <w:r>
              <w:rPr>
                <w:w w:val="95"/>
                <w:sz w:val="20"/>
              </w:rPr>
              <w:t>64,791,686.40</w:t>
            </w:r>
          </w:p>
        </w:tc>
      </w:tr>
      <w:tr w:rsidR="002B3AD5" w14:paraId="095A5552" w14:textId="77777777">
        <w:trPr>
          <w:trHeight w:val="350"/>
        </w:trPr>
        <w:tc>
          <w:tcPr>
            <w:tcW w:w="4671" w:type="dxa"/>
          </w:tcPr>
          <w:p w14:paraId="095A5550" w14:textId="77777777" w:rsidR="002B3AD5" w:rsidRDefault="00D66CD0">
            <w:pPr>
              <w:pStyle w:val="TableParagraph"/>
              <w:rPr>
                <w:sz w:val="20"/>
                <w:lang w:eastAsia="ja-JP"/>
              </w:rPr>
            </w:pPr>
            <w:r>
              <w:rPr>
                <w:sz w:val="20"/>
                <w:lang w:eastAsia="ja-JP"/>
              </w:rPr>
              <w:t>Q - 人の健康と社会貢献活動</w:t>
            </w:r>
          </w:p>
        </w:tc>
        <w:tc>
          <w:tcPr>
            <w:tcW w:w="4671" w:type="dxa"/>
          </w:tcPr>
          <w:p w14:paraId="095A5551" w14:textId="77777777" w:rsidR="002B3AD5" w:rsidRDefault="00D66CD0">
            <w:pPr>
              <w:pStyle w:val="TableParagraph"/>
              <w:ind w:left="0" w:right="98"/>
              <w:jc w:val="right"/>
              <w:rPr>
                <w:sz w:val="20"/>
              </w:rPr>
            </w:pPr>
            <w:r>
              <w:rPr>
                <w:w w:val="95"/>
                <w:sz w:val="20"/>
              </w:rPr>
              <w:t>32,512,530.55</w:t>
            </w:r>
          </w:p>
        </w:tc>
      </w:tr>
      <w:tr w:rsidR="002B3AD5" w14:paraId="095A5555" w14:textId="77777777">
        <w:trPr>
          <w:trHeight w:val="580"/>
        </w:trPr>
        <w:tc>
          <w:tcPr>
            <w:tcW w:w="4671" w:type="dxa"/>
          </w:tcPr>
          <w:p w14:paraId="095A5553" w14:textId="77777777" w:rsidR="002B3AD5" w:rsidRDefault="00D66CD0">
            <w:pPr>
              <w:pStyle w:val="TableParagraph"/>
              <w:spacing w:before="38" w:line="242" w:lineRule="auto"/>
              <w:ind w:right="364"/>
              <w:rPr>
                <w:sz w:val="20"/>
                <w:lang w:eastAsia="ja-JP"/>
              </w:rPr>
            </w:pPr>
            <w:r>
              <w:rPr>
                <w:sz w:val="20"/>
                <w:lang w:eastAsia="ja-JP"/>
              </w:rPr>
              <w:t>O - 行政と防衛; 強制社会保障</w:t>
            </w:r>
          </w:p>
        </w:tc>
        <w:tc>
          <w:tcPr>
            <w:tcW w:w="4671" w:type="dxa"/>
          </w:tcPr>
          <w:p w14:paraId="095A5554" w14:textId="77777777" w:rsidR="002B3AD5" w:rsidRDefault="00D66CD0">
            <w:pPr>
              <w:pStyle w:val="TableParagraph"/>
              <w:ind w:left="0" w:right="98"/>
              <w:jc w:val="right"/>
              <w:rPr>
                <w:sz w:val="20"/>
              </w:rPr>
            </w:pPr>
            <w:r>
              <w:rPr>
                <w:sz w:val="20"/>
              </w:rPr>
              <w:t>29,297,099.74</w:t>
            </w:r>
          </w:p>
        </w:tc>
      </w:tr>
      <w:tr w:rsidR="002B3AD5" w14:paraId="095A5558" w14:textId="77777777">
        <w:trPr>
          <w:trHeight w:val="350"/>
        </w:trPr>
        <w:tc>
          <w:tcPr>
            <w:tcW w:w="4671" w:type="dxa"/>
          </w:tcPr>
          <w:p w14:paraId="095A5556" w14:textId="77777777" w:rsidR="002B3AD5" w:rsidRDefault="00D66CD0">
            <w:pPr>
              <w:pStyle w:val="TableParagraph"/>
              <w:rPr>
                <w:sz w:val="20"/>
                <w:lang w:eastAsia="ja-JP"/>
              </w:rPr>
            </w:pPr>
            <w:r>
              <w:rPr>
                <w:sz w:val="20"/>
                <w:lang w:eastAsia="ja-JP"/>
              </w:rPr>
              <w:t>N - 管理・サポートサービス活動</w:t>
            </w:r>
          </w:p>
        </w:tc>
        <w:tc>
          <w:tcPr>
            <w:tcW w:w="4671" w:type="dxa"/>
          </w:tcPr>
          <w:p w14:paraId="095A5557" w14:textId="77777777" w:rsidR="002B3AD5" w:rsidRDefault="00D66CD0">
            <w:pPr>
              <w:pStyle w:val="TableParagraph"/>
              <w:ind w:left="0" w:right="98"/>
              <w:jc w:val="right"/>
              <w:rPr>
                <w:sz w:val="20"/>
              </w:rPr>
            </w:pPr>
            <w:r>
              <w:rPr>
                <w:w w:val="95"/>
                <w:sz w:val="20"/>
              </w:rPr>
              <w:t>21,424,859.33</w:t>
            </w:r>
          </w:p>
        </w:tc>
      </w:tr>
      <w:tr w:rsidR="002B3AD5" w14:paraId="095A555B" w14:textId="77777777">
        <w:trPr>
          <w:trHeight w:val="350"/>
        </w:trPr>
        <w:tc>
          <w:tcPr>
            <w:tcW w:w="4671" w:type="dxa"/>
          </w:tcPr>
          <w:p w14:paraId="095A5559" w14:textId="77777777" w:rsidR="002B3AD5" w:rsidRDefault="00D66CD0">
            <w:pPr>
              <w:pStyle w:val="TableParagraph"/>
              <w:rPr>
                <w:sz w:val="20"/>
                <w:lang w:eastAsia="ja-JP"/>
              </w:rPr>
            </w:pPr>
            <w:r>
              <w:rPr>
                <w:sz w:val="20"/>
                <w:lang w:eastAsia="ja-JP"/>
              </w:rPr>
              <w:t>I - 宿泊業、飲食サービス業</w:t>
            </w:r>
          </w:p>
        </w:tc>
        <w:tc>
          <w:tcPr>
            <w:tcW w:w="4671" w:type="dxa"/>
          </w:tcPr>
          <w:p w14:paraId="095A555A" w14:textId="77777777" w:rsidR="002B3AD5" w:rsidRDefault="00D66CD0">
            <w:pPr>
              <w:pStyle w:val="TableParagraph"/>
              <w:ind w:left="0" w:right="98"/>
              <w:jc w:val="right"/>
              <w:rPr>
                <w:sz w:val="20"/>
              </w:rPr>
            </w:pPr>
            <w:r>
              <w:rPr>
                <w:w w:val="95"/>
                <w:sz w:val="20"/>
              </w:rPr>
              <w:t>17,333,105.86</w:t>
            </w:r>
          </w:p>
        </w:tc>
      </w:tr>
      <w:tr w:rsidR="002B3AD5" w14:paraId="095A555E" w14:textId="77777777">
        <w:trPr>
          <w:trHeight w:val="350"/>
        </w:trPr>
        <w:tc>
          <w:tcPr>
            <w:tcW w:w="4671" w:type="dxa"/>
          </w:tcPr>
          <w:p w14:paraId="095A555C" w14:textId="77777777" w:rsidR="002B3AD5" w:rsidRDefault="00D66CD0">
            <w:pPr>
              <w:pStyle w:val="TableParagraph"/>
              <w:rPr>
                <w:sz w:val="20"/>
              </w:rPr>
            </w:pPr>
            <w:r>
              <w:rPr>
                <w:sz w:val="20"/>
              </w:rPr>
              <w:t>P-</w:t>
            </w:r>
            <w:proofErr w:type="spellStart"/>
            <w:r>
              <w:rPr>
                <w:sz w:val="20"/>
              </w:rPr>
              <w:t>教育</w:t>
            </w:r>
            <w:proofErr w:type="spellEnd"/>
          </w:p>
        </w:tc>
        <w:tc>
          <w:tcPr>
            <w:tcW w:w="4671" w:type="dxa"/>
          </w:tcPr>
          <w:p w14:paraId="095A555D" w14:textId="77777777" w:rsidR="002B3AD5" w:rsidRDefault="00D66CD0">
            <w:pPr>
              <w:pStyle w:val="TableParagraph"/>
              <w:ind w:left="0" w:right="98"/>
              <w:jc w:val="right"/>
              <w:rPr>
                <w:sz w:val="20"/>
              </w:rPr>
            </w:pPr>
            <w:r>
              <w:rPr>
                <w:w w:val="95"/>
                <w:sz w:val="20"/>
              </w:rPr>
              <w:t>17,273,274.20</w:t>
            </w:r>
          </w:p>
        </w:tc>
      </w:tr>
      <w:tr w:rsidR="002B3AD5" w14:paraId="095A5561" w14:textId="77777777">
        <w:trPr>
          <w:trHeight w:val="350"/>
        </w:trPr>
        <w:tc>
          <w:tcPr>
            <w:tcW w:w="4671" w:type="dxa"/>
            <w:shd w:val="clear" w:color="auto" w:fill="FAE2D3"/>
          </w:tcPr>
          <w:p w14:paraId="095A555F" w14:textId="77777777" w:rsidR="002B3AD5" w:rsidRDefault="00D66CD0">
            <w:pPr>
              <w:pStyle w:val="TableParagraph"/>
              <w:rPr>
                <w:sz w:val="20"/>
                <w:lang w:eastAsia="ja-JP"/>
              </w:rPr>
            </w:pPr>
            <w:r>
              <w:rPr>
                <w:sz w:val="20"/>
                <w:lang w:eastAsia="ja-JP"/>
              </w:rPr>
              <w:t>M - 専門的、科学的及び技術的活動</w:t>
            </w:r>
          </w:p>
        </w:tc>
        <w:tc>
          <w:tcPr>
            <w:tcW w:w="4671" w:type="dxa"/>
            <w:shd w:val="clear" w:color="auto" w:fill="FAE2D3"/>
          </w:tcPr>
          <w:p w14:paraId="095A5560" w14:textId="77777777" w:rsidR="002B3AD5" w:rsidRDefault="00D66CD0">
            <w:pPr>
              <w:pStyle w:val="TableParagraph"/>
              <w:ind w:left="0" w:right="98"/>
              <w:jc w:val="right"/>
              <w:rPr>
                <w:sz w:val="20"/>
              </w:rPr>
            </w:pPr>
            <w:r>
              <w:rPr>
                <w:w w:val="95"/>
                <w:sz w:val="20"/>
              </w:rPr>
              <w:t>17,056,511.88</w:t>
            </w:r>
          </w:p>
        </w:tc>
      </w:tr>
      <w:tr w:rsidR="002B3AD5" w14:paraId="095A5564" w14:textId="77777777">
        <w:trPr>
          <w:trHeight w:val="350"/>
        </w:trPr>
        <w:tc>
          <w:tcPr>
            <w:tcW w:w="4671" w:type="dxa"/>
          </w:tcPr>
          <w:p w14:paraId="095A5562" w14:textId="77777777" w:rsidR="002B3AD5" w:rsidRDefault="00D66CD0">
            <w:pPr>
              <w:pStyle w:val="TableParagraph"/>
              <w:rPr>
                <w:sz w:val="20"/>
              </w:rPr>
            </w:pPr>
            <w:proofErr w:type="spellStart"/>
            <w:r>
              <w:rPr>
                <w:sz w:val="20"/>
              </w:rPr>
              <w:t>K-金融・保険業務</w:t>
            </w:r>
            <w:proofErr w:type="spellEnd"/>
          </w:p>
        </w:tc>
        <w:tc>
          <w:tcPr>
            <w:tcW w:w="4671" w:type="dxa"/>
          </w:tcPr>
          <w:p w14:paraId="095A5563" w14:textId="77777777" w:rsidR="002B3AD5" w:rsidRDefault="00D66CD0">
            <w:pPr>
              <w:pStyle w:val="TableParagraph"/>
              <w:ind w:left="0" w:right="98"/>
              <w:jc w:val="right"/>
              <w:rPr>
                <w:sz w:val="20"/>
              </w:rPr>
            </w:pPr>
            <w:r>
              <w:rPr>
                <w:w w:val="95"/>
                <w:sz w:val="20"/>
              </w:rPr>
              <w:t>10,837,435.09</w:t>
            </w:r>
          </w:p>
        </w:tc>
      </w:tr>
      <w:tr w:rsidR="002B3AD5" w14:paraId="095A5567" w14:textId="77777777">
        <w:trPr>
          <w:trHeight w:val="350"/>
        </w:trPr>
        <w:tc>
          <w:tcPr>
            <w:tcW w:w="4671" w:type="dxa"/>
          </w:tcPr>
          <w:p w14:paraId="095A5565" w14:textId="77777777" w:rsidR="002B3AD5" w:rsidRDefault="00D66CD0">
            <w:pPr>
              <w:pStyle w:val="TableParagraph"/>
              <w:rPr>
                <w:sz w:val="20"/>
                <w:lang w:eastAsia="ja-JP"/>
              </w:rPr>
            </w:pPr>
            <w:r>
              <w:rPr>
                <w:sz w:val="20"/>
                <w:lang w:eastAsia="ja-JP"/>
              </w:rPr>
              <w:t>S-その他のサービス活動</w:t>
            </w:r>
          </w:p>
        </w:tc>
        <w:tc>
          <w:tcPr>
            <w:tcW w:w="4671" w:type="dxa"/>
          </w:tcPr>
          <w:p w14:paraId="095A5566" w14:textId="77777777" w:rsidR="002B3AD5" w:rsidRDefault="00D66CD0">
            <w:pPr>
              <w:pStyle w:val="TableParagraph"/>
              <w:ind w:left="0" w:right="98"/>
              <w:jc w:val="right"/>
              <w:rPr>
                <w:sz w:val="20"/>
              </w:rPr>
            </w:pPr>
            <w:r>
              <w:rPr>
                <w:w w:val="95"/>
                <w:sz w:val="20"/>
              </w:rPr>
              <w:t>9,816,300.62</w:t>
            </w:r>
          </w:p>
        </w:tc>
      </w:tr>
      <w:tr w:rsidR="002B3AD5" w14:paraId="095A556A" w14:textId="77777777">
        <w:trPr>
          <w:trHeight w:val="350"/>
        </w:trPr>
        <w:tc>
          <w:tcPr>
            <w:tcW w:w="4671" w:type="dxa"/>
            <w:shd w:val="clear" w:color="auto" w:fill="F4AF83"/>
          </w:tcPr>
          <w:p w14:paraId="095A5568" w14:textId="77777777" w:rsidR="002B3AD5" w:rsidRDefault="00D66CD0">
            <w:pPr>
              <w:pStyle w:val="TableParagraph"/>
              <w:rPr>
                <w:sz w:val="10"/>
                <w:lang w:eastAsia="ja-JP"/>
              </w:rPr>
            </w:pPr>
            <w:r>
              <w:rPr>
                <w:sz w:val="20"/>
                <w:lang w:eastAsia="ja-JP"/>
              </w:rPr>
              <w:t>J - 情報とコミュニケーション5</w:t>
            </w:r>
          </w:p>
        </w:tc>
        <w:tc>
          <w:tcPr>
            <w:tcW w:w="4671" w:type="dxa"/>
            <w:shd w:val="clear" w:color="auto" w:fill="F4AF83"/>
          </w:tcPr>
          <w:p w14:paraId="095A5569" w14:textId="77777777" w:rsidR="002B3AD5" w:rsidRDefault="00D66CD0">
            <w:pPr>
              <w:pStyle w:val="TableParagraph"/>
              <w:ind w:left="0" w:right="98"/>
              <w:jc w:val="right"/>
              <w:rPr>
                <w:sz w:val="20"/>
              </w:rPr>
            </w:pPr>
            <w:r>
              <w:rPr>
                <w:w w:val="95"/>
                <w:sz w:val="20"/>
              </w:rPr>
              <w:t>8,780,514.69</w:t>
            </w:r>
          </w:p>
        </w:tc>
      </w:tr>
      <w:tr w:rsidR="002B3AD5" w14:paraId="095A556D" w14:textId="77777777">
        <w:trPr>
          <w:trHeight w:val="350"/>
        </w:trPr>
        <w:tc>
          <w:tcPr>
            <w:tcW w:w="4671" w:type="dxa"/>
          </w:tcPr>
          <w:p w14:paraId="095A556B" w14:textId="2BCC04DC" w:rsidR="002B3AD5" w:rsidRDefault="00687DA8" w:rsidP="00687DA8">
            <w:pPr>
              <w:pStyle w:val="TableParagraph"/>
              <w:rPr>
                <w:sz w:val="20"/>
                <w:lang w:eastAsia="ja-JP"/>
              </w:rPr>
            </w:pPr>
            <w:r>
              <w:rPr>
                <w:rFonts w:hint="eastAsia"/>
                <w:sz w:val="20"/>
                <w:lang w:eastAsia="ja-JP"/>
              </w:rPr>
              <w:t>R－</w:t>
            </w:r>
            <w:r w:rsidR="00D66CD0">
              <w:rPr>
                <w:sz w:val="20"/>
                <w:lang w:eastAsia="ja-JP"/>
              </w:rPr>
              <w:t>アート・エンターテイメント・レクリエーション</w:t>
            </w:r>
          </w:p>
        </w:tc>
        <w:tc>
          <w:tcPr>
            <w:tcW w:w="4671" w:type="dxa"/>
          </w:tcPr>
          <w:p w14:paraId="095A556C" w14:textId="77777777" w:rsidR="002B3AD5" w:rsidRDefault="00D66CD0">
            <w:pPr>
              <w:pStyle w:val="TableParagraph"/>
              <w:ind w:left="0" w:right="98"/>
              <w:jc w:val="right"/>
              <w:rPr>
                <w:sz w:val="20"/>
              </w:rPr>
            </w:pPr>
            <w:r>
              <w:rPr>
                <w:w w:val="95"/>
                <w:sz w:val="20"/>
              </w:rPr>
              <w:t>8,298,587.66</w:t>
            </w:r>
          </w:p>
        </w:tc>
      </w:tr>
      <w:tr w:rsidR="002B3AD5" w14:paraId="095A5570" w14:textId="77777777">
        <w:trPr>
          <w:trHeight w:val="350"/>
        </w:trPr>
        <w:tc>
          <w:tcPr>
            <w:tcW w:w="4671" w:type="dxa"/>
            <w:shd w:val="clear" w:color="auto" w:fill="FFE9A6"/>
          </w:tcPr>
          <w:p w14:paraId="095A556E" w14:textId="77777777" w:rsidR="002B3AD5" w:rsidRDefault="00D66CD0">
            <w:pPr>
              <w:pStyle w:val="TableParagraph"/>
              <w:rPr>
                <w:sz w:val="10"/>
                <w:lang w:eastAsia="ja-JP"/>
              </w:rPr>
            </w:pPr>
            <w:r>
              <w:rPr>
                <w:sz w:val="20"/>
                <w:lang w:eastAsia="ja-JP"/>
              </w:rPr>
              <w:t>L - 不動産アクティビティ6</w:t>
            </w:r>
          </w:p>
        </w:tc>
        <w:tc>
          <w:tcPr>
            <w:tcW w:w="4671" w:type="dxa"/>
            <w:shd w:val="clear" w:color="auto" w:fill="FFE9A6"/>
          </w:tcPr>
          <w:p w14:paraId="095A556F" w14:textId="77777777" w:rsidR="002B3AD5" w:rsidRDefault="00D66CD0">
            <w:pPr>
              <w:pStyle w:val="TableParagraph"/>
              <w:ind w:left="0" w:right="98"/>
              <w:jc w:val="right"/>
              <w:rPr>
                <w:sz w:val="20"/>
              </w:rPr>
            </w:pPr>
            <w:r>
              <w:rPr>
                <w:w w:val="95"/>
                <w:sz w:val="20"/>
              </w:rPr>
              <w:t>5,726,208.34</w:t>
            </w:r>
          </w:p>
        </w:tc>
      </w:tr>
      <w:tr w:rsidR="002B3AD5" w14:paraId="095A5573" w14:textId="77777777">
        <w:trPr>
          <w:trHeight w:val="808"/>
        </w:trPr>
        <w:tc>
          <w:tcPr>
            <w:tcW w:w="4671" w:type="dxa"/>
          </w:tcPr>
          <w:p w14:paraId="095A5571" w14:textId="77777777" w:rsidR="002B3AD5" w:rsidRDefault="00D66CD0">
            <w:pPr>
              <w:pStyle w:val="TableParagraph"/>
              <w:spacing w:before="38"/>
              <w:ind w:right="364"/>
              <w:rPr>
                <w:sz w:val="20"/>
                <w:lang w:eastAsia="ja-JP"/>
              </w:rPr>
            </w:pPr>
            <w:r>
              <w:rPr>
                <w:sz w:val="20"/>
                <w:lang w:eastAsia="ja-JP"/>
              </w:rPr>
              <w:t>T - 使用者としての世帯の活動; 自ら使用するための世帯の差別化されていない財・サービス生産活動</w:t>
            </w:r>
          </w:p>
        </w:tc>
        <w:tc>
          <w:tcPr>
            <w:tcW w:w="4671" w:type="dxa"/>
          </w:tcPr>
          <w:p w14:paraId="095A5572" w14:textId="77777777" w:rsidR="002B3AD5" w:rsidRDefault="00D66CD0">
            <w:pPr>
              <w:pStyle w:val="TableParagraph"/>
              <w:ind w:left="0" w:right="98"/>
              <w:jc w:val="right"/>
              <w:rPr>
                <w:sz w:val="20"/>
              </w:rPr>
            </w:pPr>
            <w:r>
              <w:rPr>
                <w:w w:val="95"/>
                <w:sz w:val="20"/>
              </w:rPr>
              <w:t>234,573.70</w:t>
            </w:r>
          </w:p>
        </w:tc>
      </w:tr>
      <w:tr w:rsidR="002B3AD5" w14:paraId="095A5576" w14:textId="77777777">
        <w:trPr>
          <w:trHeight w:val="580"/>
        </w:trPr>
        <w:tc>
          <w:tcPr>
            <w:tcW w:w="4671" w:type="dxa"/>
          </w:tcPr>
          <w:p w14:paraId="095A5574" w14:textId="77777777" w:rsidR="002B3AD5" w:rsidRDefault="00D66CD0">
            <w:pPr>
              <w:pStyle w:val="TableParagraph"/>
              <w:rPr>
                <w:sz w:val="20"/>
                <w:lang w:eastAsia="ja-JP"/>
              </w:rPr>
            </w:pPr>
            <w:r>
              <w:rPr>
                <w:sz w:val="20"/>
                <w:lang w:eastAsia="ja-JP"/>
              </w:rPr>
              <w:t>U - 領土外の組織および団体の活動</w:t>
            </w:r>
          </w:p>
        </w:tc>
        <w:tc>
          <w:tcPr>
            <w:tcW w:w="4671" w:type="dxa"/>
          </w:tcPr>
          <w:p w14:paraId="095A5575" w14:textId="77777777" w:rsidR="002B3AD5" w:rsidRDefault="00D66CD0">
            <w:pPr>
              <w:pStyle w:val="TableParagraph"/>
              <w:spacing w:before="42"/>
              <w:ind w:left="0" w:right="98"/>
              <w:jc w:val="right"/>
              <w:rPr>
                <w:sz w:val="20"/>
              </w:rPr>
            </w:pPr>
            <w:r>
              <w:rPr>
                <w:sz w:val="20"/>
              </w:rPr>
              <w:t>26.68</w:t>
            </w:r>
          </w:p>
        </w:tc>
      </w:tr>
    </w:tbl>
    <w:p w14:paraId="095A5577" w14:textId="77777777" w:rsidR="002B3AD5" w:rsidRDefault="002B3AD5">
      <w:pPr>
        <w:pStyle w:val="a3"/>
      </w:pPr>
    </w:p>
    <w:p w14:paraId="095A5578" w14:textId="77777777" w:rsidR="002B3AD5" w:rsidRDefault="002B3AD5">
      <w:pPr>
        <w:pStyle w:val="a3"/>
      </w:pPr>
    </w:p>
    <w:p w14:paraId="095A5579" w14:textId="3B6C335F" w:rsidR="002B3AD5" w:rsidRDefault="00C37D34">
      <w:pPr>
        <w:pStyle w:val="a3"/>
        <w:spacing w:before="10"/>
        <w:rPr>
          <w:sz w:val="14"/>
        </w:rPr>
      </w:pPr>
      <w:r>
        <w:rPr>
          <w:noProof/>
          <w:lang w:val="en-US" w:eastAsia="ja-JP"/>
        </w:rPr>
        <mc:AlternateContent>
          <mc:Choice Requires="wps">
            <w:drawing>
              <wp:anchor distT="0" distB="0" distL="0" distR="0" simplePos="0" relativeHeight="251656192" behindDoc="1" locked="0" layoutInCell="1" allowOverlap="1" wp14:anchorId="095A58EF" wp14:editId="3440F7B9">
                <wp:simplePos x="0" y="0"/>
                <wp:positionH relativeFrom="page">
                  <wp:posOffset>914400</wp:posOffset>
                </wp:positionH>
                <wp:positionV relativeFrom="paragraph">
                  <wp:posOffset>136525</wp:posOffset>
                </wp:positionV>
                <wp:extent cx="1829435" cy="0"/>
                <wp:effectExtent l="9525" t="7620" r="8890" b="11430"/>
                <wp:wrapTopAndBottom/>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263C" id="Line 20" o:spid="_x0000_s1026" style="position:absolute;left:0;text-align:lef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5pt" to="216.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sOFA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" strokeweight=".48pt">
                <w10:wrap type="topAndBottom" anchorx="page"/>
              </v:line>
            </w:pict>
          </mc:Fallback>
        </mc:AlternateContent>
      </w:r>
    </w:p>
    <w:p w14:paraId="095A557A" w14:textId="77777777" w:rsidR="002B3AD5" w:rsidRDefault="002B3AD5">
      <w:pPr>
        <w:pStyle w:val="a3"/>
        <w:spacing w:before="8"/>
        <w:rPr>
          <w:sz w:val="25"/>
        </w:rPr>
      </w:pPr>
    </w:p>
    <w:p w14:paraId="095A557B" w14:textId="77777777" w:rsidR="002B3AD5" w:rsidRDefault="00D66CD0">
      <w:pPr>
        <w:pStyle w:val="a4"/>
        <w:numPr>
          <w:ilvl w:val="0"/>
          <w:numId w:val="23"/>
        </w:numPr>
        <w:tabs>
          <w:tab w:val="left" w:pos="1215"/>
        </w:tabs>
        <w:spacing w:before="0" w:line="259" w:lineRule="auto"/>
        <w:ind w:right="1312" w:firstLine="0"/>
        <w:rPr>
          <w:sz w:val="16"/>
          <w:lang w:eastAsia="ja-JP"/>
        </w:rPr>
      </w:pPr>
      <w:r>
        <w:rPr>
          <w:sz w:val="16"/>
          <w:lang w:eastAsia="ja-JP"/>
        </w:rPr>
        <w:t>プレゼンテーションの目的で、TEGは建築基準を建築および不動産活動のNACEコードと整合させた。 しかし、建築基準はこれらのNACEコードに限定されず、他の部門や経済活動にも適用できる。</w:t>
      </w:r>
    </w:p>
    <w:p w14:paraId="095A557C" w14:textId="77777777" w:rsidR="002B3AD5" w:rsidRDefault="00D66CD0">
      <w:pPr>
        <w:pStyle w:val="a4"/>
        <w:numPr>
          <w:ilvl w:val="0"/>
          <w:numId w:val="23"/>
        </w:numPr>
        <w:tabs>
          <w:tab w:val="left" w:pos="1215"/>
        </w:tabs>
        <w:spacing w:before="160" w:line="259" w:lineRule="auto"/>
        <w:ind w:right="1258" w:firstLine="0"/>
        <w:rPr>
          <w:sz w:val="16"/>
          <w:lang w:eastAsia="ja-JP"/>
        </w:rPr>
      </w:pPr>
      <w:r>
        <w:rPr>
          <w:sz w:val="16"/>
          <w:lang w:eastAsia="ja-JP"/>
        </w:rPr>
        <w:t>TEGの方法論は、スコープ1排出量に基づいていたが、我々は、情報・コミュニケーション活動にもスコープ2排出量が相当量存在する可能性があることを認識している。 これは、情報通信の技術的審査基準に反映されている。</w:t>
      </w:r>
    </w:p>
    <w:p w14:paraId="095A557D" w14:textId="4CE34310" w:rsidR="002B3AD5" w:rsidRDefault="00687DA8">
      <w:pPr>
        <w:pStyle w:val="a4"/>
        <w:numPr>
          <w:ilvl w:val="0"/>
          <w:numId w:val="23"/>
        </w:numPr>
        <w:tabs>
          <w:tab w:val="left" w:pos="1215"/>
        </w:tabs>
        <w:spacing w:before="159"/>
        <w:ind w:left="1214" w:hanging="134"/>
        <w:rPr>
          <w:sz w:val="16"/>
          <w:lang w:eastAsia="ja-JP"/>
        </w:rPr>
      </w:pPr>
      <w:r>
        <w:rPr>
          <w:rFonts w:hint="eastAsia"/>
          <w:sz w:val="16"/>
          <w:lang w:eastAsia="ja-JP"/>
        </w:rPr>
        <w:t>建築</w:t>
      </w:r>
      <w:r w:rsidR="00D66CD0">
        <w:rPr>
          <w:sz w:val="16"/>
          <w:lang w:eastAsia="ja-JP"/>
        </w:rPr>
        <w:t>施工</w:t>
      </w:r>
      <w:r>
        <w:rPr>
          <w:rFonts w:hint="eastAsia"/>
          <w:sz w:val="16"/>
          <w:lang w:eastAsia="ja-JP"/>
        </w:rPr>
        <w:t>について</w:t>
      </w:r>
      <w:r w:rsidR="00D66CD0">
        <w:rPr>
          <w:sz w:val="16"/>
          <w:lang w:eastAsia="ja-JP"/>
        </w:rPr>
        <w:t>の注意を参照。</w:t>
      </w:r>
    </w:p>
    <w:p w14:paraId="095A557E" w14:textId="77777777" w:rsidR="002B3AD5" w:rsidRDefault="002B3AD5">
      <w:pPr>
        <w:rPr>
          <w:sz w:val="16"/>
          <w:lang w:eastAsia="ja-JP"/>
        </w:rPr>
        <w:sectPr w:rsidR="002B3AD5">
          <w:pgSz w:w="12240" w:h="15840"/>
          <w:pgMar w:top="1360" w:right="320" w:bottom="1200" w:left="360" w:header="0" w:footer="1020" w:gutter="0"/>
          <w:cols w:space="720"/>
        </w:sectPr>
      </w:pPr>
    </w:p>
    <w:p w14:paraId="095A557F" w14:textId="77777777" w:rsidR="002B3AD5" w:rsidRDefault="002B3AD5">
      <w:pPr>
        <w:pStyle w:val="a3"/>
        <w:rPr>
          <w:lang w:eastAsia="ja-JP"/>
        </w:rPr>
      </w:pPr>
    </w:p>
    <w:p w14:paraId="095A5580" w14:textId="77777777" w:rsidR="002B3AD5" w:rsidRDefault="002B3AD5">
      <w:pPr>
        <w:pStyle w:val="a3"/>
        <w:spacing w:before="7"/>
        <w:rPr>
          <w:sz w:val="18"/>
          <w:lang w:eastAsia="ja-JP"/>
        </w:rPr>
      </w:pPr>
    </w:p>
    <w:p w14:paraId="095A5581" w14:textId="77777777" w:rsidR="002B3AD5" w:rsidRDefault="00D66CD0">
      <w:pPr>
        <w:pStyle w:val="a3"/>
        <w:ind w:left="1080"/>
      </w:pPr>
      <w:r>
        <w:rPr>
          <w:noProof/>
          <w:lang w:val="en-US" w:eastAsia="ja-JP"/>
        </w:rPr>
        <w:drawing>
          <wp:inline distT="0" distB="0" distL="0" distR="0" wp14:anchorId="095A58F0" wp14:editId="095A58F1">
            <wp:extent cx="5386158" cy="342109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386158" cy="3421094"/>
                    </a:xfrm>
                    <a:prstGeom prst="rect">
                      <a:avLst/>
                    </a:prstGeom>
                  </pic:spPr>
                </pic:pic>
              </a:graphicData>
            </a:graphic>
          </wp:inline>
        </w:drawing>
      </w:r>
    </w:p>
    <w:p w14:paraId="095A5582" w14:textId="77777777" w:rsidR="002B3AD5" w:rsidRDefault="002B3AD5">
      <w:pPr>
        <w:pStyle w:val="a3"/>
        <w:spacing w:before="9"/>
        <w:rPr>
          <w:sz w:val="15"/>
        </w:rPr>
      </w:pPr>
    </w:p>
    <w:p w14:paraId="095A5583" w14:textId="77777777" w:rsidR="002B3AD5" w:rsidRDefault="002B3AD5">
      <w:pPr>
        <w:rPr>
          <w:sz w:val="15"/>
        </w:rPr>
        <w:sectPr w:rsidR="002B3AD5">
          <w:pgSz w:w="12240" w:h="15840"/>
          <w:pgMar w:top="1500" w:right="320" w:bottom="1200" w:left="360" w:header="0" w:footer="1020" w:gutter="0"/>
          <w:cols w:space="720"/>
        </w:sectPr>
      </w:pPr>
    </w:p>
    <w:p w14:paraId="095A5584" w14:textId="77777777" w:rsidR="002B3AD5" w:rsidRDefault="002B3AD5">
      <w:pPr>
        <w:pStyle w:val="a3"/>
        <w:rPr>
          <w:sz w:val="22"/>
        </w:rPr>
      </w:pPr>
    </w:p>
    <w:p w14:paraId="095A5585" w14:textId="77777777" w:rsidR="002B3AD5" w:rsidRDefault="002B3AD5">
      <w:pPr>
        <w:pStyle w:val="a3"/>
        <w:spacing w:before="5"/>
        <w:rPr>
          <w:sz w:val="21"/>
        </w:rPr>
      </w:pPr>
    </w:p>
    <w:p w14:paraId="095A5586" w14:textId="77777777" w:rsidR="002B3AD5" w:rsidRDefault="00D66CD0">
      <w:pPr>
        <w:pStyle w:val="4"/>
        <w:spacing w:before="1"/>
        <w:rPr>
          <w:lang w:eastAsia="ja-JP"/>
        </w:rPr>
      </w:pPr>
      <w:r>
        <w:rPr>
          <w:lang w:eastAsia="ja-JP"/>
        </w:rPr>
        <w:t>開発基準</w:t>
      </w:r>
    </w:p>
    <w:p w14:paraId="095A5587" w14:textId="1D33B3FB" w:rsidR="002B3AD5" w:rsidRDefault="00D66CD0">
      <w:pPr>
        <w:spacing w:before="94"/>
        <w:ind w:left="286"/>
        <w:rPr>
          <w:sz w:val="18"/>
          <w:lang w:eastAsia="ja-JP"/>
        </w:rPr>
      </w:pPr>
      <w:r>
        <w:rPr>
          <w:lang w:eastAsia="ja-JP"/>
        </w:rPr>
        <w:br w:type="column"/>
      </w:r>
      <w:r w:rsidR="007A0D21">
        <w:rPr>
          <w:rFonts w:hint="eastAsia"/>
          <w:lang w:eastAsia="ja-JP"/>
        </w:rPr>
        <w:t xml:space="preserve">図2　</w:t>
      </w:r>
      <w:r>
        <w:rPr>
          <w:color w:val="44536A"/>
          <w:sz w:val="18"/>
          <w:lang w:eastAsia="ja-JP"/>
        </w:rPr>
        <w:t>NACEマクロセクターCO2e(2018)。 出所:ユーロスタット</w:t>
      </w:r>
    </w:p>
    <w:p w14:paraId="095A5588" w14:textId="77777777" w:rsidR="002B3AD5" w:rsidRDefault="002B3AD5">
      <w:pPr>
        <w:rPr>
          <w:sz w:val="18"/>
          <w:lang w:eastAsia="ja-JP"/>
        </w:rPr>
        <w:sectPr w:rsidR="002B3AD5">
          <w:type w:val="continuous"/>
          <w:pgSz w:w="12240" w:h="15840"/>
          <w:pgMar w:top="840" w:right="320" w:bottom="280" w:left="360" w:header="720" w:footer="720" w:gutter="0"/>
          <w:cols w:num="2" w:space="720" w:equalWidth="0">
            <w:col w:w="2878" w:space="40"/>
            <w:col w:w="8642"/>
          </w:cols>
        </w:sectPr>
      </w:pPr>
    </w:p>
    <w:p w14:paraId="095A5589" w14:textId="77777777" w:rsidR="002B3AD5" w:rsidRDefault="002B3AD5">
      <w:pPr>
        <w:pStyle w:val="a3"/>
        <w:spacing w:before="9"/>
        <w:rPr>
          <w:sz w:val="15"/>
          <w:lang w:eastAsia="ja-JP"/>
        </w:rPr>
      </w:pPr>
    </w:p>
    <w:p w14:paraId="095A558A" w14:textId="77777777" w:rsidR="002B3AD5" w:rsidRDefault="00D66CD0">
      <w:pPr>
        <w:pStyle w:val="a3"/>
        <w:spacing w:before="92" w:line="276" w:lineRule="auto"/>
        <w:ind w:left="1080" w:right="1152"/>
        <w:rPr>
          <w:lang w:eastAsia="ja-JP"/>
        </w:rPr>
      </w:pPr>
      <w:r>
        <w:rPr>
          <w:lang w:eastAsia="ja-JP"/>
        </w:rPr>
        <w:t>選定された活動のそれぞれについて、技術的スクリーニング基準が策定されている。 技術的スクリーニング基準の様式は、2019年6月の報告書以降、次の事項を盛り込むために更新されている。</w:t>
      </w:r>
    </w:p>
    <w:p w14:paraId="095A558B" w14:textId="77777777" w:rsidR="002B3AD5" w:rsidRDefault="002B3AD5">
      <w:pPr>
        <w:pStyle w:val="a3"/>
        <w:rPr>
          <w:sz w:val="22"/>
          <w:lang w:eastAsia="ja-JP"/>
        </w:rPr>
      </w:pPr>
    </w:p>
    <w:p w14:paraId="095A558C" w14:textId="77777777" w:rsidR="002B3AD5" w:rsidRDefault="002B3AD5">
      <w:pPr>
        <w:pStyle w:val="a3"/>
        <w:rPr>
          <w:sz w:val="22"/>
          <w:lang w:eastAsia="ja-JP"/>
        </w:rPr>
      </w:pPr>
    </w:p>
    <w:p w14:paraId="095A558D" w14:textId="77777777" w:rsidR="002B3AD5" w:rsidRDefault="00D66CD0">
      <w:pPr>
        <w:pStyle w:val="a4"/>
        <w:numPr>
          <w:ilvl w:val="1"/>
          <w:numId w:val="23"/>
        </w:numPr>
        <w:tabs>
          <w:tab w:val="left" w:pos="2214"/>
        </w:tabs>
        <w:spacing w:before="0" w:line="276" w:lineRule="auto"/>
        <w:ind w:right="1261"/>
        <w:rPr>
          <w:sz w:val="20"/>
          <w:lang w:eastAsia="ja-JP"/>
        </w:rPr>
      </w:pPr>
      <w:r>
        <w:rPr>
          <w:b/>
          <w:sz w:val="20"/>
          <w:lang w:eastAsia="ja-JP"/>
        </w:rPr>
        <w:t>原則:</w:t>
      </w:r>
      <w:r w:rsidRPr="007A0D21">
        <w:rPr>
          <w:sz w:val="20"/>
          <w:lang w:eastAsia="ja-JP"/>
        </w:rPr>
        <w:t>当該活動が、当該環境目的に対して実質的な貢献及び/又は重大な危害の回避をもたらす方法の根本的な根拠。</w:t>
      </w:r>
    </w:p>
    <w:p w14:paraId="095A558E" w14:textId="77777777" w:rsidR="002B3AD5" w:rsidRPr="007A0D21" w:rsidRDefault="00D66CD0">
      <w:pPr>
        <w:pStyle w:val="a4"/>
        <w:numPr>
          <w:ilvl w:val="1"/>
          <w:numId w:val="23"/>
        </w:numPr>
        <w:tabs>
          <w:tab w:val="left" w:pos="2214"/>
        </w:tabs>
        <w:spacing w:before="0" w:line="276" w:lineRule="auto"/>
        <w:ind w:right="1213"/>
        <w:rPr>
          <w:sz w:val="20"/>
          <w:lang w:eastAsia="ja-JP"/>
        </w:rPr>
      </w:pPr>
      <w:r>
        <w:rPr>
          <w:b/>
          <w:sz w:val="20"/>
          <w:lang w:eastAsia="ja-JP"/>
        </w:rPr>
        <w:t>基準:</w:t>
      </w:r>
      <w:r w:rsidRPr="007A0D21">
        <w:rPr>
          <w:sz w:val="20"/>
          <w:lang w:eastAsia="ja-JP"/>
        </w:rPr>
        <w:t>測定基準と閾値の両方を含む:経済活動の環境パフォーマンスを測定する方法。これには、この測定の境界と、環境的に持続可能であると考えられる方法で活動のパフォーマンスを可能にするために満たされなければならない定性的または定量的な条件を定義することを含む。</w:t>
      </w:r>
    </w:p>
    <w:p w14:paraId="095A558F" w14:textId="77777777" w:rsidR="002B3AD5" w:rsidRDefault="002B3AD5">
      <w:pPr>
        <w:pStyle w:val="a3"/>
        <w:rPr>
          <w:sz w:val="22"/>
          <w:lang w:eastAsia="ja-JP"/>
        </w:rPr>
      </w:pPr>
    </w:p>
    <w:p w14:paraId="095A5590" w14:textId="77777777" w:rsidR="002B3AD5" w:rsidRDefault="002B3AD5">
      <w:pPr>
        <w:pStyle w:val="a3"/>
        <w:spacing w:before="4"/>
        <w:rPr>
          <w:sz w:val="32"/>
          <w:lang w:eastAsia="ja-JP"/>
        </w:rPr>
      </w:pPr>
    </w:p>
    <w:p w14:paraId="095A5591" w14:textId="77777777" w:rsidR="002B3AD5" w:rsidRDefault="00D66CD0">
      <w:pPr>
        <w:pStyle w:val="3"/>
        <w:numPr>
          <w:ilvl w:val="1"/>
          <w:numId w:val="24"/>
        </w:numPr>
        <w:tabs>
          <w:tab w:val="left" w:pos="1800"/>
          <w:tab w:val="left" w:pos="1801"/>
        </w:tabs>
        <w:rPr>
          <w:lang w:eastAsia="ja-JP"/>
        </w:rPr>
      </w:pPr>
      <w:bookmarkStart w:id="3" w:name="_bookmark3"/>
      <w:bookmarkEnd w:id="3"/>
      <w:r>
        <w:rPr>
          <w:color w:val="006FC0"/>
          <w:lang w:eastAsia="ja-JP"/>
        </w:rPr>
        <w:t>気候変動緩和への実質的な貢献の明確化</w:t>
      </w:r>
    </w:p>
    <w:p w14:paraId="095A5592" w14:textId="4590A02B" w:rsidR="002B3AD5" w:rsidRDefault="002F5B54">
      <w:pPr>
        <w:pStyle w:val="a3"/>
        <w:spacing w:before="201" w:line="276" w:lineRule="auto"/>
        <w:ind w:left="1080" w:right="1152"/>
        <w:rPr>
          <w:lang w:eastAsia="ja-JP"/>
        </w:rPr>
      </w:pPr>
      <w:r>
        <w:rPr>
          <w:lang w:eastAsia="ja-JP"/>
        </w:rPr>
        <w:t>タクソノミー</w:t>
      </w:r>
      <w:r w:rsidR="00D66CD0">
        <w:rPr>
          <w:lang w:eastAsia="ja-JP"/>
        </w:rPr>
        <w:t>規制は、気候変動緩和目標への実質的な貢献を理解するための枠組みを確立する。</w:t>
      </w:r>
    </w:p>
    <w:p w14:paraId="095A5593" w14:textId="77777777" w:rsidR="002B3AD5" w:rsidRDefault="002B3AD5">
      <w:pPr>
        <w:spacing w:line="276" w:lineRule="auto"/>
        <w:rPr>
          <w:lang w:eastAsia="ja-JP"/>
        </w:rPr>
        <w:sectPr w:rsidR="002B3AD5">
          <w:type w:val="continuous"/>
          <w:pgSz w:w="12240" w:h="15840"/>
          <w:pgMar w:top="840" w:right="320" w:bottom="280" w:left="360" w:header="720" w:footer="720" w:gutter="0"/>
          <w:cols w:space="720"/>
        </w:sectPr>
      </w:pPr>
    </w:p>
    <w:p w14:paraId="095A5594" w14:textId="77777777" w:rsidR="002B3AD5" w:rsidRDefault="00D66CD0">
      <w:pPr>
        <w:pStyle w:val="a3"/>
        <w:spacing w:before="79"/>
        <w:ind w:right="35"/>
        <w:jc w:val="center"/>
        <w:rPr>
          <w:lang w:eastAsia="ja-JP"/>
        </w:rPr>
      </w:pPr>
      <w:r>
        <w:rPr>
          <w:u w:val="single"/>
          <w:lang w:eastAsia="ja-JP"/>
        </w:rPr>
        <w:lastRenderedPageBreak/>
        <w:t>第六条</w:t>
      </w:r>
    </w:p>
    <w:p w14:paraId="095A5595" w14:textId="77777777" w:rsidR="002B3AD5" w:rsidRDefault="002B3AD5">
      <w:pPr>
        <w:pStyle w:val="a3"/>
        <w:spacing w:before="9"/>
        <w:rPr>
          <w:sz w:val="15"/>
          <w:lang w:eastAsia="ja-JP"/>
        </w:rPr>
      </w:pPr>
    </w:p>
    <w:p w14:paraId="095A5596" w14:textId="77777777" w:rsidR="002B3AD5" w:rsidRDefault="00D66CD0">
      <w:pPr>
        <w:pStyle w:val="a3"/>
        <w:spacing w:before="93"/>
        <w:ind w:left="3454"/>
        <w:rPr>
          <w:lang w:eastAsia="ja-JP"/>
        </w:rPr>
      </w:pPr>
      <w:r>
        <w:rPr>
          <w:u w:val="single"/>
          <w:lang w:eastAsia="ja-JP"/>
        </w:rPr>
        <w:t>気候変動緩和への実質的な貢献</w:t>
      </w:r>
    </w:p>
    <w:p w14:paraId="095A5597" w14:textId="77777777" w:rsidR="002B3AD5" w:rsidRDefault="002B3AD5">
      <w:pPr>
        <w:pStyle w:val="a3"/>
        <w:spacing w:before="9"/>
        <w:rPr>
          <w:sz w:val="15"/>
          <w:lang w:eastAsia="ja-JP"/>
        </w:rPr>
      </w:pPr>
    </w:p>
    <w:p w14:paraId="095A5598" w14:textId="77777777" w:rsidR="002B3AD5" w:rsidRDefault="00D66CD0">
      <w:pPr>
        <w:pStyle w:val="a4"/>
        <w:numPr>
          <w:ilvl w:val="0"/>
          <w:numId w:val="22"/>
        </w:numPr>
        <w:tabs>
          <w:tab w:val="left" w:pos="1302"/>
        </w:tabs>
        <w:spacing w:before="93" w:line="276" w:lineRule="auto"/>
        <w:ind w:right="1210" w:firstLine="0"/>
        <w:rPr>
          <w:sz w:val="20"/>
          <w:lang w:eastAsia="ja-JP"/>
        </w:rPr>
      </w:pPr>
      <w:r>
        <w:rPr>
          <w:sz w:val="20"/>
          <w:lang w:eastAsia="ja-JP"/>
        </w:rPr>
        <w:t>経済活動は、その活動が、パリ協定の長期的な気温目標に適合する次のいずれかの方法(方法又は製品の革新によるものを含む。)により、温室効果ガスの排出を回避し、若しくは削減し、又は温室効果ガスの除去を促進することにより、気候システムに対する危険な人為的干渉を防止する水準において、大気中の温室効果ガスの濃度の安定化に実質的に寄与する場合には、気候変動の緩和に実質的に寄与するものとみなす。</w:t>
      </w:r>
    </w:p>
    <w:p w14:paraId="095A5599" w14:textId="77777777" w:rsidR="002B3AD5" w:rsidRDefault="00D66CD0">
      <w:pPr>
        <w:pStyle w:val="a4"/>
        <w:numPr>
          <w:ilvl w:val="1"/>
          <w:numId w:val="22"/>
        </w:numPr>
        <w:tabs>
          <w:tab w:val="left" w:pos="2100"/>
        </w:tabs>
        <w:spacing w:before="40" w:line="276" w:lineRule="auto"/>
        <w:ind w:right="1347" w:firstLine="0"/>
        <w:rPr>
          <w:sz w:val="20"/>
          <w:lang w:eastAsia="ja-JP"/>
        </w:rPr>
      </w:pPr>
      <w:r>
        <w:rPr>
          <w:sz w:val="20"/>
          <w:lang w:eastAsia="ja-JP"/>
        </w:rPr>
        <w:t>指令(EU)2018/2001に沿った再生可能エネルギーの発電、送電、貯蔵、配電又は使用。これには、将来大幅な節約が見込まれる革新的技術の利用、又はグリッドの必要な強化又は拡張を通じたものを含む。</w:t>
      </w:r>
    </w:p>
    <w:p w14:paraId="095A559A" w14:textId="77777777" w:rsidR="002B3AD5" w:rsidRDefault="00D66CD0">
      <w:pPr>
        <w:pStyle w:val="a4"/>
        <w:numPr>
          <w:ilvl w:val="1"/>
          <w:numId w:val="22"/>
        </w:numPr>
        <w:tabs>
          <w:tab w:val="left" w:pos="2100"/>
        </w:tabs>
        <w:spacing w:before="42" w:line="276" w:lineRule="auto"/>
        <w:ind w:right="1150" w:firstLine="0"/>
        <w:rPr>
          <w:sz w:val="20"/>
          <w:lang w:eastAsia="ja-JP"/>
        </w:rPr>
      </w:pPr>
      <w:r>
        <w:rPr>
          <w:sz w:val="20"/>
          <w:lang w:eastAsia="ja-JP"/>
        </w:rPr>
        <w:t>第14条(2a)に記す発電活動を除き、エネルギー効率を改善すること。</w:t>
      </w:r>
    </w:p>
    <w:p w14:paraId="095A559B" w14:textId="77777777" w:rsidR="002B3AD5" w:rsidRDefault="00D66CD0">
      <w:pPr>
        <w:pStyle w:val="a4"/>
        <w:numPr>
          <w:ilvl w:val="1"/>
          <w:numId w:val="22"/>
        </w:numPr>
        <w:tabs>
          <w:tab w:val="left" w:pos="2091"/>
        </w:tabs>
        <w:spacing w:before="40"/>
        <w:ind w:left="2090" w:hanging="290"/>
        <w:rPr>
          <w:sz w:val="20"/>
          <w:lang w:eastAsia="ja-JP"/>
        </w:rPr>
      </w:pPr>
      <w:r>
        <w:rPr>
          <w:sz w:val="20"/>
          <w:lang w:eastAsia="ja-JP"/>
        </w:rPr>
        <w:t>クリーンな、あるいは気候に中立な移動を増加させる。</w:t>
      </w:r>
    </w:p>
    <w:p w14:paraId="095A559C" w14:textId="77777777" w:rsidR="002B3AD5" w:rsidRDefault="00D66CD0">
      <w:pPr>
        <w:pStyle w:val="a4"/>
        <w:numPr>
          <w:ilvl w:val="1"/>
          <w:numId w:val="22"/>
        </w:numPr>
        <w:tabs>
          <w:tab w:val="left" w:pos="2100"/>
        </w:tabs>
        <w:spacing w:before="73"/>
        <w:ind w:left="2099" w:hanging="299"/>
        <w:rPr>
          <w:sz w:val="20"/>
          <w:lang w:eastAsia="ja-JP"/>
        </w:rPr>
      </w:pPr>
      <w:r>
        <w:rPr>
          <w:sz w:val="20"/>
          <w:lang w:eastAsia="ja-JP"/>
        </w:rPr>
        <w:t>持続可能な原料からの再生可能原料への転換</w:t>
      </w:r>
    </w:p>
    <w:p w14:paraId="095A559D" w14:textId="77777777" w:rsidR="002B3AD5" w:rsidRDefault="00D66CD0">
      <w:pPr>
        <w:pStyle w:val="a4"/>
        <w:numPr>
          <w:ilvl w:val="1"/>
          <w:numId w:val="22"/>
        </w:numPr>
        <w:tabs>
          <w:tab w:val="left" w:pos="2100"/>
        </w:tabs>
        <w:spacing w:before="75" w:line="276" w:lineRule="auto"/>
        <w:ind w:right="1379" w:firstLine="0"/>
        <w:rPr>
          <w:sz w:val="20"/>
          <w:lang w:eastAsia="ja-JP"/>
        </w:rPr>
      </w:pPr>
      <w:r>
        <w:rPr>
          <w:sz w:val="20"/>
          <w:lang w:eastAsia="ja-JP"/>
        </w:rPr>
        <w:t>温室効果ガス排出量の正味の削減をもたらす、環境的に安全な炭素回収・利用(CCU)および炭素回収・貯留(CCS)技術の利用を増やす。</w:t>
      </w:r>
    </w:p>
    <w:p w14:paraId="095A559E" w14:textId="77777777" w:rsidR="002B3AD5" w:rsidRDefault="00D66CD0">
      <w:pPr>
        <w:pStyle w:val="a3"/>
        <w:spacing w:before="41" w:line="276" w:lineRule="auto"/>
        <w:ind w:left="1800" w:right="1152"/>
        <w:rPr>
          <w:lang w:eastAsia="ja-JP"/>
        </w:rPr>
      </w:pPr>
      <w:r>
        <w:rPr>
          <w:lang w:eastAsia="ja-JP"/>
        </w:rPr>
        <w:t>(fa) 森林減少及び森林劣化の回避、森林の回復、持続可能な管理及び農地、草原及び湿地の回復、植林及び再生農業を含む、土地の炭素吸収源を強化すること。</w:t>
      </w:r>
    </w:p>
    <w:p w14:paraId="095A559F" w14:textId="77777777" w:rsidR="002B3AD5" w:rsidRDefault="00D66CD0">
      <w:pPr>
        <w:pStyle w:val="a4"/>
        <w:numPr>
          <w:ilvl w:val="0"/>
          <w:numId w:val="21"/>
        </w:numPr>
        <w:tabs>
          <w:tab w:val="left" w:pos="2100"/>
        </w:tabs>
        <w:spacing w:before="40" w:line="276" w:lineRule="auto"/>
        <w:ind w:right="1938" w:firstLine="0"/>
        <w:rPr>
          <w:sz w:val="20"/>
          <w:lang w:eastAsia="ja-JP"/>
        </w:rPr>
      </w:pPr>
      <w:r>
        <w:rPr>
          <w:sz w:val="20"/>
          <w:lang w:eastAsia="ja-JP"/>
        </w:rPr>
        <w:t>エネルギー・システムの炭素削減を可能にするために必要なエネルギー・インフラを確立する。</w:t>
      </w:r>
    </w:p>
    <w:p w14:paraId="095A55A0" w14:textId="77777777" w:rsidR="002B3AD5" w:rsidRDefault="00D66CD0">
      <w:pPr>
        <w:pStyle w:val="a4"/>
        <w:numPr>
          <w:ilvl w:val="0"/>
          <w:numId w:val="21"/>
        </w:numPr>
        <w:tabs>
          <w:tab w:val="left" w:pos="2100"/>
        </w:tabs>
        <w:spacing w:before="40"/>
        <w:ind w:left="2099" w:hanging="299"/>
        <w:rPr>
          <w:sz w:val="20"/>
          <w:lang w:eastAsia="ja-JP"/>
        </w:rPr>
      </w:pPr>
      <w:r>
        <w:rPr>
          <w:sz w:val="20"/>
          <w:lang w:eastAsia="ja-JP"/>
        </w:rPr>
        <w:t>再生可能またはカーボンニュートラルな資源からクリーンで効率的な燃料を生産する。</w:t>
      </w:r>
    </w:p>
    <w:p w14:paraId="095A55A1" w14:textId="77777777" w:rsidR="002B3AD5" w:rsidRDefault="00D66CD0">
      <w:pPr>
        <w:pStyle w:val="a4"/>
        <w:numPr>
          <w:ilvl w:val="0"/>
          <w:numId w:val="21"/>
        </w:numPr>
        <w:tabs>
          <w:tab w:val="left" w:pos="2033"/>
        </w:tabs>
        <w:spacing w:before="75"/>
        <w:ind w:left="2032" w:hanging="232"/>
        <w:rPr>
          <w:sz w:val="20"/>
          <w:lang w:eastAsia="ja-JP"/>
        </w:rPr>
      </w:pPr>
      <w:r>
        <w:rPr>
          <w:sz w:val="20"/>
          <w:lang w:eastAsia="ja-JP"/>
        </w:rPr>
        <w:t>第11a条に従って上記のいずれかを実施可能にする。</w:t>
      </w:r>
    </w:p>
    <w:p w14:paraId="095A55A2" w14:textId="77777777" w:rsidR="002B3AD5" w:rsidRDefault="002B3AD5">
      <w:pPr>
        <w:pStyle w:val="a3"/>
        <w:rPr>
          <w:sz w:val="22"/>
          <w:lang w:eastAsia="ja-JP"/>
        </w:rPr>
      </w:pPr>
    </w:p>
    <w:p w14:paraId="095A55A3" w14:textId="77777777" w:rsidR="002B3AD5" w:rsidRDefault="002B3AD5">
      <w:pPr>
        <w:pStyle w:val="a3"/>
        <w:spacing w:before="1"/>
        <w:rPr>
          <w:sz w:val="18"/>
          <w:lang w:eastAsia="ja-JP"/>
        </w:rPr>
      </w:pPr>
    </w:p>
    <w:p w14:paraId="095A55A4" w14:textId="77777777" w:rsidR="002B3AD5" w:rsidRDefault="00D66CD0">
      <w:pPr>
        <w:pStyle w:val="a3"/>
        <w:spacing w:line="276" w:lineRule="auto"/>
        <w:ind w:left="1080" w:right="1152"/>
        <w:rPr>
          <w:lang w:eastAsia="ja-JP"/>
        </w:rPr>
      </w:pPr>
      <w:r>
        <w:rPr>
          <w:lang w:eastAsia="ja-JP"/>
        </w:rPr>
        <w:t>1の規定の適用上、技術的及び経済的に実行可能な低炭素代替物質が存在しない経済活動は、温室効果ガスの排出(特に固体化石燃料からの排出であって、その活動が行われるもの)を段階的に廃止することを含め、産業革命前の水準を1.5℃上回る気温上昇を制限する経路に適合する気候中立経済への移行を支援するものとして、気候変動の緩和に実質的に寄与するものとみなす。</w:t>
      </w:r>
    </w:p>
    <w:p w14:paraId="095A55A5" w14:textId="77777777" w:rsidR="002B3AD5" w:rsidRDefault="00D66CD0">
      <w:pPr>
        <w:pStyle w:val="a4"/>
        <w:numPr>
          <w:ilvl w:val="1"/>
          <w:numId w:val="21"/>
        </w:numPr>
        <w:tabs>
          <w:tab w:val="left" w:pos="2520"/>
          <w:tab w:val="left" w:pos="2521"/>
        </w:tabs>
        <w:spacing w:before="120" w:line="273" w:lineRule="auto"/>
        <w:ind w:right="1658" w:hanging="470"/>
        <w:jc w:val="left"/>
        <w:rPr>
          <w:sz w:val="20"/>
          <w:lang w:eastAsia="ja-JP"/>
        </w:rPr>
      </w:pPr>
      <w:r>
        <w:rPr>
          <w:sz w:val="20"/>
          <w:lang w:eastAsia="ja-JP"/>
        </w:rPr>
        <w:t>温室効果ガスの排出レベルは、部門または産業の中で最も優れたパフォーマンスに相当する。</w:t>
      </w:r>
    </w:p>
    <w:p w14:paraId="095A55A6" w14:textId="77777777" w:rsidR="002B3AD5" w:rsidRDefault="00D66CD0">
      <w:pPr>
        <w:pStyle w:val="a4"/>
        <w:numPr>
          <w:ilvl w:val="1"/>
          <w:numId w:val="21"/>
        </w:numPr>
        <w:tabs>
          <w:tab w:val="left" w:pos="2520"/>
          <w:tab w:val="left" w:pos="2521"/>
        </w:tabs>
        <w:spacing w:before="1"/>
        <w:ind w:hanging="526"/>
        <w:jc w:val="left"/>
        <w:rPr>
          <w:sz w:val="20"/>
          <w:lang w:eastAsia="ja-JP"/>
        </w:rPr>
      </w:pPr>
      <w:r>
        <w:rPr>
          <w:sz w:val="20"/>
          <w:lang w:eastAsia="ja-JP"/>
        </w:rPr>
        <w:t>低炭素代替エネルギーの開発と展開を妨げるものではない。</w:t>
      </w:r>
    </w:p>
    <w:p w14:paraId="095A55A7" w14:textId="77777777" w:rsidR="002B3AD5" w:rsidRDefault="00D66CD0">
      <w:pPr>
        <w:pStyle w:val="a4"/>
        <w:numPr>
          <w:ilvl w:val="1"/>
          <w:numId w:val="21"/>
        </w:numPr>
        <w:tabs>
          <w:tab w:val="left" w:pos="2520"/>
          <w:tab w:val="left" w:pos="2521"/>
        </w:tabs>
        <w:spacing w:before="35" w:line="278" w:lineRule="auto"/>
        <w:ind w:right="1209" w:hanging="583"/>
        <w:jc w:val="left"/>
        <w:rPr>
          <w:sz w:val="20"/>
          <w:lang w:eastAsia="ja-JP"/>
        </w:rPr>
      </w:pPr>
      <w:r>
        <w:rPr>
          <w:sz w:val="20"/>
          <w:lang w:eastAsia="ja-JP"/>
        </w:rPr>
        <w:t>これらの資産の経済的耐用年数を考慮すると、炭素集約的資産の固定化につながらない。</w:t>
      </w:r>
    </w:p>
    <w:p w14:paraId="095A55A8" w14:textId="77777777" w:rsidR="002B3AD5" w:rsidRDefault="002B3AD5">
      <w:pPr>
        <w:pStyle w:val="a3"/>
        <w:spacing w:before="7"/>
        <w:rPr>
          <w:lang w:eastAsia="ja-JP"/>
        </w:rPr>
      </w:pPr>
    </w:p>
    <w:p w14:paraId="095A55A9" w14:textId="77777777" w:rsidR="002B3AD5" w:rsidRDefault="00D66CD0">
      <w:pPr>
        <w:pStyle w:val="a3"/>
        <w:spacing w:line="276" w:lineRule="auto"/>
        <w:ind w:left="1080" w:right="1119"/>
        <w:jc w:val="both"/>
        <w:rPr>
          <w:lang w:eastAsia="ja-JP"/>
        </w:rPr>
      </w:pPr>
      <w:r>
        <w:rPr>
          <w:lang w:eastAsia="ja-JP"/>
        </w:rPr>
        <w:t>加えて、EUは、2050年までに気候中立経済を義務付ける気候法案と、2030年までに温室効果ガスの中間排出量を50%~55%削減するという目標を提案した。 TEGの勧告は、これらの目標と整合している。</w:t>
      </w:r>
    </w:p>
    <w:p w14:paraId="095A55AA" w14:textId="77777777" w:rsidR="002B3AD5" w:rsidRDefault="002B3AD5">
      <w:pPr>
        <w:spacing w:line="276" w:lineRule="auto"/>
        <w:jc w:val="both"/>
        <w:rPr>
          <w:lang w:eastAsia="ja-JP"/>
        </w:rPr>
        <w:sectPr w:rsidR="002B3AD5">
          <w:pgSz w:w="12240" w:h="15840"/>
          <w:pgMar w:top="1360" w:right="320" w:bottom="1200" w:left="360" w:header="0" w:footer="1020" w:gutter="0"/>
          <w:cols w:space="720"/>
        </w:sectPr>
      </w:pPr>
    </w:p>
    <w:p w14:paraId="095A55AB" w14:textId="77777777" w:rsidR="002B3AD5" w:rsidRDefault="00D66CD0">
      <w:pPr>
        <w:pStyle w:val="3"/>
        <w:numPr>
          <w:ilvl w:val="1"/>
          <w:numId w:val="24"/>
        </w:numPr>
        <w:tabs>
          <w:tab w:val="left" w:pos="1800"/>
          <w:tab w:val="left" w:pos="1801"/>
        </w:tabs>
        <w:spacing w:before="80"/>
        <w:rPr>
          <w:lang w:eastAsia="ja-JP"/>
        </w:rPr>
      </w:pPr>
      <w:bookmarkStart w:id="4" w:name="_bookmark4"/>
      <w:bookmarkEnd w:id="4"/>
      <w:r>
        <w:rPr>
          <w:color w:val="006FC0"/>
          <w:lang w:eastAsia="ja-JP"/>
        </w:rPr>
        <w:lastRenderedPageBreak/>
        <w:t>実質的に緩和に寄与する活動に対する資金の適格性</w:t>
      </w:r>
    </w:p>
    <w:p w14:paraId="095A55AC" w14:textId="322755E7" w:rsidR="002B3AD5" w:rsidRDefault="00D66CD0">
      <w:pPr>
        <w:pStyle w:val="a3"/>
        <w:spacing w:before="201" w:line="276" w:lineRule="auto"/>
        <w:ind w:left="1080" w:right="1152"/>
        <w:rPr>
          <w:lang w:eastAsia="ja-JP"/>
        </w:rPr>
      </w:pPr>
      <w:r>
        <w:rPr>
          <w:lang w:eastAsia="ja-JP"/>
        </w:rPr>
        <w:t>2019年6月の報告書以降、以下の表が更新され、異なるタイプの投資および金融を</w:t>
      </w:r>
      <w:r w:rsidR="002F5B54">
        <w:rPr>
          <w:lang w:eastAsia="ja-JP"/>
        </w:rPr>
        <w:t>タクソノミー</w:t>
      </w:r>
      <w:r>
        <w:rPr>
          <w:lang w:eastAsia="ja-JP"/>
        </w:rPr>
        <w:t>的に適格とみなす方法が示されている。 今回の改訂は、TEGの勧告を反映して、</w:t>
      </w:r>
      <w:r w:rsidR="004548CA">
        <w:rPr>
          <w:rFonts w:hint="eastAsia"/>
          <w:lang w:eastAsia="ja-JP"/>
        </w:rPr>
        <w:t>イネ―ブリング</w:t>
      </w:r>
      <w:r>
        <w:rPr>
          <w:lang w:eastAsia="ja-JP"/>
        </w:rPr>
        <w:t>活動を明確に特定する分類法規制との整合性をより明確にすることである。 ここでは、2つの活動タイプを以下のいずれかと呼ぶ:自らのパフォーマンスのために実質的な貢献を有する活動-技術的スクリーニング基準のための活動境界を反映した、活動内の活動を参照する;または、他の経済活動に</w:t>
      </w:r>
      <w:r w:rsidR="004548CA">
        <w:rPr>
          <w:rFonts w:hint="eastAsia"/>
          <w:lang w:eastAsia="ja-JP"/>
        </w:rPr>
        <w:t>よる</w:t>
      </w:r>
      <w:r>
        <w:rPr>
          <w:lang w:eastAsia="ja-JP"/>
        </w:rPr>
        <w:t>緩和を</w:t>
      </w:r>
      <w:r w:rsidR="004548CA">
        <w:rPr>
          <w:rFonts w:hint="eastAsia"/>
          <w:lang w:eastAsia="ja-JP"/>
        </w:rPr>
        <w:t>イネ―ブリング（側面支援）する</w:t>
      </w:r>
      <w:r>
        <w:rPr>
          <w:lang w:eastAsia="ja-JP"/>
        </w:rPr>
        <w:t>活動。</w:t>
      </w:r>
    </w:p>
    <w:p w14:paraId="095A55AD" w14:textId="77777777" w:rsidR="002B3AD5" w:rsidRDefault="002B3AD5">
      <w:pPr>
        <w:pStyle w:val="a3"/>
        <w:spacing w:before="10"/>
        <w:rPr>
          <w:lang w:eastAsia="ja-JP"/>
        </w:rPr>
      </w:pPr>
    </w:p>
    <w:p w14:paraId="095A55AE" w14:textId="5967C22B" w:rsidR="002B3AD5" w:rsidRDefault="00D66CD0">
      <w:pPr>
        <w:pStyle w:val="a3"/>
        <w:spacing w:line="276" w:lineRule="auto"/>
        <w:ind w:left="1080" w:right="1152"/>
        <w:rPr>
          <w:lang w:eastAsia="ja-JP"/>
        </w:rPr>
      </w:pPr>
      <w:r>
        <w:rPr>
          <w:lang w:eastAsia="ja-JP"/>
        </w:rPr>
        <w:t>また、この表は、移行に寄与する活動(</w:t>
      </w:r>
      <w:r w:rsidR="002F5B54">
        <w:rPr>
          <w:lang w:eastAsia="ja-JP"/>
        </w:rPr>
        <w:t>タクソノミー</w:t>
      </w:r>
      <w:r>
        <w:rPr>
          <w:lang w:eastAsia="ja-JP"/>
        </w:rPr>
        <w:t>規制における移行活動)が、依然として気候緩和目標に大きく寄与し、</w:t>
      </w:r>
      <w:r w:rsidR="002F5B54">
        <w:rPr>
          <w:lang w:eastAsia="ja-JP"/>
        </w:rPr>
        <w:t>タクソノミー</w:t>
      </w:r>
      <w:r>
        <w:rPr>
          <w:lang w:eastAsia="ja-JP"/>
        </w:rPr>
        <w:t>のしきい値を満たすと期待されていることを示している。 これは、2019年6月のTEG報告書では、3番目の活動タイプとされました。</w:t>
      </w:r>
    </w:p>
    <w:p w14:paraId="095A55AF" w14:textId="77777777" w:rsidR="002B3AD5" w:rsidRDefault="00D66CD0">
      <w:pPr>
        <w:pStyle w:val="a3"/>
        <w:spacing w:before="6"/>
        <w:rPr>
          <w:sz w:val="17"/>
          <w:lang w:eastAsia="ja-JP"/>
        </w:rPr>
      </w:pPr>
      <w:r>
        <w:rPr>
          <w:noProof/>
          <w:lang w:val="en-US" w:eastAsia="ja-JP"/>
        </w:rPr>
        <w:drawing>
          <wp:anchor distT="0" distB="0" distL="0" distR="0" simplePos="0" relativeHeight="251648000" behindDoc="0" locked="0" layoutInCell="1" allowOverlap="1" wp14:anchorId="095A58F2" wp14:editId="095A58F3">
            <wp:simplePos x="0" y="0"/>
            <wp:positionH relativeFrom="page">
              <wp:posOffset>1006475</wp:posOffset>
            </wp:positionH>
            <wp:positionV relativeFrom="paragraph">
              <wp:posOffset>153127</wp:posOffset>
            </wp:positionV>
            <wp:extent cx="5754010" cy="39456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754010" cy="3945636"/>
                    </a:xfrm>
                    <a:prstGeom prst="rect">
                      <a:avLst/>
                    </a:prstGeom>
                  </pic:spPr>
                </pic:pic>
              </a:graphicData>
            </a:graphic>
          </wp:anchor>
        </w:drawing>
      </w:r>
    </w:p>
    <w:p w14:paraId="095A55B0" w14:textId="77777777" w:rsidR="002B3AD5" w:rsidRDefault="002B3AD5">
      <w:pPr>
        <w:pStyle w:val="a3"/>
        <w:rPr>
          <w:sz w:val="22"/>
          <w:lang w:eastAsia="ja-JP"/>
        </w:rPr>
      </w:pPr>
    </w:p>
    <w:p w14:paraId="095A55B1" w14:textId="77777777" w:rsidR="002B3AD5" w:rsidRDefault="002B3AD5">
      <w:pPr>
        <w:pStyle w:val="a3"/>
        <w:rPr>
          <w:sz w:val="22"/>
          <w:lang w:eastAsia="ja-JP"/>
        </w:rPr>
      </w:pPr>
    </w:p>
    <w:p w14:paraId="095A55B2" w14:textId="77777777" w:rsidR="002B3AD5" w:rsidRDefault="002B3AD5">
      <w:pPr>
        <w:pStyle w:val="a3"/>
        <w:spacing w:before="10"/>
        <w:rPr>
          <w:sz w:val="21"/>
          <w:lang w:eastAsia="ja-JP"/>
        </w:rPr>
      </w:pPr>
    </w:p>
    <w:p w14:paraId="095A55B3" w14:textId="77777777" w:rsidR="002B3AD5" w:rsidRDefault="00D66CD0">
      <w:pPr>
        <w:pStyle w:val="3"/>
        <w:numPr>
          <w:ilvl w:val="1"/>
          <w:numId w:val="24"/>
        </w:numPr>
        <w:tabs>
          <w:tab w:val="left" w:pos="1800"/>
          <w:tab w:val="left" w:pos="1801"/>
        </w:tabs>
        <w:spacing w:before="1"/>
      </w:pPr>
      <w:bookmarkStart w:id="5" w:name="_bookmark5"/>
      <w:bookmarkEnd w:id="5"/>
      <w:proofErr w:type="spellStart"/>
      <w:r>
        <w:rPr>
          <w:color w:val="006FC0"/>
        </w:rPr>
        <w:t>今後の展開</w:t>
      </w:r>
      <w:proofErr w:type="spellEnd"/>
    </w:p>
    <w:p w14:paraId="095A55B4" w14:textId="2EE9A318" w:rsidR="002B3AD5" w:rsidRDefault="00D66CD0">
      <w:pPr>
        <w:pStyle w:val="a3"/>
        <w:spacing w:before="200" w:line="276" w:lineRule="auto"/>
        <w:ind w:left="1080" w:right="1365"/>
        <w:rPr>
          <w:lang w:eastAsia="ja-JP"/>
        </w:rPr>
      </w:pPr>
      <w:r>
        <w:rPr>
          <w:lang w:eastAsia="ja-JP"/>
        </w:rPr>
        <w:t>この方法論を用いて特定されたセクターは、EUの2030年と2050年の気候目標を達成するために炭素削減が必要な重要なセクターである。 ヨーロッパ</w:t>
      </w:r>
      <w:r w:rsidR="009A2545">
        <w:rPr>
          <w:rFonts w:hint="eastAsia"/>
          <w:lang w:eastAsia="ja-JP"/>
        </w:rPr>
        <w:t>における排出量</w:t>
      </w:r>
      <w:r>
        <w:rPr>
          <w:lang w:eastAsia="ja-JP"/>
        </w:rPr>
        <w:t>の圧倒的多数を占める</w:t>
      </w:r>
      <w:r w:rsidR="009A2545">
        <w:rPr>
          <w:rFonts w:hint="eastAsia"/>
          <w:lang w:eastAsia="ja-JP"/>
        </w:rPr>
        <w:t>。7</w:t>
      </w:r>
    </w:p>
    <w:p w14:paraId="095A55B5"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5B6" w14:textId="5C3B6BC6" w:rsidR="002B3AD5" w:rsidRDefault="00D66CD0">
      <w:pPr>
        <w:pStyle w:val="a3"/>
        <w:spacing w:before="79" w:line="276" w:lineRule="auto"/>
        <w:ind w:left="1080" w:right="1152"/>
        <w:rPr>
          <w:lang w:eastAsia="ja-JP"/>
        </w:rPr>
      </w:pPr>
      <w:r>
        <w:rPr>
          <w:lang w:eastAsia="ja-JP"/>
        </w:rPr>
        <w:lastRenderedPageBreak/>
        <w:t>これらは、より広範な世界的なコンセンサスと整合的であり、欧州グリーン・ディール8の下で実体経済改革のために特定された優先分野を反映している。</w:t>
      </w:r>
    </w:p>
    <w:p w14:paraId="095A55B7" w14:textId="77777777" w:rsidR="002B3AD5" w:rsidRDefault="002B3AD5">
      <w:pPr>
        <w:pStyle w:val="a3"/>
        <w:spacing w:before="10"/>
        <w:rPr>
          <w:lang w:eastAsia="ja-JP"/>
        </w:rPr>
      </w:pPr>
    </w:p>
    <w:p w14:paraId="095A55B8" w14:textId="558DE14F" w:rsidR="002B3AD5" w:rsidRDefault="00D66CD0">
      <w:pPr>
        <w:pStyle w:val="a3"/>
        <w:spacing w:line="276" w:lineRule="auto"/>
        <w:ind w:left="1080" w:right="1255"/>
        <w:rPr>
          <w:lang w:eastAsia="ja-JP"/>
        </w:rPr>
      </w:pPr>
      <w:r>
        <w:rPr>
          <w:lang w:eastAsia="ja-JP"/>
        </w:rPr>
        <w:t>これに基づき、TEGは、</w:t>
      </w:r>
      <w:r w:rsidR="009A2545">
        <w:rPr>
          <w:rFonts w:hint="eastAsia"/>
          <w:lang w:eastAsia="ja-JP"/>
        </w:rPr>
        <w:t>「</w:t>
      </w:r>
      <w:r>
        <w:rPr>
          <w:lang w:eastAsia="ja-JP"/>
        </w:rPr>
        <w:t>持続可能な金融プラットフォーム</w:t>
      </w:r>
      <w:r w:rsidR="009A2545">
        <w:rPr>
          <w:rFonts w:hint="eastAsia"/>
          <w:lang w:eastAsia="ja-JP"/>
        </w:rPr>
        <w:t>」</w:t>
      </w:r>
      <w:r>
        <w:rPr>
          <w:lang w:eastAsia="ja-JP"/>
        </w:rPr>
        <w:t>が、対象セクターの即時拡大ではなく、選択された既存セクターの完全な評価を優先するよう勧告する。 しかし、持続可能な金融プラットフォームは、基礎となるデータに重大な変化が生じた場合、セクター別排出量のモニタリングを継続すべきである。</w:t>
      </w:r>
    </w:p>
    <w:p w14:paraId="095A55B9" w14:textId="77777777" w:rsidR="002B3AD5" w:rsidRDefault="002B3AD5">
      <w:pPr>
        <w:pStyle w:val="a3"/>
        <w:spacing w:before="10"/>
        <w:rPr>
          <w:lang w:eastAsia="ja-JP"/>
        </w:rPr>
      </w:pPr>
    </w:p>
    <w:p w14:paraId="095A55BA" w14:textId="6EA27CBE" w:rsidR="002B3AD5" w:rsidRDefault="00D66CD0">
      <w:pPr>
        <w:pStyle w:val="a3"/>
        <w:spacing w:line="276" w:lineRule="auto"/>
        <w:ind w:left="1080" w:right="1149"/>
        <w:rPr>
          <w:lang w:eastAsia="ja-JP"/>
        </w:rPr>
      </w:pPr>
      <w:r>
        <w:rPr>
          <w:lang w:eastAsia="ja-JP"/>
        </w:rPr>
        <w:t>TEGはまた、いくつかの重要な活動がNACEコードによって捕捉されていないことを認識している。 例えば、旅行回避を含めた低炭素開発のための都市・地域計画、菜食のような低炭素の個人的選択に対する支援、天然林や湿地のような公共の天然資本を維持するための投資などである。 今後、これらを</w:t>
      </w:r>
      <w:r w:rsidR="002F5B54">
        <w:rPr>
          <w:lang w:eastAsia="ja-JP"/>
        </w:rPr>
        <w:t>タクソノミー</w:t>
      </w:r>
      <w:r>
        <w:rPr>
          <w:lang w:eastAsia="ja-JP"/>
        </w:rPr>
        <w:t>に含めるために、さらなる研究が必要である。</w:t>
      </w:r>
    </w:p>
    <w:p w14:paraId="095A55BB" w14:textId="77777777" w:rsidR="002B3AD5" w:rsidRDefault="002B3AD5">
      <w:pPr>
        <w:pStyle w:val="a3"/>
        <w:spacing w:before="11"/>
        <w:rPr>
          <w:lang w:eastAsia="ja-JP"/>
        </w:rPr>
      </w:pPr>
    </w:p>
    <w:p w14:paraId="095A55BC" w14:textId="77777777" w:rsidR="002B3AD5" w:rsidRDefault="00D66CD0">
      <w:pPr>
        <w:pStyle w:val="a3"/>
        <w:spacing w:line="276" w:lineRule="auto"/>
        <w:ind w:left="1080" w:right="1126"/>
        <w:rPr>
          <w:lang w:eastAsia="ja-JP"/>
        </w:rPr>
      </w:pPr>
      <w:r>
        <w:rPr>
          <w:lang w:eastAsia="ja-JP"/>
        </w:rPr>
        <w:t>この方法論を用いてTEGによって特定された活動は、気候変動の緩和に重大な被害を回避したり、実質的に寄与したりする可能性のある経済活動の大多数(ただし、すべてではない)を反映している。 一部のケースでは、TEGは、利用可能な期間内に、利用可能な資源を用いて、サブセクターの潜在的な貢献を十分に評価することができなかった。 それゆえ、TEGは、持続可能な金融プラットフォームが、特に以下に焦点を当てて、既存セクター内の活動の更なる評価を行うことを勧告する。</w:t>
      </w:r>
    </w:p>
    <w:p w14:paraId="095A55BD" w14:textId="77777777" w:rsidR="002B3AD5" w:rsidRDefault="002B3AD5">
      <w:pPr>
        <w:pStyle w:val="a3"/>
        <w:spacing w:before="10"/>
        <w:rPr>
          <w:lang w:eastAsia="ja-JP"/>
        </w:rPr>
      </w:pPr>
    </w:p>
    <w:p w14:paraId="095A55BE" w14:textId="77777777" w:rsidR="002B3AD5" w:rsidRDefault="00D66CD0">
      <w:pPr>
        <w:pStyle w:val="a4"/>
        <w:numPr>
          <w:ilvl w:val="0"/>
          <w:numId w:val="20"/>
        </w:numPr>
        <w:tabs>
          <w:tab w:val="left" w:pos="1440"/>
          <w:tab w:val="left" w:pos="1441"/>
        </w:tabs>
        <w:spacing w:before="0"/>
        <w:rPr>
          <w:sz w:val="20"/>
          <w:lang w:eastAsia="ja-JP"/>
        </w:rPr>
      </w:pPr>
      <w:r>
        <w:rPr>
          <w:sz w:val="20"/>
          <w:lang w:eastAsia="ja-JP"/>
        </w:rPr>
        <w:t>製造-追加的な高排出活動</w:t>
      </w:r>
    </w:p>
    <w:p w14:paraId="095A55BF" w14:textId="77777777" w:rsidR="002B3AD5" w:rsidRDefault="002B3AD5">
      <w:pPr>
        <w:pStyle w:val="a3"/>
        <w:spacing w:before="9"/>
        <w:rPr>
          <w:sz w:val="23"/>
          <w:lang w:eastAsia="ja-JP"/>
        </w:rPr>
      </w:pPr>
    </w:p>
    <w:p w14:paraId="095A55C0" w14:textId="77777777" w:rsidR="002B3AD5" w:rsidRDefault="00D66CD0">
      <w:pPr>
        <w:pStyle w:val="a4"/>
        <w:numPr>
          <w:ilvl w:val="0"/>
          <w:numId w:val="20"/>
        </w:numPr>
        <w:tabs>
          <w:tab w:val="left" w:pos="1440"/>
          <w:tab w:val="left" w:pos="1441"/>
        </w:tabs>
        <w:spacing w:before="0"/>
        <w:rPr>
          <w:sz w:val="20"/>
        </w:rPr>
      </w:pPr>
      <w:r>
        <w:rPr>
          <w:sz w:val="20"/>
          <w:lang w:eastAsia="ja-JP"/>
        </w:rPr>
        <w:t>運輸業(海運業及び航空業を含む。</w:t>
      </w:r>
      <w:r>
        <w:rPr>
          <w:sz w:val="20"/>
        </w:rPr>
        <w:t>)</w:t>
      </w:r>
    </w:p>
    <w:p w14:paraId="095A55C1" w14:textId="77777777" w:rsidR="002B3AD5" w:rsidRDefault="002B3AD5">
      <w:pPr>
        <w:pStyle w:val="a3"/>
        <w:spacing w:before="8"/>
        <w:rPr>
          <w:sz w:val="23"/>
        </w:rPr>
      </w:pPr>
    </w:p>
    <w:p w14:paraId="095A55C2" w14:textId="47DC1C13" w:rsidR="002B3AD5" w:rsidRDefault="00D66CD0">
      <w:pPr>
        <w:pStyle w:val="a3"/>
        <w:spacing w:line="276" w:lineRule="auto"/>
        <w:ind w:left="1080" w:right="1152"/>
        <w:rPr>
          <w:lang w:eastAsia="ja-JP"/>
        </w:rPr>
      </w:pPr>
      <w:r>
        <w:rPr>
          <w:lang w:eastAsia="ja-JP"/>
        </w:rPr>
        <w:t>また、TEGは、持続可能な金融プラットフォームが、</w:t>
      </w:r>
      <w:r w:rsidR="002F5B54">
        <w:rPr>
          <w:lang w:eastAsia="ja-JP"/>
        </w:rPr>
        <w:t>タクソノミー</w:t>
      </w:r>
      <w:r>
        <w:rPr>
          <w:lang w:eastAsia="ja-JP"/>
        </w:rPr>
        <w:t>の他のセクター内</w:t>
      </w:r>
      <w:r w:rsidR="004548CA">
        <w:rPr>
          <w:rFonts w:hint="eastAsia"/>
          <w:lang w:eastAsia="ja-JP"/>
        </w:rPr>
        <w:t>に、イネ―ブリング（側面支援）</w:t>
      </w:r>
      <w:r>
        <w:rPr>
          <w:lang w:eastAsia="ja-JP"/>
        </w:rPr>
        <w:t xml:space="preserve">活動を含める作業を継続することを勧告する。 </w:t>
      </w:r>
      <w:r w:rsidR="004548CA">
        <w:rPr>
          <w:rFonts w:hint="eastAsia"/>
          <w:lang w:eastAsia="ja-JP"/>
        </w:rPr>
        <w:t>イネ―ブリング（側面支援）</w:t>
      </w:r>
      <w:r>
        <w:rPr>
          <w:lang w:eastAsia="ja-JP"/>
        </w:rPr>
        <w:t>活動の認識は、研究、開発、イノベーションを奨励し、その結果としての経済活動における実質的なGHG削減を奨励し、これらの活動への資金の流れを奨励するための重要な方法である。</w:t>
      </w:r>
    </w:p>
    <w:p w14:paraId="095A55C3" w14:textId="77777777" w:rsidR="002B3AD5" w:rsidRDefault="002B3AD5">
      <w:pPr>
        <w:pStyle w:val="a3"/>
        <w:rPr>
          <w:lang w:eastAsia="ja-JP"/>
        </w:rPr>
      </w:pPr>
    </w:p>
    <w:p w14:paraId="095A55C4" w14:textId="77777777" w:rsidR="002B3AD5" w:rsidRDefault="002B3AD5">
      <w:pPr>
        <w:pStyle w:val="a3"/>
        <w:rPr>
          <w:lang w:eastAsia="ja-JP"/>
        </w:rPr>
      </w:pPr>
    </w:p>
    <w:p w14:paraId="095A55C5" w14:textId="77777777" w:rsidR="002B3AD5" w:rsidRDefault="002B3AD5">
      <w:pPr>
        <w:pStyle w:val="a3"/>
        <w:rPr>
          <w:lang w:eastAsia="ja-JP"/>
        </w:rPr>
      </w:pPr>
    </w:p>
    <w:p w14:paraId="095A55C6" w14:textId="77777777" w:rsidR="002B3AD5" w:rsidRDefault="002B3AD5">
      <w:pPr>
        <w:pStyle w:val="a3"/>
        <w:rPr>
          <w:lang w:eastAsia="ja-JP"/>
        </w:rPr>
      </w:pPr>
    </w:p>
    <w:p w14:paraId="095A55C7" w14:textId="77777777" w:rsidR="002B3AD5" w:rsidRDefault="002B3AD5">
      <w:pPr>
        <w:pStyle w:val="a3"/>
        <w:rPr>
          <w:lang w:eastAsia="ja-JP"/>
        </w:rPr>
      </w:pPr>
    </w:p>
    <w:p w14:paraId="095A55C8" w14:textId="77777777" w:rsidR="002B3AD5" w:rsidRDefault="002B3AD5">
      <w:pPr>
        <w:pStyle w:val="a3"/>
        <w:rPr>
          <w:lang w:eastAsia="ja-JP"/>
        </w:rPr>
      </w:pPr>
    </w:p>
    <w:p w14:paraId="095A55C9" w14:textId="77777777" w:rsidR="002B3AD5" w:rsidRDefault="002B3AD5">
      <w:pPr>
        <w:pStyle w:val="a3"/>
        <w:rPr>
          <w:lang w:eastAsia="ja-JP"/>
        </w:rPr>
      </w:pPr>
    </w:p>
    <w:p w14:paraId="095A55CA" w14:textId="77777777" w:rsidR="002B3AD5" w:rsidRDefault="002B3AD5">
      <w:pPr>
        <w:pStyle w:val="a3"/>
        <w:rPr>
          <w:lang w:eastAsia="ja-JP"/>
        </w:rPr>
      </w:pPr>
    </w:p>
    <w:p w14:paraId="095A55CB" w14:textId="77777777" w:rsidR="002B3AD5" w:rsidRDefault="002B3AD5">
      <w:pPr>
        <w:pStyle w:val="a3"/>
        <w:rPr>
          <w:lang w:eastAsia="ja-JP"/>
        </w:rPr>
      </w:pPr>
    </w:p>
    <w:p w14:paraId="095A55CC" w14:textId="77777777" w:rsidR="002B3AD5" w:rsidRDefault="002B3AD5">
      <w:pPr>
        <w:pStyle w:val="a3"/>
        <w:rPr>
          <w:lang w:eastAsia="ja-JP"/>
        </w:rPr>
      </w:pPr>
    </w:p>
    <w:p w14:paraId="095A55CD" w14:textId="77777777" w:rsidR="002B3AD5" w:rsidRDefault="002B3AD5">
      <w:pPr>
        <w:pStyle w:val="a3"/>
        <w:rPr>
          <w:lang w:eastAsia="ja-JP"/>
        </w:rPr>
      </w:pPr>
    </w:p>
    <w:p w14:paraId="095A55CE" w14:textId="77777777" w:rsidR="002B3AD5" w:rsidRDefault="002B3AD5">
      <w:pPr>
        <w:pStyle w:val="a3"/>
        <w:rPr>
          <w:lang w:eastAsia="ja-JP"/>
        </w:rPr>
      </w:pPr>
    </w:p>
    <w:p w14:paraId="095A55CF" w14:textId="77777777" w:rsidR="002B3AD5" w:rsidRDefault="002B3AD5">
      <w:pPr>
        <w:pStyle w:val="a3"/>
        <w:rPr>
          <w:lang w:eastAsia="ja-JP"/>
        </w:rPr>
      </w:pPr>
    </w:p>
    <w:p w14:paraId="095A55D0" w14:textId="77777777" w:rsidR="002B3AD5" w:rsidRDefault="002B3AD5">
      <w:pPr>
        <w:pStyle w:val="a3"/>
        <w:rPr>
          <w:lang w:eastAsia="ja-JP"/>
        </w:rPr>
      </w:pPr>
    </w:p>
    <w:p w14:paraId="095A55D1" w14:textId="77777777" w:rsidR="002B3AD5" w:rsidRDefault="002B3AD5">
      <w:pPr>
        <w:pStyle w:val="a3"/>
        <w:rPr>
          <w:lang w:eastAsia="ja-JP"/>
        </w:rPr>
      </w:pPr>
    </w:p>
    <w:p w14:paraId="095A55D2" w14:textId="2F3A864B" w:rsidR="002B3AD5" w:rsidRDefault="00C37D34">
      <w:pPr>
        <w:pStyle w:val="a3"/>
        <w:rPr>
          <w:sz w:val="29"/>
          <w:lang w:eastAsia="ja-JP"/>
        </w:rPr>
      </w:pPr>
      <w:r>
        <w:rPr>
          <w:noProof/>
          <w:lang w:val="en-US" w:eastAsia="ja-JP"/>
        </w:rPr>
        <mc:AlternateContent>
          <mc:Choice Requires="wps">
            <w:drawing>
              <wp:anchor distT="0" distB="0" distL="0" distR="0" simplePos="0" relativeHeight="251657216" behindDoc="1" locked="0" layoutInCell="1" allowOverlap="1" wp14:anchorId="095A58F4" wp14:editId="6BD0402A">
                <wp:simplePos x="0" y="0"/>
                <wp:positionH relativeFrom="page">
                  <wp:posOffset>914400</wp:posOffset>
                </wp:positionH>
                <wp:positionV relativeFrom="paragraph">
                  <wp:posOffset>240030</wp:posOffset>
                </wp:positionV>
                <wp:extent cx="1829435" cy="0"/>
                <wp:effectExtent l="9525" t="7620" r="8890" b="11430"/>
                <wp:wrapTopAndBottom/>
                <wp:docPr id="3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F262F" id="Line 19" o:spid="_x0000_s1026" style="position:absolute;left:0;text-align:lef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pt" to="216.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ZiFQ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" strokeweight=".48pt">
                <w10:wrap type="topAndBottom" anchorx="page"/>
              </v:line>
            </w:pict>
          </mc:Fallback>
        </mc:AlternateContent>
      </w:r>
    </w:p>
    <w:p w14:paraId="095A55D3" w14:textId="77777777" w:rsidR="002B3AD5" w:rsidRDefault="002B3AD5">
      <w:pPr>
        <w:pStyle w:val="a3"/>
        <w:spacing w:before="4"/>
        <w:rPr>
          <w:sz w:val="17"/>
          <w:lang w:eastAsia="ja-JP"/>
        </w:rPr>
      </w:pPr>
    </w:p>
    <w:p w14:paraId="095A55D4" w14:textId="77777777" w:rsidR="002B3AD5" w:rsidRDefault="00D66CD0">
      <w:pPr>
        <w:pStyle w:val="a4"/>
        <w:numPr>
          <w:ilvl w:val="0"/>
          <w:numId w:val="23"/>
        </w:numPr>
        <w:tabs>
          <w:tab w:val="left" w:pos="1215"/>
        </w:tabs>
        <w:spacing w:before="96" w:line="259" w:lineRule="auto"/>
        <w:ind w:right="1819" w:firstLine="0"/>
        <w:rPr>
          <w:sz w:val="16"/>
          <w:lang w:eastAsia="ja-JP"/>
        </w:rPr>
      </w:pPr>
      <w:r>
        <w:rPr>
          <w:sz w:val="16"/>
          <w:lang w:eastAsia="ja-JP"/>
        </w:rPr>
        <w:t>建築物は別のNACEコードとして機能せず、EU排出量の36%を占めているため、真の数値は93%以上になる可能性が高い。</w:t>
      </w:r>
    </w:p>
    <w:p w14:paraId="095A55D5" w14:textId="77777777" w:rsidR="002B3AD5" w:rsidRDefault="004339EC">
      <w:pPr>
        <w:pStyle w:val="a4"/>
        <w:numPr>
          <w:ilvl w:val="0"/>
          <w:numId w:val="23"/>
        </w:numPr>
        <w:tabs>
          <w:tab w:val="left" w:pos="1215"/>
        </w:tabs>
        <w:spacing w:before="159"/>
        <w:ind w:left="1214" w:hanging="134"/>
        <w:rPr>
          <w:sz w:val="16"/>
          <w:lang w:eastAsia="ja-JP"/>
        </w:rPr>
      </w:pPr>
      <w:hyperlink r:id="rId14">
        <w:r w:rsidR="00D66CD0">
          <w:rPr>
            <w:sz w:val="16"/>
            <w:lang w:eastAsia="ja-JP"/>
          </w:rPr>
          <w:t>https://ec.europa.eu/info/strategy/priorities-2019-2024/european-green-deal_en</w:t>
        </w:r>
      </w:hyperlink>
    </w:p>
    <w:p w14:paraId="095A55D6" w14:textId="77777777" w:rsidR="002B3AD5" w:rsidRDefault="002B3AD5">
      <w:pPr>
        <w:rPr>
          <w:sz w:val="16"/>
          <w:lang w:eastAsia="ja-JP"/>
        </w:rPr>
        <w:sectPr w:rsidR="002B3AD5">
          <w:pgSz w:w="12240" w:h="15840"/>
          <w:pgMar w:top="1360" w:right="320" w:bottom="1200" w:left="360" w:header="0" w:footer="1020" w:gutter="0"/>
          <w:cols w:space="720"/>
        </w:sectPr>
      </w:pPr>
    </w:p>
    <w:p w14:paraId="095A55D7" w14:textId="77777777" w:rsidR="002B3AD5" w:rsidRPr="002F3705" w:rsidRDefault="00D66CD0">
      <w:pPr>
        <w:pStyle w:val="2"/>
        <w:numPr>
          <w:ilvl w:val="0"/>
          <w:numId w:val="24"/>
        </w:numPr>
        <w:tabs>
          <w:tab w:val="left" w:pos="1800"/>
          <w:tab w:val="left" w:pos="1801"/>
        </w:tabs>
        <w:spacing w:line="276" w:lineRule="auto"/>
        <w:ind w:right="2477" w:firstLine="0"/>
        <w:rPr>
          <w:lang w:eastAsia="ja-JP"/>
        </w:rPr>
      </w:pPr>
      <w:bookmarkStart w:id="6" w:name="_bookmark6"/>
      <w:bookmarkEnd w:id="6"/>
      <w:r w:rsidRPr="002F3705">
        <w:rPr>
          <w:color w:val="087ADA"/>
          <w:lang w:eastAsia="ja-JP"/>
        </w:rPr>
        <w:lastRenderedPageBreak/>
        <w:t>気候変動適応への実質的貢献</w:t>
      </w:r>
    </w:p>
    <w:p w14:paraId="095A55D8" w14:textId="622DE08A" w:rsidR="002B3AD5" w:rsidRDefault="00D66CD0">
      <w:pPr>
        <w:pStyle w:val="a3"/>
        <w:spacing w:before="242" w:line="276" w:lineRule="auto"/>
        <w:ind w:left="1080" w:right="1288"/>
        <w:rPr>
          <w:lang w:eastAsia="ja-JP"/>
        </w:rPr>
      </w:pPr>
      <w:r>
        <w:rPr>
          <w:lang w:eastAsia="ja-JP"/>
        </w:rPr>
        <w:t>適応に大きく貢献する活動を特定するための方法は、2019年6月に</w:t>
      </w:r>
      <w:r w:rsidR="002F5B54">
        <w:rPr>
          <w:lang w:eastAsia="ja-JP"/>
        </w:rPr>
        <w:t>タクソノミー</w:t>
      </w:r>
      <w:r>
        <w:rPr>
          <w:lang w:eastAsia="ja-JP"/>
        </w:rPr>
        <w:t>報告書が発表されて以来、変更されていない。 適応のための実質的な寄与基準は、本質的には変更されていないが、2019年12月の最終規制案と整合的なものとなっている。</w:t>
      </w:r>
    </w:p>
    <w:p w14:paraId="095A55D9" w14:textId="77777777" w:rsidR="002B3AD5" w:rsidRDefault="002B3AD5">
      <w:pPr>
        <w:pStyle w:val="a3"/>
        <w:spacing w:before="9"/>
        <w:rPr>
          <w:lang w:eastAsia="ja-JP"/>
        </w:rPr>
      </w:pPr>
    </w:p>
    <w:p w14:paraId="095A55DA" w14:textId="77777777" w:rsidR="002B3AD5" w:rsidRDefault="00D66CD0">
      <w:pPr>
        <w:pStyle w:val="3"/>
        <w:numPr>
          <w:ilvl w:val="1"/>
          <w:numId w:val="24"/>
        </w:numPr>
        <w:tabs>
          <w:tab w:val="left" w:pos="1800"/>
          <w:tab w:val="left" w:pos="1801"/>
        </w:tabs>
        <w:rPr>
          <w:lang w:eastAsia="ja-JP"/>
        </w:rPr>
      </w:pPr>
      <w:bookmarkStart w:id="7" w:name="_bookmark7"/>
      <w:bookmarkEnd w:id="7"/>
      <w:r>
        <w:rPr>
          <w:color w:val="006FC0"/>
          <w:lang w:eastAsia="ja-JP"/>
        </w:rPr>
        <w:t>業務プロセス - 概念的アプローチ</w:t>
      </w:r>
    </w:p>
    <w:p w14:paraId="095A55DB" w14:textId="6239CAAB" w:rsidR="002B3AD5" w:rsidRDefault="00D66CD0">
      <w:pPr>
        <w:pStyle w:val="a3"/>
        <w:spacing w:before="200" w:line="276" w:lineRule="auto"/>
        <w:ind w:left="1080" w:right="1152"/>
        <w:rPr>
          <w:lang w:eastAsia="ja-JP"/>
        </w:rPr>
      </w:pPr>
      <w:r>
        <w:rPr>
          <w:lang w:eastAsia="ja-JP"/>
        </w:rPr>
        <w:t>適応</w:t>
      </w:r>
      <w:r w:rsidR="002F5B54">
        <w:rPr>
          <w:lang w:eastAsia="ja-JP"/>
        </w:rPr>
        <w:t>タクソノミー</w:t>
      </w:r>
      <w:r>
        <w:rPr>
          <w:lang w:eastAsia="ja-JP"/>
        </w:rPr>
        <w:t>のための提案されたアプローチは、適応が文脈と場所に特有であることを認識し、活動が適応とより広範なシステムの気候回復力に寄与するかどうかを決定するために、プロセスに基づくアプローチの</w:t>
      </w:r>
      <w:r w:rsidR="002F3705">
        <w:rPr>
          <w:rFonts w:hint="eastAsia"/>
          <w:lang w:eastAsia="ja-JP"/>
        </w:rPr>
        <w:t>適用</w:t>
      </w:r>
      <w:r>
        <w:rPr>
          <w:lang w:eastAsia="ja-JP"/>
        </w:rPr>
        <w:t>を必要とする。 以下の2段階のプロセスは、活動が気候変動の負の影響の実質的な削減に寄与すること</w:t>
      </w:r>
      <w:r w:rsidR="002F3705">
        <w:rPr>
          <w:rFonts w:hint="eastAsia"/>
          <w:lang w:eastAsia="ja-JP"/>
        </w:rPr>
        <w:t>の</w:t>
      </w:r>
      <w:r>
        <w:rPr>
          <w:lang w:eastAsia="ja-JP"/>
        </w:rPr>
        <w:t>実証を目的としている。</w:t>
      </w:r>
    </w:p>
    <w:p w14:paraId="095A55DC" w14:textId="77777777" w:rsidR="002B3AD5" w:rsidRDefault="002B3AD5">
      <w:pPr>
        <w:pStyle w:val="a3"/>
        <w:rPr>
          <w:sz w:val="21"/>
          <w:lang w:eastAsia="ja-JP"/>
        </w:rPr>
      </w:pPr>
    </w:p>
    <w:p w14:paraId="095A55DD" w14:textId="77777777" w:rsidR="002B3AD5" w:rsidRDefault="00D66CD0">
      <w:pPr>
        <w:pStyle w:val="a4"/>
        <w:numPr>
          <w:ilvl w:val="0"/>
          <w:numId w:val="19"/>
        </w:numPr>
        <w:tabs>
          <w:tab w:val="left" w:pos="1801"/>
        </w:tabs>
        <w:spacing w:before="0" w:line="259" w:lineRule="auto"/>
        <w:ind w:right="1281"/>
        <w:jc w:val="both"/>
        <w:rPr>
          <w:sz w:val="20"/>
          <w:lang w:eastAsia="ja-JP"/>
        </w:rPr>
      </w:pPr>
      <w:r>
        <w:rPr>
          <w:sz w:val="20"/>
          <w:lang w:eastAsia="ja-JP"/>
        </w:rPr>
        <w:t>強固な証拠を活用し、適切な気候情報を活用しつつ、回復力の構築の努力の焦点である基礎的な経済活動に対する気候変動の予想される負の物理的影響を評価すること。</w:t>
      </w:r>
    </w:p>
    <w:p w14:paraId="095A55DE" w14:textId="77777777" w:rsidR="002B3AD5" w:rsidRDefault="00D66CD0">
      <w:pPr>
        <w:pStyle w:val="a4"/>
        <w:numPr>
          <w:ilvl w:val="0"/>
          <w:numId w:val="19"/>
        </w:numPr>
        <w:tabs>
          <w:tab w:val="left" w:pos="1801"/>
        </w:tabs>
        <w:spacing w:before="0" w:line="261" w:lineRule="auto"/>
        <w:ind w:right="1376"/>
        <w:jc w:val="both"/>
        <w:rPr>
          <w:sz w:val="20"/>
          <w:lang w:eastAsia="ja-JP"/>
        </w:rPr>
      </w:pPr>
      <w:r>
        <w:rPr>
          <w:sz w:val="20"/>
          <w:lang w:eastAsia="ja-JP"/>
        </w:rPr>
        <w:t>経済活動が、特定された気候変動の負の物理的影響にどのように対処するか、あるいは、これらの負の物理的影響の増加又は移動をどのように防止するかを実証すること。</w:t>
      </w:r>
    </w:p>
    <w:p w14:paraId="095A55DF" w14:textId="2B85FCEF" w:rsidR="002B3AD5" w:rsidRDefault="00D66CD0">
      <w:pPr>
        <w:pStyle w:val="a3"/>
        <w:spacing w:before="155" w:line="276" w:lineRule="auto"/>
        <w:ind w:left="1080" w:right="1152"/>
        <w:rPr>
          <w:lang w:eastAsia="ja-JP"/>
        </w:rPr>
      </w:pPr>
      <w:r>
        <w:rPr>
          <w:lang w:eastAsia="ja-JP"/>
        </w:rPr>
        <w:t>活動の貢献度の評価は、その範囲(資産、企業、セクター、市場)並びに空間的及び時間的規模に基づいて変化する。 さらに、提案されたアプローチは、適応活動がある事業体(例えば、法人や都市)及び/</w:t>
      </w:r>
      <w:r w:rsidR="007A0D21">
        <w:rPr>
          <w:lang w:eastAsia="ja-JP"/>
        </w:rPr>
        <w:t>又は市場、部門、地域を対象</w:t>
      </w:r>
      <w:r w:rsidR="007A0D21">
        <w:rPr>
          <w:rFonts w:hint="eastAsia"/>
          <w:lang w:eastAsia="ja-JP"/>
        </w:rPr>
        <w:t>にできる</w:t>
      </w:r>
      <w:r>
        <w:rPr>
          <w:lang w:eastAsia="ja-JP"/>
        </w:rPr>
        <w:t>可能性があることを認識している。</w:t>
      </w:r>
    </w:p>
    <w:p w14:paraId="095A55E0" w14:textId="77777777" w:rsidR="002B3AD5" w:rsidRDefault="002B3AD5">
      <w:pPr>
        <w:pStyle w:val="a3"/>
        <w:spacing w:before="9"/>
        <w:rPr>
          <w:lang w:eastAsia="ja-JP"/>
        </w:rPr>
      </w:pPr>
    </w:p>
    <w:p w14:paraId="095A55E1" w14:textId="77777777" w:rsidR="002B3AD5" w:rsidRDefault="00D66CD0">
      <w:pPr>
        <w:pStyle w:val="a3"/>
        <w:spacing w:line="276" w:lineRule="auto"/>
        <w:ind w:left="1080" w:right="1806"/>
        <w:jc w:val="both"/>
        <w:rPr>
          <w:lang w:eastAsia="ja-JP"/>
        </w:rPr>
      </w:pPr>
      <w:r>
        <w:rPr>
          <w:lang w:eastAsia="ja-JP"/>
        </w:rPr>
        <w:t>活動レベルの適応は、橋の設計における海面上昇を考慮するなど、特定された物理的気候リスクに耐えるように資産または経済活動を強化することを目的とする。 体系的適応は、脆弱性を積極的に低減し、コミュニティ、生態系、都市など、より広範なシステムやシステムの回復力を構築することを目的としている。</w:t>
      </w:r>
    </w:p>
    <w:p w14:paraId="095A55E2" w14:textId="77777777" w:rsidR="002B3AD5" w:rsidRDefault="002B3AD5">
      <w:pPr>
        <w:pStyle w:val="a3"/>
        <w:spacing w:before="11"/>
        <w:rPr>
          <w:lang w:eastAsia="ja-JP"/>
        </w:rPr>
      </w:pPr>
    </w:p>
    <w:p w14:paraId="095A55E3" w14:textId="6B8258E9" w:rsidR="002B3AD5" w:rsidRDefault="00D66CD0">
      <w:pPr>
        <w:pStyle w:val="a3"/>
        <w:spacing w:line="276" w:lineRule="auto"/>
        <w:ind w:left="1080" w:right="1152"/>
        <w:rPr>
          <w:lang w:eastAsia="ja-JP"/>
        </w:rPr>
      </w:pPr>
      <w:r>
        <w:rPr>
          <w:lang w:eastAsia="ja-JP"/>
        </w:rPr>
        <w:t>TEGは、気候変動が経済のすべての部門に影響を及ぼし、すべての部門がその影響に世界的に適応しなければならないことを認識している。 その結果、適応</w:t>
      </w:r>
      <w:r w:rsidR="002F5B54">
        <w:rPr>
          <w:lang w:eastAsia="ja-JP"/>
        </w:rPr>
        <w:t>タクソノミー</w:t>
      </w:r>
      <w:r>
        <w:rPr>
          <w:lang w:eastAsia="ja-JP"/>
        </w:rPr>
        <w:t>は、あらゆる場所の経済活動に適用できる一連の指針と定性的スクリーニング基準</w:t>
      </w:r>
      <w:r w:rsidR="002F3705">
        <w:rPr>
          <w:rFonts w:hint="eastAsia"/>
          <w:lang w:eastAsia="ja-JP"/>
        </w:rPr>
        <w:t>になっている</w:t>
      </w:r>
      <w:r>
        <w:rPr>
          <w:lang w:eastAsia="ja-JP"/>
        </w:rPr>
        <w:t>。 したがってTEGはこれらの基準が世界的に適切であるという</w:t>
      </w:r>
      <w:r w:rsidR="002F3705">
        <w:rPr>
          <w:rFonts w:hint="eastAsia"/>
          <w:lang w:eastAsia="ja-JP"/>
        </w:rPr>
        <w:t>認識に立っている</w:t>
      </w:r>
      <w:r>
        <w:rPr>
          <w:lang w:eastAsia="ja-JP"/>
        </w:rPr>
        <w:t>。</w:t>
      </w:r>
    </w:p>
    <w:p w14:paraId="095A55E4" w14:textId="77777777" w:rsidR="002B3AD5" w:rsidRDefault="002B3AD5">
      <w:pPr>
        <w:pStyle w:val="a3"/>
        <w:spacing w:before="10"/>
        <w:rPr>
          <w:lang w:eastAsia="ja-JP"/>
        </w:rPr>
      </w:pPr>
    </w:p>
    <w:p w14:paraId="095A55E5" w14:textId="77777777" w:rsidR="002B3AD5" w:rsidRDefault="00D66CD0">
      <w:pPr>
        <w:pStyle w:val="4"/>
        <w:rPr>
          <w:lang w:eastAsia="ja-JP"/>
        </w:rPr>
      </w:pPr>
      <w:r>
        <w:rPr>
          <w:color w:val="00AFEF"/>
          <w:lang w:eastAsia="ja-JP"/>
        </w:rPr>
        <w:t>気候変化の適応と緩和の違い</w:t>
      </w:r>
    </w:p>
    <w:p w14:paraId="095A55E6" w14:textId="77777777" w:rsidR="002B3AD5" w:rsidRDefault="002B3AD5">
      <w:pPr>
        <w:pStyle w:val="a3"/>
        <w:spacing w:before="10"/>
        <w:rPr>
          <w:b/>
          <w:sz w:val="23"/>
          <w:lang w:eastAsia="ja-JP"/>
        </w:rPr>
      </w:pPr>
    </w:p>
    <w:p w14:paraId="095A55E7" w14:textId="6857F134" w:rsidR="002B3AD5" w:rsidRDefault="00D66CD0">
      <w:pPr>
        <w:pStyle w:val="a3"/>
        <w:spacing w:line="276" w:lineRule="auto"/>
        <w:ind w:left="1080" w:right="1154"/>
        <w:rPr>
          <w:lang w:eastAsia="ja-JP"/>
        </w:rPr>
      </w:pPr>
      <w:r>
        <w:rPr>
          <w:lang w:eastAsia="ja-JP"/>
        </w:rPr>
        <w:t>適応の文脈特有の</w:t>
      </w:r>
      <w:r w:rsidR="007A0D21">
        <w:rPr>
          <w:lang w:eastAsia="ja-JP"/>
        </w:rPr>
        <w:t>性質は、あらゆる状況下で適応に寄与しているとみなすことができる</w:t>
      </w:r>
      <w:r w:rsidR="007A0D21">
        <w:rPr>
          <w:rFonts w:hint="eastAsia"/>
          <w:lang w:eastAsia="ja-JP"/>
        </w:rPr>
        <w:t>ような</w:t>
      </w:r>
      <w:r>
        <w:rPr>
          <w:lang w:eastAsia="ja-JP"/>
        </w:rPr>
        <w:t>独立した包括的な活動のリストを作成することは不可能</w:t>
      </w:r>
      <w:r w:rsidR="002F3705">
        <w:rPr>
          <w:rFonts w:hint="eastAsia"/>
          <w:lang w:eastAsia="ja-JP"/>
        </w:rPr>
        <w:t>だということだ</w:t>
      </w:r>
      <w:r>
        <w:rPr>
          <w:lang w:eastAsia="ja-JP"/>
        </w:rPr>
        <w:t>。 適応活動のリストの代わりに、一連の指針原則と選別基準が</w:t>
      </w:r>
      <w:r w:rsidR="002F3705">
        <w:rPr>
          <w:rFonts w:hint="eastAsia"/>
          <w:lang w:eastAsia="ja-JP"/>
        </w:rPr>
        <w:t>使われており</w:t>
      </w:r>
      <w:r>
        <w:rPr>
          <w:lang w:eastAsia="ja-JP"/>
        </w:rPr>
        <w:t>、気候変動への適応と気候回復力の増加に対する経済活動の潜在的寄与</w:t>
      </w:r>
      <w:r w:rsidR="002F3705">
        <w:rPr>
          <w:rFonts w:hint="eastAsia"/>
          <w:lang w:eastAsia="ja-JP"/>
        </w:rPr>
        <w:t>が</w:t>
      </w:r>
      <w:r>
        <w:rPr>
          <w:lang w:eastAsia="ja-JP"/>
        </w:rPr>
        <w:t>評価され</w:t>
      </w:r>
      <w:r w:rsidR="002F3705">
        <w:rPr>
          <w:rFonts w:hint="eastAsia"/>
          <w:lang w:eastAsia="ja-JP"/>
        </w:rPr>
        <w:t>てい</w:t>
      </w:r>
      <w:r>
        <w:rPr>
          <w:lang w:eastAsia="ja-JP"/>
        </w:rPr>
        <w:t>る。 TEGはまた、</w:t>
      </w:r>
      <w:r w:rsidR="002F5B54">
        <w:rPr>
          <w:lang w:eastAsia="ja-JP"/>
        </w:rPr>
        <w:t>タクソノミー</w:t>
      </w:r>
      <w:r>
        <w:rPr>
          <w:lang w:eastAsia="ja-JP"/>
        </w:rPr>
        <w:t>の利用者を支援するために、気候関連の危険有害性の分類のための指標となる枠組み、特定の経済活動のための気候感度マトリックス(気候関連の危険有害性の分類と部門別気候感度マトリックスを参照)を開発した。</w:t>
      </w:r>
      <w:hyperlink w:anchor="_bookmark11" w:history="1"/>
    </w:p>
    <w:p w14:paraId="095A55E8" w14:textId="77777777" w:rsidR="002B3AD5" w:rsidRDefault="002B3AD5">
      <w:pPr>
        <w:pStyle w:val="a3"/>
        <w:spacing w:before="11"/>
        <w:rPr>
          <w:sz w:val="12"/>
          <w:lang w:eastAsia="ja-JP"/>
        </w:rPr>
      </w:pPr>
    </w:p>
    <w:p w14:paraId="095A55E9" w14:textId="463CA662" w:rsidR="002B3AD5" w:rsidRDefault="00D66CD0">
      <w:pPr>
        <w:pStyle w:val="a3"/>
        <w:spacing w:before="93" w:line="276" w:lineRule="auto"/>
        <w:ind w:left="1080" w:right="1199"/>
        <w:rPr>
          <w:lang w:eastAsia="ja-JP"/>
        </w:rPr>
      </w:pPr>
      <w:r>
        <w:rPr>
          <w:lang w:eastAsia="ja-JP"/>
        </w:rPr>
        <w:t>気候変動への適応活動と緩和活動には根本的な違いがある。 緩和活動では、CO2排出量を1トン削減することは、緩和活動がどこで行われるかにかかわらず、同じ影響を持つ。 したがって、</w:t>
      </w:r>
      <w:r w:rsidR="00E94011" w:rsidRPr="00E94011">
        <w:rPr>
          <w:rFonts w:hint="eastAsia"/>
          <w:lang w:eastAsia="ja-JP"/>
        </w:rPr>
        <w:t>気候変動の緩和を支援すると考えられる</w:t>
      </w:r>
      <w:r>
        <w:rPr>
          <w:lang w:eastAsia="ja-JP"/>
        </w:rPr>
        <w:t>以下のアクティビティのリストを定義することがで</w:t>
      </w:r>
      <w:r w:rsidR="002F3705">
        <w:rPr>
          <w:rFonts w:hint="eastAsia"/>
          <w:lang w:eastAsia="ja-JP"/>
        </w:rPr>
        <w:t>る</w:t>
      </w:r>
      <w:r>
        <w:rPr>
          <w:lang w:eastAsia="ja-JP"/>
        </w:rPr>
        <w:t>。</w:t>
      </w:r>
    </w:p>
    <w:p w14:paraId="095A55EA"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5EB" w14:textId="10CD4C08" w:rsidR="002B3AD5" w:rsidRDefault="00D66CD0">
      <w:pPr>
        <w:pStyle w:val="a3"/>
        <w:spacing w:before="79" w:line="276" w:lineRule="auto"/>
        <w:ind w:left="1080" w:right="1152"/>
        <w:rPr>
          <w:lang w:eastAsia="ja-JP"/>
        </w:rPr>
      </w:pPr>
      <w:r w:rsidRPr="00E94011">
        <w:rPr>
          <w:lang w:eastAsia="ja-JP"/>
        </w:rPr>
        <w:lastRenderedPageBreak/>
        <w:t xml:space="preserve"> 適応は、主に場所と状況に特有の物理的気候リスクに対応する。</w:t>
      </w:r>
      <w:r>
        <w:rPr>
          <w:lang w:eastAsia="ja-JP"/>
        </w:rPr>
        <w:t xml:space="preserve"> 例えば、海面上昇に起因するリスクに対応するために、沿岸都市に</w:t>
      </w:r>
      <w:r w:rsidR="00E94011">
        <w:rPr>
          <w:rFonts w:hint="eastAsia"/>
          <w:lang w:eastAsia="ja-JP"/>
        </w:rPr>
        <w:t>は</w:t>
      </w:r>
      <w:r>
        <w:rPr>
          <w:lang w:eastAsia="ja-JP"/>
        </w:rPr>
        <w:t>利用可能な工学的及び非工学的オプションがいくつかある</w:t>
      </w:r>
      <w:r w:rsidR="00E94011">
        <w:rPr>
          <w:rFonts w:hint="eastAsia"/>
          <w:lang w:eastAsia="ja-JP"/>
        </w:rPr>
        <w:t>と考えられる</w:t>
      </w:r>
      <w:r>
        <w:rPr>
          <w:lang w:eastAsia="ja-JP"/>
        </w:rPr>
        <w:t>。 対応は、都市の所在地、その規模、気候リスクに対処する都市行政の制度的・財政的能力、利用可能な技術的・工学的専門知識、都市の優先順位、市民の認識、その他の要因によって異なる。 適応対策は、それらを採用する都市と、おそらく都市に依存するか、都市と交流するシステムに利益をもたらすであろう。</w:t>
      </w:r>
    </w:p>
    <w:p w14:paraId="095A55EC" w14:textId="77777777" w:rsidR="002B3AD5" w:rsidRDefault="002B3AD5">
      <w:pPr>
        <w:pStyle w:val="a3"/>
        <w:spacing w:before="10"/>
        <w:rPr>
          <w:lang w:eastAsia="ja-JP"/>
        </w:rPr>
      </w:pPr>
    </w:p>
    <w:p w14:paraId="095A55ED" w14:textId="77777777" w:rsidR="002B3AD5" w:rsidRDefault="00D66CD0">
      <w:pPr>
        <w:pStyle w:val="4"/>
        <w:rPr>
          <w:lang w:eastAsia="ja-JP"/>
        </w:rPr>
      </w:pPr>
      <w:r>
        <w:rPr>
          <w:color w:val="00AFEF"/>
          <w:lang w:eastAsia="ja-JP"/>
        </w:rPr>
        <w:t>技術審査基準の種類</w:t>
      </w:r>
    </w:p>
    <w:p w14:paraId="095A55EE" w14:textId="77777777" w:rsidR="002B3AD5" w:rsidRDefault="002B3AD5">
      <w:pPr>
        <w:pStyle w:val="a3"/>
        <w:rPr>
          <w:b/>
          <w:sz w:val="24"/>
          <w:lang w:eastAsia="ja-JP"/>
        </w:rPr>
      </w:pPr>
    </w:p>
    <w:p w14:paraId="095A55EF" w14:textId="134A6FC8" w:rsidR="002B3AD5" w:rsidRDefault="00D66CD0">
      <w:pPr>
        <w:pStyle w:val="a3"/>
        <w:spacing w:line="276" w:lineRule="auto"/>
        <w:ind w:left="1080" w:right="1140"/>
        <w:rPr>
          <w:lang w:eastAsia="ja-JP"/>
        </w:rPr>
      </w:pPr>
      <w:r>
        <w:rPr>
          <w:lang w:eastAsia="ja-JP"/>
        </w:rPr>
        <w:t>提案したアプローチは、適応に寄与する活動を同定するための定性的スクリーニングに基づいている。 定性的スクリーニング基準は、経済活動が適応に寄与するかどうか</w:t>
      </w:r>
      <w:r w:rsidR="00E94011">
        <w:rPr>
          <w:rFonts w:hint="eastAsia"/>
          <w:lang w:eastAsia="ja-JP"/>
        </w:rPr>
        <w:t>を</w:t>
      </w:r>
      <w:r>
        <w:rPr>
          <w:lang w:eastAsia="ja-JP"/>
        </w:rPr>
        <w:t>構造化されたプロセスに基づくアプローチ</w:t>
      </w:r>
      <w:r w:rsidR="00E94011">
        <w:rPr>
          <w:rFonts w:hint="eastAsia"/>
          <w:lang w:eastAsia="ja-JP"/>
        </w:rPr>
        <w:t>を通じて決めるためにある</w:t>
      </w:r>
      <w:r>
        <w:rPr>
          <w:lang w:eastAsia="ja-JP"/>
        </w:rPr>
        <w:t>。 測定されたベースラインや、適応のための容認された指標がまだ開発されていないため、適応のための定量的なスクリーニング基準を定義し、国、部門、あるいは準国家レベルで定義された適応目標を定める確立された方法論は存在しない。 たとえ方法論、目標、ベースラインが利用可能であっても、定量的なスクリーニング基準は、特定の状況下で大きな気候回復力の便益をもたらす可能性</w:t>
      </w:r>
      <w:r w:rsidR="00E94011">
        <w:rPr>
          <w:rFonts w:hint="eastAsia"/>
          <w:lang w:eastAsia="ja-JP"/>
        </w:rPr>
        <w:t>を持つ</w:t>
      </w:r>
      <w:r>
        <w:rPr>
          <w:lang w:eastAsia="ja-JP"/>
        </w:rPr>
        <w:t>小規模な活動を除外</w:t>
      </w:r>
      <w:r w:rsidR="00E94011">
        <w:rPr>
          <w:rFonts w:hint="eastAsia"/>
          <w:lang w:eastAsia="ja-JP"/>
        </w:rPr>
        <w:t>してしまいがちなのだ。</w:t>
      </w:r>
    </w:p>
    <w:p w14:paraId="095A55F0" w14:textId="77777777" w:rsidR="002B3AD5" w:rsidRDefault="002B3AD5">
      <w:pPr>
        <w:pStyle w:val="a3"/>
        <w:spacing w:before="10"/>
        <w:rPr>
          <w:lang w:eastAsia="ja-JP"/>
        </w:rPr>
      </w:pPr>
    </w:p>
    <w:p w14:paraId="095A55F1" w14:textId="0D3F76CB" w:rsidR="002B3AD5" w:rsidRDefault="00D66CD0">
      <w:pPr>
        <w:pStyle w:val="a3"/>
        <w:spacing w:line="276" w:lineRule="auto"/>
        <w:ind w:left="1080" w:right="1477"/>
        <w:rPr>
          <w:lang w:eastAsia="ja-JP"/>
        </w:rPr>
      </w:pPr>
      <w:r>
        <w:rPr>
          <w:lang w:eastAsia="ja-JP"/>
        </w:rPr>
        <w:t>特定の経済活動に関連</w:t>
      </w:r>
      <w:r w:rsidR="00E94011">
        <w:rPr>
          <w:rFonts w:hint="eastAsia"/>
          <w:lang w:eastAsia="ja-JP"/>
        </w:rPr>
        <w:t>した</w:t>
      </w:r>
      <w:r>
        <w:rPr>
          <w:lang w:eastAsia="ja-JP"/>
        </w:rPr>
        <w:t>気候</w:t>
      </w:r>
      <w:r w:rsidR="00E94011">
        <w:rPr>
          <w:rFonts w:hint="eastAsia"/>
          <w:lang w:eastAsia="ja-JP"/>
        </w:rPr>
        <w:t>関連情報の開示</w:t>
      </w:r>
      <w:r>
        <w:rPr>
          <w:lang w:eastAsia="ja-JP"/>
        </w:rPr>
        <w:t>、</w:t>
      </w:r>
      <w:r w:rsidR="00641316">
        <w:rPr>
          <w:rFonts w:hint="eastAsia"/>
          <w:lang w:eastAsia="ja-JP"/>
        </w:rPr>
        <w:t>と特定</w:t>
      </w:r>
      <w:r>
        <w:rPr>
          <w:lang w:eastAsia="ja-JP"/>
        </w:rPr>
        <w:t>社会経済</w:t>
      </w:r>
      <w:r w:rsidR="00641316">
        <w:rPr>
          <w:rFonts w:hint="eastAsia"/>
          <w:lang w:eastAsia="ja-JP"/>
        </w:rPr>
        <w:t>活動</w:t>
      </w:r>
      <w:r>
        <w:rPr>
          <w:lang w:eastAsia="ja-JP"/>
        </w:rPr>
        <w:t>の相互作用は、</w:t>
      </w:r>
      <w:r w:rsidR="00641316">
        <w:rPr>
          <w:rFonts w:hint="eastAsia"/>
          <w:lang w:eastAsia="ja-JP"/>
        </w:rPr>
        <w:t>状況に適した</w:t>
      </w:r>
      <w:r>
        <w:rPr>
          <w:lang w:eastAsia="ja-JP"/>
        </w:rPr>
        <w:t>適応</w:t>
      </w:r>
      <w:r w:rsidR="00641316">
        <w:rPr>
          <w:rFonts w:hint="eastAsia"/>
          <w:lang w:eastAsia="ja-JP"/>
        </w:rPr>
        <w:t>策</w:t>
      </w:r>
      <w:r>
        <w:rPr>
          <w:lang w:eastAsia="ja-JP"/>
        </w:rPr>
        <w:t>の</w:t>
      </w:r>
      <w:r w:rsidR="00641316">
        <w:rPr>
          <w:rFonts w:hint="eastAsia"/>
          <w:lang w:eastAsia="ja-JP"/>
        </w:rPr>
        <w:t>中身</w:t>
      </w:r>
      <w:r>
        <w:rPr>
          <w:lang w:eastAsia="ja-JP"/>
        </w:rPr>
        <w:t>及び規模を決定する</w:t>
      </w:r>
      <w:r w:rsidR="00641316">
        <w:rPr>
          <w:rFonts w:hint="eastAsia"/>
          <w:lang w:eastAsia="ja-JP"/>
        </w:rPr>
        <w:t>要因となる</w:t>
      </w:r>
      <w:r>
        <w:rPr>
          <w:lang w:eastAsia="ja-JP"/>
        </w:rPr>
        <w:t>。</w:t>
      </w:r>
    </w:p>
    <w:p w14:paraId="095A55F2" w14:textId="77777777" w:rsidR="002B3AD5" w:rsidRDefault="002B3AD5">
      <w:pPr>
        <w:pStyle w:val="a3"/>
        <w:spacing w:before="9"/>
        <w:rPr>
          <w:lang w:eastAsia="ja-JP"/>
        </w:rPr>
      </w:pPr>
    </w:p>
    <w:p w14:paraId="095A55F3" w14:textId="56BD1067" w:rsidR="002B3AD5" w:rsidRDefault="00D66CD0">
      <w:pPr>
        <w:pStyle w:val="4"/>
        <w:rPr>
          <w:lang w:eastAsia="ja-JP"/>
        </w:rPr>
      </w:pPr>
      <w:r>
        <w:rPr>
          <w:color w:val="00AFEF"/>
          <w:lang w:eastAsia="ja-JP"/>
        </w:rPr>
        <w:t>適応</w:t>
      </w:r>
      <w:r w:rsidR="002F5B54">
        <w:rPr>
          <w:color w:val="00AFEF"/>
          <w:lang w:eastAsia="ja-JP"/>
        </w:rPr>
        <w:t>タクソノミー</w:t>
      </w:r>
      <w:r>
        <w:rPr>
          <w:color w:val="00AFEF"/>
          <w:lang w:eastAsia="ja-JP"/>
        </w:rPr>
        <w:t>の範囲</w:t>
      </w:r>
    </w:p>
    <w:p w14:paraId="095A55F4" w14:textId="77777777" w:rsidR="002B3AD5" w:rsidRDefault="002B3AD5">
      <w:pPr>
        <w:pStyle w:val="a3"/>
        <w:rPr>
          <w:b/>
          <w:sz w:val="24"/>
          <w:lang w:eastAsia="ja-JP"/>
        </w:rPr>
      </w:pPr>
    </w:p>
    <w:p w14:paraId="095A55F5" w14:textId="015BE819" w:rsidR="002B3AD5" w:rsidRDefault="00D66CD0">
      <w:pPr>
        <w:pStyle w:val="a3"/>
        <w:spacing w:line="276" w:lineRule="auto"/>
        <w:ind w:left="1080" w:right="1121"/>
        <w:rPr>
          <w:lang w:eastAsia="ja-JP"/>
        </w:rPr>
      </w:pPr>
      <w:r>
        <w:rPr>
          <w:lang w:eastAsia="ja-JP"/>
        </w:rPr>
        <w:t>適応</w:t>
      </w:r>
      <w:r w:rsidR="002F5B54">
        <w:rPr>
          <w:lang w:eastAsia="ja-JP"/>
        </w:rPr>
        <w:t>タクソノミー</w:t>
      </w:r>
      <w:r>
        <w:rPr>
          <w:lang w:eastAsia="ja-JP"/>
        </w:rPr>
        <w:t>は、68の経済活動を対象としており、</w:t>
      </w:r>
      <w:r w:rsidR="0070515B">
        <w:rPr>
          <w:rFonts w:hint="eastAsia"/>
          <w:lang w:eastAsia="ja-JP"/>
        </w:rPr>
        <w:t>そもそも</w:t>
      </w:r>
      <w:r>
        <w:rPr>
          <w:lang w:eastAsia="ja-JP"/>
        </w:rPr>
        <w:t>気候変動緩和に大きく貢献する可能性があるために選定された。 これらの活動を超えた適応</w:t>
      </w:r>
      <w:r w:rsidR="002F5B54">
        <w:rPr>
          <w:lang w:eastAsia="ja-JP"/>
        </w:rPr>
        <w:t>タクソノミー</w:t>
      </w:r>
      <w:r>
        <w:rPr>
          <w:lang w:eastAsia="ja-JP"/>
        </w:rPr>
        <w:t>の適用は、</w:t>
      </w:r>
      <w:r w:rsidR="002F5B54">
        <w:rPr>
          <w:lang w:eastAsia="ja-JP"/>
        </w:rPr>
        <w:t>タクソノミー</w:t>
      </w:r>
      <w:r>
        <w:rPr>
          <w:lang w:eastAsia="ja-JP"/>
        </w:rPr>
        <w:t>でカバーされる他の5つの環境目的のためのDNSH基準</w:t>
      </w:r>
      <w:r w:rsidR="0070515B">
        <w:rPr>
          <w:rFonts w:hint="eastAsia"/>
          <w:lang w:eastAsia="ja-JP"/>
        </w:rPr>
        <w:t>が使えないため難しい状況である</w:t>
      </w:r>
      <w:r>
        <w:rPr>
          <w:lang w:eastAsia="ja-JP"/>
        </w:rPr>
        <w:t>。</w:t>
      </w:r>
    </w:p>
    <w:p w14:paraId="095A55F6" w14:textId="77777777" w:rsidR="002B3AD5" w:rsidRDefault="002B3AD5">
      <w:pPr>
        <w:pStyle w:val="a3"/>
        <w:spacing w:before="9"/>
        <w:rPr>
          <w:lang w:eastAsia="ja-JP"/>
        </w:rPr>
      </w:pPr>
    </w:p>
    <w:p w14:paraId="095A55F7" w14:textId="5F3D4A13" w:rsidR="002B3AD5" w:rsidRDefault="00D66CD0">
      <w:pPr>
        <w:pStyle w:val="a3"/>
        <w:spacing w:line="276" w:lineRule="auto"/>
        <w:ind w:left="1080" w:right="1152"/>
        <w:rPr>
          <w:lang w:eastAsia="ja-JP"/>
        </w:rPr>
      </w:pPr>
      <w:r>
        <w:rPr>
          <w:lang w:eastAsia="ja-JP"/>
        </w:rPr>
        <w:t>気候適応にとって重要と思われる多くの経済活動は、</w:t>
      </w:r>
      <w:r w:rsidR="002F5B54">
        <w:rPr>
          <w:lang w:eastAsia="ja-JP"/>
        </w:rPr>
        <w:t>タクソノミー</w:t>
      </w:r>
      <w:r>
        <w:rPr>
          <w:lang w:eastAsia="ja-JP"/>
        </w:rPr>
        <w:t xml:space="preserve">で現在取り上げられている経済活動にはまだ含まれていない。 </w:t>
      </w:r>
      <w:r w:rsidR="002F5B54">
        <w:rPr>
          <w:lang w:eastAsia="ja-JP"/>
        </w:rPr>
        <w:t>タクソノミー</w:t>
      </w:r>
      <w:r>
        <w:rPr>
          <w:lang w:eastAsia="ja-JP"/>
        </w:rPr>
        <w:t>の適用</w:t>
      </w:r>
      <w:r w:rsidR="0070515B">
        <w:rPr>
          <w:rFonts w:hint="eastAsia"/>
          <w:lang w:eastAsia="ja-JP"/>
        </w:rPr>
        <w:t>に</w:t>
      </w:r>
      <w:r>
        <w:rPr>
          <w:lang w:eastAsia="ja-JP"/>
        </w:rPr>
        <w:t>は、他の環境目的に対するDNSH基準が開発されるにつれて、より多くの経済活動</w:t>
      </w:r>
      <w:r w:rsidR="0070515B">
        <w:rPr>
          <w:rFonts w:hint="eastAsia"/>
          <w:lang w:eastAsia="ja-JP"/>
        </w:rPr>
        <w:t>が包含され</w:t>
      </w:r>
      <w:r w:rsidR="00641316">
        <w:rPr>
          <w:rFonts w:hint="eastAsia"/>
          <w:lang w:eastAsia="ja-JP"/>
        </w:rPr>
        <w:t>るように</w:t>
      </w:r>
      <w:r>
        <w:rPr>
          <w:lang w:eastAsia="ja-JP"/>
        </w:rPr>
        <w:t>拡大されるであろう。</w:t>
      </w:r>
    </w:p>
    <w:p w14:paraId="095A55F8" w14:textId="77777777" w:rsidR="002B3AD5" w:rsidRDefault="002B3AD5">
      <w:pPr>
        <w:pStyle w:val="a3"/>
        <w:spacing w:before="10"/>
        <w:rPr>
          <w:lang w:eastAsia="ja-JP"/>
        </w:rPr>
      </w:pPr>
    </w:p>
    <w:p w14:paraId="095A55F9" w14:textId="4B3E7022" w:rsidR="002B3AD5" w:rsidRDefault="00D66CD0">
      <w:pPr>
        <w:pStyle w:val="a3"/>
        <w:spacing w:line="276" w:lineRule="auto"/>
        <w:ind w:left="1080" w:right="1152"/>
        <w:rPr>
          <w:lang w:eastAsia="ja-JP"/>
        </w:rPr>
      </w:pPr>
      <w:r>
        <w:rPr>
          <w:lang w:eastAsia="ja-JP"/>
        </w:rPr>
        <w:t>この点に関し、TEGは、下記の表に列挙された経済活動は、適応への実質的な貢献の可能性が高い</w:t>
      </w:r>
      <w:r w:rsidR="0070515B">
        <w:rPr>
          <w:rFonts w:hint="eastAsia"/>
          <w:lang w:eastAsia="ja-JP"/>
        </w:rPr>
        <w:t>ことにより</w:t>
      </w:r>
      <w:r>
        <w:rPr>
          <w:lang w:eastAsia="ja-JP"/>
        </w:rPr>
        <w:t>、他の環境目的に対するDNSH基準に関する更なる作業</w:t>
      </w:r>
      <w:r w:rsidR="0070515B">
        <w:rPr>
          <w:rFonts w:hint="eastAsia"/>
          <w:lang w:eastAsia="ja-JP"/>
        </w:rPr>
        <w:t>を行う</w:t>
      </w:r>
      <w:r>
        <w:rPr>
          <w:lang w:eastAsia="ja-JP"/>
        </w:rPr>
        <w:t>ことを勧告する。</w:t>
      </w:r>
    </w:p>
    <w:p w14:paraId="095A55FA" w14:textId="77777777" w:rsidR="002B3AD5" w:rsidRDefault="002B3AD5">
      <w:pPr>
        <w:pStyle w:val="a3"/>
        <w:rPr>
          <w:sz w:val="21"/>
          <w:lang w:eastAsia="ja-JP"/>
        </w:rPr>
      </w:pPr>
    </w:p>
    <w:p w14:paraId="095A55FB" w14:textId="3560A94F" w:rsidR="002B3AD5" w:rsidRPr="00641316" w:rsidRDefault="00D66CD0">
      <w:pPr>
        <w:pStyle w:val="a3"/>
        <w:spacing w:line="276" w:lineRule="auto"/>
        <w:ind w:left="1080" w:right="1152"/>
        <w:rPr>
          <w:lang w:eastAsia="ja-JP"/>
        </w:rPr>
      </w:pPr>
      <w:r>
        <w:rPr>
          <w:lang w:eastAsia="ja-JP"/>
        </w:rPr>
        <w:t>TEGは、これらの経済活動のうちの2つを本報告書の</w:t>
      </w:r>
      <w:r w:rsidR="002F5B54">
        <w:rPr>
          <w:lang w:eastAsia="ja-JP"/>
        </w:rPr>
        <w:t>タクソノミー</w:t>
      </w:r>
      <w:r>
        <w:rPr>
          <w:lang w:eastAsia="ja-JP"/>
        </w:rPr>
        <w:t>に含めること、すなわち研究開発と通信、コンピュータ・プログラミングおよび情報について緊密に検討した。 これらの問題に関するTEGの分析は、「</w:t>
      </w:r>
      <w:r w:rsidRPr="00EA32B3">
        <w:rPr>
          <w:rFonts w:hint="eastAsia"/>
          <w:i/>
          <w:lang w:eastAsia="ja-JP"/>
        </w:rPr>
        <w:t>更なる検討のための追加的な適応活動</w:t>
      </w:r>
      <w:r>
        <w:rPr>
          <w:lang w:eastAsia="ja-JP"/>
        </w:rPr>
        <w:t>」の章に見出すことができる。</w:t>
      </w:r>
      <w:r w:rsidRPr="00EA32B3">
        <w:rPr>
          <w:rFonts w:hint="eastAsia"/>
          <w:lang w:eastAsia="ja-JP"/>
        </w:rPr>
        <w:t xml:space="preserve"> しかしながら、適切な反省に基づき、これらの活動のためのDNSH基準のさらなる検討が、これが可能になる前に必要であるという見解が採択された。</w:t>
      </w:r>
    </w:p>
    <w:p w14:paraId="095A55FC" w14:textId="77777777" w:rsidR="002B3AD5" w:rsidRDefault="002B3AD5">
      <w:pPr>
        <w:pStyle w:val="a3"/>
        <w:spacing w:before="10"/>
        <w:rPr>
          <w:lang w:eastAsia="ja-JP"/>
        </w:rPr>
      </w:pPr>
    </w:p>
    <w:p w14:paraId="095A55FD" w14:textId="3D47C963" w:rsidR="002B3AD5" w:rsidRDefault="00D66CD0">
      <w:pPr>
        <w:pStyle w:val="a3"/>
        <w:spacing w:before="1" w:line="276" w:lineRule="auto"/>
        <w:ind w:left="1080" w:right="1121"/>
        <w:rPr>
          <w:lang w:eastAsia="ja-JP"/>
        </w:rPr>
      </w:pPr>
      <w:r>
        <w:rPr>
          <w:lang w:eastAsia="ja-JP"/>
        </w:rPr>
        <w:t>TEGはまた、プラットフォームが、損害保険(65.12)及び気候変動適応専門技術コンサルタント(71.12)のDNSH基準案を優先事項として検討することを勧告する。 これらの基準は、</w:t>
      </w:r>
      <w:r w:rsidR="002F5B54">
        <w:rPr>
          <w:lang w:eastAsia="ja-JP"/>
        </w:rPr>
        <w:t>タクソノミー</w:t>
      </w:r>
      <w:r>
        <w:rPr>
          <w:lang w:eastAsia="ja-JP"/>
        </w:rPr>
        <w:t>の下で適格な活動にのみサービス提供を認めるという点で保守的である。 適用範囲を拡大し、ユーザビリティを向上させるために、基準を単純化することが望ましい場合がある。</w:t>
      </w:r>
    </w:p>
    <w:p w14:paraId="095A55FE" w14:textId="77777777" w:rsidR="002B3AD5" w:rsidRDefault="002B3AD5">
      <w:pPr>
        <w:spacing w:line="276" w:lineRule="auto"/>
        <w:rPr>
          <w:lang w:eastAsia="ja-JP"/>
        </w:rPr>
        <w:sectPr w:rsidR="002B3AD5">
          <w:pgSz w:w="12240" w:h="15840"/>
          <w:pgMar w:top="1360" w:right="320" w:bottom="1200" w:left="360" w:header="0" w:footer="1020" w:gutter="0"/>
          <w:cols w:space="720"/>
        </w:sectPr>
      </w:pPr>
    </w:p>
    <w:tbl>
      <w:tblPr>
        <w:tblStyle w:val="TableNormal"/>
        <w:tblW w:w="0" w:type="auto"/>
        <w:tblInd w:w="1304" w:type="dxa"/>
        <w:tblBorders>
          <w:top w:val="single" w:sz="4" w:space="0" w:color="087ADA"/>
          <w:left w:val="single" w:sz="4" w:space="0" w:color="087ADA"/>
          <w:bottom w:val="single" w:sz="4" w:space="0" w:color="087ADA"/>
          <w:right w:val="single" w:sz="4" w:space="0" w:color="087ADA"/>
          <w:insideH w:val="single" w:sz="4" w:space="0" w:color="087ADA"/>
          <w:insideV w:val="single" w:sz="4" w:space="0" w:color="087ADA"/>
        </w:tblBorders>
        <w:tblLayout w:type="fixed"/>
        <w:tblLook w:val="01E0" w:firstRow="1" w:lastRow="1" w:firstColumn="1" w:lastColumn="1" w:noHBand="0" w:noVBand="0"/>
      </w:tblPr>
      <w:tblGrid>
        <w:gridCol w:w="3061"/>
        <w:gridCol w:w="5862"/>
      </w:tblGrid>
      <w:tr w:rsidR="002B3AD5" w14:paraId="095A5601" w14:textId="77777777">
        <w:trPr>
          <w:trHeight w:val="489"/>
        </w:trPr>
        <w:tc>
          <w:tcPr>
            <w:tcW w:w="3061" w:type="dxa"/>
            <w:shd w:val="clear" w:color="auto" w:fill="FFC000"/>
          </w:tcPr>
          <w:p w14:paraId="095A55FF" w14:textId="77777777" w:rsidR="002B3AD5" w:rsidRDefault="00D66CD0">
            <w:pPr>
              <w:pStyle w:val="TableParagraph"/>
              <w:spacing w:before="110"/>
              <w:rPr>
                <w:b/>
                <w:sz w:val="20"/>
              </w:rPr>
            </w:pPr>
            <w:proofErr w:type="spellStart"/>
            <w:r>
              <w:rPr>
                <w:b/>
                <w:color w:val="FFFFFF"/>
                <w:sz w:val="20"/>
              </w:rPr>
              <w:lastRenderedPageBreak/>
              <w:t>セクタ</w:t>
            </w:r>
            <w:proofErr w:type="spellEnd"/>
            <w:r>
              <w:rPr>
                <w:b/>
                <w:color w:val="FFFFFF"/>
                <w:sz w:val="20"/>
              </w:rPr>
              <w:t>ー</w:t>
            </w:r>
          </w:p>
        </w:tc>
        <w:tc>
          <w:tcPr>
            <w:tcW w:w="5862" w:type="dxa"/>
            <w:shd w:val="clear" w:color="auto" w:fill="FFC000"/>
          </w:tcPr>
          <w:p w14:paraId="095A5600" w14:textId="77777777" w:rsidR="002B3AD5" w:rsidRDefault="00D66CD0">
            <w:pPr>
              <w:pStyle w:val="TableParagraph"/>
              <w:spacing w:before="110"/>
              <w:rPr>
                <w:b/>
                <w:sz w:val="20"/>
                <w:lang w:eastAsia="ja-JP"/>
              </w:rPr>
            </w:pPr>
            <w:r>
              <w:rPr>
                <w:b/>
                <w:color w:val="FFFFFF"/>
                <w:sz w:val="20"/>
                <w:lang w:eastAsia="ja-JP"/>
              </w:rPr>
              <w:t>特定のNACEコード</w:t>
            </w:r>
          </w:p>
        </w:tc>
      </w:tr>
      <w:tr w:rsidR="002B3AD5" w14:paraId="095A5606" w14:textId="77777777">
        <w:trPr>
          <w:trHeight w:val="1130"/>
        </w:trPr>
        <w:tc>
          <w:tcPr>
            <w:tcW w:w="3061" w:type="dxa"/>
            <w:shd w:val="clear" w:color="auto" w:fill="FFF1CC"/>
          </w:tcPr>
          <w:p w14:paraId="095A5602" w14:textId="77777777" w:rsidR="002B3AD5" w:rsidRDefault="002B3AD5">
            <w:pPr>
              <w:pStyle w:val="TableParagraph"/>
              <w:spacing w:before="5"/>
              <w:ind w:left="0"/>
              <w:rPr>
                <w:sz w:val="17"/>
                <w:lang w:eastAsia="ja-JP"/>
              </w:rPr>
            </w:pPr>
          </w:p>
          <w:p w14:paraId="095A5603" w14:textId="77777777" w:rsidR="002B3AD5" w:rsidRDefault="00D66CD0">
            <w:pPr>
              <w:pStyle w:val="TableParagraph"/>
              <w:spacing w:before="0"/>
              <w:ind w:right="567"/>
              <w:rPr>
                <w:b/>
                <w:sz w:val="20"/>
                <w:lang w:eastAsia="ja-JP"/>
              </w:rPr>
            </w:pPr>
            <w:r>
              <w:rPr>
                <w:b/>
                <w:sz w:val="20"/>
                <w:lang w:eastAsia="ja-JP"/>
              </w:rPr>
              <w:t>上下水道・廃棄物管理・浄化活動</w:t>
            </w:r>
          </w:p>
        </w:tc>
        <w:tc>
          <w:tcPr>
            <w:tcW w:w="5862" w:type="dxa"/>
            <w:shd w:val="clear" w:color="auto" w:fill="FFF1CC"/>
          </w:tcPr>
          <w:p w14:paraId="095A5604" w14:textId="77777777" w:rsidR="002B3AD5" w:rsidRDefault="00D66CD0">
            <w:pPr>
              <w:pStyle w:val="TableParagraph"/>
              <w:spacing w:before="81" w:line="364" w:lineRule="auto"/>
              <w:ind w:right="778"/>
              <w:rPr>
                <w:sz w:val="20"/>
                <w:lang w:eastAsia="ja-JP"/>
              </w:rPr>
            </w:pPr>
            <w:r>
              <w:rPr>
                <w:sz w:val="20"/>
                <w:lang w:eastAsia="ja-JP"/>
              </w:rPr>
              <w:t>現在までにカバーされていない他のすべての水のNACEコード(36-39)水プロジェクトの建設(42.21および42.91)</w:t>
            </w:r>
          </w:p>
          <w:p w14:paraId="095A5605" w14:textId="240193FE" w:rsidR="002B3AD5" w:rsidRDefault="00D66CD0">
            <w:pPr>
              <w:pStyle w:val="TableParagraph"/>
              <w:spacing w:before="0" w:line="229" w:lineRule="exact"/>
              <w:rPr>
                <w:sz w:val="20"/>
                <w:lang w:eastAsia="ja-JP"/>
              </w:rPr>
            </w:pPr>
            <w:r>
              <w:rPr>
                <w:sz w:val="20"/>
                <w:lang w:eastAsia="ja-JP"/>
              </w:rPr>
              <w:t>淡水化(この</w:t>
            </w:r>
            <w:r w:rsidR="000026E0">
              <w:rPr>
                <w:rFonts w:hint="eastAsia"/>
                <w:sz w:val="20"/>
                <w:lang w:eastAsia="ja-JP"/>
              </w:rPr>
              <w:t>事業と紐付いた</w:t>
            </w:r>
            <w:r>
              <w:rPr>
                <w:sz w:val="20"/>
                <w:lang w:eastAsia="ja-JP"/>
              </w:rPr>
              <w:t>NACEコードはない)</w:t>
            </w:r>
          </w:p>
        </w:tc>
      </w:tr>
      <w:tr w:rsidR="002B3AD5" w14:paraId="095A5609" w14:textId="77777777">
        <w:trPr>
          <w:trHeight w:val="431"/>
        </w:trPr>
        <w:tc>
          <w:tcPr>
            <w:tcW w:w="3061" w:type="dxa"/>
          </w:tcPr>
          <w:p w14:paraId="095A5607" w14:textId="77777777" w:rsidR="002B3AD5" w:rsidRDefault="00D66CD0">
            <w:pPr>
              <w:pStyle w:val="TableParagraph"/>
              <w:spacing w:before="78"/>
              <w:rPr>
                <w:b/>
                <w:sz w:val="20"/>
              </w:rPr>
            </w:pPr>
            <w:proofErr w:type="spellStart"/>
            <w:r>
              <w:rPr>
                <w:b/>
                <w:sz w:val="20"/>
              </w:rPr>
              <w:t>交通インフラ</w:t>
            </w:r>
            <w:proofErr w:type="spellEnd"/>
          </w:p>
        </w:tc>
        <w:tc>
          <w:tcPr>
            <w:tcW w:w="5862" w:type="dxa"/>
          </w:tcPr>
          <w:p w14:paraId="095A5608" w14:textId="77777777" w:rsidR="002B3AD5" w:rsidRDefault="00D66CD0">
            <w:pPr>
              <w:pStyle w:val="TableParagraph"/>
              <w:spacing w:before="78"/>
              <w:rPr>
                <w:sz w:val="20"/>
              </w:rPr>
            </w:pPr>
            <w:proofErr w:type="spellStart"/>
            <w:r>
              <w:rPr>
                <w:sz w:val="20"/>
              </w:rPr>
              <w:t>道路</w:t>
            </w:r>
            <w:proofErr w:type="spellEnd"/>
            <w:r>
              <w:rPr>
                <w:sz w:val="20"/>
              </w:rPr>
              <w:t>(道路の整備42.11)</w:t>
            </w:r>
          </w:p>
        </w:tc>
      </w:tr>
      <w:tr w:rsidR="002B3AD5" w14:paraId="095A560C" w14:textId="77777777">
        <w:trPr>
          <w:trHeight w:val="659"/>
        </w:trPr>
        <w:tc>
          <w:tcPr>
            <w:tcW w:w="3061" w:type="dxa"/>
            <w:shd w:val="clear" w:color="auto" w:fill="FFF1CC"/>
          </w:tcPr>
          <w:p w14:paraId="095A560A" w14:textId="6B97402D" w:rsidR="002B3AD5" w:rsidRDefault="000026E0">
            <w:pPr>
              <w:pStyle w:val="TableParagraph"/>
              <w:spacing w:before="194"/>
              <w:rPr>
                <w:b/>
                <w:sz w:val="20"/>
              </w:rPr>
            </w:pPr>
            <w:r>
              <w:rPr>
                <w:rFonts w:hint="eastAsia"/>
                <w:b/>
                <w:sz w:val="20"/>
                <w:lang w:eastAsia="ja-JP"/>
              </w:rPr>
              <w:t>電気通信</w:t>
            </w:r>
          </w:p>
        </w:tc>
        <w:tc>
          <w:tcPr>
            <w:tcW w:w="5862" w:type="dxa"/>
            <w:shd w:val="clear" w:color="auto" w:fill="FFF1CC"/>
          </w:tcPr>
          <w:p w14:paraId="095A560B" w14:textId="77777777" w:rsidR="002B3AD5" w:rsidRDefault="00D66CD0">
            <w:pPr>
              <w:pStyle w:val="TableParagraph"/>
              <w:spacing w:before="78"/>
              <w:ind w:right="278"/>
              <w:rPr>
                <w:sz w:val="20"/>
                <w:lang w:eastAsia="ja-JP"/>
              </w:rPr>
            </w:pPr>
            <w:r>
              <w:rPr>
                <w:sz w:val="20"/>
                <w:lang w:eastAsia="ja-JP"/>
              </w:rPr>
              <w:t>電気通信、コンピュータ・プログラミング及び情報(61、62及び63)</w:t>
            </w:r>
          </w:p>
        </w:tc>
      </w:tr>
      <w:tr w:rsidR="002B3AD5" w14:paraId="095A560F" w14:textId="77777777">
        <w:trPr>
          <w:trHeight w:val="429"/>
        </w:trPr>
        <w:tc>
          <w:tcPr>
            <w:tcW w:w="3061" w:type="dxa"/>
          </w:tcPr>
          <w:p w14:paraId="095A560D" w14:textId="77777777" w:rsidR="002B3AD5" w:rsidRDefault="00D66CD0">
            <w:pPr>
              <w:pStyle w:val="TableParagraph"/>
              <w:spacing w:before="78"/>
              <w:rPr>
                <w:b/>
                <w:sz w:val="20"/>
              </w:rPr>
            </w:pPr>
            <w:proofErr w:type="spellStart"/>
            <w:r>
              <w:rPr>
                <w:b/>
                <w:sz w:val="20"/>
              </w:rPr>
              <w:t>金融・保険サービス</w:t>
            </w:r>
            <w:proofErr w:type="spellEnd"/>
          </w:p>
        </w:tc>
        <w:tc>
          <w:tcPr>
            <w:tcW w:w="5862" w:type="dxa"/>
          </w:tcPr>
          <w:p w14:paraId="095A560E" w14:textId="77777777" w:rsidR="002B3AD5" w:rsidRDefault="00D66CD0">
            <w:pPr>
              <w:pStyle w:val="TableParagraph"/>
              <w:spacing w:before="78"/>
              <w:rPr>
                <w:sz w:val="20"/>
              </w:rPr>
            </w:pPr>
            <w:proofErr w:type="spellStart"/>
            <w:r>
              <w:rPr>
                <w:sz w:val="20"/>
              </w:rPr>
              <w:t>財務</w:t>
            </w:r>
            <w:proofErr w:type="spellEnd"/>
            <w:r>
              <w:rPr>
                <w:sz w:val="20"/>
              </w:rPr>
              <w:t>(64)</w:t>
            </w:r>
          </w:p>
        </w:tc>
      </w:tr>
      <w:tr w:rsidR="002B3AD5" w14:paraId="095A5615" w14:textId="77777777">
        <w:trPr>
          <w:trHeight w:val="1550"/>
        </w:trPr>
        <w:tc>
          <w:tcPr>
            <w:tcW w:w="3061" w:type="dxa"/>
            <w:shd w:val="clear" w:color="auto" w:fill="FFF1CC"/>
          </w:tcPr>
          <w:p w14:paraId="095A5610" w14:textId="77777777" w:rsidR="002B3AD5" w:rsidRDefault="002B3AD5">
            <w:pPr>
              <w:pStyle w:val="TableParagraph"/>
              <w:spacing w:before="0"/>
              <w:ind w:left="0"/>
            </w:pPr>
          </w:p>
          <w:p w14:paraId="095A5611" w14:textId="77777777" w:rsidR="002B3AD5" w:rsidRDefault="002B3AD5">
            <w:pPr>
              <w:pStyle w:val="TableParagraph"/>
              <w:spacing w:before="0"/>
              <w:ind w:left="0"/>
            </w:pPr>
          </w:p>
          <w:p w14:paraId="095A5612" w14:textId="77777777" w:rsidR="002B3AD5" w:rsidRDefault="00D66CD0">
            <w:pPr>
              <w:pStyle w:val="TableParagraph"/>
              <w:spacing w:before="132"/>
              <w:rPr>
                <w:b/>
                <w:sz w:val="20"/>
              </w:rPr>
            </w:pPr>
            <w:proofErr w:type="spellStart"/>
            <w:r>
              <w:rPr>
                <w:b/>
                <w:sz w:val="20"/>
              </w:rPr>
              <w:t>専門・科学</w:t>
            </w:r>
            <w:proofErr w:type="spellEnd"/>
          </w:p>
        </w:tc>
        <w:tc>
          <w:tcPr>
            <w:tcW w:w="5862" w:type="dxa"/>
            <w:shd w:val="clear" w:color="auto" w:fill="FFF1CC"/>
          </w:tcPr>
          <w:p w14:paraId="095A5613" w14:textId="77777777" w:rsidR="002B3AD5" w:rsidRDefault="00D66CD0">
            <w:pPr>
              <w:pStyle w:val="TableParagraph"/>
              <w:spacing w:before="78" w:line="367" w:lineRule="auto"/>
              <w:ind w:right="1478"/>
              <w:rPr>
                <w:sz w:val="20"/>
                <w:lang w:eastAsia="ja-JP"/>
              </w:rPr>
            </w:pPr>
            <w:r>
              <w:rPr>
                <w:sz w:val="20"/>
                <w:lang w:eastAsia="ja-JP"/>
              </w:rPr>
              <w:t>経営コンサルタント業務(70.2-70.22)科学研究(72)</w:t>
            </w:r>
          </w:p>
          <w:p w14:paraId="095A5614" w14:textId="77777777" w:rsidR="002B3AD5" w:rsidRDefault="00D66CD0">
            <w:pPr>
              <w:pStyle w:val="TableParagraph"/>
              <w:spacing w:before="0" w:line="276" w:lineRule="auto"/>
              <w:rPr>
                <w:sz w:val="20"/>
                <w:lang w:eastAsia="ja-JP"/>
              </w:rPr>
            </w:pPr>
            <w:r>
              <w:rPr>
                <w:sz w:val="20"/>
                <w:lang w:eastAsia="ja-JP"/>
              </w:rPr>
              <w:t>研究開発(自然科学・工学)(72.1)</w:t>
            </w:r>
          </w:p>
        </w:tc>
      </w:tr>
      <w:tr w:rsidR="002B3AD5" w14:paraId="095A5618" w14:textId="77777777">
        <w:trPr>
          <w:trHeight w:val="429"/>
        </w:trPr>
        <w:tc>
          <w:tcPr>
            <w:tcW w:w="3061" w:type="dxa"/>
          </w:tcPr>
          <w:p w14:paraId="095A5616" w14:textId="77777777" w:rsidR="002B3AD5" w:rsidRDefault="00D66CD0">
            <w:pPr>
              <w:pStyle w:val="TableParagraph"/>
              <w:spacing w:before="78"/>
              <w:rPr>
                <w:b/>
                <w:sz w:val="20"/>
              </w:rPr>
            </w:pPr>
            <w:proofErr w:type="spellStart"/>
            <w:r>
              <w:rPr>
                <w:b/>
                <w:sz w:val="20"/>
              </w:rPr>
              <w:t>行政</w:t>
            </w:r>
            <w:proofErr w:type="spellEnd"/>
          </w:p>
        </w:tc>
        <w:tc>
          <w:tcPr>
            <w:tcW w:w="5862" w:type="dxa"/>
          </w:tcPr>
          <w:p w14:paraId="095A5617" w14:textId="77777777" w:rsidR="002B3AD5" w:rsidRDefault="00D66CD0">
            <w:pPr>
              <w:pStyle w:val="TableParagraph"/>
              <w:spacing w:before="78"/>
              <w:rPr>
                <w:sz w:val="20"/>
              </w:rPr>
            </w:pPr>
            <w:proofErr w:type="spellStart"/>
            <w:r>
              <w:rPr>
                <w:sz w:val="20"/>
              </w:rPr>
              <w:t>救急サービス</w:t>
            </w:r>
            <w:proofErr w:type="spellEnd"/>
            <w:r>
              <w:rPr>
                <w:sz w:val="20"/>
              </w:rPr>
              <w:t>(84.25)</w:t>
            </w:r>
          </w:p>
        </w:tc>
      </w:tr>
      <w:tr w:rsidR="002B3AD5" w14:paraId="095A561B" w14:textId="77777777">
        <w:trPr>
          <w:trHeight w:val="659"/>
        </w:trPr>
        <w:tc>
          <w:tcPr>
            <w:tcW w:w="3061" w:type="dxa"/>
            <w:shd w:val="clear" w:color="auto" w:fill="FFF1CC"/>
          </w:tcPr>
          <w:p w14:paraId="095A5619" w14:textId="77777777" w:rsidR="002B3AD5" w:rsidRDefault="00D66CD0">
            <w:pPr>
              <w:pStyle w:val="TableParagraph"/>
              <w:spacing w:before="194"/>
              <w:rPr>
                <w:b/>
                <w:sz w:val="20"/>
              </w:rPr>
            </w:pPr>
            <w:proofErr w:type="spellStart"/>
            <w:r>
              <w:rPr>
                <w:b/>
                <w:sz w:val="20"/>
              </w:rPr>
              <w:t>教育</w:t>
            </w:r>
            <w:proofErr w:type="spellEnd"/>
          </w:p>
        </w:tc>
        <w:tc>
          <w:tcPr>
            <w:tcW w:w="5862" w:type="dxa"/>
            <w:shd w:val="clear" w:color="auto" w:fill="FFF1CC"/>
          </w:tcPr>
          <w:p w14:paraId="095A561A" w14:textId="77777777" w:rsidR="002B3AD5" w:rsidRDefault="00D66CD0">
            <w:pPr>
              <w:pStyle w:val="TableParagraph"/>
              <w:spacing w:before="78"/>
              <w:ind w:right="278"/>
              <w:rPr>
                <w:sz w:val="20"/>
                <w:lang w:eastAsia="ja-JP"/>
              </w:rPr>
            </w:pPr>
            <w:r>
              <w:rPr>
                <w:sz w:val="20"/>
                <w:lang w:eastAsia="ja-JP"/>
              </w:rPr>
              <w:t>教育(カリキュラムの開発、教育の提供)(85)</w:t>
            </w:r>
          </w:p>
        </w:tc>
      </w:tr>
      <w:tr w:rsidR="002B3AD5" w14:paraId="095A561E" w14:textId="77777777">
        <w:trPr>
          <w:trHeight w:val="429"/>
        </w:trPr>
        <w:tc>
          <w:tcPr>
            <w:tcW w:w="3061" w:type="dxa"/>
          </w:tcPr>
          <w:p w14:paraId="095A561C" w14:textId="77777777" w:rsidR="002B3AD5" w:rsidRDefault="00D66CD0">
            <w:pPr>
              <w:pStyle w:val="TableParagraph"/>
              <w:spacing w:before="78"/>
              <w:rPr>
                <w:b/>
                <w:sz w:val="20"/>
              </w:rPr>
            </w:pPr>
            <w:proofErr w:type="spellStart"/>
            <w:r>
              <w:rPr>
                <w:b/>
                <w:sz w:val="20"/>
              </w:rPr>
              <w:t>健康</w:t>
            </w:r>
            <w:proofErr w:type="spellEnd"/>
          </w:p>
        </w:tc>
        <w:tc>
          <w:tcPr>
            <w:tcW w:w="5862" w:type="dxa"/>
          </w:tcPr>
          <w:p w14:paraId="095A561D" w14:textId="77777777" w:rsidR="002B3AD5" w:rsidRDefault="00D66CD0">
            <w:pPr>
              <w:pStyle w:val="TableParagraph"/>
              <w:spacing w:before="78"/>
              <w:rPr>
                <w:sz w:val="20"/>
              </w:rPr>
            </w:pPr>
            <w:proofErr w:type="spellStart"/>
            <w:r>
              <w:rPr>
                <w:sz w:val="20"/>
              </w:rPr>
              <w:t>病院活動</w:t>
            </w:r>
            <w:proofErr w:type="spellEnd"/>
            <w:r>
              <w:rPr>
                <w:sz w:val="20"/>
              </w:rPr>
              <w:t>(86.1)</w:t>
            </w:r>
          </w:p>
        </w:tc>
      </w:tr>
      <w:tr w:rsidR="002B3AD5" w14:paraId="095A5622" w14:textId="77777777">
        <w:trPr>
          <w:trHeight w:val="892"/>
        </w:trPr>
        <w:tc>
          <w:tcPr>
            <w:tcW w:w="3061" w:type="dxa"/>
            <w:shd w:val="clear" w:color="auto" w:fill="FFF1CC"/>
          </w:tcPr>
          <w:p w14:paraId="095A561F" w14:textId="77777777" w:rsidR="002B3AD5" w:rsidRDefault="002B3AD5">
            <w:pPr>
              <w:pStyle w:val="TableParagraph"/>
              <w:spacing w:before="10"/>
              <w:ind w:left="0"/>
              <w:rPr>
                <w:sz w:val="26"/>
              </w:rPr>
            </w:pPr>
          </w:p>
          <w:p w14:paraId="095A5620" w14:textId="77777777" w:rsidR="002B3AD5" w:rsidRDefault="00D66CD0">
            <w:pPr>
              <w:pStyle w:val="TableParagraph"/>
              <w:spacing w:before="0"/>
              <w:rPr>
                <w:b/>
                <w:sz w:val="20"/>
              </w:rPr>
            </w:pPr>
            <w:proofErr w:type="spellStart"/>
            <w:r>
              <w:rPr>
                <w:b/>
                <w:sz w:val="20"/>
              </w:rPr>
              <w:t>生態系の回復</w:t>
            </w:r>
            <w:proofErr w:type="spellEnd"/>
          </w:p>
        </w:tc>
        <w:tc>
          <w:tcPr>
            <w:tcW w:w="5862" w:type="dxa"/>
            <w:shd w:val="clear" w:color="auto" w:fill="FFF1CC"/>
          </w:tcPr>
          <w:p w14:paraId="095A5621" w14:textId="7508AB57" w:rsidR="002B3AD5" w:rsidRDefault="00D66CD0" w:rsidP="000026E0">
            <w:pPr>
              <w:pStyle w:val="TableParagraph"/>
              <w:spacing w:before="81"/>
              <w:rPr>
                <w:sz w:val="20"/>
                <w:lang w:eastAsia="ja-JP"/>
              </w:rPr>
            </w:pPr>
            <w:r>
              <w:rPr>
                <w:sz w:val="20"/>
                <w:lang w:eastAsia="ja-JP"/>
              </w:rPr>
              <w:t>保全林は現在、</w:t>
            </w:r>
            <w:r w:rsidR="002F5B54">
              <w:rPr>
                <w:sz w:val="20"/>
                <w:lang w:eastAsia="ja-JP"/>
              </w:rPr>
              <w:t>タクソノミー</w:t>
            </w:r>
            <w:r>
              <w:rPr>
                <w:sz w:val="20"/>
                <w:lang w:eastAsia="ja-JP"/>
              </w:rPr>
              <w:t>に含まれているが、他の景観</w:t>
            </w:r>
            <w:r w:rsidR="000026E0">
              <w:rPr>
                <w:rFonts w:hint="eastAsia"/>
                <w:sz w:val="20"/>
                <w:lang w:eastAsia="ja-JP"/>
              </w:rPr>
              <w:t>・</w:t>
            </w:r>
            <w:r>
              <w:rPr>
                <w:sz w:val="20"/>
                <w:lang w:eastAsia="ja-JP"/>
              </w:rPr>
              <w:t>海洋再生活動は含まれていないことに留意する。 新しいNACEコードが必要。</w:t>
            </w:r>
          </w:p>
        </w:tc>
      </w:tr>
    </w:tbl>
    <w:p w14:paraId="095A5623" w14:textId="77777777" w:rsidR="002B3AD5" w:rsidRDefault="002B3AD5">
      <w:pPr>
        <w:pStyle w:val="a3"/>
        <w:rPr>
          <w:lang w:eastAsia="ja-JP"/>
        </w:rPr>
      </w:pPr>
    </w:p>
    <w:p w14:paraId="095A5624" w14:textId="77777777" w:rsidR="002B3AD5" w:rsidRDefault="002B3AD5">
      <w:pPr>
        <w:pStyle w:val="a3"/>
        <w:spacing w:before="3"/>
        <w:rPr>
          <w:sz w:val="26"/>
          <w:lang w:eastAsia="ja-JP"/>
        </w:rPr>
      </w:pPr>
    </w:p>
    <w:p w14:paraId="095A5625" w14:textId="77777777" w:rsidR="002B3AD5" w:rsidRDefault="00D66CD0">
      <w:pPr>
        <w:pStyle w:val="3"/>
        <w:numPr>
          <w:ilvl w:val="1"/>
          <w:numId w:val="24"/>
        </w:numPr>
        <w:tabs>
          <w:tab w:val="left" w:pos="1800"/>
          <w:tab w:val="left" w:pos="1801"/>
        </w:tabs>
        <w:spacing w:before="92"/>
        <w:rPr>
          <w:lang w:eastAsia="ja-JP"/>
        </w:rPr>
      </w:pPr>
      <w:bookmarkStart w:id="8" w:name="_bookmark8"/>
      <w:bookmarkEnd w:id="8"/>
      <w:r>
        <w:rPr>
          <w:color w:val="006FC0"/>
          <w:lang w:eastAsia="ja-JP"/>
        </w:rPr>
        <w:t>気候変動への適応への実質的な貢献の明確化</w:t>
      </w:r>
    </w:p>
    <w:p w14:paraId="095A5626" w14:textId="77777777" w:rsidR="002B3AD5" w:rsidRDefault="00D66CD0">
      <w:pPr>
        <w:pStyle w:val="4"/>
        <w:spacing w:before="201"/>
        <w:rPr>
          <w:lang w:eastAsia="ja-JP"/>
        </w:rPr>
      </w:pPr>
      <w:r>
        <w:rPr>
          <w:color w:val="00AFEF"/>
          <w:lang w:eastAsia="ja-JP"/>
        </w:rPr>
        <w:t>気候変動への適応に関する規制の解釈</w:t>
      </w:r>
    </w:p>
    <w:p w14:paraId="095A5627" w14:textId="77777777" w:rsidR="002B3AD5" w:rsidRDefault="002B3AD5">
      <w:pPr>
        <w:pStyle w:val="a3"/>
        <w:spacing w:before="9"/>
        <w:rPr>
          <w:b/>
          <w:sz w:val="23"/>
          <w:lang w:eastAsia="ja-JP"/>
        </w:rPr>
      </w:pPr>
    </w:p>
    <w:p w14:paraId="095A5628" w14:textId="68A210FA" w:rsidR="002B3AD5" w:rsidRDefault="00D66CD0">
      <w:pPr>
        <w:pStyle w:val="a3"/>
        <w:spacing w:before="1" w:line="276" w:lineRule="auto"/>
        <w:ind w:left="1080" w:right="1152"/>
        <w:rPr>
          <w:sz w:val="13"/>
          <w:lang w:eastAsia="ja-JP"/>
        </w:rPr>
      </w:pPr>
      <w:r>
        <w:rPr>
          <w:lang w:eastAsia="ja-JP"/>
        </w:rPr>
        <w:t>提案された規制は、気候変動の適応目的への実質的な貢献</w:t>
      </w:r>
      <w:r w:rsidR="000026E0">
        <w:rPr>
          <w:rFonts w:hint="eastAsia"/>
          <w:lang w:eastAsia="ja-JP"/>
        </w:rPr>
        <w:t>について</w:t>
      </w:r>
      <w:r>
        <w:rPr>
          <w:lang w:eastAsia="ja-JP"/>
        </w:rPr>
        <w:t>理解</w:t>
      </w:r>
      <w:r w:rsidR="000026E0">
        <w:rPr>
          <w:rFonts w:hint="eastAsia"/>
          <w:lang w:eastAsia="ja-JP"/>
        </w:rPr>
        <w:t>を促進</w:t>
      </w:r>
      <w:r>
        <w:rPr>
          <w:lang w:eastAsia="ja-JP"/>
        </w:rPr>
        <w:t>するための枠組みを確立する。 この定義は、気候変動に関する政府間パネルの規定と概ね一致している9。</w:t>
      </w:r>
    </w:p>
    <w:p w14:paraId="095A5629" w14:textId="77777777" w:rsidR="002B3AD5" w:rsidRDefault="002B3AD5">
      <w:pPr>
        <w:pStyle w:val="a3"/>
        <w:rPr>
          <w:lang w:eastAsia="ja-JP"/>
        </w:rPr>
      </w:pPr>
    </w:p>
    <w:p w14:paraId="095A562A" w14:textId="77777777" w:rsidR="002B3AD5" w:rsidRDefault="002B3AD5">
      <w:pPr>
        <w:pStyle w:val="a3"/>
        <w:rPr>
          <w:lang w:eastAsia="ja-JP"/>
        </w:rPr>
      </w:pPr>
    </w:p>
    <w:p w14:paraId="095A562B" w14:textId="77777777" w:rsidR="002B3AD5" w:rsidRDefault="002B3AD5">
      <w:pPr>
        <w:pStyle w:val="a3"/>
        <w:rPr>
          <w:lang w:eastAsia="ja-JP"/>
        </w:rPr>
      </w:pPr>
    </w:p>
    <w:p w14:paraId="095A562C" w14:textId="77777777" w:rsidR="002B3AD5" w:rsidRDefault="002B3AD5">
      <w:pPr>
        <w:pStyle w:val="a3"/>
        <w:rPr>
          <w:lang w:eastAsia="ja-JP"/>
        </w:rPr>
      </w:pPr>
    </w:p>
    <w:p w14:paraId="095A562D" w14:textId="22D4CF7B" w:rsidR="002B3AD5" w:rsidRDefault="00C37D34">
      <w:pPr>
        <w:pStyle w:val="a3"/>
        <w:spacing w:before="9"/>
        <w:rPr>
          <w:sz w:val="14"/>
          <w:lang w:eastAsia="ja-JP"/>
        </w:rPr>
      </w:pPr>
      <w:r>
        <w:rPr>
          <w:noProof/>
          <w:lang w:val="en-US" w:eastAsia="ja-JP"/>
        </w:rPr>
        <mc:AlternateContent>
          <mc:Choice Requires="wps">
            <w:drawing>
              <wp:anchor distT="0" distB="0" distL="0" distR="0" simplePos="0" relativeHeight="251658240" behindDoc="1" locked="0" layoutInCell="1" allowOverlap="1" wp14:anchorId="095A58F5" wp14:editId="1E7FAB21">
                <wp:simplePos x="0" y="0"/>
                <wp:positionH relativeFrom="page">
                  <wp:posOffset>914400</wp:posOffset>
                </wp:positionH>
                <wp:positionV relativeFrom="paragraph">
                  <wp:posOffset>136525</wp:posOffset>
                </wp:positionV>
                <wp:extent cx="1829435" cy="0"/>
                <wp:effectExtent l="9525" t="8255" r="8890" b="10795"/>
                <wp:wrapTopAndBottom/>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7559C" id="Line 18" o:spid="_x0000_s1026" style="position:absolute;left:0;text-align:lef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5pt" to="216.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ZY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" strokeweight=".48pt">
                <w10:wrap type="topAndBottom" anchorx="page"/>
              </v:line>
            </w:pict>
          </mc:Fallback>
        </mc:AlternateContent>
      </w:r>
    </w:p>
    <w:p w14:paraId="095A562E" w14:textId="77777777" w:rsidR="002B3AD5" w:rsidRDefault="002B3AD5">
      <w:pPr>
        <w:pStyle w:val="a3"/>
        <w:spacing w:before="10"/>
        <w:rPr>
          <w:sz w:val="16"/>
          <w:lang w:eastAsia="ja-JP"/>
        </w:rPr>
      </w:pPr>
    </w:p>
    <w:p w14:paraId="095A562F" w14:textId="77777777" w:rsidR="002B3AD5" w:rsidRDefault="00D66CD0">
      <w:pPr>
        <w:pStyle w:val="a4"/>
        <w:numPr>
          <w:ilvl w:val="0"/>
          <w:numId w:val="23"/>
        </w:numPr>
        <w:tabs>
          <w:tab w:val="left" w:pos="1215"/>
        </w:tabs>
        <w:spacing w:before="98" w:line="259" w:lineRule="auto"/>
        <w:ind w:right="1220" w:firstLine="0"/>
        <w:rPr>
          <w:sz w:val="16"/>
          <w:lang w:eastAsia="ja-JP"/>
        </w:rPr>
      </w:pPr>
      <w:r>
        <w:rPr>
          <w:sz w:val="16"/>
          <w:lang w:eastAsia="ja-JP"/>
        </w:rPr>
        <w:t>IPCCは、第5次評価報告書において、適応の定義として、「現実あるいは予想される気候とその影響への調整プロセス」を提示している。</w:t>
      </w:r>
      <w:r>
        <w:rPr>
          <w:spacing w:val="-2"/>
          <w:sz w:val="16"/>
          <w:lang w:eastAsia="ja-JP"/>
        </w:rPr>
        <w:t xml:space="preserve"> 人間のシステムでは、適応は有害性を抑えるか回避するか、有益な機会を利用しようとする。</w:t>
      </w:r>
      <w:r>
        <w:rPr>
          <w:sz w:val="16"/>
          <w:lang w:eastAsia="ja-JP"/>
        </w:rPr>
        <w:t xml:space="preserve"> いくつかの自然システムでは、人間の介入が予想される気候とその影響への適応を促進するかもしれない。 </w:t>
      </w:r>
      <w:r w:rsidRPr="002F5B54">
        <w:rPr>
          <w:sz w:val="16"/>
          <w:lang w:val="en-US" w:eastAsia="ja-JP"/>
        </w:rPr>
        <w:t>IPCC(2014)</w:t>
      </w:r>
      <w:r>
        <w:rPr>
          <w:sz w:val="16"/>
          <w:lang w:eastAsia="ja-JP"/>
        </w:rPr>
        <w:t>、</w:t>
      </w:r>
      <w:r w:rsidRPr="002F5B54">
        <w:rPr>
          <w:sz w:val="16"/>
          <w:lang w:val="en-US" w:eastAsia="ja-JP"/>
        </w:rPr>
        <w:t>'Climate Change 2014:</w:t>
      </w:r>
      <w:r>
        <w:rPr>
          <w:sz w:val="16"/>
          <w:lang w:eastAsia="ja-JP"/>
        </w:rPr>
        <w:t>影響、適応、脆弱性。</w:t>
      </w:r>
      <w:r w:rsidRPr="002F5B54">
        <w:rPr>
          <w:sz w:val="16"/>
          <w:lang w:val="en-US" w:eastAsia="ja-JP"/>
        </w:rPr>
        <w:t xml:space="preserve"> </w:t>
      </w:r>
      <w:r>
        <w:rPr>
          <w:sz w:val="16"/>
          <w:lang w:eastAsia="ja-JP"/>
        </w:rPr>
        <w:t>パートB:地域的側面。 気候変動に関する政府間パネル第5次評価報告書、バローズ、V.R.、C.B. Field、D.J. Dokken、M.D. Mastrandreaに対する作業部会IIの貢献、</w:t>
      </w:r>
    </w:p>
    <w:p w14:paraId="095A5630" w14:textId="77777777" w:rsidR="002B3AD5" w:rsidRDefault="00D66CD0">
      <w:pPr>
        <w:spacing w:line="259" w:lineRule="auto"/>
        <w:ind w:left="1080" w:right="1152"/>
        <w:rPr>
          <w:sz w:val="16"/>
          <w:lang w:eastAsia="ja-JP"/>
        </w:rPr>
      </w:pPr>
      <w:r>
        <w:rPr>
          <w:sz w:val="16"/>
          <w:lang w:eastAsia="ja-JP"/>
        </w:rPr>
        <w:t>K.J.Mach、T.E.Bilir、M.Chatterjee、K.L.Ebi、Y.O.Estrada、R.C.Genova、B.Girma、E.S.Kissel、A.N.Levy、S.MacCracken、P.R.MastrandreaおよびL.L.White(編)、ケンブリッジ大学出版部:ケンブリッジ、英国およびニューヨーク、米国、ニューヨーク、米国。</w:t>
      </w:r>
    </w:p>
    <w:p w14:paraId="095A5631" w14:textId="77777777" w:rsidR="002B3AD5" w:rsidRDefault="002B3AD5">
      <w:pPr>
        <w:spacing w:line="259" w:lineRule="auto"/>
        <w:rPr>
          <w:sz w:val="16"/>
          <w:lang w:eastAsia="ja-JP"/>
        </w:rPr>
        <w:sectPr w:rsidR="002B3AD5">
          <w:pgSz w:w="12240" w:h="15840"/>
          <w:pgMar w:top="1440" w:right="320" w:bottom="1200" w:left="360" w:header="0" w:footer="1020" w:gutter="0"/>
          <w:cols w:space="720"/>
        </w:sectPr>
      </w:pPr>
    </w:p>
    <w:p w14:paraId="095A5632" w14:textId="77777777" w:rsidR="002B3AD5" w:rsidRDefault="00D66CD0">
      <w:pPr>
        <w:pStyle w:val="a3"/>
        <w:spacing w:before="79"/>
        <w:ind w:right="40"/>
        <w:jc w:val="center"/>
        <w:rPr>
          <w:lang w:eastAsia="ja-JP"/>
        </w:rPr>
      </w:pPr>
      <w:r>
        <w:rPr>
          <w:u w:val="single"/>
          <w:lang w:eastAsia="ja-JP"/>
        </w:rPr>
        <w:lastRenderedPageBreak/>
        <w:t>第七条</w:t>
      </w:r>
    </w:p>
    <w:p w14:paraId="095A5633" w14:textId="77777777" w:rsidR="002B3AD5" w:rsidRDefault="002B3AD5">
      <w:pPr>
        <w:pStyle w:val="a3"/>
        <w:spacing w:before="9"/>
        <w:rPr>
          <w:sz w:val="15"/>
          <w:lang w:eastAsia="ja-JP"/>
        </w:rPr>
      </w:pPr>
    </w:p>
    <w:p w14:paraId="095A5634" w14:textId="2C724813" w:rsidR="002B3AD5" w:rsidRDefault="00D66CD0">
      <w:pPr>
        <w:pStyle w:val="a3"/>
        <w:spacing w:before="93"/>
        <w:ind w:left="3413"/>
        <w:rPr>
          <w:lang w:eastAsia="ja-JP"/>
        </w:rPr>
      </w:pPr>
      <w:r>
        <w:rPr>
          <w:u w:val="single"/>
          <w:lang w:eastAsia="ja-JP"/>
        </w:rPr>
        <w:t>気候変動への適応に</w:t>
      </w:r>
      <w:r w:rsidR="000026E0">
        <w:rPr>
          <w:rFonts w:hint="eastAsia"/>
          <w:u w:val="single"/>
          <w:lang w:eastAsia="ja-JP"/>
        </w:rPr>
        <w:t>関する本質的</w:t>
      </w:r>
      <w:r>
        <w:rPr>
          <w:u w:val="single"/>
          <w:lang w:eastAsia="ja-JP"/>
        </w:rPr>
        <w:t>貢献</w:t>
      </w:r>
    </w:p>
    <w:p w14:paraId="095A5635" w14:textId="77777777" w:rsidR="002B3AD5" w:rsidRDefault="002B3AD5">
      <w:pPr>
        <w:pStyle w:val="a3"/>
        <w:spacing w:before="9"/>
        <w:rPr>
          <w:sz w:val="15"/>
          <w:lang w:eastAsia="ja-JP"/>
        </w:rPr>
      </w:pPr>
    </w:p>
    <w:p w14:paraId="095A5636" w14:textId="77777777" w:rsidR="002B3AD5" w:rsidRDefault="00D66CD0">
      <w:pPr>
        <w:pStyle w:val="a4"/>
        <w:numPr>
          <w:ilvl w:val="1"/>
          <w:numId w:val="18"/>
        </w:numPr>
        <w:tabs>
          <w:tab w:val="left" w:pos="1801"/>
        </w:tabs>
        <w:spacing w:before="93" w:line="278" w:lineRule="auto"/>
        <w:ind w:right="1242"/>
        <w:rPr>
          <w:sz w:val="20"/>
          <w:lang w:eastAsia="ja-JP"/>
        </w:rPr>
      </w:pPr>
      <w:r>
        <w:rPr>
          <w:sz w:val="20"/>
          <w:lang w:eastAsia="ja-JP"/>
        </w:rPr>
        <w:t>経済活動は、次の場合には、気候変動の適応に実質的に寄与するとみなされる。</w:t>
      </w:r>
    </w:p>
    <w:p w14:paraId="095A5637" w14:textId="323DBF52" w:rsidR="002B3AD5" w:rsidRDefault="00D66CD0">
      <w:pPr>
        <w:pStyle w:val="a4"/>
        <w:numPr>
          <w:ilvl w:val="2"/>
          <w:numId w:val="18"/>
        </w:numPr>
        <w:tabs>
          <w:tab w:val="left" w:pos="2521"/>
        </w:tabs>
        <w:spacing w:before="0" w:line="276" w:lineRule="auto"/>
        <w:ind w:right="1401"/>
        <w:rPr>
          <w:sz w:val="20"/>
          <w:lang w:eastAsia="ja-JP"/>
        </w:rPr>
      </w:pPr>
      <w:r>
        <w:rPr>
          <w:sz w:val="20"/>
          <w:lang w:eastAsia="ja-JP"/>
        </w:rPr>
        <w:t>経済活動には、他の人、性質及び資産に悪影響を及ぼすリスクを増加させることなく、現在及び将来の気候が当該経済活動そのものに及ぼす悪影響を実質的に低減するか又は</w:t>
      </w:r>
      <w:r w:rsidR="000026E0">
        <w:rPr>
          <w:rFonts w:hint="eastAsia"/>
          <w:sz w:val="20"/>
          <w:lang w:eastAsia="ja-JP"/>
        </w:rPr>
        <w:t>そのリスクを</w:t>
      </w:r>
      <w:r>
        <w:rPr>
          <w:sz w:val="20"/>
          <w:lang w:eastAsia="ja-JP"/>
        </w:rPr>
        <w:t>実質的に低減する適応策を含むこと。</w:t>
      </w:r>
    </w:p>
    <w:p w14:paraId="095A5638" w14:textId="77777777" w:rsidR="002B3AD5" w:rsidRDefault="00D66CD0">
      <w:pPr>
        <w:pStyle w:val="a4"/>
        <w:numPr>
          <w:ilvl w:val="2"/>
          <w:numId w:val="18"/>
        </w:numPr>
        <w:tabs>
          <w:tab w:val="left" w:pos="2521"/>
        </w:tabs>
        <w:spacing w:before="0" w:line="276" w:lineRule="auto"/>
        <w:ind w:right="1193"/>
        <w:rPr>
          <w:sz w:val="20"/>
          <w:lang w:eastAsia="ja-JP"/>
        </w:rPr>
      </w:pPr>
      <w:r>
        <w:rPr>
          <w:sz w:val="20"/>
          <w:lang w:eastAsia="ja-JP"/>
        </w:rPr>
        <w:t>経済活動が、第11a条に規定された条件に加えて、他の人、自然及び資産に悪影響を及ぼすリスクを増加させることなく、現在及び予想される将来の気候が他の人、自然又は資産に与える悪影響を実質的に防止又は減少させ又は実質的に減少させることに実質的に寄与する適応解決策を提供すること。</w:t>
      </w:r>
    </w:p>
    <w:p w14:paraId="095A5639" w14:textId="77777777" w:rsidR="002B3AD5" w:rsidRDefault="002B3AD5">
      <w:pPr>
        <w:pStyle w:val="a3"/>
        <w:rPr>
          <w:sz w:val="22"/>
          <w:lang w:eastAsia="ja-JP"/>
        </w:rPr>
      </w:pPr>
    </w:p>
    <w:p w14:paraId="095A563A" w14:textId="77777777" w:rsidR="002B3AD5" w:rsidRDefault="002B3AD5">
      <w:pPr>
        <w:pStyle w:val="a3"/>
        <w:spacing w:before="7"/>
        <w:rPr>
          <w:sz w:val="21"/>
          <w:lang w:eastAsia="ja-JP"/>
        </w:rPr>
      </w:pPr>
    </w:p>
    <w:p w14:paraId="095A563B" w14:textId="04E11CFC" w:rsidR="002B3AD5" w:rsidRDefault="00E13704">
      <w:pPr>
        <w:pStyle w:val="a4"/>
        <w:numPr>
          <w:ilvl w:val="1"/>
          <w:numId w:val="17"/>
        </w:numPr>
        <w:tabs>
          <w:tab w:val="left" w:pos="1772"/>
        </w:tabs>
        <w:spacing w:before="0" w:line="276" w:lineRule="auto"/>
        <w:ind w:right="1318" w:firstLine="0"/>
        <w:rPr>
          <w:sz w:val="20"/>
          <w:lang w:eastAsia="ja-JP"/>
        </w:rPr>
      </w:pPr>
      <w:r>
        <w:rPr>
          <w:rFonts w:hint="eastAsia"/>
          <w:sz w:val="20"/>
          <w:lang w:eastAsia="ja-JP"/>
        </w:rPr>
        <w:t>パラ</w:t>
      </w:r>
      <w:r w:rsidR="00D66CD0">
        <w:rPr>
          <w:sz w:val="20"/>
          <w:lang w:eastAsia="ja-JP"/>
        </w:rPr>
        <w:t>1</w:t>
      </w:r>
      <w:r>
        <w:rPr>
          <w:rFonts w:hint="eastAsia"/>
          <w:sz w:val="20"/>
          <w:lang w:eastAsia="ja-JP"/>
        </w:rPr>
        <w:t>の</w:t>
      </w:r>
      <w:r w:rsidR="00D66CD0">
        <w:rPr>
          <w:sz w:val="20"/>
          <w:lang w:eastAsia="ja-JP"/>
        </w:rPr>
        <w:t>(a)に規定する適応策は、利用可能な最良の気候予測を用いて評価し、及び優先順位を付けるものとし、また、少なくとも次のことを防止し、又は削減する。</w:t>
      </w:r>
    </w:p>
    <w:p w14:paraId="095A563C" w14:textId="77777777" w:rsidR="002B3AD5" w:rsidRDefault="002B3AD5">
      <w:pPr>
        <w:pStyle w:val="a3"/>
        <w:spacing w:before="9"/>
        <w:rPr>
          <w:lang w:eastAsia="ja-JP"/>
        </w:rPr>
      </w:pPr>
    </w:p>
    <w:p w14:paraId="095A563D" w14:textId="77777777" w:rsidR="002B3AD5" w:rsidRDefault="00D66CD0">
      <w:pPr>
        <w:pStyle w:val="a4"/>
        <w:numPr>
          <w:ilvl w:val="2"/>
          <w:numId w:val="17"/>
        </w:numPr>
        <w:tabs>
          <w:tab w:val="left" w:pos="2521"/>
        </w:tabs>
        <w:spacing w:before="0" w:line="276" w:lineRule="auto"/>
        <w:ind w:right="1744"/>
        <w:rPr>
          <w:sz w:val="20"/>
          <w:lang w:eastAsia="ja-JP"/>
        </w:rPr>
      </w:pPr>
      <w:r>
        <w:rPr>
          <w:sz w:val="20"/>
          <w:lang w:eastAsia="ja-JP"/>
        </w:rPr>
        <w:t>気候変動が経済活動に与える場所固有の、状況に応じた悪影響。</w:t>
      </w:r>
    </w:p>
    <w:p w14:paraId="095A563E" w14:textId="3743C10B" w:rsidR="002B3AD5" w:rsidRDefault="00E13704">
      <w:pPr>
        <w:pStyle w:val="a4"/>
        <w:numPr>
          <w:ilvl w:val="2"/>
          <w:numId w:val="17"/>
        </w:numPr>
        <w:tabs>
          <w:tab w:val="left" w:pos="2521"/>
        </w:tabs>
        <w:spacing w:before="2" w:line="276" w:lineRule="auto"/>
        <w:ind w:right="1341"/>
        <w:rPr>
          <w:sz w:val="20"/>
          <w:lang w:eastAsia="ja-JP"/>
        </w:rPr>
      </w:pPr>
      <w:r>
        <w:rPr>
          <w:rFonts w:hint="eastAsia"/>
          <w:sz w:val="20"/>
          <w:lang w:eastAsia="ja-JP"/>
        </w:rPr>
        <w:t>経済活動が行われる場所において</w:t>
      </w:r>
      <w:r w:rsidR="00D66CD0">
        <w:rPr>
          <w:sz w:val="20"/>
          <w:lang w:eastAsia="ja-JP"/>
        </w:rPr>
        <w:t>気候変動が環境に与える悪影響</w:t>
      </w:r>
    </w:p>
    <w:p w14:paraId="095A563F" w14:textId="77777777" w:rsidR="002B3AD5" w:rsidRDefault="002B3AD5">
      <w:pPr>
        <w:pStyle w:val="a3"/>
        <w:rPr>
          <w:sz w:val="22"/>
          <w:lang w:eastAsia="ja-JP"/>
        </w:rPr>
      </w:pPr>
    </w:p>
    <w:p w14:paraId="095A5640" w14:textId="77777777" w:rsidR="002B3AD5" w:rsidRDefault="002B3AD5">
      <w:pPr>
        <w:pStyle w:val="a3"/>
        <w:spacing w:before="2"/>
        <w:rPr>
          <w:sz w:val="32"/>
          <w:lang w:eastAsia="ja-JP"/>
        </w:rPr>
      </w:pPr>
    </w:p>
    <w:p w14:paraId="095A5641" w14:textId="34BF7BC3" w:rsidR="002B3AD5" w:rsidRDefault="002F5B54">
      <w:pPr>
        <w:pStyle w:val="a3"/>
        <w:spacing w:line="276" w:lineRule="auto"/>
        <w:ind w:left="1080" w:right="1152"/>
        <w:rPr>
          <w:lang w:eastAsia="ja-JP"/>
        </w:rPr>
      </w:pPr>
      <w:r>
        <w:rPr>
          <w:lang w:eastAsia="ja-JP"/>
        </w:rPr>
        <w:t>タクソノミー</w:t>
      </w:r>
      <w:r w:rsidR="00E13704">
        <w:rPr>
          <w:rFonts w:hint="eastAsia"/>
          <w:lang w:eastAsia="ja-JP"/>
        </w:rPr>
        <w:t>制作</w:t>
      </w:r>
      <w:r w:rsidR="00D66CD0">
        <w:rPr>
          <w:lang w:eastAsia="ja-JP"/>
        </w:rPr>
        <w:t>のために考慮され</w:t>
      </w:r>
      <w:r w:rsidR="00E13704">
        <w:rPr>
          <w:rFonts w:hint="eastAsia"/>
          <w:lang w:eastAsia="ja-JP"/>
        </w:rPr>
        <w:t>た</w:t>
      </w:r>
      <w:r w:rsidR="00D66CD0">
        <w:rPr>
          <w:lang w:eastAsia="ja-JP"/>
        </w:rPr>
        <w:t>気候変化の悪影響には、慢性的あるいは緩慢な気候関連の危険性(平均気温上昇や海面上昇など)と急速あるいは急性の気候関連の危険性(極端な降雨、高潮、洪水、熱波など)の両方から生じる影響が含まれ</w:t>
      </w:r>
      <w:r w:rsidR="00E13704">
        <w:rPr>
          <w:rFonts w:hint="eastAsia"/>
          <w:lang w:eastAsia="ja-JP"/>
        </w:rPr>
        <w:t>てい</w:t>
      </w:r>
      <w:r w:rsidR="00D66CD0">
        <w:rPr>
          <w:lang w:eastAsia="ja-JP"/>
        </w:rPr>
        <w:t>る。</w:t>
      </w:r>
    </w:p>
    <w:p w14:paraId="095A5642" w14:textId="77777777" w:rsidR="002B3AD5" w:rsidRDefault="002B3AD5">
      <w:pPr>
        <w:pStyle w:val="a3"/>
        <w:spacing w:before="11"/>
        <w:rPr>
          <w:lang w:eastAsia="ja-JP"/>
        </w:rPr>
      </w:pPr>
    </w:p>
    <w:p w14:paraId="095A5643" w14:textId="114D6093" w:rsidR="002B3AD5" w:rsidRDefault="00D66CD0">
      <w:pPr>
        <w:pStyle w:val="a3"/>
        <w:spacing w:line="276" w:lineRule="auto"/>
        <w:ind w:left="1080" w:right="1198"/>
        <w:jc w:val="both"/>
        <w:rPr>
          <w:lang w:eastAsia="ja-JP"/>
        </w:rPr>
      </w:pPr>
      <w:r>
        <w:rPr>
          <w:lang w:eastAsia="ja-JP"/>
        </w:rPr>
        <w:t>本報告書では、重要な物理的気候リスクとは、</w:t>
      </w:r>
      <w:r w:rsidR="00E13704">
        <w:rPr>
          <w:rFonts w:hint="eastAsia"/>
          <w:lang w:eastAsia="ja-JP"/>
        </w:rPr>
        <w:t>活動の</w:t>
      </w:r>
      <w:r>
        <w:rPr>
          <w:lang w:eastAsia="ja-JP"/>
        </w:rPr>
        <w:t>失敗、遅延、または気候関連のハザードに起因する不完全な</w:t>
      </w:r>
      <w:r w:rsidR="00E13704">
        <w:rPr>
          <w:rFonts w:hint="eastAsia"/>
          <w:lang w:eastAsia="ja-JP"/>
        </w:rPr>
        <w:t>経済活動</w:t>
      </w:r>
      <w:r>
        <w:rPr>
          <w:lang w:eastAsia="ja-JP"/>
        </w:rPr>
        <w:t>によって生じる(財務上および非財務上の)損失のリスクである</w:t>
      </w:r>
      <w:r w:rsidR="00E13704">
        <w:rPr>
          <w:rFonts w:hint="eastAsia"/>
          <w:lang w:eastAsia="ja-JP"/>
        </w:rPr>
        <w:t>のことを指す</w:t>
      </w:r>
      <w:r>
        <w:rPr>
          <w:lang w:eastAsia="ja-JP"/>
        </w:rPr>
        <w:t>。</w:t>
      </w:r>
    </w:p>
    <w:p w14:paraId="095A5644" w14:textId="77777777" w:rsidR="002B3AD5" w:rsidRDefault="002B3AD5">
      <w:pPr>
        <w:pStyle w:val="a3"/>
        <w:spacing w:before="11"/>
        <w:rPr>
          <w:lang w:eastAsia="ja-JP"/>
        </w:rPr>
      </w:pPr>
    </w:p>
    <w:p w14:paraId="095A5645" w14:textId="31ECD3FC" w:rsidR="002B3AD5" w:rsidRDefault="00D66CD0">
      <w:pPr>
        <w:pStyle w:val="a3"/>
        <w:spacing w:line="276" w:lineRule="auto"/>
        <w:ind w:left="1080" w:right="1152"/>
        <w:rPr>
          <w:lang w:eastAsia="ja-JP"/>
        </w:rPr>
      </w:pPr>
      <w:r>
        <w:rPr>
          <w:lang w:eastAsia="ja-JP"/>
        </w:rPr>
        <w:t>このことを念頭に置</w:t>
      </w:r>
      <w:r w:rsidR="0070515B">
        <w:rPr>
          <w:rFonts w:hint="eastAsia"/>
          <w:lang w:eastAsia="ja-JP"/>
        </w:rPr>
        <w:t>いて考えると</w:t>
      </w:r>
      <w:r>
        <w:rPr>
          <w:lang w:eastAsia="ja-JP"/>
        </w:rPr>
        <w:t>、適応</w:t>
      </w:r>
      <w:r w:rsidR="002F5B54">
        <w:rPr>
          <w:lang w:eastAsia="ja-JP"/>
        </w:rPr>
        <w:t>タクソノミー</w:t>
      </w:r>
      <w:r>
        <w:rPr>
          <w:lang w:eastAsia="ja-JP"/>
        </w:rPr>
        <w:t>は適応目的に大きく寄与する2つのタイプからなる</w:t>
      </w:r>
      <w:r w:rsidR="0070515B">
        <w:rPr>
          <w:rFonts w:hint="eastAsia"/>
          <w:lang w:eastAsia="ja-JP"/>
        </w:rPr>
        <w:t>ことになる</w:t>
      </w:r>
      <w:r>
        <w:rPr>
          <w:lang w:eastAsia="ja-JP"/>
        </w:rPr>
        <w:t>。</w:t>
      </w:r>
    </w:p>
    <w:p w14:paraId="095A5646" w14:textId="77777777" w:rsidR="002B3AD5" w:rsidRDefault="002B3AD5">
      <w:pPr>
        <w:pStyle w:val="a3"/>
        <w:spacing w:before="9"/>
        <w:rPr>
          <w:lang w:eastAsia="ja-JP"/>
        </w:rPr>
      </w:pPr>
    </w:p>
    <w:p w14:paraId="095A5647" w14:textId="73B23F49" w:rsidR="002B3AD5" w:rsidRDefault="00D66CD0">
      <w:pPr>
        <w:pStyle w:val="a4"/>
        <w:numPr>
          <w:ilvl w:val="0"/>
          <w:numId w:val="16"/>
        </w:numPr>
        <w:tabs>
          <w:tab w:val="left" w:pos="1801"/>
        </w:tabs>
        <w:spacing w:before="0" w:line="276" w:lineRule="auto"/>
        <w:ind w:right="1269"/>
        <w:rPr>
          <w:sz w:val="20"/>
          <w:lang w:eastAsia="ja-JP"/>
        </w:rPr>
      </w:pPr>
      <w:r>
        <w:rPr>
          <w:sz w:val="20"/>
          <w:lang w:eastAsia="ja-JP"/>
        </w:rPr>
        <w:t>適応活動</w:t>
      </w:r>
      <w:r w:rsidR="00E13704">
        <w:rPr>
          <w:rFonts w:hint="eastAsia"/>
          <w:sz w:val="20"/>
          <w:lang w:eastAsia="ja-JP"/>
        </w:rPr>
        <w:t>：</w:t>
      </w:r>
      <w:r>
        <w:rPr>
          <w:sz w:val="20"/>
          <w:lang w:eastAsia="ja-JP"/>
        </w:rPr>
        <w:t>経済活動のために特定されたすべての物質的な気候リスクに、経済活動が可能な範囲で、最善の努力に基づいて、経済活動に適合すること。</w:t>
      </w:r>
    </w:p>
    <w:p w14:paraId="095A5648" w14:textId="7227A3FC" w:rsidR="002B3AD5" w:rsidRDefault="00D66CD0">
      <w:pPr>
        <w:pStyle w:val="a4"/>
        <w:numPr>
          <w:ilvl w:val="0"/>
          <w:numId w:val="16"/>
        </w:numPr>
        <w:tabs>
          <w:tab w:val="left" w:pos="1801"/>
        </w:tabs>
        <w:spacing w:before="0" w:line="276" w:lineRule="auto"/>
        <w:ind w:right="1281"/>
        <w:rPr>
          <w:sz w:val="20"/>
          <w:lang w:eastAsia="ja-JP"/>
        </w:rPr>
      </w:pPr>
      <w:r>
        <w:rPr>
          <w:sz w:val="20"/>
          <w:lang w:eastAsia="ja-JP"/>
        </w:rPr>
        <w:t>経済活動の適応を</w:t>
      </w:r>
      <w:r w:rsidR="004548CA">
        <w:rPr>
          <w:rFonts w:hint="eastAsia"/>
          <w:sz w:val="20"/>
          <w:lang w:eastAsia="ja-JP"/>
        </w:rPr>
        <w:t>イネ―ブリング</w:t>
      </w:r>
      <w:r>
        <w:rPr>
          <w:sz w:val="20"/>
          <w:lang w:eastAsia="ja-JP"/>
        </w:rPr>
        <w:t>する活動</w:t>
      </w:r>
      <w:r w:rsidR="00E13704">
        <w:rPr>
          <w:rFonts w:hint="eastAsia"/>
          <w:sz w:val="20"/>
          <w:lang w:eastAsia="ja-JP"/>
        </w:rPr>
        <w:t>：</w:t>
      </w:r>
      <w:r>
        <w:rPr>
          <w:sz w:val="20"/>
          <w:lang w:eastAsia="ja-JP"/>
        </w:rPr>
        <w:t>活動は、他の経済活動における物質的な気候リスクを低減し、及び/又は適応に対するシステミックな障壁に対処し、また、それ自体も物理的な気候リスクに適応する。</w:t>
      </w:r>
    </w:p>
    <w:p w14:paraId="095A5649" w14:textId="4FCF839A" w:rsidR="002B3AD5" w:rsidRDefault="00D66CD0">
      <w:pPr>
        <w:pStyle w:val="a3"/>
        <w:spacing w:before="120" w:line="276" w:lineRule="auto"/>
        <w:ind w:left="1080" w:right="1154"/>
        <w:rPr>
          <w:lang w:eastAsia="ja-JP"/>
        </w:rPr>
      </w:pPr>
      <w:r>
        <w:rPr>
          <w:lang w:eastAsia="ja-JP"/>
        </w:rPr>
        <w:t>どちらのタイプの活動も、他の環境目的に対して重大な損害を与えないための</w:t>
      </w:r>
      <w:r w:rsidR="00E13704">
        <w:rPr>
          <w:rFonts w:hint="eastAsia"/>
          <w:lang w:eastAsia="ja-JP"/>
        </w:rPr>
        <w:t>「DNSH</w:t>
      </w:r>
      <w:r>
        <w:rPr>
          <w:lang w:eastAsia="ja-JP"/>
        </w:rPr>
        <w:t>基準</w:t>
      </w:r>
      <w:r w:rsidR="00E13704">
        <w:rPr>
          <w:rFonts w:hint="eastAsia"/>
          <w:lang w:eastAsia="ja-JP"/>
        </w:rPr>
        <w:t>」</w:t>
      </w:r>
      <w:r>
        <w:rPr>
          <w:lang w:eastAsia="ja-JP"/>
        </w:rPr>
        <w:t>を満たし、</w:t>
      </w:r>
      <w:r w:rsidR="002F5B54">
        <w:rPr>
          <w:lang w:eastAsia="ja-JP"/>
        </w:rPr>
        <w:t>タクソノミー</w:t>
      </w:r>
      <w:r>
        <w:rPr>
          <w:lang w:eastAsia="ja-JP"/>
        </w:rPr>
        <w:t>のために設定された最低限の社会的セーフガードを遵守しなければならない。 気候変動に適応した活動及び他の経済活動の適応を</w:t>
      </w:r>
      <w:r w:rsidR="004548CA">
        <w:rPr>
          <w:rFonts w:hint="eastAsia"/>
          <w:lang w:eastAsia="ja-JP"/>
        </w:rPr>
        <w:t>イネ―ブリング</w:t>
      </w:r>
      <w:r>
        <w:rPr>
          <w:lang w:eastAsia="ja-JP"/>
        </w:rPr>
        <w:t>する活動は、適応への実質的な貢献のための一連の技術的基準を満た</w:t>
      </w:r>
      <w:r w:rsidR="00E13704">
        <w:rPr>
          <w:rFonts w:hint="eastAsia"/>
          <w:lang w:eastAsia="ja-JP"/>
        </w:rPr>
        <w:t>し、</w:t>
      </w:r>
      <w:r w:rsidR="00E13704" w:rsidRPr="00E13704">
        <w:rPr>
          <w:rFonts w:hint="eastAsia"/>
          <w:lang w:eastAsia="ja-JP"/>
        </w:rPr>
        <w:t>人、資産、自然への悪影響を回避し、長期的な環境目標を損なうようなロックイン活動を防止する</w:t>
      </w:r>
      <w:r>
        <w:rPr>
          <w:lang w:eastAsia="ja-JP"/>
        </w:rPr>
        <w:t>ことにより、プラスの環境影響を提供する。</w:t>
      </w:r>
    </w:p>
    <w:p w14:paraId="095A564A"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64B" w14:textId="658D3A0B" w:rsidR="002B3AD5" w:rsidRDefault="002B3AD5">
      <w:pPr>
        <w:pStyle w:val="a3"/>
        <w:spacing w:before="79" w:line="276" w:lineRule="auto"/>
        <w:ind w:left="1080" w:right="1443"/>
        <w:rPr>
          <w:lang w:eastAsia="ja-JP"/>
        </w:rPr>
      </w:pPr>
    </w:p>
    <w:p w14:paraId="095A564C" w14:textId="77777777" w:rsidR="002B3AD5" w:rsidRDefault="002B3AD5">
      <w:pPr>
        <w:pStyle w:val="a3"/>
        <w:rPr>
          <w:sz w:val="21"/>
          <w:lang w:eastAsia="ja-JP"/>
        </w:rPr>
      </w:pPr>
    </w:p>
    <w:p w14:paraId="095A564D" w14:textId="77777777" w:rsidR="002B3AD5" w:rsidRDefault="00D66CD0">
      <w:pPr>
        <w:pStyle w:val="a3"/>
        <w:ind w:left="1080"/>
        <w:rPr>
          <w:sz w:val="10"/>
          <w:lang w:eastAsia="ja-JP"/>
        </w:rPr>
      </w:pPr>
      <w:r>
        <w:rPr>
          <w:lang w:eastAsia="ja-JP"/>
        </w:rPr>
        <w:t>図3は、適応目標への実質的な寄与を特定するための意思決定ツリーを示している10。</w:t>
      </w:r>
    </w:p>
    <w:p w14:paraId="095A564E" w14:textId="77777777" w:rsidR="002B3AD5" w:rsidRDefault="00D66CD0">
      <w:pPr>
        <w:pStyle w:val="a3"/>
        <w:spacing w:before="5"/>
        <w:rPr>
          <w:lang w:eastAsia="ja-JP"/>
        </w:rPr>
      </w:pPr>
      <w:r>
        <w:rPr>
          <w:noProof/>
          <w:lang w:val="en-US" w:eastAsia="ja-JP"/>
        </w:rPr>
        <w:drawing>
          <wp:anchor distT="0" distB="0" distL="0" distR="0" simplePos="0" relativeHeight="251649024" behindDoc="0" locked="0" layoutInCell="1" allowOverlap="1" wp14:anchorId="095A58F6" wp14:editId="095A58F7">
            <wp:simplePos x="0" y="0"/>
            <wp:positionH relativeFrom="page">
              <wp:posOffset>1186497</wp:posOffset>
            </wp:positionH>
            <wp:positionV relativeFrom="paragraph">
              <wp:posOffset>174312</wp:posOffset>
            </wp:positionV>
            <wp:extent cx="5399404" cy="24963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399404" cy="2496312"/>
                    </a:xfrm>
                    <a:prstGeom prst="rect">
                      <a:avLst/>
                    </a:prstGeom>
                  </pic:spPr>
                </pic:pic>
              </a:graphicData>
            </a:graphic>
          </wp:anchor>
        </w:drawing>
      </w:r>
    </w:p>
    <w:p w14:paraId="095A564F" w14:textId="77777777" w:rsidR="002B3AD5" w:rsidRDefault="002B3AD5">
      <w:pPr>
        <w:pStyle w:val="a3"/>
        <w:spacing w:before="8"/>
        <w:rPr>
          <w:sz w:val="21"/>
          <w:lang w:eastAsia="ja-JP"/>
        </w:rPr>
      </w:pPr>
    </w:p>
    <w:p w14:paraId="095A5650" w14:textId="77777777" w:rsidR="002B3AD5" w:rsidRDefault="00D66CD0">
      <w:pPr>
        <w:ind w:left="2628"/>
        <w:rPr>
          <w:sz w:val="18"/>
          <w:lang w:eastAsia="ja-JP"/>
        </w:rPr>
      </w:pPr>
      <w:r>
        <w:rPr>
          <w:color w:val="44536A"/>
          <w:sz w:val="18"/>
          <w:lang w:eastAsia="ja-JP"/>
        </w:rPr>
        <w:t>図3 気候変動適応への実質的な寄与に関する意思決定ツリー</w:t>
      </w:r>
    </w:p>
    <w:p w14:paraId="095A5651" w14:textId="77777777" w:rsidR="002B3AD5" w:rsidRDefault="002B3AD5">
      <w:pPr>
        <w:pStyle w:val="a3"/>
        <w:spacing w:before="1"/>
        <w:rPr>
          <w:sz w:val="17"/>
          <w:lang w:eastAsia="ja-JP"/>
        </w:rPr>
      </w:pPr>
    </w:p>
    <w:p w14:paraId="095A5652" w14:textId="69F36332" w:rsidR="002B3AD5" w:rsidRDefault="00D66CD0">
      <w:pPr>
        <w:pStyle w:val="a3"/>
        <w:spacing w:line="276" w:lineRule="auto"/>
        <w:ind w:left="1080" w:right="1152"/>
        <w:rPr>
          <w:lang w:eastAsia="ja-JP"/>
        </w:rPr>
      </w:pPr>
      <w:r>
        <w:rPr>
          <w:lang w:eastAsia="ja-JP"/>
        </w:rPr>
        <w:t>これは、「緩和</w:t>
      </w:r>
      <w:r w:rsidR="001D762C">
        <w:rPr>
          <w:rFonts w:hint="eastAsia"/>
          <w:lang w:eastAsia="ja-JP"/>
        </w:rPr>
        <w:t>された</w:t>
      </w:r>
      <w:r>
        <w:rPr>
          <w:lang w:eastAsia="ja-JP"/>
        </w:rPr>
        <w:t>活動」と「緩和を</w:t>
      </w:r>
      <w:r w:rsidR="004548CA">
        <w:rPr>
          <w:rFonts w:hint="eastAsia"/>
          <w:lang w:eastAsia="ja-JP"/>
        </w:rPr>
        <w:t>イネ―ブリング</w:t>
      </w:r>
      <w:r>
        <w:rPr>
          <w:lang w:eastAsia="ja-JP"/>
        </w:rPr>
        <w:t>する活動」という観点から、気候変動緩和に実質的に寄与する経済活動を特定する際にとられるアプローチと整合的である。</w:t>
      </w:r>
    </w:p>
    <w:p w14:paraId="095A5653" w14:textId="77777777" w:rsidR="002B3AD5" w:rsidRDefault="002B3AD5">
      <w:pPr>
        <w:pStyle w:val="a3"/>
        <w:spacing w:before="9"/>
        <w:rPr>
          <w:lang w:eastAsia="ja-JP"/>
        </w:rPr>
      </w:pPr>
    </w:p>
    <w:p w14:paraId="095A5654" w14:textId="43807D92" w:rsidR="002B3AD5" w:rsidRDefault="00D66CD0">
      <w:pPr>
        <w:pStyle w:val="a3"/>
        <w:spacing w:line="276" w:lineRule="auto"/>
        <w:ind w:left="1080" w:right="1143"/>
        <w:rPr>
          <w:lang w:eastAsia="ja-JP"/>
        </w:rPr>
      </w:pPr>
      <w:r>
        <w:rPr>
          <w:lang w:eastAsia="ja-JP"/>
        </w:rPr>
        <w:t>最初の一連の経済活動は、変化する気候の下で経済活動がうまく機能することを保証する解決策を採用することによって、適応に貢献する。 適応へのこの寄与は、通常、気候変動への適応以外の主要な目的を持つ経済活動で生じる。 例えば、都市部への電力供給のための送電線は、より高い温度閾値で動作限界を有する導体を設置することによって、予想される温度上昇に対してより耐性のある気候にすることができる。 経済活動に対する物理的な気候リスクを特定し、低減するための努力は、物理的な気候リスクをゼロにすることは不可能であることを認識しつつ、最善</w:t>
      </w:r>
      <w:r w:rsidR="0070515B">
        <w:rPr>
          <w:rFonts w:hint="eastAsia"/>
          <w:lang w:eastAsia="ja-JP"/>
        </w:rPr>
        <w:t>を尽くされる</w:t>
      </w:r>
      <w:r>
        <w:rPr>
          <w:lang w:eastAsia="ja-JP"/>
        </w:rPr>
        <w:t>べきである。 経済活動に対するリスクの特性は、将来の気候変化に伴う不確実性のため、長期的な視点から予測することがますます困難になっている。 その結果、経済活動の適応には、時間の経過に応じて調整可能な、比例した柔軟かつ反復的なリスク管理アプローチが必要となる。</w:t>
      </w:r>
    </w:p>
    <w:p w14:paraId="095A5655" w14:textId="77777777" w:rsidR="002B3AD5" w:rsidRDefault="002B3AD5">
      <w:pPr>
        <w:pStyle w:val="a3"/>
        <w:spacing w:before="1"/>
        <w:rPr>
          <w:sz w:val="21"/>
          <w:lang w:eastAsia="ja-JP"/>
        </w:rPr>
      </w:pPr>
    </w:p>
    <w:p w14:paraId="095A5656" w14:textId="3931555F" w:rsidR="002B3AD5" w:rsidRDefault="00D66CD0">
      <w:pPr>
        <w:pStyle w:val="a3"/>
        <w:spacing w:line="276" w:lineRule="auto"/>
        <w:ind w:left="1080" w:right="1144"/>
        <w:rPr>
          <w:lang w:eastAsia="ja-JP"/>
        </w:rPr>
      </w:pPr>
      <w:r>
        <w:rPr>
          <w:lang w:eastAsia="ja-JP"/>
        </w:rPr>
        <w:t>第二の経済活動は、他の経済活動の適応を</w:t>
      </w:r>
      <w:r w:rsidR="004548CA">
        <w:rPr>
          <w:rFonts w:hint="eastAsia"/>
          <w:lang w:eastAsia="ja-JP"/>
        </w:rPr>
        <w:t>イネ―ブリング</w:t>
      </w:r>
      <w:r>
        <w:rPr>
          <w:lang w:eastAsia="ja-JP"/>
        </w:rPr>
        <w:t>することで適応に貢献する。 例えば、施設・都市の洪水リスクとそれに伴う経済活動を軽減するため、洪水対策システムの構築が行われている。 同様に、</w:t>
      </w:r>
    </w:p>
    <w:p w14:paraId="095A5657" w14:textId="77777777" w:rsidR="002B3AD5" w:rsidRDefault="002B3AD5">
      <w:pPr>
        <w:pStyle w:val="a3"/>
        <w:rPr>
          <w:lang w:eastAsia="ja-JP"/>
        </w:rPr>
      </w:pPr>
    </w:p>
    <w:p w14:paraId="095A5658" w14:textId="77777777" w:rsidR="002B3AD5" w:rsidRDefault="002B3AD5">
      <w:pPr>
        <w:pStyle w:val="a3"/>
        <w:rPr>
          <w:lang w:eastAsia="ja-JP"/>
        </w:rPr>
      </w:pPr>
    </w:p>
    <w:p w14:paraId="095A5659" w14:textId="24E1AAB6" w:rsidR="002B3AD5" w:rsidRDefault="00C37D34">
      <w:pPr>
        <w:pStyle w:val="a3"/>
        <w:spacing w:before="6"/>
        <w:rPr>
          <w:sz w:val="27"/>
          <w:lang w:eastAsia="ja-JP"/>
        </w:rPr>
      </w:pPr>
      <w:r>
        <w:rPr>
          <w:noProof/>
          <w:lang w:val="en-US" w:eastAsia="ja-JP"/>
        </w:rPr>
        <mc:AlternateContent>
          <mc:Choice Requires="wps">
            <w:drawing>
              <wp:anchor distT="0" distB="0" distL="0" distR="0" simplePos="0" relativeHeight="251659264" behindDoc="1" locked="0" layoutInCell="1" allowOverlap="1" wp14:anchorId="095A58F8" wp14:editId="5D7677E0">
                <wp:simplePos x="0" y="0"/>
                <wp:positionH relativeFrom="page">
                  <wp:posOffset>914400</wp:posOffset>
                </wp:positionH>
                <wp:positionV relativeFrom="paragraph">
                  <wp:posOffset>229235</wp:posOffset>
                </wp:positionV>
                <wp:extent cx="1829435" cy="0"/>
                <wp:effectExtent l="9525" t="8255" r="8890" b="10795"/>
                <wp:wrapTopAndBottom/>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803A6" id="Line 17" o:spid="_x0000_s1026" style="position:absolute;left:0;text-align:lef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05pt" to="216.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uM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" strokeweight=".16936mm">
                <w10:wrap type="topAndBottom" anchorx="page"/>
              </v:line>
            </w:pict>
          </mc:Fallback>
        </mc:AlternateContent>
      </w:r>
    </w:p>
    <w:p w14:paraId="095A565A" w14:textId="77777777" w:rsidR="002B3AD5" w:rsidRDefault="002B3AD5">
      <w:pPr>
        <w:pStyle w:val="a3"/>
        <w:spacing w:before="10"/>
        <w:rPr>
          <w:sz w:val="16"/>
          <w:lang w:eastAsia="ja-JP"/>
        </w:rPr>
      </w:pPr>
    </w:p>
    <w:p w14:paraId="095A565B" w14:textId="77777777" w:rsidR="002B3AD5" w:rsidRDefault="00D66CD0">
      <w:pPr>
        <w:spacing w:before="98"/>
        <w:ind w:left="1080" w:right="1765"/>
        <w:rPr>
          <w:sz w:val="16"/>
          <w:lang w:eastAsia="ja-JP"/>
        </w:rPr>
      </w:pPr>
      <w:r>
        <w:rPr>
          <w:position w:val="6"/>
          <w:sz w:val="10"/>
          <w:lang w:eastAsia="ja-JP"/>
        </w:rPr>
        <w:t>本報告書では、適応ソリューションには、可能なすべての対策、措置、調整、変更、アプリケーション、製品、サービスなどのセットが記載されています。</w:t>
      </w:r>
      <w:r>
        <w:rPr>
          <w:sz w:val="16"/>
          <w:lang w:eastAsia="ja-JP"/>
        </w:rPr>
        <w:t xml:space="preserve"> 変化する気候への適応に貢献しています。</w:t>
      </w:r>
    </w:p>
    <w:p w14:paraId="095A565C" w14:textId="77777777" w:rsidR="002B3AD5" w:rsidRDefault="002B3AD5">
      <w:pPr>
        <w:rPr>
          <w:sz w:val="16"/>
          <w:lang w:eastAsia="ja-JP"/>
        </w:rPr>
        <w:sectPr w:rsidR="002B3AD5">
          <w:pgSz w:w="12240" w:h="15840"/>
          <w:pgMar w:top="1360" w:right="320" w:bottom="1200" w:left="360" w:header="0" w:footer="1020" w:gutter="0"/>
          <w:cols w:space="720"/>
        </w:sectPr>
      </w:pPr>
    </w:p>
    <w:p w14:paraId="095A565D" w14:textId="34A5000B" w:rsidR="002B3AD5" w:rsidRDefault="00D66CD0">
      <w:pPr>
        <w:pStyle w:val="a3"/>
        <w:spacing w:before="79" w:line="276" w:lineRule="auto"/>
        <w:ind w:left="1080" w:right="1152"/>
        <w:rPr>
          <w:lang w:eastAsia="ja-JP"/>
        </w:rPr>
      </w:pPr>
      <w:r>
        <w:rPr>
          <w:lang w:eastAsia="ja-JP"/>
        </w:rPr>
        <w:lastRenderedPageBreak/>
        <w:t>干ばつに強い作物品種の開発と商業化は、干ばつのリスクが増大しているにもかかわらず、作物生産を確実にするのに役立つ。</w:t>
      </w:r>
    </w:p>
    <w:p w14:paraId="095A565E" w14:textId="77777777" w:rsidR="002B3AD5" w:rsidRDefault="002B3AD5">
      <w:pPr>
        <w:pStyle w:val="a3"/>
        <w:spacing w:before="10"/>
        <w:rPr>
          <w:lang w:eastAsia="ja-JP"/>
        </w:rPr>
      </w:pPr>
    </w:p>
    <w:p w14:paraId="095A565F" w14:textId="6638C760" w:rsidR="002B3AD5" w:rsidRDefault="00D66CD0">
      <w:pPr>
        <w:pStyle w:val="a3"/>
        <w:spacing w:line="276" w:lineRule="auto"/>
        <w:ind w:left="1080" w:right="1129"/>
        <w:rPr>
          <w:lang w:eastAsia="ja-JP"/>
        </w:rPr>
      </w:pPr>
      <w:r>
        <w:rPr>
          <w:lang w:eastAsia="ja-JP"/>
        </w:rPr>
        <w:t>適応活動と適応を</w:t>
      </w:r>
      <w:r w:rsidR="004548CA">
        <w:rPr>
          <w:rFonts w:hint="eastAsia"/>
          <w:lang w:eastAsia="ja-JP"/>
        </w:rPr>
        <w:t>イネ―ブリング</w:t>
      </w:r>
      <w:r>
        <w:rPr>
          <w:lang w:eastAsia="ja-JP"/>
        </w:rPr>
        <w:t>する経済活動を支援するソリューションは、明確に結びついており、重複する可能性がある。 しかしながら、これら2つのタイプの適応活動の違い</w:t>
      </w:r>
      <w:r w:rsidR="0070515B">
        <w:rPr>
          <w:rFonts w:hint="eastAsia"/>
          <w:lang w:eastAsia="ja-JP"/>
        </w:rPr>
        <w:t>が</w:t>
      </w:r>
      <w:r>
        <w:rPr>
          <w:lang w:eastAsia="ja-JP"/>
        </w:rPr>
        <w:t>、異なるユーザタイプを</w:t>
      </w:r>
      <w:r w:rsidR="00FA1B5A">
        <w:rPr>
          <w:rFonts w:hint="eastAsia"/>
          <w:lang w:eastAsia="ja-JP"/>
        </w:rPr>
        <w:t>進むべき道へと</w:t>
      </w:r>
      <w:r>
        <w:rPr>
          <w:lang w:eastAsia="ja-JP"/>
        </w:rPr>
        <w:t>導くこと</w:t>
      </w:r>
      <w:r w:rsidR="0070515B">
        <w:rPr>
          <w:rFonts w:hint="eastAsia"/>
          <w:lang w:eastAsia="ja-JP"/>
        </w:rPr>
        <w:t>を可能に</w:t>
      </w:r>
      <w:r w:rsidR="002048E0">
        <w:rPr>
          <w:rFonts w:hint="eastAsia"/>
          <w:lang w:eastAsia="ja-JP"/>
        </w:rPr>
        <w:t>してくれる</w:t>
      </w:r>
      <w:r>
        <w:rPr>
          <w:lang w:eastAsia="ja-JP"/>
        </w:rPr>
        <w:t>。 経済活動を適応させることは、関係者が自らの回復力を高めるために必要な解決策を捉える一方で、</w:t>
      </w:r>
      <w:r w:rsidR="00FA1B5A">
        <w:rPr>
          <w:rFonts w:hint="eastAsia"/>
          <w:lang w:eastAsia="ja-JP"/>
        </w:rPr>
        <w:t>イネーブリング</w:t>
      </w:r>
      <w:r>
        <w:rPr>
          <w:lang w:eastAsia="ja-JP"/>
        </w:rPr>
        <w:t>活動が他の関係者が適応するのを助けるソリューションの研究、開発、マーケティング、導入を捉えることを可能にする</w:t>
      </w:r>
      <w:r w:rsidR="002048E0">
        <w:rPr>
          <w:rFonts w:hint="eastAsia"/>
          <w:lang w:eastAsia="ja-JP"/>
        </w:rPr>
        <w:t>のである</w:t>
      </w:r>
      <w:r>
        <w:rPr>
          <w:lang w:eastAsia="ja-JP"/>
        </w:rPr>
        <w:t>。 例えば、洪水リスクの増大に脆弱な水利事業者は、このリスクを低減するために早期警報システムを採用する可能性があり、これは、事業体が気候変動に確実に適応するために講じている解決策のプログラム、すなわち、その経済活動への適応の一環としてカウントされる</w:t>
      </w:r>
      <w:r w:rsidR="002048E0">
        <w:rPr>
          <w:rFonts w:hint="eastAsia"/>
          <w:lang w:eastAsia="ja-JP"/>
        </w:rPr>
        <w:t>ことになる</w:t>
      </w:r>
      <w:r>
        <w:rPr>
          <w:lang w:eastAsia="ja-JP"/>
        </w:rPr>
        <w:t>であろう。 しかしながら、</w:t>
      </w:r>
      <w:r w:rsidR="002048E0">
        <w:rPr>
          <w:rFonts w:hint="eastAsia"/>
          <w:lang w:eastAsia="ja-JP"/>
        </w:rPr>
        <w:t>たとえば</w:t>
      </w:r>
      <w:r>
        <w:rPr>
          <w:lang w:eastAsia="ja-JP"/>
        </w:rPr>
        <w:t>水道事業者を含む他の部門の適応を支援するために洪水早期警報システムの技術を開発している中小企業(SME)がある。</w:t>
      </w:r>
      <w:r w:rsidR="00FA1B5A">
        <w:rPr>
          <w:rFonts w:hint="eastAsia"/>
          <w:lang w:eastAsia="ja-JP"/>
        </w:rPr>
        <w:t>そのような場合、</w:t>
      </w:r>
      <w:r>
        <w:rPr>
          <w:lang w:eastAsia="ja-JP"/>
        </w:rPr>
        <w:t>この技術開発者の活動は「適応を</w:t>
      </w:r>
      <w:r w:rsidR="004548CA">
        <w:rPr>
          <w:rFonts w:hint="eastAsia"/>
          <w:lang w:eastAsia="ja-JP"/>
        </w:rPr>
        <w:t>イネ―ブリング</w:t>
      </w:r>
      <w:r>
        <w:rPr>
          <w:lang w:eastAsia="ja-JP"/>
        </w:rPr>
        <w:t>する」ものとみなされる。 この例を下の図8に示す。</w:t>
      </w:r>
    </w:p>
    <w:p w14:paraId="095A5660" w14:textId="77777777" w:rsidR="002B3AD5" w:rsidRDefault="002B3AD5">
      <w:pPr>
        <w:pStyle w:val="a3"/>
        <w:spacing w:before="1"/>
        <w:rPr>
          <w:sz w:val="21"/>
          <w:lang w:eastAsia="ja-JP"/>
        </w:rPr>
      </w:pPr>
    </w:p>
    <w:tbl>
      <w:tblPr>
        <w:tblStyle w:val="TableNormal"/>
        <w:tblW w:w="0" w:type="auto"/>
        <w:tblInd w:w="109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3111"/>
        <w:gridCol w:w="3113"/>
        <w:gridCol w:w="3128"/>
      </w:tblGrid>
      <w:tr w:rsidR="002B3AD5" w14:paraId="095A5664" w14:textId="77777777">
        <w:trPr>
          <w:trHeight w:val="643"/>
        </w:trPr>
        <w:tc>
          <w:tcPr>
            <w:tcW w:w="3111" w:type="dxa"/>
            <w:tcBorders>
              <w:top w:val="nil"/>
              <w:left w:val="nil"/>
              <w:bottom w:val="nil"/>
              <w:right w:val="nil"/>
            </w:tcBorders>
            <w:shd w:val="clear" w:color="auto" w:fill="FFC000"/>
          </w:tcPr>
          <w:p w14:paraId="095A5661" w14:textId="073D5C7A" w:rsidR="002B3AD5" w:rsidRDefault="002F5B54">
            <w:pPr>
              <w:pStyle w:val="TableParagraph"/>
              <w:spacing w:before="129"/>
              <w:ind w:left="812" w:right="668"/>
              <w:jc w:val="center"/>
              <w:rPr>
                <w:b/>
                <w:sz w:val="20"/>
                <w:lang w:eastAsia="ja-JP"/>
              </w:rPr>
            </w:pPr>
            <w:r>
              <w:rPr>
                <w:b/>
                <w:color w:val="FFFFFF"/>
                <w:sz w:val="20"/>
                <w:lang w:eastAsia="ja-JP"/>
              </w:rPr>
              <w:t>タクソノミー</w:t>
            </w:r>
            <w:r w:rsidR="00D66CD0">
              <w:rPr>
                <w:b/>
                <w:color w:val="FFFFFF"/>
                <w:sz w:val="20"/>
                <w:lang w:eastAsia="ja-JP"/>
              </w:rPr>
              <w:t>の利用者</w:t>
            </w:r>
          </w:p>
        </w:tc>
        <w:tc>
          <w:tcPr>
            <w:tcW w:w="3113" w:type="dxa"/>
            <w:tcBorders>
              <w:top w:val="nil"/>
              <w:left w:val="nil"/>
              <w:bottom w:val="nil"/>
              <w:right w:val="nil"/>
            </w:tcBorders>
            <w:shd w:val="clear" w:color="auto" w:fill="FFC000"/>
          </w:tcPr>
          <w:p w14:paraId="095A5662" w14:textId="77777777" w:rsidR="002B3AD5" w:rsidRDefault="00D66CD0">
            <w:pPr>
              <w:pStyle w:val="TableParagraph"/>
              <w:spacing w:before="129"/>
              <w:ind w:left="698"/>
              <w:rPr>
                <w:b/>
                <w:sz w:val="20"/>
              </w:rPr>
            </w:pPr>
            <w:proofErr w:type="spellStart"/>
            <w:r>
              <w:rPr>
                <w:b/>
                <w:color w:val="FFFFFF"/>
                <w:sz w:val="20"/>
              </w:rPr>
              <w:t>経済活動</w:t>
            </w:r>
            <w:proofErr w:type="spellEnd"/>
          </w:p>
        </w:tc>
        <w:tc>
          <w:tcPr>
            <w:tcW w:w="3128" w:type="dxa"/>
            <w:tcBorders>
              <w:top w:val="nil"/>
              <w:left w:val="nil"/>
              <w:bottom w:val="nil"/>
              <w:right w:val="nil"/>
            </w:tcBorders>
            <w:shd w:val="clear" w:color="auto" w:fill="FFC000"/>
          </w:tcPr>
          <w:p w14:paraId="095A5663" w14:textId="77777777" w:rsidR="002B3AD5" w:rsidRDefault="00D66CD0">
            <w:pPr>
              <w:pStyle w:val="TableParagraph"/>
              <w:spacing w:before="129"/>
              <w:ind w:left="671" w:right="527"/>
              <w:jc w:val="center"/>
              <w:rPr>
                <w:b/>
                <w:sz w:val="20"/>
              </w:rPr>
            </w:pPr>
            <w:proofErr w:type="spellStart"/>
            <w:r>
              <w:rPr>
                <w:b/>
                <w:color w:val="FFFFFF"/>
                <w:sz w:val="20"/>
              </w:rPr>
              <w:t>適応のタイプ</w:t>
            </w:r>
            <w:proofErr w:type="spellEnd"/>
          </w:p>
        </w:tc>
      </w:tr>
      <w:tr w:rsidR="002B3AD5" w14:paraId="095A5668" w14:textId="77777777">
        <w:trPr>
          <w:trHeight w:val="890"/>
        </w:trPr>
        <w:tc>
          <w:tcPr>
            <w:tcW w:w="3111" w:type="dxa"/>
            <w:tcBorders>
              <w:top w:val="nil"/>
            </w:tcBorders>
            <w:shd w:val="clear" w:color="auto" w:fill="FFF1CC"/>
          </w:tcPr>
          <w:p w14:paraId="095A5665" w14:textId="77777777" w:rsidR="002B3AD5" w:rsidRDefault="00D66CD0">
            <w:pPr>
              <w:pStyle w:val="TableParagraph"/>
              <w:spacing w:before="119"/>
              <w:ind w:left="719" w:right="574"/>
              <w:jc w:val="center"/>
              <w:rPr>
                <w:sz w:val="20"/>
              </w:rPr>
            </w:pPr>
            <w:proofErr w:type="spellStart"/>
            <w:r>
              <w:rPr>
                <w:sz w:val="20"/>
              </w:rPr>
              <w:t>製品・サービス</w:t>
            </w:r>
            <w:proofErr w:type="spellEnd"/>
          </w:p>
        </w:tc>
        <w:tc>
          <w:tcPr>
            <w:tcW w:w="3113" w:type="dxa"/>
            <w:tcBorders>
              <w:top w:val="nil"/>
            </w:tcBorders>
            <w:shd w:val="clear" w:color="auto" w:fill="FFF1CC"/>
          </w:tcPr>
          <w:p w14:paraId="095A5666" w14:textId="73F93126" w:rsidR="002B3AD5" w:rsidRDefault="00D66CD0">
            <w:pPr>
              <w:pStyle w:val="TableParagraph"/>
              <w:spacing w:before="119" w:line="276" w:lineRule="auto"/>
              <w:ind w:left="686" w:right="189" w:hanging="327"/>
              <w:rPr>
                <w:sz w:val="20"/>
                <w:lang w:eastAsia="ja-JP"/>
              </w:rPr>
            </w:pPr>
            <w:r>
              <w:rPr>
                <w:sz w:val="20"/>
                <w:lang w:eastAsia="ja-JP"/>
              </w:rPr>
              <w:t>中小企業が洪水リスクの早期警報システムを開発</w:t>
            </w:r>
            <w:r w:rsidR="00FA1B5A">
              <w:rPr>
                <w:rFonts w:hint="eastAsia"/>
                <w:sz w:val="20"/>
                <w:lang w:eastAsia="ja-JP"/>
              </w:rPr>
              <w:t>する</w:t>
            </w:r>
          </w:p>
        </w:tc>
        <w:tc>
          <w:tcPr>
            <w:tcW w:w="3128" w:type="dxa"/>
            <w:tcBorders>
              <w:top w:val="nil"/>
            </w:tcBorders>
            <w:shd w:val="clear" w:color="auto" w:fill="FFF1CC"/>
          </w:tcPr>
          <w:p w14:paraId="095A5667" w14:textId="413AA838" w:rsidR="002B3AD5" w:rsidRDefault="00D66CD0" w:rsidP="002048E0">
            <w:pPr>
              <w:pStyle w:val="TableParagraph"/>
              <w:spacing w:before="119" w:line="276" w:lineRule="auto"/>
              <w:ind w:left="1166" w:right="286" w:hanging="711"/>
              <w:rPr>
                <w:sz w:val="20"/>
                <w:lang w:eastAsia="ja-JP"/>
              </w:rPr>
            </w:pPr>
            <w:r>
              <w:rPr>
                <w:sz w:val="20"/>
                <w:lang w:eastAsia="ja-JP"/>
              </w:rPr>
              <w:t>適応を</w:t>
            </w:r>
            <w:r w:rsidR="002048E0">
              <w:rPr>
                <w:rFonts w:hint="eastAsia"/>
                <w:sz w:val="20"/>
                <w:lang w:eastAsia="ja-JP"/>
              </w:rPr>
              <w:t>イネ―ブリング</w:t>
            </w:r>
            <w:r>
              <w:rPr>
                <w:sz w:val="20"/>
                <w:lang w:eastAsia="ja-JP"/>
              </w:rPr>
              <w:t>する経済活動</w:t>
            </w:r>
          </w:p>
        </w:tc>
      </w:tr>
      <w:tr w:rsidR="002B3AD5" w14:paraId="095A566C" w14:textId="77777777">
        <w:trPr>
          <w:trHeight w:val="1151"/>
        </w:trPr>
        <w:tc>
          <w:tcPr>
            <w:tcW w:w="3111" w:type="dxa"/>
          </w:tcPr>
          <w:p w14:paraId="095A5669" w14:textId="77777777" w:rsidR="002B3AD5" w:rsidRDefault="00D66CD0">
            <w:pPr>
              <w:pStyle w:val="TableParagraph"/>
              <w:spacing w:before="119"/>
              <w:ind w:left="719" w:right="572"/>
              <w:jc w:val="center"/>
              <w:rPr>
                <w:sz w:val="20"/>
              </w:rPr>
            </w:pPr>
            <w:proofErr w:type="spellStart"/>
            <w:r>
              <w:rPr>
                <w:sz w:val="20"/>
              </w:rPr>
              <w:t>会社</w:t>
            </w:r>
            <w:proofErr w:type="spellEnd"/>
          </w:p>
        </w:tc>
        <w:tc>
          <w:tcPr>
            <w:tcW w:w="3113" w:type="dxa"/>
          </w:tcPr>
          <w:p w14:paraId="095A566A" w14:textId="581161F3" w:rsidR="002B3AD5" w:rsidRDefault="00D66CD0">
            <w:pPr>
              <w:pStyle w:val="TableParagraph"/>
              <w:spacing w:before="119" w:line="276" w:lineRule="auto"/>
              <w:ind w:left="302" w:right="155" w:firstLine="1"/>
              <w:jc w:val="center"/>
              <w:rPr>
                <w:sz w:val="20"/>
                <w:lang w:eastAsia="ja-JP"/>
              </w:rPr>
            </w:pPr>
            <w:r>
              <w:rPr>
                <w:sz w:val="20"/>
                <w:lang w:eastAsia="ja-JP"/>
              </w:rPr>
              <w:t>水道事業者</w:t>
            </w:r>
            <w:r w:rsidR="00FA1B5A">
              <w:rPr>
                <w:rFonts w:hint="eastAsia"/>
                <w:sz w:val="20"/>
                <w:lang w:eastAsia="ja-JP"/>
              </w:rPr>
              <w:t>が</w:t>
            </w:r>
            <w:r>
              <w:rPr>
                <w:sz w:val="20"/>
                <w:lang w:eastAsia="ja-JP"/>
              </w:rPr>
              <w:t>、洪水のリスクを低減するために</w:t>
            </w:r>
            <w:r w:rsidR="00FA1B5A">
              <w:rPr>
                <w:rFonts w:hint="eastAsia"/>
                <w:sz w:val="20"/>
                <w:lang w:eastAsia="ja-JP"/>
              </w:rPr>
              <w:t>自ら</w:t>
            </w:r>
            <w:r>
              <w:rPr>
                <w:sz w:val="20"/>
                <w:lang w:eastAsia="ja-JP"/>
              </w:rPr>
              <w:t>早期警報システムを導入する。</w:t>
            </w:r>
          </w:p>
        </w:tc>
        <w:tc>
          <w:tcPr>
            <w:tcW w:w="3128" w:type="dxa"/>
          </w:tcPr>
          <w:p w14:paraId="095A566B" w14:textId="77777777" w:rsidR="002B3AD5" w:rsidRDefault="00D66CD0">
            <w:pPr>
              <w:pStyle w:val="TableParagraph"/>
              <w:spacing w:before="119"/>
              <w:ind w:left="450" w:right="303"/>
              <w:jc w:val="center"/>
              <w:rPr>
                <w:sz w:val="20"/>
              </w:rPr>
            </w:pPr>
            <w:proofErr w:type="spellStart"/>
            <w:r>
              <w:rPr>
                <w:sz w:val="20"/>
              </w:rPr>
              <w:t>適応経済活動</w:t>
            </w:r>
            <w:proofErr w:type="spellEnd"/>
          </w:p>
        </w:tc>
      </w:tr>
      <w:tr w:rsidR="002B3AD5" w14:paraId="095A566E" w14:textId="77777777">
        <w:trPr>
          <w:trHeight w:val="626"/>
        </w:trPr>
        <w:tc>
          <w:tcPr>
            <w:tcW w:w="9352" w:type="dxa"/>
            <w:gridSpan w:val="3"/>
            <w:shd w:val="clear" w:color="auto" w:fill="FFC000"/>
          </w:tcPr>
          <w:p w14:paraId="095A566D" w14:textId="77777777" w:rsidR="002B3AD5" w:rsidRDefault="00D66CD0">
            <w:pPr>
              <w:pStyle w:val="TableParagraph"/>
              <w:spacing w:before="120"/>
              <w:ind w:left="3363" w:right="3215"/>
              <w:jc w:val="center"/>
              <w:rPr>
                <w:b/>
                <w:sz w:val="10"/>
              </w:rPr>
            </w:pPr>
            <w:r>
              <w:rPr>
                <w:b/>
                <w:color w:val="FFFFFF"/>
                <w:sz w:val="20"/>
              </w:rPr>
              <w:t>財務フロー11の例</w:t>
            </w:r>
          </w:p>
        </w:tc>
      </w:tr>
      <w:tr w:rsidR="002B3AD5" w14:paraId="095A5674" w14:textId="77777777">
        <w:trPr>
          <w:trHeight w:val="1633"/>
        </w:trPr>
        <w:tc>
          <w:tcPr>
            <w:tcW w:w="9352" w:type="dxa"/>
            <w:gridSpan w:val="3"/>
          </w:tcPr>
          <w:p w14:paraId="095A566F" w14:textId="77777777" w:rsidR="002B3AD5" w:rsidRDefault="00D66CD0">
            <w:pPr>
              <w:pStyle w:val="TableParagraph"/>
              <w:numPr>
                <w:ilvl w:val="0"/>
                <w:numId w:val="15"/>
              </w:numPr>
              <w:tabs>
                <w:tab w:val="left" w:pos="827"/>
                <w:tab w:val="left" w:pos="828"/>
              </w:tabs>
              <w:spacing w:before="119"/>
              <w:rPr>
                <w:sz w:val="20"/>
                <w:lang w:eastAsia="ja-JP"/>
              </w:rPr>
            </w:pPr>
            <w:r>
              <w:rPr>
                <w:sz w:val="20"/>
                <w:lang w:eastAsia="ja-JP"/>
              </w:rPr>
              <w:t>投資家は、適応のための製品を開発する中小企業の株式を保有している</w:t>
            </w:r>
          </w:p>
          <w:p w14:paraId="095A5670" w14:textId="77777777" w:rsidR="002B3AD5" w:rsidRDefault="002B3AD5">
            <w:pPr>
              <w:pStyle w:val="TableParagraph"/>
              <w:spacing w:before="9"/>
              <w:ind w:left="0"/>
              <w:rPr>
                <w:sz w:val="23"/>
                <w:lang w:eastAsia="ja-JP"/>
              </w:rPr>
            </w:pPr>
          </w:p>
          <w:p w14:paraId="095A5671" w14:textId="77777777" w:rsidR="002B3AD5" w:rsidRDefault="00D66CD0">
            <w:pPr>
              <w:pStyle w:val="TableParagraph"/>
              <w:numPr>
                <w:ilvl w:val="0"/>
                <w:numId w:val="15"/>
              </w:numPr>
              <w:tabs>
                <w:tab w:val="left" w:pos="827"/>
                <w:tab w:val="left" w:pos="828"/>
              </w:tabs>
              <w:spacing w:before="1"/>
              <w:rPr>
                <w:sz w:val="20"/>
                <w:lang w:eastAsia="ja-JP"/>
              </w:rPr>
            </w:pPr>
            <w:r>
              <w:rPr>
                <w:sz w:val="20"/>
                <w:lang w:eastAsia="ja-JP"/>
              </w:rPr>
              <w:t>銀行は、早期警報システムの導入に資金を提供するために、公益事業者に資金を貸し付ける。</w:t>
            </w:r>
          </w:p>
          <w:p w14:paraId="095A5672" w14:textId="77777777" w:rsidR="002B3AD5" w:rsidRDefault="002B3AD5">
            <w:pPr>
              <w:pStyle w:val="TableParagraph"/>
              <w:spacing w:before="9"/>
              <w:ind w:left="0"/>
              <w:rPr>
                <w:sz w:val="23"/>
                <w:lang w:eastAsia="ja-JP"/>
              </w:rPr>
            </w:pPr>
          </w:p>
          <w:p w14:paraId="095A5673" w14:textId="77777777" w:rsidR="002B3AD5" w:rsidRDefault="00D66CD0">
            <w:pPr>
              <w:pStyle w:val="TableParagraph"/>
              <w:numPr>
                <w:ilvl w:val="0"/>
                <w:numId w:val="15"/>
              </w:numPr>
              <w:tabs>
                <w:tab w:val="left" w:pos="827"/>
                <w:tab w:val="left" w:pos="828"/>
              </w:tabs>
              <w:spacing w:before="0"/>
              <w:rPr>
                <w:sz w:val="20"/>
                <w:lang w:eastAsia="ja-JP"/>
              </w:rPr>
            </w:pPr>
            <w:r>
              <w:rPr>
                <w:sz w:val="20"/>
                <w:lang w:eastAsia="ja-JP"/>
              </w:rPr>
              <w:t>投資家は、より気候耐性の高い事業で、公益事業の株式を保有している。</w:t>
            </w:r>
          </w:p>
        </w:tc>
      </w:tr>
    </w:tbl>
    <w:p w14:paraId="095A5675" w14:textId="2DE798DF" w:rsidR="002B3AD5" w:rsidRDefault="00D66CD0">
      <w:pPr>
        <w:spacing w:before="121"/>
        <w:ind w:left="2508"/>
        <w:rPr>
          <w:sz w:val="18"/>
          <w:lang w:eastAsia="ja-JP"/>
        </w:rPr>
      </w:pPr>
      <w:r>
        <w:rPr>
          <w:color w:val="44536A"/>
          <w:sz w:val="18"/>
          <w:lang w:eastAsia="ja-JP"/>
        </w:rPr>
        <w:t>図4 - 異なるタイプの適応活動と</w:t>
      </w:r>
      <w:r w:rsidR="002F5B54">
        <w:rPr>
          <w:color w:val="44536A"/>
          <w:sz w:val="18"/>
          <w:lang w:eastAsia="ja-JP"/>
        </w:rPr>
        <w:t>タクソノミー</w:t>
      </w:r>
      <w:r>
        <w:rPr>
          <w:color w:val="44536A"/>
          <w:sz w:val="18"/>
          <w:lang w:eastAsia="ja-JP"/>
        </w:rPr>
        <w:t>の利用者の例</w:t>
      </w:r>
    </w:p>
    <w:p w14:paraId="095A5676" w14:textId="77777777" w:rsidR="002B3AD5" w:rsidRDefault="002B3AD5">
      <w:pPr>
        <w:pStyle w:val="a3"/>
        <w:spacing w:before="9"/>
        <w:rPr>
          <w:sz w:val="19"/>
          <w:lang w:eastAsia="ja-JP"/>
        </w:rPr>
      </w:pPr>
    </w:p>
    <w:p w14:paraId="095A5677" w14:textId="66855F1F" w:rsidR="002B3AD5" w:rsidRDefault="00D66CD0">
      <w:pPr>
        <w:pStyle w:val="a3"/>
        <w:spacing w:before="1" w:line="276" w:lineRule="auto"/>
        <w:ind w:left="1080" w:right="1199"/>
        <w:rPr>
          <w:lang w:eastAsia="ja-JP"/>
        </w:rPr>
      </w:pPr>
      <w:r>
        <w:rPr>
          <w:lang w:eastAsia="ja-JP"/>
        </w:rPr>
        <w:t>現在</w:t>
      </w:r>
      <w:r w:rsidR="002F5B54">
        <w:rPr>
          <w:lang w:eastAsia="ja-JP"/>
        </w:rPr>
        <w:t>タクソノミー</w:t>
      </w:r>
      <w:r>
        <w:rPr>
          <w:lang w:eastAsia="ja-JP"/>
        </w:rPr>
        <w:t>で扱われている経済活動の中には、「適応活動」に該当するものもあれば、「適応を</w:t>
      </w:r>
      <w:r w:rsidR="004548CA">
        <w:rPr>
          <w:rFonts w:hint="eastAsia"/>
          <w:lang w:eastAsia="ja-JP"/>
        </w:rPr>
        <w:t>イネ―ブリング</w:t>
      </w:r>
      <w:r>
        <w:rPr>
          <w:lang w:eastAsia="ja-JP"/>
        </w:rPr>
        <w:t>する活動」に該当するものもある。 活動は、その目的と活動が行われる状況に応じて、どちらのタイプでもよい。 重要なのは、その活動に従事する主体の主たる目的である。 この理由から、経済活動</w:t>
      </w:r>
      <w:r w:rsidR="00FA1B5A">
        <w:rPr>
          <w:rFonts w:hint="eastAsia"/>
          <w:lang w:eastAsia="ja-JP"/>
        </w:rPr>
        <w:t>が</w:t>
      </w:r>
      <w:r>
        <w:rPr>
          <w:lang w:eastAsia="ja-JP"/>
        </w:rPr>
        <w:t>「適応活動」および/または「適応を</w:t>
      </w:r>
      <w:r w:rsidR="004548CA">
        <w:rPr>
          <w:rFonts w:hint="eastAsia"/>
          <w:lang w:eastAsia="ja-JP"/>
        </w:rPr>
        <w:t>イネ―ブリング</w:t>
      </w:r>
      <w:r>
        <w:rPr>
          <w:lang w:eastAsia="ja-JP"/>
        </w:rPr>
        <w:t>する活動」に</w:t>
      </w:r>
      <w:r w:rsidR="00FA1B5A">
        <w:rPr>
          <w:rFonts w:hint="eastAsia"/>
          <w:lang w:eastAsia="ja-JP"/>
        </w:rPr>
        <w:t>あらかじめ</w:t>
      </w:r>
      <w:r>
        <w:rPr>
          <w:lang w:eastAsia="ja-JP"/>
        </w:rPr>
        <w:t>分類されてい</w:t>
      </w:r>
      <w:r w:rsidR="00FA1B5A">
        <w:rPr>
          <w:rFonts w:hint="eastAsia"/>
          <w:lang w:eastAsia="ja-JP"/>
        </w:rPr>
        <w:t>るわけでは</w:t>
      </w:r>
      <w:r>
        <w:rPr>
          <w:lang w:eastAsia="ja-JP"/>
        </w:rPr>
        <w:t>ないため、これは利用者の裁量に任される。</w:t>
      </w:r>
    </w:p>
    <w:p w14:paraId="095A5678" w14:textId="77777777" w:rsidR="002B3AD5" w:rsidRDefault="002B3AD5">
      <w:pPr>
        <w:pStyle w:val="a3"/>
        <w:rPr>
          <w:lang w:eastAsia="ja-JP"/>
        </w:rPr>
      </w:pPr>
    </w:p>
    <w:p w14:paraId="095A5679" w14:textId="77777777" w:rsidR="002B3AD5" w:rsidRDefault="002B3AD5">
      <w:pPr>
        <w:pStyle w:val="a3"/>
        <w:rPr>
          <w:lang w:eastAsia="ja-JP"/>
        </w:rPr>
      </w:pPr>
    </w:p>
    <w:p w14:paraId="095A567A" w14:textId="291331A6" w:rsidR="002B3AD5" w:rsidRDefault="00C37D34">
      <w:pPr>
        <w:pStyle w:val="a3"/>
        <w:spacing w:before="6"/>
        <w:rPr>
          <w:sz w:val="27"/>
          <w:lang w:eastAsia="ja-JP"/>
        </w:rPr>
      </w:pPr>
      <w:r>
        <w:rPr>
          <w:noProof/>
          <w:lang w:val="en-US" w:eastAsia="ja-JP"/>
        </w:rPr>
        <mc:AlternateContent>
          <mc:Choice Requires="wps">
            <w:drawing>
              <wp:anchor distT="0" distB="0" distL="0" distR="0" simplePos="0" relativeHeight="251660288" behindDoc="1" locked="0" layoutInCell="1" allowOverlap="1" wp14:anchorId="095A58F9" wp14:editId="0454176C">
                <wp:simplePos x="0" y="0"/>
                <wp:positionH relativeFrom="page">
                  <wp:posOffset>914400</wp:posOffset>
                </wp:positionH>
                <wp:positionV relativeFrom="paragraph">
                  <wp:posOffset>229235</wp:posOffset>
                </wp:positionV>
                <wp:extent cx="1829435" cy="0"/>
                <wp:effectExtent l="9525" t="12065" r="8890" b="6985"/>
                <wp:wrapTopAndBottom/>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218F" id="Line 16" o:spid="_x0000_s1026" style="position:absolute;left:0;text-align:lef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05pt" to="216.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u2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" strokeweight=".16936mm">
                <w10:wrap type="topAndBottom" anchorx="page"/>
              </v:line>
            </w:pict>
          </mc:Fallback>
        </mc:AlternateContent>
      </w:r>
    </w:p>
    <w:p w14:paraId="095A567B" w14:textId="77777777" w:rsidR="002B3AD5" w:rsidRDefault="002B3AD5">
      <w:pPr>
        <w:pStyle w:val="a3"/>
        <w:spacing w:before="10"/>
        <w:rPr>
          <w:sz w:val="16"/>
          <w:lang w:eastAsia="ja-JP"/>
        </w:rPr>
      </w:pPr>
    </w:p>
    <w:p w14:paraId="095A567C" w14:textId="77777777" w:rsidR="002B3AD5" w:rsidRDefault="00D66CD0">
      <w:pPr>
        <w:spacing w:before="98"/>
        <w:ind w:left="1080"/>
        <w:rPr>
          <w:sz w:val="16"/>
          <w:lang w:eastAsia="ja-JP"/>
        </w:rPr>
      </w:pPr>
      <w:r>
        <w:rPr>
          <w:position w:val="6"/>
          <w:sz w:val="10"/>
          <w:lang w:eastAsia="ja-JP"/>
        </w:rPr>
        <w:t>気候変動への適応としてカウントされる資金の適格性については、セクション2.4を参照のこと。</w:t>
      </w:r>
    </w:p>
    <w:p w14:paraId="095A567D" w14:textId="77777777" w:rsidR="002B3AD5" w:rsidRDefault="002B3AD5">
      <w:pPr>
        <w:rPr>
          <w:sz w:val="16"/>
          <w:lang w:eastAsia="ja-JP"/>
        </w:rPr>
        <w:sectPr w:rsidR="002B3AD5">
          <w:pgSz w:w="12240" w:h="15840"/>
          <w:pgMar w:top="1360" w:right="320" w:bottom="1200" w:left="360" w:header="0" w:footer="1020" w:gutter="0"/>
          <w:cols w:space="720"/>
        </w:sectPr>
      </w:pPr>
    </w:p>
    <w:p w14:paraId="095A567E" w14:textId="259F0C25" w:rsidR="002B3AD5" w:rsidRDefault="00D66CD0">
      <w:pPr>
        <w:pStyle w:val="a3"/>
        <w:spacing w:before="79" w:line="276" w:lineRule="auto"/>
        <w:ind w:left="1080" w:right="1152"/>
        <w:rPr>
          <w:lang w:eastAsia="ja-JP"/>
        </w:rPr>
      </w:pPr>
      <w:r>
        <w:rPr>
          <w:lang w:eastAsia="ja-JP"/>
        </w:rPr>
        <w:lastRenderedPageBreak/>
        <w:t>例えば、保全林業は、保全活動の主たる目的が他の経済活動又は主体の適応を支援することである場合には、適応を</w:t>
      </w:r>
      <w:r w:rsidR="004548CA">
        <w:rPr>
          <w:rFonts w:hint="eastAsia"/>
          <w:lang w:eastAsia="ja-JP"/>
        </w:rPr>
        <w:t>イネ―ブリング</w:t>
      </w:r>
      <w:r>
        <w:rPr>
          <w:lang w:eastAsia="ja-JP"/>
        </w:rPr>
        <w:t>する活動とみなすことができる。</w:t>
      </w:r>
    </w:p>
    <w:p w14:paraId="095A567F" w14:textId="644F049C" w:rsidR="002B3AD5" w:rsidRDefault="00FA1B5A" w:rsidP="00EA32B3">
      <w:pPr>
        <w:pStyle w:val="a4"/>
        <w:tabs>
          <w:tab w:val="left" w:pos="1468"/>
        </w:tabs>
        <w:spacing w:before="0" w:line="276" w:lineRule="auto"/>
        <w:ind w:left="1080" w:right="1152" w:firstLine="0"/>
        <w:rPr>
          <w:sz w:val="20"/>
          <w:lang w:eastAsia="ja-JP"/>
        </w:rPr>
      </w:pPr>
      <w:r>
        <w:rPr>
          <w:rFonts w:hint="eastAsia"/>
          <w:sz w:val="20"/>
          <w:lang w:eastAsia="ja-JP"/>
        </w:rPr>
        <w:t>たとえば、</w:t>
      </w:r>
      <w:r w:rsidR="00D66CD0">
        <w:rPr>
          <w:sz w:val="20"/>
          <w:lang w:eastAsia="ja-JP"/>
        </w:rPr>
        <w:t>土壌浸食が農業生産に悪影響を与えたり、地域の居住地や水供給に脅威を与えることを防止する</w:t>
      </w:r>
      <w:r>
        <w:rPr>
          <w:rFonts w:hint="eastAsia"/>
          <w:sz w:val="20"/>
          <w:lang w:eastAsia="ja-JP"/>
        </w:rPr>
        <w:t>などである</w:t>
      </w:r>
      <w:r w:rsidR="00D66CD0">
        <w:rPr>
          <w:sz w:val="20"/>
          <w:lang w:eastAsia="ja-JP"/>
        </w:rPr>
        <w:t>。 逆に、生物多様性を促進することを主目的とする保全林は、それらの森林が気候変動のリスクに強靱であることを確保する</w:t>
      </w:r>
      <w:r>
        <w:rPr>
          <w:rFonts w:hint="eastAsia"/>
          <w:sz w:val="20"/>
          <w:lang w:eastAsia="ja-JP"/>
        </w:rPr>
        <w:t>前提で</w:t>
      </w:r>
      <w:r w:rsidR="00D66CD0">
        <w:rPr>
          <w:sz w:val="20"/>
          <w:lang w:eastAsia="ja-JP"/>
        </w:rPr>
        <w:t>、「適応活動」として扱われる可能性がある。これらの目標間の相互関係とコベネフィットを考慮すると、</w:t>
      </w:r>
      <w:r>
        <w:rPr>
          <w:rFonts w:hint="eastAsia"/>
          <w:sz w:val="20"/>
          <w:lang w:eastAsia="ja-JP"/>
        </w:rPr>
        <w:t>線引きは</w:t>
      </w:r>
      <w:r w:rsidR="00D66CD0">
        <w:rPr>
          <w:sz w:val="20"/>
          <w:lang w:eastAsia="ja-JP"/>
        </w:rPr>
        <w:t>困難である</w:t>
      </w:r>
      <w:r>
        <w:rPr>
          <w:rFonts w:hint="eastAsia"/>
          <w:sz w:val="20"/>
          <w:lang w:eastAsia="ja-JP"/>
        </w:rPr>
        <w:t>と言わざるを得ない</w:t>
      </w:r>
      <w:r w:rsidR="00D66CD0">
        <w:rPr>
          <w:sz w:val="20"/>
          <w:lang w:eastAsia="ja-JP"/>
        </w:rPr>
        <w:t>。 このような場合、利用者は、自らの活動が「適応活動」とみなされるべきか、「他の経済活動の適応を</w:t>
      </w:r>
      <w:r w:rsidR="004548CA">
        <w:rPr>
          <w:rFonts w:hint="eastAsia"/>
          <w:sz w:val="20"/>
          <w:lang w:eastAsia="ja-JP"/>
        </w:rPr>
        <w:t>イネ―ブリング</w:t>
      </w:r>
      <w:r w:rsidR="00D66CD0">
        <w:rPr>
          <w:sz w:val="20"/>
          <w:lang w:eastAsia="ja-JP"/>
        </w:rPr>
        <w:t>する活動」とみなされるべきかを特定し、正当化するよう求められ、それに応じて適切な基準を満たす</w:t>
      </w:r>
      <w:r>
        <w:rPr>
          <w:rFonts w:hint="eastAsia"/>
          <w:sz w:val="20"/>
          <w:lang w:eastAsia="ja-JP"/>
        </w:rPr>
        <w:t>ことになる</w:t>
      </w:r>
      <w:r w:rsidR="00D66CD0">
        <w:rPr>
          <w:sz w:val="20"/>
          <w:lang w:eastAsia="ja-JP"/>
        </w:rPr>
        <w:t>。</w:t>
      </w:r>
    </w:p>
    <w:p w14:paraId="095A5680" w14:textId="77777777" w:rsidR="002B3AD5" w:rsidRDefault="002B3AD5">
      <w:pPr>
        <w:pStyle w:val="a3"/>
        <w:rPr>
          <w:sz w:val="21"/>
          <w:lang w:eastAsia="ja-JP"/>
        </w:rPr>
      </w:pPr>
    </w:p>
    <w:p w14:paraId="095A5681" w14:textId="65C79FE3" w:rsidR="002B3AD5" w:rsidRDefault="008F04DC">
      <w:pPr>
        <w:pStyle w:val="a3"/>
        <w:spacing w:line="276" w:lineRule="auto"/>
        <w:ind w:left="1080" w:right="1199"/>
        <w:rPr>
          <w:lang w:eastAsia="ja-JP"/>
        </w:rPr>
      </w:pPr>
      <w:r>
        <w:rPr>
          <w:rFonts w:hint="eastAsia"/>
          <w:lang w:eastAsia="ja-JP"/>
        </w:rPr>
        <w:t>代替的に</w:t>
      </w:r>
      <w:r w:rsidR="00D66CD0">
        <w:rPr>
          <w:lang w:eastAsia="ja-JP"/>
        </w:rPr>
        <w:t>、新しい建物(NACEコードF41またはF43)の建設は、建物が適応と回復のために特に意図されている場合、「適応を</w:t>
      </w:r>
      <w:r w:rsidR="004548CA">
        <w:rPr>
          <w:rFonts w:hint="eastAsia"/>
          <w:lang w:eastAsia="ja-JP"/>
        </w:rPr>
        <w:t>イネ―ブリング</w:t>
      </w:r>
      <w:r w:rsidR="00D66CD0">
        <w:rPr>
          <w:lang w:eastAsia="ja-JP"/>
        </w:rPr>
        <w:t>する活動」とみなすことができる</w:t>
      </w:r>
      <w:r>
        <w:rPr>
          <w:rFonts w:hint="eastAsia"/>
          <w:lang w:eastAsia="ja-JP"/>
        </w:rPr>
        <w:t>場合がある</w:t>
      </w:r>
      <w:r w:rsidR="00D66CD0">
        <w:rPr>
          <w:lang w:eastAsia="ja-JP"/>
        </w:rPr>
        <w:t>。例えば、洪水/台風からの避難のためのシェルターや安全な建物である。 (ヨーロッパでは一般的ではないが、バングラデシュやフィリピンのような国では珍しくない)。 しかし、特に意図されていない場合には、新しい建物の建設は、「適応活動」になることによって適応に実質的な貢献をするに</w:t>
      </w:r>
      <w:r>
        <w:rPr>
          <w:rFonts w:hint="eastAsia"/>
          <w:lang w:eastAsia="ja-JP"/>
        </w:rPr>
        <w:t>とどまる</w:t>
      </w:r>
      <w:r w:rsidR="00D66CD0">
        <w:rPr>
          <w:lang w:eastAsia="ja-JP"/>
        </w:rPr>
        <w:t>。</w:t>
      </w:r>
    </w:p>
    <w:p w14:paraId="095A5682" w14:textId="77777777" w:rsidR="002B3AD5" w:rsidRDefault="002B3AD5">
      <w:pPr>
        <w:pStyle w:val="a3"/>
        <w:spacing w:before="10"/>
        <w:rPr>
          <w:lang w:eastAsia="ja-JP"/>
        </w:rPr>
      </w:pPr>
    </w:p>
    <w:p w14:paraId="095A5683" w14:textId="77777777" w:rsidR="002B3AD5" w:rsidRDefault="00D66CD0">
      <w:pPr>
        <w:pStyle w:val="4"/>
        <w:rPr>
          <w:lang w:eastAsia="ja-JP"/>
        </w:rPr>
      </w:pPr>
      <w:r>
        <w:rPr>
          <w:color w:val="00AFEF"/>
          <w:lang w:eastAsia="ja-JP"/>
        </w:rPr>
        <w:t>気候変動への適応に実質的に貢献するための指針</w:t>
      </w:r>
    </w:p>
    <w:p w14:paraId="095A5684" w14:textId="77777777" w:rsidR="002B3AD5" w:rsidRDefault="002B3AD5">
      <w:pPr>
        <w:pStyle w:val="a3"/>
        <w:spacing w:before="9"/>
        <w:rPr>
          <w:b/>
          <w:sz w:val="23"/>
          <w:lang w:eastAsia="ja-JP"/>
        </w:rPr>
      </w:pPr>
    </w:p>
    <w:p w14:paraId="095A5685" w14:textId="77777777" w:rsidR="002B3AD5" w:rsidRDefault="00D66CD0">
      <w:pPr>
        <w:pStyle w:val="a3"/>
        <w:spacing w:line="276" w:lineRule="auto"/>
        <w:ind w:left="1080" w:right="1152"/>
        <w:rPr>
          <w:lang w:eastAsia="ja-JP"/>
        </w:rPr>
      </w:pPr>
      <w:r>
        <w:rPr>
          <w:lang w:eastAsia="ja-JP"/>
        </w:rPr>
        <w:t>TEGは、気候変動への適応に実質的に寄与する経済活動を特定するために、以下の指針を提案する。</w:t>
      </w:r>
    </w:p>
    <w:p w14:paraId="095A5686" w14:textId="77777777" w:rsidR="002B3AD5" w:rsidRDefault="002B3AD5">
      <w:pPr>
        <w:pStyle w:val="a3"/>
        <w:rPr>
          <w:sz w:val="21"/>
          <w:lang w:eastAsia="ja-JP"/>
        </w:rPr>
      </w:pPr>
    </w:p>
    <w:p w14:paraId="095A5687" w14:textId="364DAA99" w:rsidR="002B3AD5" w:rsidRDefault="00D66CD0">
      <w:pPr>
        <w:pStyle w:val="4"/>
        <w:spacing w:line="276" w:lineRule="auto"/>
        <w:ind w:right="1945"/>
        <w:rPr>
          <w:lang w:eastAsia="ja-JP"/>
        </w:rPr>
      </w:pPr>
      <w:r>
        <w:rPr>
          <w:lang w:eastAsia="ja-JP"/>
        </w:rPr>
        <w:t>原則1:経済活動は、可能な限り、最善の努力に基づいて、</w:t>
      </w:r>
      <w:r w:rsidR="008F04DC">
        <w:rPr>
          <w:rFonts w:hint="eastAsia"/>
          <w:lang w:eastAsia="ja-JP"/>
        </w:rPr>
        <w:t>あらゆる</w:t>
      </w:r>
      <w:r>
        <w:rPr>
          <w:lang w:eastAsia="ja-JP"/>
        </w:rPr>
        <w:t>物質的な気候リスクを低減する。</w:t>
      </w:r>
    </w:p>
    <w:p w14:paraId="095A5688" w14:textId="77777777" w:rsidR="002B3AD5" w:rsidRDefault="002B3AD5">
      <w:pPr>
        <w:pStyle w:val="a3"/>
        <w:spacing w:before="9"/>
        <w:rPr>
          <w:b/>
          <w:lang w:eastAsia="ja-JP"/>
        </w:rPr>
      </w:pPr>
    </w:p>
    <w:p w14:paraId="095A5689" w14:textId="200A3C05" w:rsidR="002B3AD5" w:rsidRDefault="00D66CD0">
      <w:pPr>
        <w:pStyle w:val="a4"/>
        <w:numPr>
          <w:ilvl w:val="2"/>
          <w:numId w:val="14"/>
        </w:numPr>
        <w:tabs>
          <w:tab w:val="left" w:pos="1800"/>
          <w:tab w:val="left" w:pos="1801"/>
        </w:tabs>
        <w:spacing w:before="0" w:line="276" w:lineRule="auto"/>
        <w:ind w:right="1361"/>
        <w:rPr>
          <w:sz w:val="20"/>
          <w:lang w:eastAsia="ja-JP"/>
        </w:rPr>
      </w:pPr>
      <w:r>
        <w:rPr>
          <w:sz w:val="20"/>
          <w:lang w:eastAsia="ja-JP"/>
        </w:rPr>
        <w:t>適応された経済活動の場合、活動は、現在の気象変動性と予想される将来の気候変動の両方によってもたらされるリスクの評価を通じて特定された</w:t>
      </w:r>
      <w:r w:rsidR="0083674E">
        <w:rPr>
          <w:rFonts w:hint="eastAsia"/>
          <w:sz w:val="20"/>
          <w:lang w:eastAsia="ja-JP"/>
        </w:rPr>
        <w:t>内容を踏まえ</w:t>
      </w:r>
      <w:r>
        <w:rPr>
          <w:sz w:val="20"/>
          <w:lang w:eastAsia="ja-JP"/>
        </w:rPr>
        <w:t>、その活動に対するすべての物質的な気候リスクを低減することを目的とした</w:t>
      </w:r>
      <w:r w:rsidR="0083674E">
        <w:rPr>
          <w:rFonts w:hint="eastAsia"/>
          <w:sz w:val="20"/>
          <w:lang w:eastAsia="ja-JP"/>
        </w:rPr>
        <w:t>統合的な</w:t>
      </w:r>
      <w:r>
        <w:rPr>
          <w:sz w:val="20"/>
          <w:lang w:eastAsia="ja-JP"/>
        </w:rPr>
        <w:t>措置を</w:t>
      </w:r>
      <w:r w:rsidR="0083674E">
        <w:rPr>
          <w:rFonts w:hint="eastAsia"/>
          <w:sz w:val="20"/>
          <w:lang w:eastAsia="ja-JP"/>
        </w:rPr>
        <w:t>と</w:t>
      </w:r>
      <w:r>
        <w:rPr>
          <w:sz w:val="20"/>
          <w:lang w:eastAsia="ja-JP"/>
        </w:rPr>
        <w:t xml:space="preserve">る。 </w:t>
      </w:r>
      <w:r w:rsidR="0083674E">
        <w:rPr>
          <w:rFonts w:hint="eastAsia"/>
          <w:sz w:val="20"/>
          <w:lang w:eastAsia="ja-JP"/>
        </w:rPr>
        <w:t>その場合</w:t>
      </w:r>
      <w:r>
        <w:rPr>
          <w:sz w:val="20"/>
          <w:lang w:eastAsia="ja-JP"/>
        </w:rPr>
        <w:t>、様々なシナリオにわたって、慢性及び急性の気候関連の危険性、並びに関連する物理的気候リスクを考慮に入れ、また、不確実性を考慮に入れ</w:t>
      </w:r>
      <w:r w:rsidR="0083674E">
        <w:rPr>
          <w:rFonts w:hint="eastAsia"/>
          <w:sz w:val="20"/>
          <w:lang w:eastAsia="ja-JP"/>
        </w:rPr>
        <w:t>て臨む</w:t>
      </w:r>
      <w:r>
        <w:rPr>
          <w:sz w:val="20"/>
          <w:lang w:eastAsia="ja-JP"/>
        </w:rPr>
        <w:t>べきである。 経済活動に適した地理的及び時間的尺度</w:t>
      </w:r>
      <w:r w:rsidR="0083674E">
        <w:rPr>
          <w:rFonts w:hint="eastAsia"/>
          <w:sz w:val="20"/>
          <w:lang w:eastAsia="ja-JP"/>
        </w:rPr>
        <w:t>も</w:t>
      </w:r>
      <w:r>
        <w:rPr>
          <w:sz w:val="20"/>
          <w:lang w:eastAsia="ja-JP"/>
        </w:rPr>
        <w:t>考慮</w:t>
      </w:r>
      <w:r w:rsidR="0083674E">
        <w:rPr>
          <w:rFonts w:hint="eastAsia"/>
          <w:sz w:val="20"/>
          <w:lang w:eastAsia="ja-JP"/>
        </w:rPr>
        <w:t>される</w:t>
      </w:r>
      <w:r>
        <w:rPr>
          <w:sz w:val="20"/>
          <w:lang w:eastAsia="ja-JP"/>
        </w:rPr>
        <w:t>べきである。</w:t>
      </w:r>
    </w:p>
    <w:p w14:paraId="095A568A" w14:textId="77777777" w:rsidR="002B3AD5" w:rsidRDefault="002B3AD5">
      <w:pPr>
        <w:pStyle w:val="a3"/>
        <w:spacing w:before="10"/>
        <w:rPr>
          <w:lang w:eastAsia="ja-JP"/>
        </w:rPr>
      </w:pPr>
    </w:p>
    <w:p w14:paraId="095A568B" w14:textId="68145568" w:rsidR="002B3AD5" w:rsidRDefault="00D66CD0">
      <w:pPr>
        <w:pStyle w:val="a4"/>
        <w:numPr>
          <w:ilvl w:val="2"/>
          <w:numId w:val="14"/>
        </w:numPr>
        <w:tabs>
          <w:tab w:val="left" w:pos="1800"/>
          <w:tab w:val="left" w:pos="1801"/>
        </w:tabs>
        <w:spacing w:before="0" w:line="276" w:lineRule="auto"/>
        <w:ind w:right="1133"/>
        <w:rPr>
          <w:sz w:val="20"/>
          <w:lang w:eastAsia="ja-JP"/>
        </w:rPr>
      </w:pPr>
      <w:r>
        <w:rPr>
          <w:sz w:val="20"/>
          <w:lang w:eastAsia="ja-JP"/>
        </w:rPr>
        <w:t>「適応を</w:t>
      </w:r>
      <w:r w:rsidR="004548CA">
        <w:rPr>
          <w:rFonts w:hint="eastAsia"/>
          <w:sz w:val="20"/>
          <w:lang w:eastAsia="ja-JP"/>
        </w:rPr>
        <w:t>イネ―ブリング</w:t>
      </w:r>
      <w:r>
        <w:rPr>
          <w:sz w:val="20"/>
          <w:lang w:eastAsia="ja-JP"/>
        </w:rPr>
        <w:t>する経済活動」の場合、当該活動は、他の経済活動に対する重大なリスクを低減し、及び/又は、例えば、専用の資産、技術、サービス又は製品を通じて、適応に対するシステミックな障壁に対処し、また、それ自体、適用可能な場合には(例えば、専用資産の場合には)重大なリスクを低減することを目的とした</w:t>
      </w:r>
      <w:r w:rsidR="0083674E">
        <w:rPr>
          <w:rFonts w:hint="eastAsia"/>
          <w:sz w:val="20"/>
          <w:lang w:eastAsia="ja-JP"/>
        </w:rPr>
        <w:t>統合的な</w:t>
      </w:r>
      <w:r>
        <w:rPr>
          <w:sz w:val="20"/>
          <w:lang w:eastAsia="ja-JP"/>
        </w:rPr>
        <w:t>措置を</w:t>
      </w:r>
      <w:r w:rsidR="0083674E">
        <w:rPr>
          <w:rFonts w:hint="eastAsia"/>
          <w:sz w:val="20"/>
          <w:lang w:eastAsia="ja-JP"/>
        </w:rPr>
        <w:t>と</w:t>
      </w:r>
      <w:r>
        <w:rPr>
          <w:sz w:val="20"/>
          <w:lang w:eastAsia="ja-JP"/>
        </w:rPr>
        <w:t>る。</w:t>
      </w:r>
    </w:p>
    <w:p w14:paraId="095A568C" w14:textId="77777777" w:rsidR="002B3AD5" w:rsidRDefault="002B3AD5">
      <w:pPr>
        <w:pStyle w:val="a3"/>
        <w:spacing w:before="11"/>
        <w:rPr>
          <w:lang w:eastAsia="ja-JP"/>
        </w:rPr>
      </w:pPr>
    </w:p>
    <w:p w14:paraId="095A568D" w14:textId="77777777" w:rsidR="002B3AD5" w:rsidRDefault="00D66CD0">
      <w:pPr>
        <w:pStyle w:val="4"/>
        <w:rPr>
          <w:lang w:eastAsia="ja-JP"/>
        </w:rPr>
      </w:pPr>
      <w:r>
        <w:rPr>
          <w:lang w:eastAsia="ja-JP"/>
        </w:rPr>
        <w:t>原則2:経済活動は、他者の適応努力に悪影響を及ぼさない。</w:t>
      </w:r>
    </w:p>
    <w:p w14:paraId="095A568E" w14:textId="77777777" w:rsidR="002B3AD5" w:rsidRDefault="002B3AD5">
      <w:pPr>
        <w:pStyle w:val="a3"/>
        <w:spacing w:before="10"/>
        <w:rPr>
          <w:b/>
          <w:sz w:val="23"/>
          <w:lang w:eastAsia="ja-JP"/>
        </w:rPr>
      </w:pPr>
    </w:p>
    <w:p w14:paraId="095A568F" w14:textId="57C69A97" w:rsidR="002B3AD5" w:rsidRDefault="00D66CD0">
      <w:pPr>
        <w:pStyle w:val="a4"/>
        <w:numPr>
          <w:ilvl w:val="2"/>
          <w:numId w:val="14"/>
        </w:numPr>
        <w:tabs>
          <w:tab w:val="left" w:pos="1800"/>
          <w:tab w:val="left" w:pos="1801"/>
        </w:tabs>
        <w:spacing w:before="0" w:line="276" w:lineRule="auto"/>
        <w:ind w:right="1229"/>
        <w:rPr>
          <w:sz w:val="20"/>
          <w:lang w:eastAsia="ja-JP"/>
        </w:rPr>
      </w:pPr>
      <w:r>
        <w:rPr>
          <w:sz w:val="20"/>
          <w:lang w:eastAsia="ja-JP"/>
        </w:rPr>
        <w:t>経済活動及びこれらの活動が直面する重大な気候リスクに対処するためにとられる措置は、</w:t>
      </w:r>
      <w:r w:rsidR="0083674E">
        <w:rPr>
          <w:rFonts w:hint="eastAsia"/>
          <w:sz w:val="20"/>
          <w:lang w:eastAsia="ja-JP"/>
        </w:rPr>
        <w:t>域</w:t>
      </w:r>
      <w:r>
        <w:rPr>
          <w:sz w:val="20"/>
          <w:lang w:eastAsia="ja-JP"/>
        </w:rPr>
        <w:t>外</w:t>
      </w:r>
      <w:r w:rsidR="0083674E">
        <w:rPr>
          <w:rFonts w:hint="eastAsia"/>
          <w:sz w:val="20"/>
          <w:lang w:eastAsia="ja-JP"/>
        </w:rPr>
        <w:t>における</w:t>
      </w:r>
      <w:r>
        <w:rPr>
          <w:sz w:val="20"/>
          <w:lang w:eastAsia="ja-JP"/>
        </w:rPr>
        <w:t>回復力を構築する機会を考慮しつつ、適用可能な部門又は地域における適応の必要性と整合的であるべきである。 また、これらの措置は、他者が直面する影響をシフトさせること等により、他者の適応努力を妨げるという観点から、他者、自然及び資産に悪影響を及ぼすリスクを増大させるべきではない。</w:t>
      </w:r>
    </w:p>
    <w:p w14:paraId="095A5690" w14:textId="77777777" w:rsidR="002B3AD5" w:rsidRDefault="002B3AD5">
      <w:pPr>
        <w:pStyle w:val="a3"/>
        <w:spacing w:before="9"/>
        <w:rPr>
          <w:lang w:eastAsia="ja-JP"/>
        </w:rPr>
      </w:pPr>
    </w:p>
    <w:p w14:paraId="095A5691" w14:textId="2015D212" w:rsidR="002B3AD5" w:rsidRDefault="00D66CD0">
      <w:pPr>
        <w:pStyle w:val="4"/>
        <w:spacing w:before="1" w:line="278" w:lineRule="auto"/>
        <w:ind w:right="1152"/>
        <w:rPr>
          <w:lang w:eastAsia="ja-JP"/>
        </w:rPr>
      </w:pPr>
      <w:r>
        <w:rPr>
          <w:lang w:eastAsia="ja-JP"/>
        </w:rPr>
        <w:t>原則3:経済活動には、適切な</w:t>
      </w:r>
      <w:r w:rsidR="00297B93">
        <w:rPr>
          <w:rFonts w:hint="eastAsia"/>
          <w:lang w:eastAsia="ja-JP"/>
        </w:rPr>
        <w:t>数値</w:t>
      </w:r>
      <w:r>
        <w:rPr>
          <w:lang w:eastAsia="ja-JP"/>
        </w:rPr>
        <w:t>指標を用いて定義し、測定することができる適応関連の成果がある。</w:t>
      </w:r>
    </w:p>
    <w:p w14:paraId="095A5692" w14:textId="77777777" w:rsidR="002B3AD5" w:rsidRDefault="002B3AD5">
      <w:pPr>
        <w:spacing w:line="278" w:lineRule="auto"/>
        <w:rPr>
          <w:lang w:eastAsia="ja-JP"/>
        </w:rPr>
        <w:sectPr w:rsidR="002B3AD5">
          <w:pgSz w:w="12240" w:h="15840"/>
          <w:pgMar w:top="1360" w:right="320" w:bottom="1200" w:left="360" w:header="0" w:footer="1020" w:gutter="0"/>
          <w:cols w:space="720"/>
        </w:sectPr>
      </w:pPr>
    </w:p>
    <w:p w14:paraId="095A5693" w14:textId="77777777" w:rsidR="002B3AD5" w:rsidRDefault="00D66CD0">
      <w:pPr>
        <w:pStyle w:val="a4"/>
        <w:numPr>
          <w:ilvl w:val="2"/>
          <w:numId w:val="14"/>
        </w:numPr>
        <w:tabs>
          <w:tab w:val="left" w:pos="1800"/>
          <w:tab w:val="left" w:pos="1801"/>
        </w:tabs>
        <w:spacing w:before="79" w:line="276" w:lineRule="auto"/>
        <w:ind w:right="1203"/>
        <w:rPr>
          <w:sz w:val="20"/>
          <w:lang w:eastAsia="ja-JP"/>
        </w:rPr>
      </w:pPr>
      <w:r>
        <w:rPr>
          <w:sz w:val="20"/>
          <w:lang w:eastAsia="ja-JP"/>
        </w:rPr>
        <w:lastRenderedPageBreak/>
        <w:t>可能な場合には、適応活動の成果を監視し、適応結果のための定義された指標に照らして測定すべきである。 可能であれば、物理的気候リスクの最新の評価は、リスク、状況、新たな情報、技術、アプローチ、政策、規制の利用可能性に応じて、適切な頻度(例えば、5年または10年ごと)で行われるべきである。</w:t>
      </w:r>
    </w:p>
    <w:p w14:paraId="095A5694" w14:textId="77777777" w:rsidR="002B3AD5" w:rsidRDefault="002B3AD5">
      <w:pPr>
        <w:pStyle w:val="a3"/>
        <w:rPr>
          <w:sz w:val="22"/>
          <w:lang w:eastAsia="ja-JP"/>
        </w:rPr>
      </w:pPr>
    </w:p>
    <w:p w14:paraId="095A5695" w14:textId="77777777" w:rsidR="002B3AD5" w:rsidRDefault="002B3AD5">
      <w:pPr>
        <w:pStyle w:val="a3"/>
        <w:rPr>
          <w:sz w:val="22"/>
          <w:lang w:eastAsia="ja-JP"/>
        </w:rPr>
      </w:pPr>
    </w:p>
    <w:p w14:paraId="095A5696" w14:textId="77777777" w:rsidR="002B3AD5" w:rsidRDefault="002B3AD5">
      <w:pPr>
        <w:pStyle w:val="a3"/>
        <w:spacing w:before="9"/>
        <w:rPr>
          <w:lang w:eastAsia="ja-JP"/>
        </w:rPr>
      </w:pPr>
    </w:p>
    <w:p w14:paraId="095A5697" w14:textId="77777777" w:rsidR="002B3AD5" w:rsidRDefault="00D66CD0">
      <w:pPr>
        <w:pStyle w:val="3"/>
        <w:numPr>
          <w:ilvl w:val="1"/>
          <w:numId w:val="24"/>
        </w:numPr>
        <w:tabs>
          <w:tab w:val="left" w:pos="1800"/>
          <w:tab w:val="left" w:pos="1801"/>
        </w:tabs>
        <w:spacing w:before="1" w:line="276" w:lineRule="auto"/>
        <w:ind w:left="1080" w:right="2051" w:firstLine="0"/>
        <w:rPr>
          <w:lang w:eastAsia="ja-JP"/>
        </w:rPr>
      </w:pPr>
      <w:bookmarkStart w:id="9" w:name="_bookmark9"/>
      <w:bookmarkEnd w:id="9"/>
      <w:r>
        <w:rPr>
          <w:color w:val="006FC0"/>
          <w:lang w:eastAsia="ja-JP"/>
        </w:rPr>
        <w:t>適応に大きく寄与する活動のスクリーニング基準</w:t>
      </w:r>
    </w:p>
    <w:p w14:paraId="095A5698" w14:textId="1ED396D7" w:rsidR="002B3AD5" w:rsidRDefault="00D66CD0">
      <w:pPr>
        <w:pStyle w:val="a3"/>
        <w:spacing w:before="158" w:line="276" w:lineRule="auto"/>
        <w:ind w:left="1080" w:right="1199"/>
        <w:rPr>
          <w:lang w:eastAsia="ja-JP"/>
        </w:rPr>
      </w:pPr>
      <w:r>
        <w:rPr>
          <w:lang w:eastAsia="ja-JP"/>
        </w:rPr>
        <w:t>原則</w:t>
      </w:r>
      <w:r w:rsidR="00C965AA">
        <w:rPr>
          <w:rFonts w:hint="eastAsia"/>
          <w:lang w:eastAsia="ja-JP"/>
        </w:rPr>
        <w:t>で</w:t>
      </w:r>
      <w:r>
        <w:rPr>
          <w:lang w:eastAsia="ja-JP"/>
        </w:rPr>
        <w:t>は、気候変動への適応に寄与する経済活動を支える基盤と資質を説明し</w:t>
      </w:r>
      <w:r w:rsidR="00C965AA">
        <w:rPr>
          <w:rFonts w:hint="eastAsia"/>
          <w:lang w:eastAsia="ja-JP"/>
        </w:rPr>
        <w:t>た</w:t>
      </w:r>
      <w:r>
        <w:rPr>
          <w:lang w:eastAsia="ja-JP"/>
        </w:rPr>
        <w:t>が、</w:t>
      </w:r>
      <w:r w:rsidR="00C965AA">
        <w:rPr>
          <w:rFonts w:hint="eastAsia"/>
          <w:lang w:eastAsia="ja-JP"/>
        </w:rPr>
        <w:t>ここで触れる</w:t>
      </w:r>
      <w:r>
        <w:rPr>
          <w:lang w:eastAsia="ja-JP"/>
        </w:rPr>
        <w:t>スクリーニング基準</w:t>
      </w:r>
      <w:r w:rsidR="00C965AA">
        <w:rPr>
          <w:rFonts w:hint="eastAsia"/>
          <w:lang w:eastAsia="ja-JP"/>
        </w:rPr>
        <w:t>と</w:t>
      </w:r>
      <w:r>
        <w:rPr>
          <w:lang w:eastAsia="ja-JP"/>
        </w:rPr>
        <w:t>は、経済活動が適応に実質的な貢献を提供するかどうかを決定するために使</w:t>
      </w:r>
      <w:r w:rsidR="00C965AA">
        <w:rPr>
          <w:rFonts w:hint="eastAsia"/>
          <w:lang w:eastAsia="ja-JP"/>
        </w:rPr>
        <w:t>うことの</w:t>
      </w:r>
      <w:r>
        <w:rPr>
          <w:lang w:eastAsia="ja-JP"/>
        </w:rPr>
        <w:t>できる特定の特性である。 これらのスクリーニング基準は、「適応された」活動と適応を</w:t>
      </w:r>
      <w:r w:rsidR="00C965AA">
        <w:rPr>
          <w:rFonts w:hint="eastAsia"/>
          <w:lang w:eastAsia="ja-JP"/>
        </w:rPr>
        <w:t>イネ―ブリング</w:t>
      </w:r>
      <w:r>
        <w:rPr>
          <w:lang w:eastAsia="ja-JP"/>
        </w:rPr>
        <w:t>する活動との間で異なる。 これらの基準は、2019年6月の報告書以降、更新されている。</w:t>
      </w:r>
    </w:p>
    <w:p w14:paraId="095A5699" w14:textId="77777777" w:rsidR="002B3AD5" w:rsidRDefault="002B3AD5">
      <w:pPr>
        <w:pStyle w:val="a3"/>
        <w:spacing w:before="11"/>
        <w:rPr>
          <w:lang w:eastAsia="ja-JP"/>
        </w:rPr>
      </w:pPr>
    </w:p>
    <w:p w14:paraId="095A569A" w14:textId="77777777" w:rsidR="002B3AD5" w:rsidRDefault="00D66CD0">
      <w:pPr>
        <w:pStyle w:val="4"/>
        <w:ind w:left="1135"/>
        <w:rPr>
          <w:lang w:eastAsia="ja-JP"/>
        </w:rPr>
      </w:pPr>
      <w:r>
        <w:rPr>
          <w:lang w:eastAsia="ja-JP"/>
        </w:rPr>
        <w:t>経済活動の「適応活動」の審査基準</w:t>
      </w:r>
    </w:p>
    <w:p w14:paraId="095A569B" w14:textId="77777777" w:rsidR="002B3AD5" w:rsidRDefault="002B3AD5">
      <w:pPr>
        <w:pStyle w:val="a3"/>
        <w:spacing w:before="2"/>
        <w:rPr>
          <w:b/>
          <w:sz w:val="24"/>
          <w:lang w:eastAsia="ja-JP"/>
        </w:rPr>
      </w:pPr>
    </w:p>
    <w:p w14:paraId="095A569C" w14:textId="77777777" w:rsidR="002B3AD5" w:rsidRDefault="00D66CD0">
      <w:pPr>
        <w:ind w:left="2914"/>
        <w:rPr>
          <w:sz w:val="18"/>
          <w:lang w:eastAsia="ja-JP"/>
        </w:rPr>
      </w:pPr>
      <w:r>
        <w:rPr>
          <w:color w:val="44536A"/>
          <w:sz w:val="18"/>
          <w:lang w:eastAsia="ja-JP"/>
        </w:rPr>
        <w:t>表3 実質的寄与のスクリーニング基準:適応活動</w:t>
      </w:r>
    </w:p>
    <w:p w14:paraId="095A569D" w14:textId="77777777" w:rsidR="002B3AD5" w:rsidRDefault="002B3AD5">
      <w:pPr>
        <w:pStyle w:val="a3"/>
        <w:spacing w:before="2"/>
        <w:rPr>
          <w:sz w:val="17"/>
          <w:lang w:eastAsia="ja-JP"/>
        </w:rPr>
      </w:pPr>
    </w:p>
    <w:tbl>
      <w:tblPr>
        <w:tblStyle w:val="TableNormal"/>
        <w:tblW w:w="0" w:type="auto"/>
        <w:tblInd w:w="109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2547"/>
        <w:gridCol w:w="6380"/>
      </w:tblGrid>
      <w:tr w:rsidR="002B3AD5" w14:paraId="095A56A0" w14:textId="77777777">
        <w:trPr>
          <w:trHeight w:val="645"/>
        </w:trPr>
        <w:tc>
          <w:tcPr>
            <w:tcW w:w="2547" w:type="dxa"/>
            <w:tcBorders>
              <w:top w:val="nil"/>
              <w:left w:val="nil"/>
              <w:bottom w:val="nil"/>
              <w:right w:val="nil"/>
            </w:tcBorders>
            <w:shd w:val="clear" w:color="auto" w:fill="FFC000"/>
          </w:tcPr>
          <w:p w14:paraId="095A569E" w14:textId="77777777" w:rsidR="002B3AD5" w:rsidRDefault="00D66CD0">
            <w:pPr>
              <w:pStyle w:val="TableParagraph"/>
              <w:spacing w:before="129"/>
              <w:ind w:left="112"/>
              <w:rPr>
                <w:b/>
                <w:sz w:val="20"/>
              </w:rPr>
            </w:pPr>
            <w:proofErr w:type="spellStart"/>
            <w:r>
              <w:rPr>
                <w:b/>
                <w:color w:val="FFFFFF"/>
                <w:sz w:val="20"/>
              </w:rPr>
              <w:t>基準</w:t>
            </w:r>
            <w:proofErr w:type="spellEnd"/>
          </w:p>
        </w:tc>
        <w:tc>
          <w:tcPr>
            <w:tcW w:w="6380" w:type="dxa"/>
            <w:tcBorders>
              <w:top w:val="nil"/>
              <w:left w:val="nil"/>
              <w:bottom w:val="nil"/>
              <w:right w:val="nil"/>
            </w:tcBorders>
            <w:shd w:val="clear" w:color="auto" w:fill="FFC000"/>
          </w:tcPr>
          <w:p w14:paraId="095A569F" w14:textId="77777777" w:rsidR="002B3AD5" w:rsidRDefault="00D66CD0">
            <w:pPr>
              <w:pStyle w:val="TableParagraph"/>
              <w:spacing w:before="129"/>
              <w:ind w:left="112"/>
              <w:rPr>
                <w:b/>
                <w:sz w:val="20"/>
              </w:rPr>
            </w:pPr>
            <w:proofErr w:type="spellStart"/>
            <w:r>
              <w:rPr>
                <w:b/>
                <w:color w:val="FFFFFF"/>
                <w:sz w:val="20"/>
              </w:rPr>
              <w:t>内容</w:t>
            </w:r>
            <w:proofErr w:type="spellEnd"/>
          </w:p>
        </w:tc>
      </w:tr>
      <w:tr w:rsidR="002B3AD5" w14:paraId="095A56A3" w14:textId="77777777">
        <w:trPr>
          <w:trHeight w:val="887"/>
        </w:trPr>
        <w:tc>
          <w:tcPr>
            <w:tcW w:w="2547" w:type="dxa"/>
            <w:tcBorders>
              <w:top w:val="nil"/>
            </w:tcBorders>
            <w:shd w:val="clear" w:color="auto" w:fill="FFF1CC"/>
          </w:tcPr>
          <w:p w14:paraId="095A56A1" w14:textId="77777777" w:rsidR="002B3AD5" w:rsidRDefault="00D66CD0">
            <w:pPr>
              <w:pStyle w:val="TableParagraph"/>
              <w:spacing w:before="119" w:line="276" w:lineRule="auto"/>
              <w:ind w:right="298"/>
              <w:rPr>
                <w:b/>
                <w:sz w:val="20"/>
                <w:lang w:eastAsia="ja-JP"/>
              </w:rPr>
            </w:pPr>
            <w:r>
              <w:rPr>
                <w:b/>
                <w:sz w:val="20"/>
                <w:lang w:eastAsia="ja-JP"/>
              </w:rPr>
              <w:t>A1:物質的な気候リスクの低減</w:t>
            </w:r>
          </w:p>
        </w:tc>
        <w:tc>
          <w:tcPr>
            <w:tcW w:w="6380" w:type="dxa"/>
            <w:tcBorders>
              <w:top w:val="nil"/>
            </w:tcBorders>
            <w:shd w:val="clear" w:color="auto" w:fill="FFF1CC"/>
          </w:tcPr>
          <w:p w14:paraId="095A56A2" w14:textId="70251762" w:rsidR="002B3AD5" w:rsidRDefault="00D66CD0">
            <w:pPr>
              <w:pStyle w:val="TableParagraph"/>
              <w:spacing w:before="119" w:line="276" w:lineRule="auto"/>
              <w:ind w:right="80"/>
              <w:rPr>
                <w:sz w:val="20"/>
                <w:lang w:eastAsia="ja-JP"/>
              </w:rPr>
            </w:pPr>
            <w:r>
              <w:rPr>
                <w:sz w:val="20"/>
                <w:lang w:eastAsia="ja-JP"/>
              </w:rPr>
              <w:t>経済活動は、可能な限り、最善の努力に基づいて、その活動に対するすべての物質的な気候リスクを低減しなければならない</w:t>
            </w:r>
            <w:r w:rsidR="00C965AA">
              <w:rPr>
                <w:rFonts w:hint="eastAsia"/>
                <w:sz w:val="20"/>
                <w:lang w:eastAsia="ja-JP"/>
              </w:rPr>
              <w:t>こと</w:t>
            </w:r>
            <w:r>
              <w:rPr>
                <w:sz w:val="20"/>
                <w:lang w:eastAsia="ja-JP"/>
              </w:rPr>
              <w:t>。</w:t>
            </w:r>
          </w:p>
        </w:tc>
      </w:tr>
      <w:tr w:rsidR="002B3AD5" w14:paraId="095A56A6" w14:textId="77777777">
        <w:trPr>
          <w:trHeight w:val="1418"/>
        </w:trPr>
        <w:tc>
          <w:tcPr>
            <w:tcW w:w="2547" w:type="dxa"/>
          </w:tcPr>
          <w:p w14:paraId="095A56A4" w14:textId="77777777" w:rsidR="002B3AD5" w:rsidRDefault="00D66CD0">
            <w:pPr>
              <w:pStyle w:val="TableParagraph"/>
              <w:spacing w:before="120"/>
              <w:ind w:left="0" w:right="98"/>
              <w:jc w:val="right"/>
              <w:rPr>
                <w:b/>
                <w:sz w:val="20"/>
              </w:rPr>
            </w:pPr>
            <w:r>
              <w:rPr>
                <w:b/>
                <w:w w:val="95"/>
                <w:sz w:val="20"/>
              </w:rPr>
              <w:t>A1.1</w:t>
            </w:r>
          </w:p>
        </w:tc>
        <w:tc>
          <w:tcPr>
            <w:tcW w:w="6380" w:type="dxa"/>
          </w:tcPr>
          <w:p w14:paraId="095A56A5" w14:textId="7CB2B534" w:rsidR="002B3AD5" w:rsidRDefault="00D66CD0">
            <w:pPr>
              <w:pStyle w:val="TableParagraph"/>
              <w:spacing w:before="120" w:line="276" w:lineRule="auto"/>
              <w:ind w:right="80"/>
              <w:rPr>
                <w:sz w:val="20"/>
                <w:lang w:eastAsia="ja-JP"/>
              </w:rPr>
            </w:pPr>
            <w:r>
              <w:rPr>
                <w:sz w:val="20"/>
                <w:lang w:eastAsia="ja-JP"/>
              </w:rPr>
              <w:t>経済活動は、リスク評価を通じて特定された、その活動に対するすべての物質的な気候上のリスクを可能な限り、最善の努力に基づいて削減することを目的とした身体的及び非身体的措置を統合する</w:t>
            </w:r>
            <w:r w:rsidR="00C965AA">
              <w:rPr>
                <w:rFonts w:hint="eastAsia"/>
                <w:sz w:val="20"/>
                <w:lang w:eastAsia="ja-JP"/>
              </w:rPr>
              <w:t>こと</w:t>
            </w:r>
            <w:r>
              <w:rPr>
                <w:sz w:val="20"/>
                <w:lang w:eastAsia="ja-JP"/>
              </w:rPr>
              <w:t>。</w:t>
            </w:r>
          </w:p>
        </w:tc>
      </w:tr>
      <w:tr w:rsidR="002B3AD5" w14:paraId="095A56AF" w14:textId="77777777">
        <w:trPr>
          <w:trHeight w:val="2666"/>
        </w:trPr>
        <w:tc>
          <w:tcPr>
            <w:tcW w:w="2547" w:type="dxa"/>
            <w:shd w:val="clear" w:color="auto" w:fill="FFF1CC"/>
          </w:tcPr>
          <w:p w14:paraId="095A56A7" w14:textId="77777777" w:rsidR="002B3AD5" w:rsidRDefault="00D66CD0">
            <w:pPr>
              <w:pStyle w:val="TableParagraph"/>
              <w:spacing w:before="119"/>
              <w:ind w:left="0" w:right="98"/>
              <w:jc w:val="right"/>
              <w:rPr>
                <w:b/>
                <w:sz w:val="20"/>
              </w:rPr>
            </w:pPr>
            <w:r>
              <w:rPr>
                <w:b/>
                <w:w w:val="95"/>
                <w:sz w:val="20"/>
              </w:rPr>
              <w:t>A1.2</w:t>
            </w:r>
          </w:p>
        </w:tc>
        <w:tc>
          <w:tcPr>
            <w:tcW w:w="6380" w:type="dxa"/>
            <w:shd w:val="clear" w:color="auto" w:fill="FFF1CC"/>
          </w:tcPr>
          <w:p w14:paraId="095A56A8" w14:textId="227FDAF4" w:rsidR="002B3AD5" w:rsidRDefault="00D66CD0">
            <w:pPr>
              <w:pStyle w:val="TableParagraph"/>
              <w:spacing w:before="119"/>
              <w:ind w:left="162"/>
              <w:rPr>
                <w:sz w:val="20"/>
                <w:lang w:eastAsia="ja-JP"/>
              </w:rPr>
            </w:pPr>
            <w:r>
              <w:rPr>
                <w:sz w:val="20"/>
                <w:lang w:eastAsia="ja-JP"/>
              </w:rPr>
              <w:t>上記の評価には、以下の特徴がある</w:t>
            </w:r>
            <w:r w:rsidR="00C965AA">
              <w:rPr>
                <w:rFonts w:hint="eastAsia"/>
                <w:sz w:val="20"/>
                <w:lang w:eastAsia="ja-JP"/>
              </w:rPr>
              <w:t>こと</w:t>
            </w:r>
            <w:r>
              <w:rPr>
                <w:sz w:val="20"/>
                <w:lang w:eastAsia="ja-JP"/>
              </w:rPr>
              <w:t>。</w:t>
            </w:r>
          </w:p>
          <w:p w14:paraId="095A56A9" w14:textId="77777777" w:rsidR="002B3AD5" w:rsidRDefault="002B3AD5">
            <w:pPr>
              <w:pStyle w:val="TableParagraph"/>
              <w:spacing w:before="9"/>
              <w:ind w:left="0"/>
              <w:rPr>
                <w:sz w:val="23"/>
                <w:lang w:eastAsia="ja-JP"/>
              </w:rPr>
            </w:pPr>
          </w:p>
          <w:p w14:paraId="095A56AA" w14:textId="77777777" w:rsidR="002B3AD5" w:rsidRDefault="00D66CD0">
            <w:pPr>
              <w:pStyle w:val="TableParagraph"/>
              <w:numPr>
                <w:ilvl w:val="0"/>
                <w:numId w:val="13"/>
              </w:numPr>
              <w:tabs>
                <w:tab w:val="left" w:pos="827"/>
                <w:tab w:val="left" w:pos="828"/>
              </w:tabs>
              <w:spacing w:before="1" w:line="278" w:lineRule="auto"/>
              <w:ind w:right="263"/>
              <w:rPr>
                <w:sz w:val="20"/>
                <w:lang w:eastAsia="ja-JP"/>
              </w:rPr>
            </w:pPr>
            <w:r>
              <w:rPr>
                <w:sz w:val="20"/>
                <w:lang w:eastAsia="ja-JP"/>
              </w:rPr>
              <w:t>現在の気候変動性と将来の気候変動(不確実性を含む)の両方を考慮する。</w:t>
            </w:r>
          </w:p>
          <w:p w14:paraId="095A56AB" w14:textId="77777777" w:rsidR="002B3AD5" w:rsidRDefault="002B3AD5">
            <w:pPr>
              <w:pStyle w:val="TableParagraph"/>
              <w:spacing w:before="6"/>
              <w:ind w:left="0"/>
              <w:rPr>
                <w:sz w:val="20"/>
                <w:lang w:eastAsia="ja-JP"/>
              </w:rPr>
            </w:pPr>
          </w:p>
          <w:p w14:paraId="095A56AC" w14:textId="77777777" w:rsidR="002B3AD5" w:rsidRDefault="00D66CD0">
            <w:pPr>
              <w:pStyle w:val="TableParagraph"/>
              <w:numPr>
                <w:ilvl w:val="0"/>
                <w:numId w:val="13"/>
              </w:numPr>
              <w:tabs>
                <w:tab w:val="left" w:pos="827"/>
                <w:tab w:val="left" w:pos="828"/>
              </w:tabs>
              <w:spacing w:before="1" w:line="276" w:lineRule="auto"/>
              <w:ind w:right="542"/>
              <w:rPr>
                <w:sz w:val="20"/>
                <w:lang w:eastAsia="ja-JP"/>
              </w:rPr>
            </w:pPr>
            <w:r>
              <w:rPr>
                <w:sz w:val="20"/>
                <w:lang w:eastAsia="ja-JP"/>
              </w:rPr>
              <w:t>利用可能な気候データと将来の一連のシナリオにわたる予測のロバストな分析に基づいている。</w:t>
            </w:r>
          </w:p>
          <w:p w14:paraId="095A56AD" w14:textId="77777777" w:rsidR="002B3AD5" w:rsidRDefault="002B3AD5">
            <w:pPr>
              <w:pStyle w:val="TableParagraph"/>
              <w:spacing w:before="9"/>
              <w:ind w:left="0"/>
              <w:rPr>
                <w:sz w:val="20"/>
                <w:lang w:eastAsia="ja-JP"/>
              </w:rPr>
            </w:pPr>
          </w:p>
          <w:p w14:paraId="095A56AE" w14:textId="77777777" w:rsidR="002B3AD5" w:rsidRDefault="00D66CD0">
            <w:pPr>
              <w:pStyle w:val="TableParagraph"/>
              <w:numPr>
                <w:ilvl w:val="0"/>
                <w:numId w:val="13"/>
              </w:numPr>
              <w:tabs>
                <w:tab w:val="left" w:pos="827"/>
                <w:tab w:val="left" w:pos="828"/>
              </w:tabs>
              <w:spacing w:before="0"/>
              <w:rPr>
                <w:sz w:val="20"/>
                <w:lang w:eastAsia="ja-JP"/>
              </w:rPr>
            </w:pPr>
            <w:r>
              <w:rPr>
                <w:sz w:val="20"/>
                <w:lang w:eastAsia="ja-JP"/>
              </w:rPr>
              <w:t>活動の予想寿命と一致する。</w:t>
            </w:r>
          </w:p>
        </w:tc>
      </w:tr>
      <w:tr w:rsidR="002B3AD5" w14:paraId="095A56B2" w14:textId="77777777">
        <w:trPr>
          <w:trHeight w:val="890"/>
        </w:trPr>
        <w:tc>
          <w:tcPr>
            <w:tcW w:w="2547" w:type="dxa"/>
          </w:tcPr>
          <w:p w14:paraId="095A56B0" w14:textId="7AFB765D" w:rsidR="002B3AD5" w:rsidRDefault="00D66CD0" w:rsidP="00C965AA">
            <w:pPr>
              <w:pStyle w:val="TableParagraph"/>
              <w:spacing w:before="122" w:line="276" w:lineRule="auto"/>
              <w:rPr>
                <w:b/>
                <w:sz w:val="20"/>
                <w:lang w:eastAsia="ja-JP"/>
              </w:rPr>
            </w:pPr>
            <w:r>
              <w:rPr>
                <w:b/>
                <w:sz w:val="20"/>
                <w:lang w:eastAsia="ja-JP"/>
              </w:rPr>
              <w:t>A2システムの適応</w:t>
            </w:r>
            <w:r w:rsidR="00C965AA">
              <w:rPr>
                <w:rFonts w:hint="eastAsia"/>
                <w:b/>
                <w:sz w:val="20"/>
                <w:lang w:eastAsia="ja-JP"/>
              </w:rPr>
              <w:t>支援</w:t>
            </w:r>
          </w:p>
        </w:tc>
        <w:tc>
          <w:tcPr>
            <w:tcW w:w="6380" w:type="dxa"/>
          </w:tcPr>
          <w:p w14:paraId="095A56B1" w14:textId="5BE819B8" w:rsidR="002B3AD5" w:rsidRDefault="00D66CD0">
            <w:pPr>
              <w:pStyle w:val="TableParagraph"/>
              <w:spacing w:before="122" w:line="276" w:lineRule="auto"/>
              <w:ind w:right="80"/>
              <w:rPr>
                <w:sz w:val="20"/>
                <w:lang w:eastAsia="ja-JP"/>
              </w:rPr>
            </w:pPr>
            <w:r>
              <w:rPr>
                <w:sz w:val="20"/>
                <w:lang w:eastAsia="ja-JP"/>
              </w:rPr>
              <w:t>経済活動及びその適応措置は、他の人々、自然及び資産の適応努力に悪影響を及ぼさない</w:t>
            </w:r>
            <w:r w:rsidR="00C965AA">
              <w:rPr>
                <w:rFonts w:hint="eastAsia"/>
                <w:sz w:val="20"/>
                <w:lang w:eastAsia="ja-JP"/>
              </w:rPr>
              <w:t>こと</w:t>
            </w:r>
            <w:r>
              <w:rPr>
                <w:sz w:val="20"/>
                <w:lang w:eastAsia="ja-JP"/>
              </w:rPr>
              <w:t>。</w:t>
            </w:r>
          </w:p>
        </w:tc>
      </w:tr>
      <w:tr w:rsidR="002B3AD5" w14:paraId="095A56B5" w14:textId="77777777">
        <w:trPr>
          <w:trHeight w:val="649"/>
        </w:trPr>
        <w:tc>
          <w:tcPr>
            <w:tcW w:w="2547" w:type="dxa"/>
            <w:shd w:val="clear" w:color="auto" w:fill="FFF1CC"/>
          </w:tcPr>
          <w:p w14:paraId="095A56B3" w14:textId="77777777" w:rsidR="002B3AD5" w:rsidRDefault="00D66CD0">
            <w:pPr>
              <w:pStyle w:val="TableParagraph"/>
              <w:spacing w:before="119"/>
              <w:ind w:left="0" w:right="98"/>
              <w:jc w:val="right"/>
              <w:rPr>
                <w:b/>
                <w:sz w:val="20"/>
              </w:rPr>
            </w:pPr>
            <w:r>
              <w:rPr>
                <w:b/>
                <w:w w:val="95"/>
                <w:sz w:val="20"/>
              </w:rPr>
              <w:t>A2.1</w:t>
            </w:r>
          </w:p>
        </w:tc>
        <w:tc>
          <w:tcPr>
            <w:tcW w:w="6380" w:type="dxa"/>
            <w:shd w:val="clear" w:color="auto" w:fill="FFF1CC"/>
          </w:tcPr>
          <w:p w14:paraId="095A56B4" w14:textId="1BF8CE97" w:rsidR="002B3AD5" w:rsidRDefault="00D66CD0" w:rsidP="00C965AA">
            <w:pPr>
              <w:pStyle w:val="TableParagraph"/>
              <w:spacing w:before="89" w:line="260" w:lineRule="atLeast"/>
              <w:ind w:right="328"/>
              <w:rPr>
                <w:sz w:val="20"/>
                <w:lang w:eastAsia="ja-JP"/>
              </w:rPr>
            </w:pPr>
            <w:r>
              <w:rPr>
                <w:sz w:val="20"/>
                <w:lang w:eastAsia="ja-JP"/>
              </w:rPr>
              <w:t>経済活動及びその適応措置は、他の人、自然及び</w:t>
            </w:r>
          </w:p>
        </w:tc>
      </w:tr>
    </w:tbl>
    <w:p w14:paraId="095A56B6" w14:textId="77777777" w:rsidR="002B3AD5" w:rsidRDefault="002B3AD5">
      <w:pPr>
        <w:spacing w:line="260" w:lineRule="atLeast"/>
        <w:rPr>
          <w:sz w:val="20"/>
          <w:lang w:eastAsia="ja-JP"/>
        </w:rPr>
        <w:sectPr w:rsidR="002B3AD5">
          <w:pgSz w:w="12240" w:h="15840"/>
          <w:pgMar w:top="1360" w:right="320" w:bottom="1200" w:left="360" w:header="0" w:footer="1020" w:gutter="0"/>
          <w:cols w:space="720"/>
        </w:sectPr>
      </w:pPr>
    </w:p>
    <w:tbl>
      <w:tblPr>
        <w:tblStyle w:val="TableNormal"/>
        <w:tblW w:w="0" w:type="auto"/>
        <w:tblInd w:w="109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2547"/>
        <w:gridCol w:w="6380"/>
      </w:tblGrid>
      <w:tr w:rsidR="002B3AD5" w14:paraId="095A56B9" w14:textId="77777777">
        <w:trPr>
          <w:trHeight w:val="1034"/>
        </w:trPr>
        <w:tc>
          <w:tcPr>
            <w:tcW w:w="2547" w:type="dxa"/>
            <w:shd w:val="clear" w:color="auto" w:fill="FFF1CC"/>
          </w:tcPr>
          <w:p w14:paraId="095A56B7" w14:textId="77777777" w:rsidR="002B3AD5" w:rsidRDefault="002B3AD5">
            <w:pPr>
              <w:pStyle w:val="TableParagraph"/>
              <w:spacing w:before="0"/>
              <w:ind w:left="0"/>
              <w:rPr>
                <w:rFonts w:ascii="Times New Roman"/>
                <w:sz w:val="18"/>
                <w:lang w:eastAsia="ja-JP"/>
              </w:rPr>
            </w:pPr>
          </w:p>
        </w:tc>
        <w:tc>
          <w:tcPr>
            <w:tcW w:w="6380" w:type="dxa"/>
            <w:shd w:val="clear" w:color="auto" w:fill="FFF1CC"/>
          </w:tcPr>
          <w:p w14:paraId="095A56B8" w14:textId="331A33A0" w:rsidR="002B3AD5" w:rsidRDefault="00D66CD0">
            <w:pPr>
              <w:pStyle w:val="TableParagraph"/>
              <w:spacing w:before="0" w:line="276" w:lineRule="auto"/>
              <w:ind w:right="266"/>
              <w:rPr>
                <w:sz w:val="20"/>
                <w:lang w:eastAsia="ja-JP"/>
              </w:rPr>
            </w:pPr>
            <w:r>
              <w:rPr>
                <w:sz w:val="20"/>
                <w:lang w:eastAsia="ja-JP"/>
              </w:rPr>
              <w:t>資産、あるいは他の場所での適応を妨げる</w:t>
            </w:r>
            <w:r w:rsidR="00C965AA">
              <w:rPr>
                <w:rFonts w:hint="eastAsia"/>
                <w:sz w:val="20"/>
                <w:lang w:eastAsia="ja-JP"/>
              </w:rPr>
              <w:t>など、</w:t>
            </w:r>
            <w:r w:rsidR="00C965AA" w:rsidRPr="00C965AA">
              <w:rPr>
                <w:rFonts w:hint="eastAsia"/>
                <w:sz w:val="20"/>
                <w:lang w:eastAsia="ja-JP"/>
              </w:rPr>
              <w:t>悪影響を及ぼす気候のリスクを増大させるものではない</w:t>
            </w:r>
            <w:r w:rsidR="00C965AA">
              <w:rPr>
                <w:rFonts w:hint="eastAsia"/>
                <w:sz w:val="20"/>
                <w:lang w:eastAsia="ja-JP"/>
              </w:rPr>
              <w:t>こと</w:t>
            </w:r>
            <w:r>
              <w:rPr>
                <w:sz w:val="20"/>
                <w:lang w:eastAsia="ja-JP"/>
              </w:rPr>
              <w:t>。 適応に取り組むためには、「グリーン」または「自然に基づく解決策」が「グレー」対策よりも</w:t>
            </w:r>
            <w:r w:rsidR="00C965AA">
              <w:rPr>
                <w:rFonts w:hint="eastAsia"/>
                <w:sz w:val="20"/>
                <w:lang w:eastAsia="ja-JP"/>
              </w:rPr>
              <w:t>有効になるよう配慮されるべきであること</w:t>
            </w:r>
            <w:r>
              <w:rPr>
                <w:sz w:val="20"/>
                <w:lang w:eastAsia="ja-JP"/>
              </w:rPr>
              <w:t>。</w:t>
            </w:r>
          </w:p>
        </w:tc>
      </w:tr>
      <w:tr w:rsidR="002B3AD5" w14:paraId="095A56BC" w14:textId="77777777">
        <w:trPr>
          <w:trHeight w:val="887"/>
        </w:trPr>
        <w:tc>
          <w:tcPr>
            <w:tcW w:w="2547" w:type="dxa"/>
          </w:tcPr>
          <w:p w14:paraId="095A56BA" w14:textId="77777777" w:rsidR="002B3AD5" w:rsidRDefault="00D66CD0">
            <w:pPr>
              <w:pStyle w:val="TableParagraph"/>
              <w:spacing w:before="119"/>
              <w:ind w:left="0" w:right="98"/>
              <w:jc w:val="right"/>
              <w:rPr>
                <w:b/>
                <w:sz w:val="20"/>
              </w:rPr>
            </w:pPr>
            <w:r>
              <w:rPr>
                <w:b/>
                <w:w w:val="95"/>
                <w:sz w:val="20"/>
              </w:rPr>
              <w:t>A2.3</w:t>
            </w:r>
          </w:p>
        </w:tc>
        <w:tc>
          <w:tcPr>
            <w:tcW w:w="6380" w:type="dxa"/>
          </w:tcPr>
          <w:p w14:paraId="095A56BB" w14:textId="13A596C4" w:rsidR="002B3AD5" w:rsidRDefault="00D66CD0">
            <w:pPr>
              <w:pStyle w:val="TableParagraph"/>
              <w:spacing w:before="119" w:line="276" w:lineRule="auto"/>
              <w:ind w:right="328"/>
              <w:rPr>
                <w:sz w:val="20"/>
                <w:lang w:eastAsia="ja-JP"/>
              </w:rPr>
            </w:pPr>
            <w:r>
              <w:rPr>
                <w:sz w:val="20"/>
                <w:lang w:eastAsia="ja-JP"/>
              </w:rPr>
              <w:t>経済活動とその適応措置は、部門別、地域別、国別の適応努力と整合的である</w:t>
            </w:r>
            <w:r w:rsidR="00C965AA">
              <w:rPr>
                <w:rFonts w:hint="eastAsia"/>
                <w:sz w:val="20"/>
                <w:lang w:eastAsia="ja-JP"/>
              </w:rPr>
              <w:t>こと</w:t>
            </w:r>
            <w:r>
              <w:rPr>
                <w:sz w:val="20"/>
                <w:lang w:eastAsia="ja-JP"/>
              </w:rPr>
              <w:t>。</w:t>
            </w:r>
          </w:p>
        </w:tc>
      </w:tr>
      <w:tr w:rsidR="002B3AD5" w14:paraId="095A56BF" w14:textId="77777777">
        <w:trPr>
          <w:trHeight w:val="890"/>
        </w:trPr>
        <w:tc>
          <w:tcPr>
            <w:tcW w:w="2547" w:type="dxa"/>
            <w:shd w:val="clear" w:color="auto" w:fill="FFF1CC"/>
          </w:tcPr>
          <w:p w14:paraId="095A56BD" w14:textId="77777777" w:rsidR="002B3AD5" w:rsidRDefault="00D66CD0">
            <w:pPr>
              <w:pStyle w:val="TableParagraph"/>
              <w:spacing w:before="119" w:line="278" w:lineRule="auto"/>
              <w:ind w:right="687"/>
              <w:rPr>
                <w:b/>
                <w:sz w:val="20"/>
                <w:lang w:eastAsia="ja-JP"/>
              </w:rPr>
            </w:pPr>
            <w:r>
              <w:rPr>
                <w:b/>
                <w:sz w:val="20"/>
                <w:lang w:eastAsia="ja-JP"/>
              </w:rPr>
              <w:t>A3:適応結果のモニタリング</w:t>
            </w:r>
          </w:p>
        </w:tc>
        <w:tc>
          <w:tcPr>
            <w:tcW w:w="6380" w:type="dxa"/>
            <w:shd w:val="clear" w:color="auto" w:fill="FFF1CC"/>
          </w:tcPr>
          <w:p w14:paraId="095A56BE" w14:textId="148FEF3E" w:rsidR="002B3AD5" w:rsidRDefault="00D66CD0">
            <w:pPr>
              <w:pStyle w:val="TableParagraph"/>
              <w:spacing w:before="119"/>
              <w:rPr>
                <w:sz w:val="20"/>
                <w:lang w:eastAsia="ja-JP"/>
              </w:rPr>
            </w:pPr>
            <w:r>
              <w:rPr>
                <w:sz w:val="20"/>
                <w:lang w:eastAsia="ja-JP"/>
              </w:rPr>
              <w:t>物理的な気候リスクの低減を測定することができる</w:t>
            </w:r>
            <w:r w:rsidR="00C965AA">
              <w:rPr>
                <w:rFonts w:hint="eastAsia"/>
                <w:sz w:val="20"/>
                <w:lang w:eastAsia="ja-JP"/>
              </w:rPr>
              <w:t>こと</w:t>
            </w:r>
            <w:r>
              <w:rPr>
                <w:sz w:val="20"/>
                <w:lang w:eastAsia="ja-JP"/>
              </w:rPr>
              <w:t>。</w:t>
            </w:r>
          </w:p>
        </w:tc>
      </w:tr>
      <w:tr w:rsidR="002B3AD5" w14:paraId="095A56C2" w14:textId="77777777">
        <w:trPr>
          <w:trHeight w:val="1418"/>
        </w:trPr>
        <w:tc>
          <w:tcPr>
            <w:tcW w:w="2547" w:type="dxa"/>
          </w:tcPr>
          <w:p w14:paraId="095A56C0" w14:textId="77777777" w:rsidR="002B3AD5" w:rsidRDefault="00D66CD0">
            <w:pPr>
              <w:pStyle w:val="TableParagraph"/>
              <w:spacing w:before="119"/>
              <w:ind w:left="0" w:right="98"/>
              <w:jc w:val="right"/>
              <w:rPr>
                <w:b/>
                <w:sz w:val="20"/>
              </w:rPr>
            </w:pPr>
            <w:r>
              <w:rPr>
                <w:b/>
                <w:w w:val="95"/>
                <w:sz w:val="20"/>
              </w:rPr>
              <w:t>A3.1</w:t>
            </w:r>
          </w:p>
        </w:tc>
        <w:tc>
          <w:tcPr>
            <w:tcW w:w="6380" w:type="dxa"/>
          </w:tcPr>
          <w:p w14:paraId="095A56C1" w14:textId="2303E479" w:rsidR="002B3AD5" w:rsidRDefault="00D66CD0">
            <w:pPr>
              <w:pStyle w:val="TableParagraph"/>
              <w:spacing w:before="119" w:line="276" w:lineRule="auto"/>
              <w:ind w:right="80"/>
              <w:rPr>
                <w:sz w:val="20"/>
                <w:lang w:eastAsia="ja-JP"/>
              </w:rPr>
            </w:pPr>
            <w:r>
              <w:rPr>
                <w:sz w:val="20"/>
                <w:lang w:eastAsia="ja-JP"/>
              </w:rPr>
              <w:t>適応の結果は、定義された指標に照らして監視および測定することができる</w:t>
            </w:r>
            <w:r w:rsidR="000823A5">
              <w:rPr>
                <w:rFonts w:hint="eastAsia"/>
                <w:sz w:val="20"/>
                <w:lang w:eastAsia="ja-JP"/>
              </w:rPr>
              <w:t>こと</w:t>
            </w:r>
            <w:r>
              <w:rPr>
                <w:sz w:val="20"/>
                <w:lang w:eastAsia="ja-JP"/>
              </w:rPr>
              <w:t>。 リスクが経時的に変化することを認識しつつ、物理的気候リスクの最新の評価は、可能な場合には適切な頻度で実施されるべきである</w:t>
            </w:r>
            <w:r w:rsidR="000823A5">
              <w:rPr>
                <w:rFonts w:hint="eastAsia"/>
                <w:sz w:val="20"/>
                <w:lang w:eastAsia="ja-JP"/>
              </w:rPr>
              <w:t>こと</w:t>
            </w:r>
            <w:r>
              <w:rPr>
                <w:sz w:val="20"/>
                <w:lang w:eastAsia="ja-JP"/>
              </w:rPr>
              <w:t>。</w:t>
            </w:r>
          </w:p>
        </w:tc>
      </w:tr>
    </w:tbl>
    <w:p w14:paraId="095A56C3" w14:textId="0F3B4085" w:rsidR="002B3AD5" w:rsidRDefault="00D66CD0">
      <w:pPr>
        <w:pStyle w:val="4"/>
        <w:spacing w:before="119"/>
        <w:rPr>
          <w:lang w:eastAsia="ja-JP"/>
        </w:rPr>
      </w:pPr>
      <w:r>
        <w:rPr>
          <w:lang w:eastAsia="ja-JP"/>
        </w:rPr>
        <w:t>適応を</w:t>
      </w:r>
      <w:r w:rsidR="004548CA">
        <w:rPr>
          <w:rFonts w:hint="eastAsia"/>
          <w:lang w:eastAsia="ja-JP"/>
        </w:rPr>
        <w:t>イネ―ブリング</w:t>
      </w:r>
      <w:r>
        <w:rPr>
          <w:lang w:eastAsia="ja-JP"/>
        </w:rPr>
        <w:t>する活動のスクリーニング基準</w:t>
      </w:r>
    </w:p>
    <w:p w14:paraId="095A56C4" w14:textId="77777777" w:rsidR="002B3AD5" w:rsidRDefault="002B3AD5">
      <w:pPr>
        <w:pStyle w:val="a3"/>
        <w:spacing w:before="10"/>
        <w:rPr>
          <w:b/>
          <w:sz w:val="23"/>
          <w:lang w:eastAsia="ja-JP"/>
        </w:rPr>
      </w:pPr>
    </w:p>
    <w:p w14:paraId="095A56C5" w14:textId="6F26D50D" w:rsidR="002B3AD5" w:rsidRDefault="00D66CD0">
      <w:pPr>
        <w:pStyle w:val="a3"/>
        <w:ind w:left="1080"/>
        <w:rPr>
          <w:lang w:eastAsia="ja-JP"/>
        </w:rPr>
      </w:pPr>
      <w:r>
        <w:rPr>
          <w:lang w:eastAsia="ja-JP"/>
        </w:rPr>
        <w:t>適応を</w:t>
      </w:r>
      <w:r w:rsidR="004548CA">
        <w:rPr>
          <w:rFonts w:hint="eastAsia"/>
          <w:lang w:eastAsia="ja-JP"/>
        </w:rPr>
        <w:t>イネ―ブリング</w:t>
      </w:r>
      <w:r>
        <w:rPr>
          <w:lang w:eastAsia="ja-JP"/>
        </w:rPr>
        <w:t>する経済活動のスクリーニング基準を下表に示す。</w:t>
      </w:r>
    </w:p>
    <w:p w14:paraId="095A56C6" w14:textId="77777777" w:rsidR="002B3AD5" w:rsidRDefault="002B3AD5">
      <w:pPr>
        <w:pStyle w:val="a3"/>
        <w:rPr>
          <w:sz w:val="24"/>
          <w:lang w:eastAsia="ja-JP"/>
        </w:rPr>
      </w:pPr>
    </w:p>
    <w:p w14:paraId="095A56C7" w14:textId="3FC85067" w:rsidR="002B3AD5" w:rsidRDefault="00D66CD0">
      <w:pPr>
        <w:ind w:left="2042"/>
        <w:rPr>
          <w:sz w:val="18"/>
          <w:lang w:eastAsia="ja-JP"/>
        </w:rPr>
      </w:pPr>
      <w:r>
        <w:rPr>
          <w:color w:val="44536A"/>
          <w:sz w:val="18"/>
          <w:lang w:eastAsia="ja-JP"/>
        </w:rPr>
        <w:t>表4 実質的貢献の審査基準:適応を</w:t>
      </w:r>
      <w:r w:rsidR="000823A5">
        <w:rPr>
          <w:rFonts w:hint="eastAsia"/>
          <w:color w:val="44536A"/>
          <w:sz w:val="18"/>
          <w:lang w:eastAsia="ja-JP"/>
        </w:rPr>
        <w:t>イネ―ブリング</w:t>
      </w:r>
      <w:r>
        <w:rPr>
          <w:color w:val="44536A"/>
          <w:sz w:val="18"/>
          <w:lang w:eastAsia="ja-JP"/>
        </w:rPr>
        <w:t>する経済活動</w:t>
      </w:r>
    </w:p>
    <w:p w14:paraId="095A56C8" w14:textId="77777777" w:rsidR="002B3AD5" w:rsidRDefault="002B3AD5">
      <w:pPr>
        <w:pStyle w:val="a3"/>
        <w:spacing w:before="4"/>
        <w:rPr>
          <w:sz w:val="17"/>
          <w:lang w:eastAsia="ja-JP"/>
        </w:rPr>
      </w:pPr>
    </w:p>
    <w:tbl>
      <w:tblPr>
        <w:tblStyle w:val="TableNormal"/>
        <w:tblW w:w="0" w:type="auto"/>
        <w:tblInd w:w="109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2547"/>
        <w:gridCol w:w="6380"/>
      </w:tblGrid>
      <w:tr w:rsidR="002B3AD5" w14:paraId="095A56CB" w14:textId="77777777">
        <w:trPr>
          <w:trHeight w:val="645"/>
        </w:trPr>
        <w:tc>
          <w:tcPr>
            <w:tcW w:w="2547" w:type="dxa"/>
            <w:tcBorders>
              <w:top w:val="nil"/>
              <w:left w:val="nil"/>
              <w:bottom w:val="nil"/>
              <w:right w:val="nil"/>
            </w:tcBorders>
            <w:shd w:val="clear" w:color="auto" w:fill="FFC000"/>
          </w:tcPr>
          <w:p w14:paraId="095A56C9" w14:textId="77777777" w:rsidR="002B3AD5" w:rsidRDefault="00D66CD0">
            <w:pPr>
              <w:pStyle w:val="TableParagraph"/>
              <w:spacing w:before="129"/>
              <w:ind w:left="112"/>
              <w:rPr>
                <w:b/>
                <w:sz w:val="20"/>
              </w:rPr>
            </w:pPr>
            <w:proofErr w:type="spellStart"/>
            <w:r>
              <w:rPr>
                <w:b/>
                <w:color w:val="FFFFFF"/>
                <w:sz w:val="20"/>
              </w:rPr>
              <w:t>基準</w:t>
            </w:r>
            <w:proofErr w:type="spellEnd"/>
          </w:p>
        </w:tc>
        <w:tc>
          <w:tcPr>
            <w:tcW w:w="6380" w:type="dxa"/>
            <w:tcBorders>
              <w:top w:val="nil"/>
              <w:left w:val="nil"/>
              <w:bottom w:val="nil"/>
              <w:right w:val="nil"/>
            </w:tcBorders>
            <w:shd w:val="clear" w:color="auto" w:fill="FFC000"/>
          </w:tcPr>
          <w:p w14:paraId="095A56CA" w14:textId="77777777" w:rsidR="002B3AD5" w:rsidRDefault="00D66CD0">
            <w:pPr>
              <w:pStyle w:val="TableParagraph"/>
              <w:spacing w:before="129"/>
              <w:ind w:left="112"/>
              <w:rPr>
                <w:b/>
                <w:sz w:val="20"/>
              </w:rPr>
            </w:pPr>
            <w:proofErr w:type="spellStart"/>
            <w:r>
              <w:rPr>
                <w:b/>
                <w:color w:val="FFFFFF"/>
                <w:sz w:val="20"/>
              </w:rPr>
              <w:t>内容</w:t>
            </w:r>
            <w:proofErr w:type="spellEnd"/>
          </w:p>
        </w:tc>
      </w:tr>
      <w:tr w:rsidR="002B3AD5" w14:paraId="095A56D0" w14:textId="77777777">
        <w:trPr>
          <w:trHeight w:val="2800"/>
        </w:trPr>
        <w:tc>
          <w:tcPr>
            <w:tcW w:w="2547" w:type="dxa"/>
            <w:tcBorders>
              <w:top w:val="nil"/>
            </w:tcBorders>
            <w:shd w:val="clear" w:color="auto" w:fill="FFF1CC"/>
          </w:tcPr>
          <w:p w14:paraId="095A56CC" w14:textId="77777777" w:rsidR="002B3AD5" w:rsidRDefault="00D66CD0">
            <w:pPr>
              <w:pStyle w:val="TableParagraph"/>
              <w:spacing w:before="119" w:line="276" w:lineRule="auto"/>
              <w:ind w:right="298"/>
              <w:rPr>
                <w:b/>
                <w:sz w:val="20"/>
                <w:lang w:eastAsia="ja-JP"/>
              </w:rPr>
            </w:pPr>
            <w:r>
              <w:rPr>
                <w:b/>
                <w:sz w:val="20"/>
                <w:lang w:eastAsia="ja-JP"/>
              </w:rPr>
              <w:t>B1. 他の経済活動への適応支援</w:t>
            </w:r>
          </w:p>
        </w:tc>
        <w:tc>
          <w:tcPr>
            <w:tcW w:w="6380" w:type="dxa"/>
            <w:tcBorders>
              <w:top w:val="nil"/>
            </w:tcBorders>
            <w:shd w:val="clear" w:color="auto" w:fill="FFF1CC"/>
          </w:tcPr>
          <w:p w14:paraId="095A56CD" w14:textId="4FF9FA18" w:rsidR="002B3AD5" w:rsidRDefault="00D66CD0">
            <w:pPr>
              <w:pStyle w:val="TableParagraph"/>
              <w:spacing w:before="0" w:line="259" w:lineRule="auto"/>
              <w:ind w:right="129"/>
              <w:rPr>
                <w:sz w:val="20"/>
                <w:lang w:eastAsia="ja-JP"/>
              </w:rPr>
            </w:pPr>
            <w:r>
              <w:rPr>
                <w:sz w:val="20"/>
                <w:lang w:eastAsia="ja-JP"/>
              </w:rPr>
              <w:t>他の経済活動における物質的な物理的気候リスクを減少させ、及び/又は適応に対するシステミックな障壁に対処する</w:t>
            </w:r>
            <w:r w:rsidR="000823A5">
              <w:rPr>
                <w:rFonts w:hint="eastAsia"/>
                <w:sz w:val="20"/>
                <w:lang w:eastAsia="ja-JP"/>
              </w:rPr>
              <w:t>こと</w:t>
            </w:r>
            <w:r>
              <w:rPr>
                <w:sz w:val="20"/>
                <w:lang w:eastAsia="ja-JP"/>
              </w:rPr>
              <w:t>。 適応を</w:t>
            </w:r>
            <w:r w:rsidR="004548CA">
              <w:rPr>
                <w:rFonts w:hint="eastAsia"/>
                <w:sz w:val="20"/>
                <w:lang w:eastAsia="ja-JP"/>
              </w:rPr>
              <w:t>イネ―ブリング</w:t>
            </w:r>
            <w:r>
              <w:rPr>
                <w:sz w:val="20"/>
                <w:lang w:eastAsia="ja-JP"/>
              </w:rPr>
              <w:t>する活動には、以下の活動が含まれるが、これらに限定され</w:t>
            </w:r>
            <w:r w:rsidR="000823A5">
              <w:rPr>
                <w:rFonts w:hint="eastAsia"/>
                <w:sz w:val="20"/>
                <w:lang w:eastAsia="ja-JP"/>
              </w:rPr>
              <w:t>るものでは</w:t>
            </w:r>
            <w:r>
              <w:rPr>
                <w:sz w:val="20"/>
                <w:lang w:eastAsia="ja-JP"/>
              </w:rPr>
              <w:t>ない。</w:t>
            </w:r>
          </w:p>
          <w:p w14:paraId="095A56CE" w14:textId="77777777" w:rsidR="002B3AD5" w:rsidRDefault="00D66CD0">
            <w:pPr>
              <w:pStyle w:val="TableParagraph"/>
              <w:numPr>
                <w:ilvl w:val="0"/>
                <w:numId w:val="12"/>
              </w:numPr>
              <w:tabs>
                <w:tab w:val="left" w:pos="828"/>
              </w:tabs>
              <w:spacing w:before="158" w:line="259" w:lineRule="auto"/>
              <w:ind w:right="153"/>
              <w:rPr>
                <w:sz w:val="20"/>
                <w:lang w:eastAsia="ja-JP"/>
              </w:rPr>
            </w:pPr>
            <w:r>
              <w:rPr>
                <w:sz w:val="20"/>
                <w:lang w:eastAsia="ja-JP"/>
              </w:rPr>
              <w:t>既存の技術、製品、慣行、ガバナンス・プロセス、又は既存の技術、製品又は慣行(天然インフラに関連するものを含む)の革新的な利用を促進すること。</w:t>
            </w:r>
          </w:p>
          <w:p w14:paraId="095A56CF" w14:textId="3CF015A6" w:rsidR="002B3AD5" w:rsidRDefault="00D66CD0">
            <w:pPr>
              <w:pStyle w:val="TableParagraph"/>
              <w:numPr>
                <w:ilvl w:val="0"/>
                <w:numId w:val="12"/>
              </w:numPr>
              <w:tabs>
                <w:tab w:val="left" w:pos="828"/>
              </w:tabs>
              <w:spacing w:before="0" w:line="261" w:lineRule="auto"/>
              <w:ind w:right="455"/>
              <w:rPr>
                <w:sz w:val="20"/>
                <w:lang w:eastAsia="ja-JP"/>
              </w:rPr>
            </w:pPr>
            <w:r>
              <w:rPr>
                <w:sz w:val="20"/>
                <w:lang w:eastAsia="ja-JP"/>
              </w:rPr>
              <w:t>他者による適応に対する情報、財政、技術、能力の障壁を取り除く</w:t>
            </w:r>
            <w:r w:rsidR="000823A5">
              <w:rPr>
                <w:rFonts w:hint="eastAsia"/>
                <w:sz w:val="20"/>
                <w:lang w:eastAsia="ja-JP"/>
              </w:rPr>
              <w:t>こと</w:t>
            </w:r>
            <w:r>
              <w:rPr>
                <w:sz w:val="20"/>
                <w:lang w:eastAsia="ja-JP"/>
              </w:rPr>
              <w:t>。</w:t>
            </w:r>
          </w:p>
        </w:tc>
      </w:tr>
      <w:tr w:rsidR="002B3AD5" w14:paraId="095A56D5" w14:textId="77777777">
        <w:trPr>
          <w:trHeight w:val="2717"/>
        </w:trPr>
        <w:tc>
          <w:tcPr>
            <w:tcW w:w="2547" w:type="dxa"/>
          </w:tcPr>
          <w:p w14:paraId="095A56D1" w14:textId="77777777" w:rsidR="002B3AD5" w:rsidRDefault="00D66CD0">
            <w:pPr>
              <w:pStyle w:val="TableParagraph"/>
              <w:spacing w:before="119"/>
              <w:ind w:left="0" w:right="98"/>
              <w:jc w:val="right"/>
              <w:rPr>
                <w:b/>
                <w:sz w:val="20"/>
              </w:rPr>
            </w:pPr>
            <w:r>
              <w:rPr>
                <w:b/>
                <w:w w:val="95"/>
                <w:sz w:val="20"/>
              </w:rPr>
              <w:t>B1.1</w:t>
            </w:r>
          </w:p>
        </w:tc>
        <w:tc>
          <w:tcPr>
            <w:tcW w:w="6380" w:type="dxa"/>
          </w:tcPr>
          <w:p w14:paraId="095A56D2" w14:textId="3059762B" w:rsidR="002B3AD5" w:rsidRDefault="00D66CD0">
            <w:pPr>
              <w:pStyle w:val="TableParagraph"/>
              <w:spacing w:before="119" w:line="276" w:lineRule="auto"/>
              <w:ind w:right="240"/>
              <w:rPr>
                <w:sz w:val="20"/>
                <w:lang w:eastAsia="ja-JP"/>
              </w:rPr>
            </w:pPr>
            <w:r>
              <w:rPr>
                <w:sz w:val="20"/>
                <w:lang w:eastAsia="ja-JP"/>
              </w:rPr>
              <w:t>経済活動は、活動そのものの境界を越えて、物理的な気候リスクへの適応を減少または促進する</w:t>
            </w:r>
            <w:r w:rsidR="000823A5">
              <w:rPr>
                <w:rFonts w:hint="eastAsia"/>
                <w:sz w:val="20"/>
                <w:lang w:eastAsia="ja-JP"/>
              </w:rPr>
              <w:t>こと</w:t>
            </w:r>
            <w:r>
              <w:rPr>
                <w:sz w:val="20"/>
                <w:lang w:eastAsia="ja-JP"/>
              </w:rPr>
              <w:t>。 活動は、以下を通じて他者の適応をどのように支援するかを示す必要がある。</w:t>
            </w:r>
          </w:p>
          <w:p w14:paraId="095A56D3" w14:textId="77777777" w:rsidR="002B3AD5" w:rsidRDefault="002B3AD5">
            <w:pPr>
              <w:pStyle w:val="TableParagraph"/>
              <w:spacing w:before="0"/>
              <w:ind w:left="0"/>
              <w:rPr>
                <w:sz w:val="21"/>
                <w:lang w:eastAsia="ja-JP"/>
              </w:rPr>
            </w:pPr>
          </w:p>
          <w:p w14:paraId="095A56D4" w14:textId="77777777" w:rsidR="002B3AD5" w:rsidRDefault="00D66CD0">
            <w:pPr>
              <w:pStyle w:val="TableParagraph"/>
              <w:numPr>
                <w:ilvl w:val="0"/>
                <w:numId w:val="11"/>
              </w:numPr>
              <w:tabs>
                <w:tab w:val="left" w:pos="827"/>
                <w:tab w:val="left" w:pos="828"/>
              </w:tabs>
              <w:spacing w:before="0" w:line="276" w:lineRule="auto"/>
              <w:ind w:right="686"/>
              <w:rPr>
                <w:sz w:val="20"/>
                <w:lang w:eastAsia="ja-JP"/>
              </w:rPr>
            </w:pPr>
            <w:r>
              <w:rPr>
                <w:sz w:val="20"/>
                <w:lang w:eastAsia="ja-JP"/>
              </w:rPr>
              <w:t>現在の気象変動性及び将来の気候変動の双方から生じるリスク(不確実性を含む。)の評価であって、その経済活動が頑強な気候データに基づいて対処することに寄与するもの</w:t>
            </w:r>
          </w:p>
        </w:tc>
      </w:tr>
    </w:tbl>
    <w:p w14:paraId="095A56D6" w14:textId="77777777" w:rsidR="002B3AD5" w:rsidRDefault="002B3AD5">
      <w:pPr>
        <w:spacing w:line="276" w:lineRule="auto"/>
        <w:rPr>
          <w:sz w:val="20"/>
          <w:lang w:eastAsia="ja-JP"/>
        </w:rPr>
        <w:sectPr w:rsidR="002B3AD5">
          <w:pgSz w:w="12240" w:h="15840"/>
          <w:pgMar w:top="1440" w:right="320" w:bottom="1200" w:left="360" w:header="0" w:footer="1020" w:gutter="0"/>
          <w:cols w:space="720"/>
        </w:sectPr>
      </w:pPr>
    </w:p>
    <w:tbl>
      <w:tblPr>
        <w:tblStyle w:val="TableNormal"/>
        <w:tblW w:w="0" w:type="auto"/>
        <w:tblInd w:w="109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2547"/>
        <w:gridCol w:w="6380"/>
      </w:tblGrid>
      <w:tr w:rsidR="002B3AD5" w14:paraId="095A56D9" w14:textId="77777777">
        <w:trPr>
          <w:trHeight w:val="1034"/>
        </w:trPr>
        <w:tc>
          <w:tcPr>
            <w:tcW w:w="2547" w:type="dxa"/>
          </w:tcPr>
          <w:p w14:paraId="095A56D7" w14:textId="77777777" w:rsidR="002B3AD5" w:rsidRDefault="002B3AD5">
            <w:pPr>
              <w:pStyle w:val="TableParagraph"/>
              <w:spacing w:before="0"/>
              <w:ind w:left="0"/>
              <w:rPr>
                <w:rFonts w:ascii="Times New Roman"/>
                <w:sz w:val="20"/>
                <w:lang w:eastAsia="ja-JP"/>
              </w:rPr>
            </w:pPr>
          </w:p>
        </w:tc>
        <w:tc>
          <w:tcPr>
            <w:tcW w:w="6380" w:type="dxa"/>
          </w:tcPr>
          <w:p w14:paraId="095A56D8" w14:textId="77777777" w:rsidR="002B3AD5" w:rsidRDefault="00D66CD0">
            <w:pPr>
              <w:pStyle w:val="TableParagraph"/>
              <w:numPr>
                <w:ilvl w:val="0"/>
                <w:numId w:val="10"/>
              </w:numPr>
              <w:tabs>
                <w:tab w:val="left" w:pos="828"/>
              </w:tabs>
              <w:spacing w:before="0" w:line="276" w:lineRule="auto"/>
              <w:ind w:right="188"/>
              <w:jc w:val="both"/>
              <w:rPr>
                <w:sz w:val="20"/>
                <w:lang w:eastAsia="ja-JP"/>
              </w:rPr>
            </w:pPr>
            <w:r>
              <w:rPr>
                <w:sz w:val="20"/>
                <w:lang w:eastAsia="ja-JP"/>
              </w:rPr>
              <w:t>被ばくの規模及びそれらに対する脆弱性を考慮した、これらのリスクの低減に対する経済活動の寄与の有効性の評価</w:t>
            </w:r>
          </w:p>
        </w:tc>
      </w:tr>
      <w:tr w:rsidR="002B3AD5" w14:paraId="095A56DC" w14:textId="77777777">
        <w:trPr>
          <w:trHeight w:val="1153"/>
        </w:trPr>
        <w:tc>
          <w:tcPr>
            <w:tcW w:w="2547" w:type="dxa"/>
            <w:shd w:val="clear" w:color="auto" w:fill="FFF1CC"/>
          </w:tcPr>
          <w:p w14:paraId="095A56DA" w14:textId="77777777" w:rsidR="002B3AD5" w:rsidRDefault="00D66CD0">
            <w:pPr>
              <w:pStyle w:val="TableParagraph"/>
              <w:spacing w:before="119"/>
              <w:ind w:left="0" w:right="98"/>
              <w:jc w:val="right"/>
              <w:rPr>
                <w:b/>
                <w:sz w:val="20"/>
              </w:rPr>
            </w:pPr>
            <w:r>
              <w:rPr>
                <w:b/>
                <w:w w:val="95"/>
                <w:sz w:val="20"/>
              </w:rPr>
              <w:t>B1.2</w:t>
            </w:r>
          </w:p>
        </w:tc>
        <w:tc>
          <w:tcPr>
            <w:tcW w:w="6380" w:type="dxa"/>
            <w:shd w:val="clear" w:color="auto" w:fill="FFF1CC"/>
          </w:tcPr>
          <w:p w14:paraId="095A56DB" w14:textId="43FC4DB4" w:rsidR="002B3AD5" w:rsidRDefault="00D66CD0">
            <w:pPr>
              <w:pStyle w:val="TableParagraph"/>
              <w:spacing w:before="119" w:line="276" w:lineRule="auto"/>
              <w:ind w:right="217"/>
              <w:rPr>
                <w:sz w:val="20"/>
                <w:lang w:eastAsia="ja-JP"/>
              </w:rPr>
            </w:pPr>
            <w:r>
              <w:rPr>
                <w:sz w:val="20"/>
                <w:lang w:eastAsia="ja-JP"/>
              </w:rPr>
              <w:t>適応を</w:t>
            </w:r>
            <w:r w:rsidR="004548CA">
              <w:rPr>
                <w:rFonts w:hint="eastAsia"/>
                <w:sz w:val="20"/>
                <w:lang w:eastAsia="ja-JP"/>
              </w:rPr>
              <w:t>イネ―ブリング</w:t>
            </w:r>
            <w:r>
              <w:rPr>
                <w:sz w:val="20"/>
                <w:lang w:eastAsia="ja-JP"/>
              </w:rPr>
              <w:t>する活動に関連するインフラストラクチャの場合、そのインフラストラクチャはまた、スクリーニング基準A1、A2およびA3を満たさなければならない。</w:t>
            </w:r>
          </w:p>
        </w:tc>
      </w:tr>
    </w:tbl>
    <w:p w14:paraId="095A56DD" w14:textId="77777777" w:rsidR="002B3AD5" w:rsidRDefault="002B3AD5">
      <w:pPr>
        <w:pStyle w:val="a3"/>
        <w:rPr>
          <w:lang w:eastAsia="ja-JP"/>
        </w:rPr>
      </w:pPr>
    </w:p>
    <w:p w14:paraId="095A56DE" w14:textId="77777777" w:rsidR="002B3AD5" w:rsidRDefault="002B3AD5">
      <w:pPr>
        <w:pStyle w:val="a3"/>
        <w:spacing w:before="1"/>
        <w:rPr>
          <w:sz w:val="26"/>
          <w:lang w:eastAsia="ja-JP"/>
        </w:rPr>
      </w:pPr>
    </w:p>
    <w:p w14:paraId="095A56DF" w14:textId="77777777" w:rsidR="002B3AD5" w:rsidRDefault="00D66CD0">
      <w:pPr>
        <w:pStyle w:val="a3"/>
        <w:spacing w:before="93" w:line="276" w:lineRule="auto"/>
        <w:ind w:left="1080" w:right="1152"/>
        <w:rPr>
          <w:lang w:eastAsia="ja-JP"/>
        </w:rPr>
      </w:pPr>
      <w:r>
        <w:rPr>
          <w:lang w:eastAsia="ja-JP"/>
        </w:rPr>
        <w:t>TEGは、プラットフォームが優先事項として、気候リスク評価、気候データと情報の利用、不確実性の下での意思決定、分類の実施を支援するための異なる適応オプションの評価に関する技術的指針を策定することを勧告する。</w:t>
      </w:r>
    </w:p>
    <w:p w14:paraId="095A56E0" w14:textId="77777777" w:rsidR="002B3AD5" w:rsidRDefault="002B3AD5">
      <w:pPr>
        <w:pStyle w:val="a3"/>
        <w:rPr>
          <w:sz w:val="22"/>
          <w:lang w:eastAsia="ja-JP"/>
        </w:rPr>
      </w:pPr>
    </w:p>
    <w:p w14:paraId="095A56E1" w14:textId="77777777" w:rsidR="002B3AD5" w:rsidRDefault="002B3AD5">
      <w:pPr>
        <w:pStyle w:val="a3"/>
        <w:rPr>
          <w:sz w:val="22"/>
          <w:lang w:eastAsia="ja-JP"/>
        </w:rPr>
      </w:pPr>
    </w:p>
    <w:p w14:paraId="095A56E2" w14:textId="77777777" w:rsidR="002B3AD5" w:rsidRDefault="002B3AD5">
      <w:pPr>
        <w:pStyle w:val="a3"/>
        <w:spacing w:before="11"/>
        <w:rPr>
          <w:lang w:eastAsia="ja-JP"/>
        </w:rPr>
      </w:pPr>
    </w:p>
    <w:p w14:paraId="095A56E3" w14:textId="77777777" w:rsidR="002B3AD5" w:rsidRDefault="00D66CD0">
      <w:pPr>
        <w:pStyle w:val="3"/>
        <w:numPr>
          <w:ilvl w:val="1"/>
          <w:numId w:val="24"/>
        </w:numPr>
        <w:tabs>
          <w:tab w:val="left" w:pos="1800"/>
          <w:tab w:val="left" w:pos="1801"/>
        </w:tabs>
        <w:rPr>
          <w:lang w:eastAsia="ja-JP"/>
        </w:rPr>
      </w:pPr>
      <w:bookmarkStart w:id="10" w:name="_bookmark10"/>
      <w:bookmarkEnd w:id="10"/>
      <w:r>
        <w:rPr>
          <w:color w:val="006FC0"/>
          <w:lang w:eastAsia="ja-JP"/>
        </w:rPr>
        <w:t>適応に大きく寄与する活動に対する資金の適格性</w:t>
      </w:r>
    </w:p>
    <w:p w14:paraId="095A56E4" w14:textId="413DBAD9" w:rsidR="002B3AD5" w:rsidRDefault="00D66CD0">
      <w:pPr>
        <w:pStyle w:val="a3"/>
        <w:spacing w:before="201" w:line="276" w:lineRule="auto"/>
        <w:ind w:left="1080" w:right="1152"/>
        <w:rPr>
          <w:lang w:eastAsia="ja-JP"/>
        </w:rPr>
      </w:pPr>
      <w:r>
        <w:rPr>
          <w:lang w:eastAsia="ja-JP"/>
        </w:rPr>
        <w:t>適応を</w:t>
      </w:r>
      <w:r w:rsidR="004548CA">
        <w:rPr>
          <w:rFonts w:hint="eastAsia"/>
          <w:lang w:eastAsia="ja-JP"/>
        </w:rPr>
        <w:t>イネ―ブリング</w:t>
      </w:r>
      <w:r>
        <w:rPr>
          <w:lang w:eastAsia="ja-JP"/>
        </w:rPr>
        <w:t>する経済活動の場合、関連する選別基準を満たす経済活動に関連する収入および/または支出は適格とみなされる。</w:t>
      </w:r>
    </w:p>
    <w:p w14:paraId="095A56E5" w14:textId="77777777" w:rsidR="002B3AD5" w:rsidRDefault="002B3AD5">
      <w:pPr>
        <w:pStyle w:val="a3"/>
        <w:spacing w:before="8"/>
        <w:rPr>
          <w:lang w:eastAsia="ja-JP"/>
        </w:rPr>
      </w:pPr>
    </w:p>
    <w:p w14:paraId="095A56E6" w14:textId="77777777" w:rsidR="002B3AD5" w:rsidRDefault="00D66CD0">
      <w:pPr>
        <w:pStyle w:val="a3"/>
        <w:spacing w:before="1" w:line="276" w:lineRule="auto"/>
        <w:ind w:left="1080" w:right="1177"/>
        <w:rPr>
          <w:lang w:eastAsia="ja-JP"/>
        </w:rPr>
      </w:pPr>
      <w:r>
        <w:rPr>
          <w:lang w:eastAsia="ja-JP"/>
        </w:rPr>
        <w:t>適応経済活動の場合、現時点では、適応コストのみを計上することができ、活動全体に関連する収入および/または支出は計上できない。 これは、適応(例えば、洪水のリスクを高めるための送電線の適応)以外の主要目的を有する活動において、経済活動の適応が提供されるからである。 これらの活動が、物理的な気候リスクに対処するように適応されれば、高度に統合され、相互に結びついた経済システム全体の気候回復力に貢献し、その結果、経済のすべての部門における総合的な適応を通じて世界的な利益をもたらす。 しかし、これらの気候回復力の便益を測定するための方法論、ツール、測定基準は、開発中である。 これらの技術的な限界は、経済活動の適応コストのみを考慮することが、今日、最も実行可能で保守的な選択肢であることを意味する。</w:t>
      </w:r>
    </w:p>
    <w:p w14:paraId="095A56E7" w14:textId="77777777" w:rsidR="002B3AD5" w:rsidRDefault="002B3AD5">
      <w:pPr>
        <w:pStyle w:val="a3"/>
        <w:spacing w:before="10"/>
        <w:rPr>
          <w:lang w:eastAsia="ja-JP"/>
        </w:rPr>
      </w:pPr>
    </w:p>
    <w:p w14:paraId="095A56E8" w14:textId="46567F90" w:rsidR="002B3AD5" w:rsidRDefault="00D66CD0">
      <w:pPr>
        <w:pStyle w:val="a3"/>
        <w:spacing w:before="1" w:line="276" w:lineRule="auto"/>
        <w:ind w:left="1078" w:right="1164"/>
        <w:rPr>
          <w:lang w:eastAsia="ja-JP"/>
        </w:rPr>
      </w:pPr>
      <w:r>
        <w:rPr>
          <w:lang w:eastAsia="ja-JP"/>
        </w:rPr>
        <w:t>状況によっては、経済活動を適応させるために必要な投資</w:t>
      </w:r>
      <w:r w:rsidR="00905E8A">
        <w:rPr>
          <w:rFonts w:hint="eastAsia"/>
          <w:lang w:eastAsia="ja-JP"/>
        </w:rPr>
        <w:t>が</w:t>
      </w:r>
      <w:r>
        <w:rPr>
          <w:lang w:eastAsia="ja-JP"/>
        </w:rPr>
        <w:t>気候リスク評価に対応して開発された適応計画の一環として、大規模</w:t>
      </w:r>
      <w:r w:rsidR="00905E8A">
        <w:rPr>
          <w:rFonts w:hint="eastAsia"/>
          <w:lang w:eastAsia="ja-JP"/>
        </w:rPr>
        <w:t>かつ</w:t>
      </w:r>
      <w:r>
        <w:rPr>
          <w:lang w:eastAsia="ja-JP"/>
        </w:rPr>
        <w:t>段階的に実施されることもある。 このような状況では、経済活動に対する物質的な気候リスクを集団的に低減する措置の完全なプログラムに含まれる措置への投資は、たとえ全体の適応計画が実施されていなくても、段階的にカウントすることができる。 措置の全プログラムは、5年以内の期間で実施されることが期待される。</w:t>
      </w:r>
    </w:p>
    <w:p w14:paraId="095A56E9" w14:textId="77777777" w:rsidR="002B3AD5" w:rsidRDefault="00D66CD0">
      <w:pPr>
        <w:pStyle w:val="a3"/>
        <w:spacing w:before="119" w:line="276" w:lineRule="auto"/>
        <w:ind w:left="1080" w:right="1152"/>
        <w:rPr>
          <w:lang w:eastAsia="ja-JP"/>
        </w:rPr>
      </w:pPr>
      <w:r>
        <w:rPr>
          <w:lang w:eastAsia="ja-JP"/>
        </w:rPr>
        <w:t>プラットフォームは、優先事項として、適応された経済活動の気候回復力の便益を測定するためのアプローチを開発するための更なる作業に着手することが提案されている。 これは、物理的な気候リスクに対処し、高い気候回復便益をもたらす経済活動に関連するすべての収入および/または支出を認識するための重要な一歩である。</w:t>
      </w:r>
    </w:p>
    <w:p w14:paraId="095A56EA" w14:textId="77777777" w:rsidR="002B3AD5" w:rsidRDefault="002B3AD5">
      <w:pPr>
        <w:spacing w:line="276" w:lineRule="auto"/>
        <w:rPr>
          <w:lang w:eastAsia="ja-JP"/>
        </w:rPr>
        <w:sectPr w:rsidR="002B3AD5">
          <w:pgSz w:w="12240" w:h="15840"/>
          <w:pgMar w:top="1440" w:right="320" w:bottom="1200" w:left="360" w:header="0" w:footer="1020" w:gutter="0"/>
          <w:cols w:space="720"/>
        </w:sectPr>
      </w:pPr>
    </w:p>
    <w:p w14:paraId="095A56EB" w14:textId="77777777" w:rsidR="002B3AD5" w:rsidRDefault="00D66CD0">
      <w:pPr>
        <w:pStyle w:val="3"/>
        <w:numPr>
          <w:ilvl w:val="1"/>
          <w:numId w:val="24"/>
        </w:numPr>
        <w:tabs>
          <w:tab w:val="left" w:pos="1800"/>
          <w:tab w:val="left" w:pos="1801"/>
        </w:tabs>
        <w:spacing w:before="80"/>
        <w:rPr>
          <w:lang w:eastAsia="ja-JP"/>
        </w:rPr>
      </w:pPr>
      <w:bookmarkStart w:id="11" w:name="_bookmark11"/>
      <w:bookmarkEnd w:id="11"/>
      <w:r>
        <w:rPr>
          <w:color w:val="006FC0"/>
          <w:lang w:eastAsia="ja-JP"/>
        </w:rPr>
        <w:lastRenderedPageBreak/>
        <w:t>気候関連の危険性の分類</w:t>
      </w:r>
    </w:p>
    <w:p w14:paraId="095A56EC" w14:textId="56F72453" w:rsidR="002B3AD5" w:rsidRDefault="00D66CD0">
      <w:pPr>
        <w:pStyle w:val="a3"/>
        <w:spacing w:before="201" w:line="276" w:lineRule="auto"/>
        <w:ind w:left="1080" w:right="1226"/>
        <w:rPr>
          <w:lang w:eastAsia="ja-JP"/>
        </w:rPr>
      </w:pPr>
      <w:r>
        <w:rPr>
          <w:lang w:eastAsia="ja-JP"/>
        </w:rPr>
        <w:t xml:space="preserve">TEGは、気候関連の危険性の分類を作成した。 </w:t>
      </w:r>
      <w:r w:rsidR="002F5B54">
        <w:rPr>
          <w:lang w:eastAsia="ja-JP"/>
        </w:rPr>
        <w:t>タクソノミー</w:t>
      </w:r>
      <w:r w:rsidR="00905E8A">
        <w:rPr>
          <w:rFonts w:hint="eastAsia"/>
          <w:lang w:eastAsia="ja-JP"/>
        </w:rPr>
        <w:t>の開発において</w:t>
      </w:r>
      <w:r>
        <w:rPr>
          <w:lang w:eastAsia="ja-JP"/>
        </w:rPr>
        <w:t>、考慮される気候関連の危険性は、天候および気候関連の自然現象または</w:t>
      </w:r>
      <w:r w:rsidR="00905E8A">
        <w:rPr>
          <w:rFonts w:hint="eastAsia"/>
          <w:lang w:eastAsia="ja-JP"/>
        </w:rPr>
        <w:t>傾向</w:t>
      </w:r>
      <w:r>
        <w:rPr>
          <w:lang w:eastAsia="ja-JP"/>
        </w:rPr>
        <w:t>の発生</w:t>
      </w:r>
      <w:r w:rsidR="00905E8A">
        <w:rPr>
          <w:rFonts w:hint="eastAsia"/>
          <w:lang w:eastAsia="ja-JP"/>
        </w:rPr>
        <w:t>可能性</w:t>
      </w:r>
      <w:r>
        <w:rPr>
          <w:lang w:eastAsia="ja-JP"/>
        </w:rPr>
        <w:t>に限定される。</w:t>
      </w:r>
      <w:r w:rsidR="00905E8A" w:rsidRPr="00905E8A">
        <w:rPr>
          <w:lang w:eastAsia="ja-JP"/>
        </w:rPr>
        <w:t>12</w:t>
      </w:r>
    </w:p>
    <w:p w14:paraId="095A56ED" w14:textId="77777777" w:rsidR="002B3AD5" w:rsidRDefault="002B3AD5">
      <w:pPr>
        <w:pStyle w:val="a3"/>
        <w:rPr>
          <w:sz w:val="21"/>
          <w:lang w:eastAsia="ja-JP"/>
        </w:rPr>
      </w:pPr>
    </w:p>
    <w:p w14:paraId="095A56EE" w14:textId="6BAA0D96" w:rsidR="002B3AD5" w:rsidRDefault="00D66CD0">
      <w:pPr>
        <w:pStyle w:val="a3"/>
        <w:spacing w:line="276" w:lineRule="auto"/>
        <w:ind w:left="1080" w:right="1152"/>
        <w:rPr>
          <w:sz w:val="13"/>
          <w:lang w:eastAsia="ja-JP"/>
        </w:rPr>
      </w:pPr>
      <w:r>
        <w:rPr>
          <w:lang w:eastAsia="ja-JP"/>
        </w:rPr>
        <w:t>気候関連の危険性分類は、水、温度、風、および質量移動に関する危険性を伴う4つの主要な危険性グループから構成されている。 すべてのグループは急性(極端)および慢性(遅発性)のハザードを含む。適応は、適切な適応措置をとり、不適応を回避するために、気象および気候の急速かつ漸進的な変化の両方を考慮しなければならない</w:t>
      </w:r>
      <w:r w:rsidR="00905E8A">
        <w:rPr>
          <w:rFonts w:hint="eastAsia"/>
          <w:lang w:eastAsia="ja-JP"/>
        </w:rPr>
        <w:t>からである。</w:t>
      </w:r>
      <w:r>
        <w:rPr>
          <w:lang w:eastAsia="ja-JP"/>
        </w:rPr>
        <w:t>13。</w:t>
      </w:r>
    </w:p>
    <w:p w14:paraId="095A56EF" w14:textId="77777777" w:rsidR="002B3AD5" w:rsidRDefault="002B3AD5">
      <w:pPr>
        <w:pStyle w:val="a3"/>
        <w:spacing w:before="8"/>
        <w:rPr>
          <w:lang w:eastAsia="ja-JP"/>
        </w:rPr>
      </w:pPr>
    </w:p>
    <w:p w14:paraId="095A56F0" w14:textId="77777777" w:rsidR="002B3AD5" w:rsidRDefault="00D66CD0">
      <w:pPr>
        <w:pStyle w:val="a3"/>
        <w:spacing w:line="276" w:lineRule="auto"/>
        <w:ind w:left="1080" w:right="1152"/>
        <w:rPr>
          <w:lang w:eastAsia="ja-JP"/>
        </w:rPr>
      </w:pPr>
      <w:r>
        <w:rPr>
          <w:lang w:eastAsia="ja-JP"/>
        </w:rPr>
        <w:t>この分析は、最も重要または重大なハザードに焦点を当てており、特定のセクターの感度をマッピングする際に、利用者が最も顕著な物理的リスクを考慮するように設計されている。</w:t>
      </w:r>
    </w:p>
    <w:p w14:paraId="095A56F1" w14:textId="77777777" w:rsidR="002B3AD5" w:rsidRDefault="002B3AD5">
      <w:pPr>
        <w:pStyle w:val="a3"/>
        <w:rPr>
          <w:sz w:val="21"/>
          <w:lang w:eastAsia="ja-JP"/>
        </w:rPr>
      </w:pPr>
    </w:p>
    <w:p w14:paraId="095A56F2" w14:textId="6239693B" w:rsidR="002B3AD5" w:rsidRDefault="00D66CD0">
      <w:pPr>
        <w:pStyle w:val="a3"/>
        <w:spacing w:line="276" w:lineRule="auto"/>
        <w:ind w:left="1080" w:right="1152"/>
        <w:rPr>
          <w:lang w:eastAsia="ja-JP"/>
        </w:rPr>
      </w:pPr>
      <w:r>
        <w:rPr>
          <w:lang w:eastAsia="ja-JP"/>
        </w:rPr>
        <w:t>気候関連の危害(化学的、生物学的、生態学的、疫学的危害を含むが、これらに限定されない)に起因するすべての二次危害因子は除外される。</w:t>
      </w:r>
      <w:r w:rsidR="00905E8A" w:rsidRPr="00905E8A">
        <w:rPr>
          <w:lang w:eastAsia="ja-JP"/>
        </w:rPr>
        <w:t>14</w:t>
      </w:r>
      <w:r w:rsidR="00905E8A">
        <w:rPr>
          <w:rFonts w:hint="eastAsia"/>
          <w:lang w:eastAsia="ja-JP"/>
        </w:rPr>
        <w:t xml:space="preserve">　</w:t>
      </w:r>
      <w:r>
        <w:rPr>
          <w:lang w:eastAsia="ja-JP"/>
        </w:rPr>
        <w:t xml:space="preserve"> しかしながら、このような二次的危害因子のリスクを評価し、それぞれの経済活動に対する対策を検討することが望ましい。</w:t>
      </w:r>
    </w:p>
    <w:p w14:paraId="095A56F3" w14:textId="77777777" w:rsidR="002B3AD5" w:rsidRDefault="002B3AD5">
      <w:pPr>
        <w:pStyle w:val="a3"/>
        <w:spacing w:before="11"/>
        <w:rPr>
          <w:lang w:eastAsia="ja-JP"/>
        </w:rPr>
      </w:pPr>
    </w:p>
    <w:p w14:paraId="095A56F4" w14:textId="77777777" w:rsidR="002B3AD5" w:rsidRDefault="00D66CD0">
      <w:pPr>
        <w:ind w:left="3790"/>
        <w:rPr>
          <w:sz w:val="18"/>
          <w:lang w:eastAsia="ja-JP"/>
        </w:rPr>
      </w:pPr>
      <w:r>
        <w:rPr>
          <w:color w:val="44536A"/>
          <w:sz w:val="18"/>
          <w:lang w:eastAsia="ja-JP"/>
        </w:rPr>
        <w:t>表5-気候関連有害性の分類</w:t>
      </w:r>
    </w:p>
    <w:p w14:paraId="095A56F5" w14:textId="77777777" w:rsidR="002B3AD5" w:rsidRDefault="002B3AD5">
      <w:pPr>
        <w:pStyle w:val="a3"/>
        <w:spacing w:before="1"/>
        <w:rPr>
          <w:lang w:eastAsia="ja-JP"/>
        </w:r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151"/>
        <w:gridCol w:w="2148"/>
        <w:gridCol w:w="2150"/>
        <w:gridCol w:w="2148"/>
      </w:tblGrid>
      <w:tr w:rsidR="002B3AD5" w14:paraId="095A56FB" w14:textId="77777777">
        <w:trPr>
          <w:trHeight w:val="609"/>
        </w:trPr>
        <w:tc>
          <w:tcPr>
            <w:tcW w:w="754" w:type="dxa"/>
          </w:tcPr>
          <w:p w14:paraId="095A56F6" w14:textId="77777777" w:rsidR="002B3AD5" w:rsidRDefault="002B3AD5">
            <w:pPr>
              <w:pStyle w:val="TableParagraph"/>
              <w:spacing w:before="0"/>
              <w:ind w:left="0"/>
              <w:rPr>
                <w:rFonts w:ascii="Times New Roman"/>
                <w:sz w:val="18"/>
                <w:lang w:eastAsia="ja-JP"/>
              </w:rPr>
            </w:pPr>
          </w:p>
        </w:tc>
        <w:tc>
          <w:tcPr>
            <w:tcW w:w="2151" w:type="dxa"/>
          </w:tcPr>
          <w:p w14:paraId="095A56F7" w14:textId="77777777" w:rsidR="002B3AD5" w:rsidRDefault="00D66CD0">
            <w:pPr>
              <w:pStyle w:val="TableParagraph"/>
              <w:spacing w:line="276" w:lineRule="auto"/>
              <w:ind w:right="183"/>
              <w:rPr>
                <w:b/>
                <w:sz w:val="20"/>
              </w:rPr>
            </w:pPr>
            <w:proofErr w:type="spellStart"/>
            <w:r>
              <w:rPr>
                <w:b/>
                <w:w w:val="95"/>
                <w:sz w:val="20"/>
              </w:rPr>
              <w:t>温度関連</w:t>
            </w:r>
            <w:proofErr w:type="spellEnd"/>
          </w:p>
        </w:tc>
        <w:tc>
          <w:tcPr>
            <w:tcW w:w="2148" w:type="dxa"/>
          </w:tcPr>
          <w:p w14:paraId="095A56F8" w14:textId="77777777" w:rsidR="002B3AD5" w:rsidRDefault="00D66CD0">
            <w:pPr>
              <w:pStyle w:val="TableParagraph"/>
              <w:rPr>
                <w:b/>
                <w:sz w:val="20"/>
              </w:rPr>
            </w:pPr>
            <w:proofErr w:type="spellStart"/>
            <w:r>
              <w:rPr>
                <w:b/>
                <w:sz w:val="20"/>
              </w:rPr>
              <w:t>風力関連</w:t>
            </w:r>
            <w:proofErr w:type="spellEnd"/>
          </w:p>
        </w:tc>
        <w:tc>
          <w:tcPr>
            <w:tcW w:w="2150" w:type="dxa"/>
          </w:tcPr>
          <w:p w14:paraId="095A56F9" w14:textId="77777777" w:rsidR="002B3AD5" w:rsidRDefault="00D66CD0">
            <w:pPr>
              <w:pStyle w:val="TableParagraph"/>
              <w:rPr>
                <w:b/>
                <w:sz w:val="20"/>
              </w:rPr>
            </w:pPr>
            <w:proofErr w:type="spellStart"/>
            <w:r>
              <w:rPr>
                <w:b/>
                <w:sz w:val="20"/>
              </w:rPr>
              <w:t>水関連</w:t>
            </w:r>
            <w:proofErr w:type="spellEnd"/>
          </w:p>
        </w:tc>
        <w:tc>
          <w:tcPr>
            <w:tcW w:w="2148" w:type="dxa"/>
          </w:tcPr>
          <w:p w14:paraId="095A56FA" w14:textId="4F86D78C" w:rsidR="002B3AD5" w:rsidRDefault="00905E8A">
            <w:pPr>
              <w:pStyle w:val="TableParagraph"/>
              <w:ind w:left="105"/>
              <w:rPr>
                <w:b/>
                <w:sz w:val="20"/>
              </w:rPr>
            </w:pPr>
            <w:r>
              <w:rPr>
                <w:rFonts w:hint="eastAsia"/>
                <w:b/>
                <w:sz w:val="20"/>
                <w:lang w:eastAsia="ja-JP"/>
              </w:rPr>
              <w:t>固体塊</w:t>
            </w:r>
            <w:proofErr w:type="spellStart"/>
            <w:r w:rsidR="00D66CD0">
              <w:rPr>
                <w:b/>
                <w:sz w:val="20"/>
              </w:rPr>
              <w:t>関連</w:t>
            </w:r>
            <w:proofErr w:type="spellEnd"/>
          </w:p>
        </w:tc>
      </w:tr>
      <w:tr w:rsidR="002B3AD5" w14:paraId="095A5702" w14:textId="77777777">
        <w:trPr>
          <w:trHeight w:val="1137"/>
        </w:trPr>
        <w:tc>
          <w:tcPr>
            <w:tcW w:w="754" w:type="dxa"/>
            <w:vMerge w:val="restart"/>
            <w:textDirection w:val="btLr"/>
          </w:tcPr>
          <w:p w14:paraId="095A56FC" w14:textId="77777777" w:rsidR="002B3AD5" w:rsidRDefault="002B3AD5">
            <w:pPr>
              <w:pStyle w:val="TableParagraph"/>
              <w:spacing w:before="5"/>
              <w:ind w:left="0"/>
              <w:rPr>
                <w:sz w:val="21"/>
              </w:rPr>
            </w:pPr>
          </w:p>
          <w:p w14:paraId="095A56FD" w14:textId="77777777" w:rsidR="002B3AD5" w:rsidRDefault="00D66CD0">
            <w:pPr>
              <w:pStyle w:val="TableParagraph"/>
              <w:spacing w:before="0"/>
              <w:ind w:left="1452" w:right="1453"/>
              <w:jc w:val="center"/>
              <w:rPr>
                <w:b/>
                <w:sz w:val="20"/>
              </w:rPr>
            </w:pPr>
            <w:proofErr w:type="spellStart"/>
            <w:r>
              <w:rPr>
                <w:b/>
                <w:sz w:val="20"/>
              </w:rPr>
              <w:t>慢性</w:t>
            </w:r>
            <w:proofErr w:type="spellEnd"/>
          </w:p>
        </w:tc>
        <w:tc>
          <w:tcPr>
            <w:tcW w:w="2151" w:type="dxa"/>
          </w:tcPr>
          <w:p w14:paraId="095A56FE" w14:textId="77777777" w:rsidR="002B3AD5" w:rsidRDefault="00D66CD0">
            <w:pPr>
              <w:pStyle w:val="TableParagraph"/>
              <w:spacing w:line="276" w:lineRule="auto"/>
              <w:ind w:right="183"/>
              <w:rPr>
                <w:sz w:val="20"/>
              </w:rPr>
            </w:pPr>
            <w:proofErr w:type="spellStart"/>
            <w:r>
              <w:rPr>
                <w:sz w:val="20"/>
              </w:rPr>
              <w:t>温度変化</w:t>
            </w:r>
            <w:proofErr w:type="spellEnd"/>
            <w:r>
              <w:rPr>
                <w:sz w:val="20"/>
              </w:rPr>
              <w:t>(</w:t>
            </w:r>
            <w:proofErr w:type="spellStart"/>
            <w:r>
              <w:rPr>
                <w:sz w:val="20"/>
              </w:rPr>
              <w:t>大気、淡水、海水</w:t>
            </w:r>
            <w:proofErr w:type="spellEnd"/>
            <w:r>
              <w:rPr>
                <w:sz w:val="20"/>
              </w:rPr>
              <w:t>)</w:t>
            </w:r>
          </w:p>
        </w:tc>
        <w:tc>
          <w:tcPr>
            <w:tcW w:w="2148" w:type="dxa"/>
          </w:tcPr>
          <w:p w14:paraId="095A56FF" w14:textId="0307EAE8" w:rsidR="002B3AD5" w:rsidRDefault="00905E8A">
            <w:pPr>
              <w:pStyle w:val="TableParagraph"/>
              <w:spacing w:line="276" w:lineRule="auto"/>
              <w:ind w:right="343"/>
              <w:rPr>
                <w:sz w:val="20"/>
                <w:lang w:eastAsia="ja-JP"/>
              </w:rPr>
            </w:pPr>
            <w:r>
              <w:rPr>
                <w:rFonts w:hint="eastAsia"/>
                <w:sz w:val="20"/>
                <w:lang w:eastAsia="ja-JP"/>
              </w:rPr>
              <w:t>風況変動</w:t>
            </w:r>
          </w:p>
        </w:tc>
        <w:tc>
          <w:tcPr>
            <w:tcW w:w="2150" w:type="dxa"/>
          </w:tcPr>
          <w:p w14:paraId="095A5700" w14:textId="77777777" w:rsidR="002B3AD5" w:rsidRDefault="00D66CD0">
            <w:pPr>
              <w:pStyle w:val="TableParagraph"/>
              <w:spacing w:line="276" w:lineRule="auto"/>
              <w:ind w:right="156"/>
              <w:rPr>
                <w:sz w:val="20"/>
                <w:lang w:eastAsia="ja-JP"/>
              </w:rPr>
            </w:pPr>
            <w:r>
              <w:rPr>
                <w:sz w:val="20"/>
                <w:lang w:eastAsia="ja-JP"/>
              </w:rPr>
              <w:t>降水パターンと種類(雨、ひょう、雪氷)の変化</w:t>
            </w:r>
          </w:p>
        </w:tc>
        <w:tc>
          <w:tcPr>
            <w:tcW w:w="2148" w:type="dxa"/>
          </w:tcPr>
          <w:p w14:paraId="095A5701" w14:textId="77777777" w:rsidR="002B3AD5" w:rsidRDefault="00D66CD0">
            <w:pPr>
              <w:pStyle w:val="TableParagraph"/>
              <w:ind w:left="105"/>
              <w:rPr>
                <w:sz w:val="20"/>
              </w:rPr>
            </w:pPr>
            <w:proofErr w:type="spellStart"/>
            <w:r>
              <w:rPr>
                <w:sz w:val="20"/>
              </w:rPr>
              <w:t>沿岸侵食</w:t>
            </w:r>
            <w:proofErr w:type="spellEnd"/>
          </w:p>
        </w:tc>
      </w:tr>
      <w:tr w:rsidR="002B3AD5" w14:paraId="095A5708" w14:textId="77777777">
        <w:trPr>
          <w:trHeight w:val="873"/>
        </w:trPr>
        <w:tc>
          <w:tcPr>
            <w:tcW w:w="754" w:type="dxa"/>
            <w:vMerge/>
            <w:tcBorders>
              <w:top w:val="nil"/>
            </w:tcBorders>
            <w:textDirection w:val="btLr"/>
          </w:tcPr>
          <w:p w14:paraId="095A5703" w14:textId="77777777" w:rsidR="002B3AD5" w:rsidRDefault="002B3AD5">
            <w:pPr>
              <w:rPr>
                <w:sz w:val="2"/>
                <w:szCs w:val="2"/>
              </w:rPr>
            </w:pPr>
          </w:p>
        </w:tc>
        <w:tc>
          <w:tcPr>
            <w:tcW w:w="2151" w:type="dxa"/>
          </w:tcPr>
          <w:p w14:paraId="095A5704" w14:textId="61CB7FF9" w:rsidR="002B3AD5" w:rsidRDefault="00905E8A">
            <w:pPr>
              <w:pStyle w:val="TableParagraph"/>
              <w:rPr>
                <w:sz w:val="20"/>
              </w:rPr>
            </w:pPr>
            <w:r>
              <w:rPr>
                <w:rFonts w:hint="eastAsia"/>
                <w:sz w:val="20"/>
                <w:lang w:eastAsia="ja-JP"/>
              </w:rPr>
              <w:t>酷暑</w:t>
            </w:r>
          </w:p>
        </w:tc>
        <w:tc>
          <w:tcPr>
            <w:tcW w:w="2148" w:type="dxa"/>
          </w:tcPr>
          <w:p w14:paraId="095A5705" w14:textId="77777777" w:rsidR="002B3AD5" w:rsidRDefault="002B3AD5">
            <w:pPr>
              <w:pStyle w:val="TableParagraph"/>
              <w:spacing w:before="0"/>
              <w:ind w:left="0"/>
              <w:rPr>
                <w:rFonts w:ascii="Times New Roman"/>
                <w:sz w:val="18"/>
              </w:rPr>
            </w:pPr>
          </w:p>
        </w:tc>
        <w:tc>
          <w:tcPr>
            <w:tcW w:w="2150" w:type="dxa"/>
          </w:tcPr>
          <w:p w14:paraId="095A5706" w14:textId="77777777" w:rsidR="002B3AD5" w:rsidRDefault="00D66CD0">
            <w:pPr>
              <w:pStyle w:val="TableParagraph"/>
              <w:spacing w:line="276" w:lineRule="auto"/>
              <w:ind w:right="156"/>
              <w:rPr>
                <w:sz w:val="20"/>
                <w:lang w:eastAsia="ja-JP"/>
              </w:rPr>
            </w:pPr>
            <w:r>
              <w:rPr>
                <w:sz w:val="20"/>
                <w:lang w:eastAsia="ja-JP"/>
              </w:rPr>
              <w:t>降水量および/または水文学的変動</w:t>
            </w:r>
          </w:p>
        </w:tc>
        <w:tc>
          <w:tcPr>
            <w:tcW w:w="2148" w:type="dxa"/>
          </w:tcPr>
          <w:p w14:paraId="095A5707" w14:textId="77777777" w:rsidR="002B3AD5" w:rsidRDefault="00D66CD0">
            <w:pPr>
              <w:pStyle w:val="TableParagraph"/>
              <w:ind w:left="105"/>
              <w:rPr>
                <w:sz w:val="20"/>
              </w:rPr>
            </w:pPr>
            <w:proofErr w:type="spellStart"/>
            <w:r>
              <w:rPr>
                <w:sz w:val="20"/>
              </w:rPr>
              <w:t>土壌劣化</w:t>
            </w:r>
            <w:proofErr w:type="spellEnd"/>
          </w:p>
        </w:tc>
      </w:tr>
      <w:tr w:rsidR="002B3AD5" w14:paraId="095A570E" w14:textId="77777777">
        <w:trPr>
          <w:trHeight w:val="609"/>
        </w:trPr>
        <w:tc>
          <w:tcPr>
            <w:tcW w:w="754" w:type="dxa"/>
            <w:vMerge/>
            <w:tcBorders>
              <w:top w:val="nil"/>
            </w:tcBorders>
            <w:textDirection w:val="btLr"/>
          </w:tcPr>
          <w:p w14:paraId="095A5709" w14:textId="77777777" w:rsidR="002B3AD5" w:rsidRDefault="002B3AD5">
            <w:pPr>
              <w:rPr>
                <w:sz w:val="2"/>
                <w:szCs w:val="2"/>
              </w:rPr>
            </w:pPr>
          </w:p>
        </w:tc>
        <w:tc>
          <w:tcPr>
            <w:tcW w:w="2151" w:type="dxa"/>
          </w:tcPr>
          <w:p w14:paraId="095A570A" w14:textId="77777777" w:rsidR="002B3AD5" w:rsidRDefault="00D66CD0">
            <w:pPr>
              <w:pStyle w:val="TableParagraph"/>
              <w:spacing w:line="276" w:lineRule="auto"/>
              <w:ind w:right="183"/>
              <w:rPr>
                <w:sz w:val="20"/>
              </w:rPr>
            </w:pPr>
            <w:proofErr w:type="spellStart"/>
            <w:r>
              <w:rPr>
                <w:w w:val="95"/>
                <w:sz w:val="20"/>
              </w:rPr>
              <w:t>温度変動</w:t>
            </w:r>
            <w:proofErr w:type="spellEnd"/>
          </w:p>
        </w:tc>
        <w:tc>
          <w:tcPr>
            <w:tcW w:w="2148" w:type="dxa"/>
          </w:tcPr>
          <w:p w14:paraId="095A570B" w14:textId="77777777" w:rsidR="002B3AD5" w:rsidRDefault="002B3AD5">
            <w:pPr>
              <w:pStyle w:val="TableParagraph"/>
              <w:spacing w:before="0"/>
              <w:ind w:left="0"/>
              <w:rPr>
                <w:rFonts w:ascii="Times New Roman"/>
                <w:sz w:val="18"/>
              </w:rPr>
            </w:pPr>
          </w:p>
        </w:tc>
        <w:tc>
          <w:tcPr>
            <w:tcW w:w="2150" w:type="dxa"/>
          </w:tcPr>
          <w:p w14:paraId="095A570C" w14:textId="77777777" w:rsidR="002B3AD5" w:rsidRDefault="00D66CD0">
            <w:pPr>
              <w:pStyle w:val="TableParagraph"/>
              <w:rPr>
                <w:sz w:val="20"/>
              </w:rPr>
            </w:pPr>
            <w:proofErr w:type="spellStart"/>
            <w:r>
              <w:rPr>
                <w:sz w:val="20"/>
              </w:rPr>
              <w:t>海洋酸性化</w:t>
            </w:r>
            <w:proofErr w:type="spellEnd"/>
          </w:p>
        </w:tc>
        <w:tc>
          <w:tcPr>
            <w:tcW w:w="2148" w:type="dxa"/>
          </w:tcPr>
          <w:p w14:paraId="095A570D" w14:textId="77777777" w:rsidR="002B3AD5" w:rsidRDefault="00D66CD0">
            <w:pPr>
              <w:pStyle w:val="TableParagraph"/>
              <w:ind w:left="105"/>
              <w:rPr>
                <w:sz w:val="20"/>
              </w:rPr>
            </w:pPr>
            <w:proofErr w:type="spellStart"/>
            <w:r>
              <w:rPr>
                <w:sz w:val="20"/>
              </w:rPr>
              <w:t>土壌浸食</w:t>
            </w:r>
            <w:proofErr w:type="spellEnd"/>
          </w:p>
        </w:tc>
      </w:tr>
      <w:tr w:rsidR="002B3AD5" w14:paraId="095A5714" w14:textId="77777777">
        <w:trPr>
          <w:trHeight w:val="345"/>
        </w:trPr>
        <w:tc>
          <w:tcPr>
            <w:tcW w:w="754" w:type="dxa"/>
            <w:vMerge/>
            <w:tcBorders>
              <w:top w:val="nil"/>
            </w:tcBorders>
            <w:textDirection w:val="btLr"/>
          </w:tcPr>
          <w:p w14:paraId="095A570F" w14:textId="77777777" w:rsidR="002B3AD5" w:rsidRDefault="002B3AD5">
            <w:pPr>
              <w:rPr>
                <w:sz w:val="2"/>
                <w:szCs w:val="2"/>
              </w:rPr>
            </w:pPr>
          </w:p>
        </w:tc>
        <w:tc>
          <w:tcPr>
            <w:tcW w:w="2151" w:type="dxa"/>
          </w:tcPr>
          <w:p w14:paraId="095A5710" w14:textId="77777777" w:rsidR="002B3AD5" w:rsidRDefault="00D66CD0">
            <w:pPr>
              <w:pStyle w:val="TableParagraph"/>
              <w:rPr>
                <w:sz w:val="20"/>
              </w:rPr>
            </w:pPr>
            <w:proofErr w:type="spellStart"/>
            <w:r>
              <w:rPr>
                <w:sz w:val="20"/>
              </w:rPr>
              <w:t>永凍融解</w:t>
            </w:r>
            <w:proofErr w:type="spellEnd"/>
          </w:p>
        </w:tc>
        <w:tc>
          <w:tcPr>
            <w:tcW w:w="2148" w:type="dxa"/>
          </w:tcPr>
          <w:p w14:paraId="095A5711" w14:textId="77777777" w:rsidR="002B3AD5" w:rsidRDefault="002B3AD5">
            <w:pPr>
              <w:pStyle w:val="TableParagraph"/>
              <w:spacing w:before="0"/>
              <w:ind w:left="0"/>
              <w:rPr>
                <w:rFonts w:ascii="Times New Roman"/>
                <w:sz w:val="18"/>
              </w:rPr>
            </w:pPr>
          </w:p>
        </w:tc>
        <w:tc>
          <w:tcPr>
            <w:tcW w:w="2150" w:type="dxa"/>
          </w:tcPr>
          <w:p w14:paraId="095A5712" w14:textId="56F96E6A" w:rsidR="002B3AD5" w:rsidRDefault="00905E8A">
            <w:pPr>
              <w:pStyle w:val="TableParagraph"/>
              <w:rPr>
                <w:sz w:val="20"/>
              </w:rPr>
            </w:pPr>
            <w:r>
              <w:rPr>
                <w:rFonts w:hint="eastAsia"/>
                <w:sz w:val="20"/>
                <w:lang w:eastAsia="ja-JP"/>
              </w:rPr>
              <w:t>塩害</w:t>
            </w:r>
          </w:p>
        </w:tc>
        <w:tc>
          <w:tcPr>
            <w:tcW w:w="2148" w:type="dxa"/>
          </w:tcPr>
          <w:p w14:paraId="095A5713" w14:textId="3A0DCC1F" w:rsidR="002B3AD5" w:rsidRDefault="00905E8A">
            <w:pPr>
              <w:pStyle w:val="TableParagraph"/>
              <w:ind w:left="105"/>
              <w:rPr>
                <w:sz w:val="20"/>
              </w:rPr>
            </w:pPr>
            <w:r>
              <w:rPr>
                <w:rFonts w:hint="eastAsia"/>
                <w:sz w:val="20"/>
                <w:lang w:eastAsia="ja-JP"/>
              </w:rPr>
              <w:t>土壌流</w:t>
            </w:r>
          </w:p>
        </w:tc>
      </w:tr>
      <w:tr w:rsidR="002B3AD5" w14:paraId="095A571A" w14:textId="77777777">
        <w:trPr>
          <w:trHeight w:val="342"/>
        </w:trPr>
        <w:tc>
          <w:tcPr>
            <w:tcW w:w="754" w:type="dxa"/>
            <w:vMerge/>
            <w:tcBorders>
              <w:top w:val="nil"/>
            </w:tcBorders>
            <w:textDirection w:val="btLr"/>
          </w:tcPr>
          <w:p w14:paraId="095A5715" w14:textId="77777777" w:rsidR="002B3AD5" w:rsidRDefault="002B3AD5">
            <w:pPr>
              <w:rPr>
                <w:sz w:val="2"/>
                <w:szCs w:val="2"/>
              </w:rPr>
            </w:pPr>
          </w:p>
        </w:tc>
        <w:tc>
          <w:tcPr>
            <w:tcW w:w="2151" w:type="dxa"/>
          </w:tcPr>
          <w:p w14:paraId="095A5716" w14:textId="77777777" w:rsidR="002B3AD5" w:rsidRDefault="002B3AD5">
            <w:pPr>
              <w:pStyle w:val="TableParagraph"/>
              <w:spacing w:before="0"/>
              <w:ind w:left="0"/>
              <w:rPr>
                <w:rFonts w:ascii="Times New Roman"/>
                <w:sz w:val="18"/>
              </w:rPr>
            </w:pPr>
          </w:p>
        </w:tc>
        <w:tc>
          <w:tcPr>
            <w:tcW w:w="2148" w:type="dxa"/>
          </w:tcPr>
          <w:p w14:paraId="095A5717" w14:textId="77777777" w:rsidR="002B3AD5" w:rsidRDefault="002B3AD5">
            <w:pPr>
              <w:pStyle w:val="TableParagraph"/>
              <w:spacing w:before="0"/>
              <w:ind w:left="0"/>
              <w:rPr>
                <w:rFonts w:ascii="Times New Roman"/>
                <w:sz w:val="18"/>
              </w:rPr>
            </w:pPr>
          </w:p>
        </w:tc>
        <w:tc>
          <w:tcPr>
            <w:tcW w:w="2150" w:type="dxa"/>
          </w:tcPr>
          <w:p w14:paraId="095A5718" w14:textId="77777777" w:rsidR="002B3AD5" w:rsidRDefault="00D66CD0">
            <w:pPr>
              <w:pStyle w:val="TableParagraph"/>
              <w:rPr>
                <w:sz w:val="20"/>
              </w:rPr>
            </w:pPr>
            <w:proofErr w:type="spellStart"/>
            <w:r>
              <w:rPr>
                <w:sz w:val="20"/>
              </w:rPr>
              <w:t>海面水位上昇</w:t>
            </w:r>
            <w:proofErr w:type="spellEnd"/>
          </w:p>
        </w:tc>
        <w:tc>
          <w:tcPr>
            <w:tcW w:w="2148" w:type="dxa"/>
          </w:tcPr>
          <w:p w14:paraId="095A5719" w14:textId="77777777" w:rsidR="002B3AD5" w:rsidRDefault="002B3AD5">
            <w:pPr>
              <w:pStyle w:val="TableParagraph"/>
              <w:spacing w:before="0"/>
              <w:ind w:left="0"/>
              <w:rPr>
                <w:rFonts w:ascii="Times New Roman"/>
                <w:sz w:val="18"/>
              </w:rPr>
            </w:pPr>
          </w:p>
        </w:tc>
      </w:tr>
      <w:tr w:rsidR="002B3AD5" w14:paraId="095A5720" w14:textId="77777777">
        <w:trPr>
          <w:trHeight w:val="345"/>
        </w:trPr>
        <w:tc>
          <w:tcPr>
            <w:tcW w:w="754" w:type="dxa"/>
            <w:vMerge/>
            <w:tcBorders>
              <w:top w:val="nil"/>
            </w:tcBorders>
            <w:textDirection w:val="btLr"/>
          </w:tcPr>
          <w:p w14:paraId="095A571B" w14:textId="77777777" w:rsidR="002B3AD5" w:rsidRDefault="002B3AD5">
            <w:pPr>
              <w:rPr>
                <w:sz w:val="2"/>
                <w:szCs w:val="2"/>
              </w:rPr>
            </w:pPr>
          </w:p>
        </w:tc>
        <w:tc>
          <w:tcPr>
            <w:tcW w:w="2151" w:type="dxa"/>
          </w:tcPr>
          <w:p w14:paraId="095A571C" w14:textId="77777777" w:rsidR="002B3AD5" w:rsidRDefault="002B3AD5">
            <w:pPr>
              <w:pStyle w:val="TableParagraph"/>
              <w:spacing w:before="0"/>
              <w:ind w:left="0"/>
              <w:rPr>
                <w:rFonts w:ascii="Times New Roman"/>
                <w:sz w:val="18"/>
              </w:rPr>
            </w:pPr>
          </w:p>
        </w:tc>
        <w:tc>
          <w:tcPr>
            <w:tcW w:w="2148" w:type="dxa"/>
          </w:tcPr>
          <w:p w14:paraId="095A571D" w14:textId="77777777" w:rsidR="002B3AD5" w:rsidRDefault="002B3AD5">
            <w:pPr>
              <w:pStyle w:val="TableParagraph"/>
              <w:spacing w:before="0"/>
              <w:ind w:left="0"/>
              <w:rPr>
                <w:rFonts w:ascii="Times New Roman"/>
                <w:sz w:val="18"/>
              </w:rPr>
            </w:pPr>
          </w:p>
        </w:tc>
        <w:tc>
          <w:tcPr>
            <w:tcW w:w="2150" w:type="dxa"/>
          </w:tcPr>
          <w:p w14:paraId="095A571E" w14:textId="77777777" w:rsidR="002B3AD5" w:rsidRDefault="00D66CD0">
            <w:pPr>
              <w:pStyle w:val="TableParagraph"/>
              <w:spacing w:before="42"/>
              <w:rPr>
                <w:sz w:val="20"/>
              </w:rPr>
            </w:pPr>
            <w:proofErr w:type="spellStart"/>
            <w:r>
              <w:rPr>
                <w:sz w:val="20"/>
              </w:rPr>
              <w:t>水ストレス</w:t>
            </w:r>
            <w:proofErr w:type="spellEnd"/>
          </w:p>
        </w:tc>
        <w:tc>
          <w:tcPr>
            <w:tcW w:w="2148" w:type="dxa"/>
          </w:tcPr>
          <w:p w14:paraId="095A571F" w14:textId="77777777" w:rsidR="002B3AD5" w:rsidRDefault="002B3AD5">
            <w:pPr>
              <w:pStyle w:val="TableParagraph"/>
              <w:spacing w:before="0"/>
              <w:ind w:left="0"/>
              <w:rPr>
                <w:rFonts w:ascii="Times New Roman"/>
                <w:sz w:val="18"/>
              </w:rPr>
            </w:pPr>
          </w:p>
        </w:tc>
      </w:tr>
    </w:tbl>
    <w:p w14:paraId="095A5721" w14:textId="77777777" w:rsidR="002B3AD5" w:rsidRDefault="002B3AD5">
      <w:pPr>
        <w:pStyle w:val="a3"/>
      </w:pPr>
    </w:p>
    <w:p w14:paraId="095A5722" w14:textId="77777777" w:rsidR="002B3AD5" w:rsidRDefault="002B3AD5">
      <w:pPr>
        <w:pStyle w:val="a3"/>
      </w:pPr>
    </w:p>
    <w:p w14:paraId="095A5723" w14:textId="52BDAA23" w:rsidR="002B3AD5" w:rsidRDefault="00C37D34">
      <w:pPr>
        <w:pStyle w:val="a3"/>
        <w:spacing w:before="6"/>
        <w:rPr>
          <w:sz w:val="28"/>
        </w:rPr>
      </w:pPr>
      <w:r>
        <w:rPr>
          <w:noProof/>
          <w:lang w:val="en-US" w:eastAsia="ja-JP"/>
        </w:rPr>
        <mc:AlternateContent>
          <mc:Choice Requires="wps">
            <w:drawing>
              <wp:anchor distT="0" distB="0" distL="0" distR="0" simplePos="0" relativeHeight="251661312" behindDoc="1" locked="0" layoutInCell="1" allowOverlap="1" wp14:anchorId="095A58FA" wp14:editId="3307F137">
                <wp:simplePos x="0" y="0"/>
                <wp:positionH relativeFrom="page">
                  <wp:posOffset>914400</wp:posOffset>
                </wp:positionH>
                <wp:positionV relativeFrom="paragraph">
                  <wp:posOffset>236855</wp:posOffset>
                </wp:positionV>
                <wp:extent cx="1829435" cy="0"/>
                <wp:effectExtent l="9525" t="6985" r="8890" b="12065"/>
                <wp:wrapTopAndBottom/>
                <wp:docPr id="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CECBC" id="Line 15" o:spid="_x0000_s1026" style="position:absolute;left:0;text-align:lef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65pt" to="216.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9W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" strokeweight=".16936mm">
                <w10:wrap type="topAndBottom" anchorx="page"/>
              </v:line>
            </w:pict>
          </mc:Fallback>
        </mc:AlternateContent>
      </w:r>
    </w:p>
    <w:p w14:paraId="095A5724" w14:textId="77777777" w:rsidR="002B3AD5" w:rsidRDefault="002B3AD5">
      <w:pPr>
        <w:pStyle w:val="a3"/>
        <w:spacing w:before="9"/>
        <w:rPr>
          <w:sz w:val="25"/>
        </w:rPr>
      </w:pPr>
    </w:p>
    <w:p w14:paraId="095A5725" w14:textId="77777777" w:rsidR="002B3AD5" w:rsidRDefault="00D66CD0">
      <w:pPr>
        <w:pStyle w:val="a4"/>
        <w:numPr>
          <w:ilvl w:val="0"/>
          <w:numId w:val="9"/>
        </w:numPr>
        <w:tabs>
          <w:tab w:val="left" w:pos="1304"/>
        </w:tabs>
        <w:spacing w:before="0" w:line="259" w:lineRule="auto"/>
        <w:ind w:right="1162" w:firstLine="0"/>
        <w:rPr>
          <w:sz w:val="16"/>
          <w:lang w:eastAsia="ja-JP"/>
        </w:rPr>
      </w:pPr>
      <w:r>
        <w:rPr>
          <w:sz w:val="16"/>
        </w:rPr>
        <w:t>IPCC、2014、気候変動2014:統合報告書。</w:t>
      </w:r>
      <w:r>
        <w:rPr>
          <w:spacing w:val="-1"/>
          <w:sz w:val="16"/>
        </w:rPr>
        <w:t xml:space="preserve"> </w:t>
      </w:r>
      <w:r>
        <w:rPr>
          <w:spacing w:val="-1"/>
          <w:sz w:val="16"/>
          <w:lang w:eastAsia="ja-JP"/>
        </w:rPr>
        <w:t>気候変動に関する政府間パネル第5次評価報告書[コアライティングチーム、R.K. Pachauri and L.A. Meyer(編)]への作業部会I、II、IIIの寄稿。</w:t>
      </w:r>
      <w:r>
        <w:rPr>
          <w:sz w:val="16"/>
          <w:lang w:eastAsia="ja-JP"/>
        </w:rPr>
        <w:t xml:space="preserve"> IPCC、ジュネーブ、スイス、151 pp(https://www.ipcc.ch/site/assets/uploads/2018/02/SYR_AR5_FINAL_full.pdf、2019年2月4日最終訪問)。</w:t>
      </w:r>
      <w:r w:rsidR="004339EC">
        <w:fldChar w:fldCharType="begin"/>
      </w:r>
      <w:r w:rsidR="004339EC">
        <w:rPr>
          <w:lang w:eastAsia="ja-JP"/>
        </w:rPr>
        <w:instrText xml:space="preserve"> HYPERLINK "http://www.ipcc.ch/site/assets/uploads/2018/02/SYR_AR5_FINAL_full.pdf" \h </w:instrText>
      </w:r>
      <w:r w:rsidR="004339EC">
        <w:fldChar w:fldCharType="end"/>
      </w:r>
    </w:p>
    <w:p w14:paraId="095A5726" w14:textId="77777777" w:rsidR="002B3AD5" w:rsidRDefault="00D66CD0">
      <w:pPr>
        <w:pStyle w:val="a4"/>
        <w:numPr>
          <w:ilvl w:val="0"/>
          <w:numId w:val="9"/>
        </w:numPr>
        <w:tabs>
          <w:tab w:val="left" w:pos="1304"/>
        </w:tabs>
        <w:spacing w:before="157" w:line="259" w:lineRule="auto"/>
        <w:ind w:right="1627" w:firstLine="0"/>
        <w:rPr>
          <w:sz w:val="16"/>
          <w:lang w:eastAsia="ja-JP"/>
        </w:rPr>
      </w:pPr>
      <w:r>
        <w:rPr>
          <w:sz w:val="16"/>
          <w:lang w:eastAsia="ja-JP"/>
        </w:rPr>
        <w:t>極端な気候関連の危険に起因する物理的気候リスクを低減する努力において、防災と明らかに関連している。 地球物理学的・技術的危険性は、気候変動への適応の範囲外である。</w:t>
      </w:r>
    </w:p>
    <w:p w14:paraId="095A5727" w14:textId="77777777" w:rsidR="002B3AD5" w:rsidRDefault="00D66CD0">
      <w:pPr>
        <w:pStyle w:val="a4"/>
        <w:numPr>
          <w:ilvl w:val="0"/>
          <w:numId w:val="9"/>
        </w:numPr>
        <w:tabs>
          <w:tab w:val="left" w:pos="1304"/>
        </w:tabs>
        <w:spacing w:before="160" w:line="259" w:lineRule="auto"/>
        <w:ind w:right="1328" w:firstLine="0"/>
        <w:jc w:val="both"/>
        <w:rPr>
          <w:sz w:val="16"/>
          <w:lang w:eastAsia="ja-JP"/>
        </w:rPr>
      </w:pPr>
      <w:r>
        <w:rPr>
          <w:sz w:val="16"/>
          <w:lang w:eastAsia="ja-JP"/>
        </w:rPr>
        <w:t>一例として、新たな生物学的有害動植物や既存の有害動植物の増加は、気温の変化によってもたらされる可能性がある。</w:t>
      </w:r>
      <w:r>
        <w:rPr>
          <w:spacing w:val="-3"/>
          <w:sz w:val="16"/>
          <w:lang w:eastAsia="ja-JP"/>
        </w:rPr>
        <w:t xml:space="preserve"> 森林と農業は、通常、より温暖な(最低)気温に敏感であり、この例では害虫への影響にも敏感である。</w:t>
      </w:r>
      <w:r>
        <w:rPr>
          <w:sz w:val="16"/>
          <w:lang w:eastAsia="ja-JP"/>
        </w:rPr>
        <w:t xml:space="preserve"> この場合、有害動植物の有病率の変化は、適応</w:t>
      </w:r>
      <w:r>
        <w:rPr>
          <w:sz w:val="16"/>
          <w:lang w:eastAsia="ja-JP"/>
        </w:rPr>
        <w:lastRenderedPageBreak/>
        <w:t>措置が必要な二次的危害因子である。</w:t>
      </w:r>
    </w:p>
    <w:p w14:paraId="095A5728" w14:textId="77777777" w:rsidR="002B3AD5" w:rsidRDefault="002B3AD5">
      <w:pPr>
        <w:spacing w:line="259" w:lineRule="auto"/>
        <w:jc w:val="both"/>
        <w:rPr>
          <w:sz w:val="16"/>
          <w:lang w:eastAsia="ja-JP"/>
        </w:rPr>
        <w:sectPr w:rsidR="002B3AD5">
          <w:pgSz w:w="12240" w:h="15840"/>
          <w:pgMar w:top="1360" w:right="320" w:bottom="1200" w:left="360" w:header="0" w:footer="1020" w:gutter="0"/>
          <w:cols w:space="720"/>
        </w:sect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151"/>
        <w:gridCol w:w="2148"/>
        <w:gridCol w:w="2150"/>
        <w:gridCol w:w="2148"/>
      </w:tblGrid>
      <w:tr w:rsidR="002B3AD5" w14:paraId="095A572F" w14:textId="77777777">
        <w:trPr>
          <w:trHeight w:val="609"/>
        </w:trPr>
        <w:tc>
          <w:tcPr>
            <w:tcW w:w="754" w:type="dxa"/>
            <w:vMerge w:val="restart"/>
            <w:textDirection w:val="btLr"/>
          </w:tcPr>
          <w:p w14:paraId="095A5729" w14:textId="77777777" w:rsidR="002B3AD5" w:rsidRDefault="002B3AD5">
            <w:pPr>
              <w:pStyle w:val="TableParagraph"/>
              <w:spacing w:before="5"/>
              <w:ind w:left="0"/>
              <w:rPr>
                <w:sz w:val="21"/>
                <w:lang w:eastAsia="ja-JP"/>
              </w:rPr>
            </w:pPr>
          </w:p>
          <w:p w14:paraId="095A572A" w14:textId="77777777" w:rsidR="002B3AD5" w:rsidRDefault="00D66CD0">
            <w:pPr>
              <w:pStyle w:val="TableParagraph"/>
              <w:spacing w:before="0"/>
              <w:ind w:left="1067" w:right="1067"/>
              <w:jc w:val="center"/>
              <w:rPr>
                <w:b/>
                <w:sz w:val="20"/>
              </w:rPr>
            </w:pPr>
            <w:bookmarkStart w:id="12" w:name="_bookmark12"/>
            <w:bookmarkStart w:id="13" w:name="_bookmark13"/>
            <w:bookmarkEnd w:id="12"/>
            <w:bookmarkEnd w:id="13"/>
            <w:proofErr w:type="spellStart"/>
            <w:r>
              <w:rPr>
                <w:b/>
                <w:sz w:val="20"/>
              </w:rPr>
              <w:t>急性</w:t>
            </w:r>
            <w:proofErr w:type="spellEnd"/>
          </w:p>
        </w:tc>
        <w:tc>
          <w:tcPr>
            <w:tcW w:w="2151" w:type="dxa"/>
          </w:tcPr>
          <w:p w14:paraId="095A572B" w14:textId="77777777" w:rsidR="002B3AD5" w:rsidRDefault="00D66CD0">
            <w:pPr>
              <w:pStyle w:val="TableParagraph"/>
              <w:rPr>
                <w:sz w:val="20"/>
              </w:rPr>
            </w:pPr>
            <w:proofErr w:type="spellStart"/>
            <w:r>
              <w:rPr>
                <w:sz w:val="20"/>
              </w:rPr>
              <w:t>熱波</w:t>
            </w:r>
            <w:proofErr w:type="spellEnd"/>
          </w:p>
        </w:tc>
        <w:tc>
          <w:tcPr>
            <w:tcW w:w="2148" w:type="dxa"/>
          </w:tcPr>
          <w:p w14:paraId="095A572C" w14:textId="77777777" w:rsidR="002B3AD5" w:rsidRDefault="00D66CD0">
            <w:pPr>
              <w:pStyle w:val="TableParagraph"/>
              <w:spacing w:line="276" w:lineRule="auto"/>
              <w:rPr>
                <w:sz w:val="20"/>
                <w:lang w:eastAsia="ja-JP"/>
              </w:rPr>
            </w:pPr>
            <w:r>
              <w:rPr>
                <w:sz w:val="20"/>
                <w:lang w:eastAsia="ja-JP"/>
              </w:rPr>
              <w:t>サイクロン、ハリケーン、台風</w:t>
            </w:r>
          </w:p>
        </w:tc>
        <w:tc>
          <w:tcPr>
            <w:tcW w:w="2150" w:type="dxa"/>
          </w:tcPr>
          <w:p w14:paraId="095A572D" w14:textId="3E5CA584" w:rsidR="002B3AD5" w:rsidRDefault="004160AB">
            <w:pPr>
              <w:pStyle w:val="TableParagraph"/>
              <w:rPr>
                <w:sz w:val="20"/>
              </w:rPr>
            </w:pPr>
            <w:r>
              <w:rPr>
                <w:rFonts w:hint="eastAsia"/>
                <w:sz w:val="20"/>
                <w:lang w:eastAsia="ja-JP"/>
              </w:rPr>
              <w:t>干ばつ</w:t>
            </w:r>
          </w:p>
        </w:tc>
        <w:tc>
          <w:tcPr>
            <w:tcW w:w="2148" w:type="dxa"/>
          </w:tcPr>
          <w:p w14:paraId="095A572E" w14:textId="03469425" w:rsidR="002B3AD5" w:rsidRDefault="004160AB">
            <w:pPr>
              <w:pStyle w:val="TableParagraph"/>
              <w:ind w:left="105"/>
              <w:rPr>
                <w:sz w:val="20"/>
              </w:rPr>
            </w:pPr>
            <w:r>
              <w:rPr>
                <w:rFonts w:hint="eastAsia"/>
                <w:sz w:val="20"/>
                <w:lang w:eastAsia="ja-JP"/>
              </w:rPr>
              <w:t>雪崩</w:t>
            </w:r>
          </w:p>
        </w:tc>
      </w:tr>
      <w:tr w:rsidR="002B3AD5" w14:paraId="095A5735" w14:textId="77777777">
        <w:trPr>
          <w:trHeight w:val="873"/>
        </w:trPr>
        <w:tc>
          <w:tcPr>
            <w:tcW w:w="754" w:type="dxa"/>
            <w:vMerge/>
            <w:tcBorders>
              <w:top w:val="nil"/>
            </w:tcBorders>
            <w:textDirection w:val="btLr"/>
          </w:tcPr>
          <w:p w14:paraId="095A5730" w14:textId="77777777" w:rsidR="002B3AD5" w:rsidRDefault="002B3AD5">
            <w:pPr>
              <w:rPr>
                <w:sz w:val="2"/>
                <w:szCs w:val="2"/>
              </w:rPr>
            </w:pPr>
          </w:p>
        </w:tc>
        <w:tc>
          <w:tcPr>
            <w:tcW w:w="2151" w:type="dxa"/>
          </w:tcPr>
          <w:p w14:paraId="095A5731" w14:textId="77777777" w:rsidR="002B3AD5" w:rsidRDefault="00D66CD0">
            <w:pPr>
              <w:pStyle w:val="TableParagraph"/>
              <w:rPr>
                <w:sz w:val="20"/>
              </w:rPr>
            </w:pPr>
            <w:proofErr w:type="spellStart"/>
            <w:r>
              <w:rPr>
                <w:sz w:val="20"/>
              </w:rPr>
              <w:t>寒波・霜</w:t>
            </w:r>
            <w:proofErr w:type="spellEnd"/>
          </w:p>
        </w:tc>
        <w:tc>
          <w:tcPr>
            <w:tcW w:w="2148" w:type="dxa"/>
          </w:tcPr>
          <w:p w14:paraId="095A5732" w14:textId="77777777" w:rsidR="002B3AD5" w:rsidRDefault="00D66CD0">
            <w:pPr>
              <w:pStyle w:val="TableParagraph"/>
              <w:spacing w:line="276" w:lineRule="auto"/>
              <w:ind w:right="343"/>
              <w:rPr>
                <w:sz w:val="20"/>
              </w:rPr>
            </w:pPr>
            <w:r>
              <w:rPr>
                <w:sz w:val="20"/>
                <w:lang w:eastAsia="ja-JP"/>
              </w:rPr>
              <w:t>嵐(ブリザード、ダスト及び砂嵐を含む。</w:t>
            </w:r>
            <w:r>
              <w:rPr>
                <w:sz w:val="20"/>
              </w:rPr>
              <w:t>)</w:t>
            </w:r>
          </w:p>
        </w:tc>
        <w:tc>
          <w:tcPr>
            <w:tcW w:w="2150" w:type="dxa"/>
          </w:tcPr>
          <w:p w14:paraId="095A5733" w14:textId="77777777" w:rsidR="002B3AD5" w:rsidRDefault="00D66CD0">
            <w:pPr>
              <w:pStyle w:val="TableParagraph"/>
              <w:spacing w:line="276" w:lineRule="auto"/>
              <w:rPr>
                <w:sz w:val="20"/>
                <w:lang w:eastAsia="ja-JP"/>
              </w:rPr>
            </w:pPr>
            <w:r>
              <w:rPr>
                <w:sz w:val="20"/>
                <w:lang w:eastAsia="ja-JP"/>
              </w:rPr>
              <w:t>大雨(雨、ひょう、雪氷)</w:t>
            </w:r>
          </w:p>
        </w:tc>
        <w:tc>
          <w:tcPr>
            <w:tcW w:w="2148" w:type="dxa"/>
          </w:tcPr>
          <w:p w14:paraId="095A5734" w14:textId="77777777" w:rsidR="002B3AD5" w:rsidRDefault="00D66CD0">
            <w:pPr>
              <w:pStyle w:val="TableParagraph"/>
              <w:ind w:left="105"/>
              <w:rPr>
                <w:sz w:val="20"/>
              </w:rPr>
            </w:pPr>
            <w:proofErr w:type="spellStart"/>
            <w:r>
              <w:rPr>
                <w:sz w:val="20"/>
              </w:rPr>
              <w:t>地すべり</w:t>
            </w:r>
            <w:proofErr w:type="spellEnd"/>
          </w:p>
        </w:tc>
      </w:tr>
      <w:tr w:rsidR="002B3AD5" w14:paraId="095A573B" w14:textId="77777777">
        <w:trPr>
          <w:trHeight w:val="873"/>
        </w:trPr>
        <w:tc>
          <w:tcPr>
            <w:tcW w:w="754" w:type="dxa"/>
            <w:vMerge/>
            <w:tcBorders>
              <w:top w:val="nil"/>
            </w:tcBorders>
            <w:textDirection w:val="btLr"/>
          </w:tcPr>
          <w:p w14:paraId="095A5736" w14:textId="77777777" w:rsidR="002B3AD5" w:rsidRDefault="002B3AD5">
            <w:pPr>
              <w:rPr>
                <w:sz w:val="2"/>
                <w:szCs w:val="2"/>
              </w:rPr>
            </w:pPr>
          </w:p>
        </w:tc>
        <w:tc>
          <w:tcPr>
            <w:tcW w:w="2151" w:type="dxa"/>
          </w:tcPr>
          <w:p w14:paraId="095A5737" w14:textId="77777777" w:rsidR="002B3AD5" w:rsidRDefault="00D66CD0">
            <w:pPr>
              <w:pStyle w:val="TableParagraph"/>
              <w:rPr>
                <w:sz w:val="20"/>
              </w:rPr>
            </w:pPr>
            <w:proofErr w:type="spellStart"/>
            <w:r>
              <w:rPr>
                <w:sz w:val="20"/>
              </w:rPr>
              <w:t>野火</w:t>
            </w:r>
            <w:proofErr w:type="spellEnd"/>
          </w:p>
        </w:tc>
        <w:tc>
          <w:tcPr>
            <w:tcW w:w="2148" w:type="dxa"/>
          </w:tcPr>
          <w:p w14:paraId="095A5738" w14:textId="45AE0517" w:rsidR="002B3AD5" w:rsidRDefault="004160AB">
            <w:pPr>
              <w:pStyle w:val="TableParagraph"/>
              <w:rPr>
                <w:sz w:val="20"/>
              </w:rPr>
            </w:pPr>
            <w:r>
              <w:rPr>
                <w:rFonts w:hint="eastAsia"/>
                <w:sz w:val="20"/>
                <w:lang w:eastAsia="ja-JP"/>
              </w:rPr>
              <w:t>竜巻</w:t>
            </w:r>
          </w:p>
        </w:tc>
        <w:tc>
          <w:tcPr>
            <w:tcW w:w="2150" w:type="dxa"/>
          </w:tcPr>
          <w:p w14:paraId="095A5739" w14:textId="45EB6C38" w:rsidR="002B3AD5" w:rsidRPr="00EA32B3" w:rsidRDefault="00D66CD0">
            <w:pPr>
              <w:pStyle w:val="TableParagraph"/>
              <w:spacing w:line="276" w:lineRule="auto"/>
              <w:ind w:right="111"/>
              <w:rPr>
                <w:sz w:val="20"/>
                <w:lang w:val="en-US" w:eastAsia="ja-JP"/>
              </w:rPr>
            </w:pPr>
            <w:r>
              <w:rPr>
                <w:sz w:val="20"/>
                <w:lang w:eastAsia="ja-JP"/>
              </w:rPr>
              <w:t>洪水</w:t>
            </w:r>
            <w:r w:rsidRPr="00EA32B3">
              <w:rPr>
                <w:sz w:val="20"/>
                <w:lang w:val="en-US" w:eastAsia="ja-JP"/>
              </w:rPr>
              <w:t>(</w:t>
            </w:r>
            <w:r>
              <w:rPr>
                <w:sz w:val="20"/>
                <w:lang w:eastAsia="ja-JP"/>
              </w:rPr>
              <w:t>沿岸、河川、</w:t>
            </w:r>
            <w:r w:rsidR="004160AB">
              <w:rPr>
                <w:rFonts w:hint="eastAsia"/>
                <w:sz w:val="20"/>
                <w:lang w:eastAsia="ja-JP"/>
              </w:rPr>
              <w:t>多雨</w:t>
            </w:r>
            <w:r>
              <w:rPr>
                <w:sz w:val="20"/>
                <w:lang w:eastAsia="ja-JP"/>
              </w:rPr>
              <w:t>、地</w:t>
            </w:r>
            <w:r w:rsidR="004160AB">
              <w:rPr>
                <w:rFonts w:hint="eastAsia"/>
                <w:sz w:val="20"/>
                <w:lang w:eastAsia="ja-JP"/>
              </w:rPr>
              <w:t>表</w:t>
            </w:r>
            <w:r>
              <w:rPr>
                <w:sz w:val="20"/>
                <w:lang w:eastAsia="ja-JP"/>
              </w:rPr>
              <w:t>水</w:t>
            </w:r>
            <w:r w:rsidRPr="00EA32B3">
              <w:rPr>
                <w:sz w:val="20"/>
                <w:lang w:val="en-US" w:eastAsia="ja-JP"/>
              </w:rPr>
              <w:t>)</w:t>
            </w:r>
          </w:p>
        </w:tc>
        <w:tc>
          <w:tcPr>
            <w:tcW w:w="2148" w:type="dxa"/>
          </w:tcPr>
          <w:p w14:paraId="095A573A" w14:textId="77777777" w:rsidR="002B3AD5" w:rsidRDefault="00D66CD0">
            <w:pPr>
              <w:pStyle w:val="TableParagraph"/>
              <w:ind w:left="105"/>
              <w:rPr>
                <w:sz w:val="20"/>
              </w:rPr>
            </w:pPr>
            <w:proofErr w:type="spellStart"/>
            <w:r>
              <w:rPr>
                <w:sz w:val="20"/>
              </w:rPr>
              <w:t>沈下</w:t>
            </w:r>
            <w:proofErr w:type="spellEnd"/>
          </w:p>
        </w:tc>
      </w:tr>
      <w:tr w:rsidR="002B3AD5" w14:paraId="095A5741" w14:textId="77777777">
        <w:trPr>
          <w:trHeight w:val="345"/>
        </w:trPr>
        <w:tc>
          <w:tcPr>
            <w:tcW w:w="754" w:type="dxa"/>
            <w:vMerge/>
            <w:tcBorders>
              <w:top w:val="nil"/>
            </w:tcBorders>
            <w:textDirection w:val="btLr"/>
          </w:tcPr>
          <w:p w14:paraId="095A573C" w14:textId="77777777" w:rsidR="002B3AD5" w:rsidRDefault="002B3AD5">
            <w:pPr>
              <w:rPr>
                <w:sz w:val="2"/>
                <w:szCs w:val="2"/>
              </w:rPr>
            </w:pPr>
          </w:p>
        </w:tc>
        <w:tc>
          <w:tcPr>
            <w:tcW w:w="2151" w:type="dxa"/>
          </w:tcPr>
          <w:p w14:paraId="095A573D" w14:textId="77777777" w:rsidR="002B3AD5" w:rsidRDefault="002B3AD5">
            <w:pPr>
              <w:pStyle w:val="TableParagraph"/>
              <w:spacing w:before="0"/>
              <w:ind w:left="0"/>
              <w:rPr>
                <w:rFonts w:ascii="Times New Roman"/>
                <w:sz w:val="20"/>
              </w:rPr>
            </w:pPr>
          </w:p>
        </w:tc>
        <w:tc>
          <w:tcPr>
            <w:tcW w:w="2148" w:type="dxa"/>
          </w:tcPr>
          <w:p w14:paraId="095A573E" w14:textId="77777777" w:rsidR="002B3AD5" w:rsidRDefault="002B3AD5">
            <w:pPr>
              <w:pStyle w:val="TableParagraph"/>
              <w:spacing w:before="0"/>
              <w:ind w:left="0"/>
              <w:rPr>
                <w:rFonts w:ascii="Times New Roman"/>
                <w:sz w:val="20"/>
              </w:rPr>
            </w:pPr>
          </w:p>
        </w:tc>
        <w:tc>
          <w:tcPr>
            <w:tcW w:w="2150" w:type="dxa"/>
          </w:tcPr>
          <w:p w14:paraId="095A573F" w14:textId="77777777" w:rsidR="002B3AD5" w:rsidRDefault="00D66CD0">
            <w:pPr>
              <w:pStyle w:val="TableParagraph"/>
              <w:rPr>
                <w:sz w:val="20"/>
              </w:rPr>
            </w:pPr>
            <w:proofErr w:type="spellStart"/>
            <w:r>
              <w:rPr>
                <w:sz w:val="20"/>
              </w:rPr>
              <w:t>氷河湖の崩壊</w:t>
            </w:r>
            <w:proofErr w:type="spellEnd"/>
          </w:p>
        </w:tc>
        <w:tc>
          <w:tcPr>
            <w:tcW w:w="2148" w:type="dxa"/>
          </w:tcPr>
          <w:p w14:paraId="095A5740" w14:textId="77777777" w:rsidR="002B3AD5" w:rsidRDefault="002B3AD5">
            <w:pPr>
              <w:pStyle w:val="TableParagraph"/>
              <w:spacing w:before="0"/>
              <w:ind w:left="0"/>
              <w:rPr>
                <w:rFonts w:ascii="Times New Roman"/>
                <w:sz w:val="20"/>
              </w:rPr>
            </w:pPr>
          </w:p>
        </w:tc>
      </w:tr>
    </w:tbl>
    <w:p w14:paraId="095A5742" w14:textId="77777777" w:rsidR="002B3AD5" w:rsidRDefault="002B3AD5">
      <w:pPr>
        <w:pStyle w:val="a3"/>
        <w:spacing w:before="4"/>
        <w:rPr>
          <w:sz w:val="16"/>
        </w:rPr>
      </w:pPr>
    </w:p>
    <w:p w14:paraId="095A5743" w14:textId="77777777" w:rsidR="002B3AD5" w:rsidRDefault="00D66CD0">
      <w:pPr>
        <w:pStyle w:val="2"/>
        <w:numPr>
          <w:ilvl w:val="0"/>
          <w:numId w:val="24"/>
        </w:numPr>
        <w:tabs>
          <w:tab w:val="left" w:pos="1800"/>
          <w:tab w:val="left" w:pos="1801"/>
        </w:tabs>
        <w:spacing w:before="91"/>
        <w:ind w:left="1800"/>
        <w:rPr>
          <w:lang w:eastAsia="ja-JP"/>
        </w:rPr>
      </w:pPr>
      <w:r>
        <w:rPr>
          <w:color w:val="087ADA"/>
          <w:lang w:eastAsia="ja-JP"/>
        </w:rPr>
        <w:t>重大なHARM(DNSH)がないこと</w:t>
      </w:r>
    </w:p>
    <w:p w14:paraId="095A5744" w14:textId="77777777" w:rsidR="002B3AD5" w:rsidRDefault="002B3AD5">
      <w:pPr>
        <w:pStyle w:val="a3"/>
        <w:spacing w:before="3"/>
        <w:rPr>
          <w:b/>
          <w:sz w:val="25"/>
          <w:lang w:eastAsia="ja-JP"/>
        </w:rPr>
      </w:pPr>
    </w:p>
    <w:p w14:paraId="095A5745" w14:textId="77777777" w:rsidR="002B3AD5" w:rsidRDefault="00D66CD0">
      <w:pPr>
        <w:pStyle w:val="3"/>
        <w:numPr>
          <w:ilvl w:val="1"/>
          <w:numId w:val="24"/>
        </w:numPr>
        <w:tabs>
          <w:tab w:val="left" w:pos="1800"/>
          <w:tab w:val="left" w:pos="1801"/>
        </w:tabs>
      </w:pPr>
      <w:r>
        <w:rPr>
          <w:color w:val="006FC0"/>
        </w:rPr>
        <w:t>環境目標3-6へのDNSH</w:t>
      </w:r>
    </w:p>
    <w:p w14:paraId="095A5746" w14:textId="601A9FB0" w:rsidR="002B3AD5" w:rsidRDefault="00D66CD0">
      <w:pPr>
        <w:pStyle w:val="a3"/>
        <w:spacing w:before="200" w:line="276" w:lineRule="auto"/>
        <w:ind w:left="1080" w:right="1135"/>
        <w:rPr>
          <w:lang w:eastAsia="ja-JP"/>
        </w:rPr>
      </w:pPr>
      <w:r>
        <w:rPr>
          <w:lang w:eastAsia="ja-JP"/>
        </w:rPr>
        <w:t>提案された</w:t>
      </w:r>
      <w:r w:rsidR="002F5B54">
        <w:rPr>
          <w:lang w:eastAsia="ja-JP"/>
        </w:rPr>
        <w:t>タクソノミー</w:t>
      </w:r>
      <w:r>
        <w:rPr>
          <w:lang w:eastAsia="ja-JP"/>
        </w:rPr>
        <w:t>的規制の下では、気候変動の緩和または適応に実質的な貢献をする経済活動は、それらが残りのすべての環境目的に重大な損害を与えないことを</w:t>
      </w:r>
      <w:r w:rsidR="004160AB">
        <w:rPr>
          <w:rFonts w:hint="eastAsia"/>
          <w:lang w:eastAsia="ja-JP"/>
        </w:rPr>
        <w:t>確認</w:t>
      </w:r>
      <w:r>
        <w:rPr>
          <w:lang w:eastAsia="ja-JP"/>
        </w:rPr>
        <w:t>されなければならない。 気候変動の緩和に寄与する活動は、気候変動の適応と他の4つの環境目標に対する重大な悪影響を回避しなければならない。</w:t>
      </w:r>
    </w:p>
    <w:p w14:paraId="095A5747" w14:textId="77777777" w:rsidR="002B3AD5" w:rsidRDefault="002B3AD5">
      <w:pPr>
        <w:pStyle w:val="a3"/>
        <w:spacing w:before="11"/>
        <w:rPr>
          <w:lang w:eastAsia="ja-JP"/>
        </w:rPr>
      </w:pPr>
    </w:p>
    <w:p w14:paraId="095A5748" w14:textId="77777777" w:rsidR="002B3AD5" w:rsidRDefault="00D66CD0">
      <w:pPr>
        <w:pStyle w:val="a4"/>
        <w:numPr>
          <w:ilvl w:val="0"/>
          <w:numId w:val="8"/>
        </w:numPr>
        <w:tabs>
          <w:tab w:val="left" w:pos="2161"/>
        </w:tabs>
        <w:spacing w:before="0"/>
        <w:rPr>
          <w:sz w:val="20"/>
          <w:lang w:eastAsia="ja-JP"/>
        </w:rPr>
      </w:pPr>
      <w:r>
        <w:rPr>
          <w:sz w:val="20"/>
          <w:lang w:eastAsia="ja-JP"/>
        </w:rPr>
        <w:t>水と海洋資源の持続可能な利用と保護</w:t>
      </w:r>
    </w:p>
    <w:p w14:paraId="095A5749" w14:textId="786CFF2C" w:rsidR="002B3AD5" w:rsidRDefault="004160AB">
      <w:pPr>
        <w:pStyle w:val="a4"/>
        <w:numPr>
          <w:ilvl w:val="0"/>
          <w:numId w:val="8"/>
        </w:numPr>
        <w:tabs>
          <w:tab w:val="left" w:pos="2161"/>
        </w:tabs>
        <w:spacing w:before="34"/>
        <w:rPr>
          <w:sz w:val="20"/>
          <w:lang w:eastAsia="ja-JP"/>
        </w:rPr>
      </w:pPr>
      <w:r>
        <w:rPr>
          <w:rFonts w:hint="eastAsia"/>
          <w:sz w:val="20"/>
          <w:lang w:eastAsia="ja-JP"/>
        </w:rPr>
        <w:t>サーキュラーエコノミー</w:t>
      </w:r>
      <w:r w:rsidR="00D66CD0">
        <w:rPr>
          <w:sz w:val="20"/>
          <w:lang w:eastAsia="ja-JP"/>
        </w:rPr>
        <w:t>への転換、廃棄物の発生抑制、リサイクル</w:t>
      </w:r>
    </w:p>
    <w:p w14:paraId="095A574A" w14:textId="77777777" w:rsidR="002B3AD5" w:rsidRDefault="00D66CD0">
      <w:pPr>
        <w:pStyle w:val="a4"/>
        <w:numPr>
          <w:ilvl w:val="0"/>
          <w:numId w:val="8"/>
        </w:numPr>
        <w:tabs>
          <w:tab w:val="left" w:pos="2161"/>
        </w:tabs>
        <w:spacing w:before="34"/>
        <w:rPr>
          <w:sz w:val="20"/>
        </w:rPr>
      </w:pPr>
      <w:proofErr w:type="spellStart"/>
      <w:r>
        <w:rPr>
          <w:sz w:val="20"/>
        </w:rPr>
        <w:t>公害防止・管理</w:t>
      </w:r>
      <w:proofErr w:type="spellEnd"/>
    </w:p>
    <w:p w14:paraId="095A574B" w14:textId="77777777" w:rsidR="002B3AD5" w:rsidRDefault="00D66CD0">
      <w:pPr>
        <w:pStyle w:val="a4"/>
        <w:numPr>
          <w:ilvl w:val="0"/>
          <w:numId w:val="8"/>
        </w:numPr>
        <w:tabs>
          <w:tab w:val="left" w:pos="2161"/>
        </w:tabs>
        <w:spacing w:before="34"/>
        <w:rPr>
          <w:sz w:val="20"/>
        </w:rPr>
      </w:pPr>
      <w:proofErr w:type="spellStart"/>
      <w:r>
        <w:rPr>
          <w:sz w:val="20"/>
        </w:rPr>
        <w:t>健全な生態系の保護</w:t>
      </w:r>
      <w:proofErr w:type="spellEnd"/>
    </w:p>
    <w:p w14:paraId="095A574C" w14:textId="1E4C2CC6" w:rsidR="002B3AD5" w:rsidRDefault="00D66CD0">
      <w:pPr>
        <w:pStyle w:val="a3"/>
        <w:spacing w:before="154" w:line="276" w:lineRule="auto"/>
        <w:ind w:left="1080" w:right="1310"/>
        <w:rPr>
          <w:lang w:eastAsia="ja-JP"/>
        </w:rPr>
      </w:pPr>
      <w:r>
        <w:rPr>
          <w:lang w:eastAsia="ja-JP"/>
        </w:rPr>
        <w:t>この評価は、いくつかの目標に対する進捗が他の目標</w:t>
      </w:r>
      <w:r w:rsidR="004160AB">
        <w:rPr>
          <w:rFonts w:hint="eastAsia"/>
          <w:lang w:eastAsia="ja-JP"/>
        </w:rPr>
        <w:t>の</w:t>
      </w:r>
      <w:r>
        <w:rPr>
          <w:lang w:eastAsia="ja-JP"/>
        </w:rPr>
        <w:t>犠牲</w:t>
      </w:r>
      <w:r w:rsidR="004160AB">
        <w:rPr>
          <w:rFonts w:hint="eastAsia"/>
          <w:lang w:eastAsia="ja-JP"/>
        </w:rPr>
        <w:t>の上になされるもので</w:t>
      </w:r>
      <w:r>
        <w:rPr>
          <w:lang w:eastAsia="ja-JP"/>
        </w:rPr>
        <w:t>ないことを確実にし、異なる環境目標間の補強的な関係を認識するものである。 今後の展開にあたっては、上記の目的に大きく寄与する活動も含める。</w:t>
      </w:r>
    </w:p>
    <w:p w14:paraId="095A574D" w14:textId="77777777" w:rsidR="002B3AD5" w:rsidRDefault="002B3AD5">
      <w:pPr>
        <w:pStyle w:val="a3"/>
        <w:rPr>
          <w:sz w:val="22"/>
          <w:lang w:eastAsia="ja-JP"/>
        </w:rPr>
      </w:pPr>
    </w:p>
    <w:p w14:paraId="095A574E" w14:textId="77777777" w:rsidR="002B3AD5" w:rsidRDefault="002B3AD5">
      <w:pPr>
        <w:pStyle w:val="a3"/>
        <w:rPr>
          <w:sz w:val="22"/>
          <w:lang w:eastAsia="ja-JP"/>
        </w:rPr>
      </w:pPr>
    </w:p>
    <w:p w14:paraId="095A574F" w14:textId="77777777" w:rsidR="002B3AD5" w:rsidRDefault="002B3AD5">
      <w:pPr>
        <w:pStyle w:val="a3"/>
        <w:spacing w:before="10"/>
        <w:rPr>
          <w:lang w:eastAsia="ja-JP"/>
        </w:rPr>
      </w:pPr>
    </w:p>
    <w:p w14:paraId="095A5750" w14:textId="77777777" w:rsidR="002B3AD5" w:rsidRDefault="00D66CD0">
      <w:pPr>
        <w:pStyle w:val="3"/>
        <w:numPr>
          <w:ilvl w:val="1"/>
          <w:numId w:val="24"/>
        </w:numPr>
        <w:tabs>
          <w:tab w:val="left" w:pos="1800"/>
          <w:tab w:val="left" w:pos="1801"/>
        </w:tabs>
        <w:rPr>
          <w:lang w:eastAsia="ja-JP"/>
        </w:rPr>
      </w:pPr>
      <w:bookmarkStart w:id="14" w:name="_bookmark14"/>
      <w:bookmarkEnd w:id="14"/>
      <w:r>
        <w:rPr>
          <w:color w:val="006FC0"/>
          <w:lang w:eastAsia="ja-JP"/>
        </w:rPr>
        <w:t>気候変動への適応に対するDNSH</w:t>
      </w:r>
    </w:p>
    <w:p w14:paraId="095A5751" w14:textId="6B5E69B7" w:rsidR="002B3AD5" w:rsidRDefault="002F5B54">
      <w:pPr>
        <w:pStyle w:val="a3"/>
        <w:spacing w:before="201" w:line="276" w:lineRule="auto"/>
        <w:ind w:left="1080" w:right="1718"/>
        <w:jc w:val="both"/>
        <w:rPr>
          <w:lang w:eastAsia="ja-JP"/>
        </w:rPr>
      </w:pPr>
      <w:r>
        <w:rPr>
          <w:lang w:eastAsia="ja-JP"/>
        </w:rPr>
        <w:t>タクソノミー</w:t>
      </w:r>
      <w:r w:rsidR="00D66CD0">
        <w:rPr>
          <w:lang w:eastAsia="ja-JP"/>
        </w:rPr>
        <w:t>規則第12条に従い、経済活動は、「その活動が、現在及び予想される気候の、それ自体又は他の人、自然及び資産に対する悪影響の増加につながる場合」には、気候変動の適応を著しく害するとみなされる。</w:t>
      </w:r>
    </w:p>
    <w:p w14:paraId="095A5752" w14:textId="77777777" w:rsidR="002B3AD5" w:rsidRDefault="002B3AD5">
      <w:pPr>
        <w:pStyle w:val="a3"/>
        <w:spacing w:before="10"/>
        <w:rPr>
          <w:lang w:eastAsia="ja-JP"/>
        </w:rPr>
      </w:pPr>
    </w:p>
    <w:p w14:paraId="095A5753" w14:textId="77777777" w:rsidR="002B3AD5" w:rsidRDefault="00D66CD0">
      <w:pPr>
        <w:pStyle w:val="a3"/>
        <w:spacing w:before="1" w:line="276" w:lineRule="auto"/>
        <w:ind w:left="1080" w:right="1177"/>
        <w:jc w:val="both"/>
        <w:rPr>
          <w:lang w:eastAsia="ja-JP"/>
        </w:rPr>
      </w:pPr>
      <w:r>
        <w:rPr>
          <w:lang w:eastAsia="ja-JP"/>
        </w:rPr>
        <w:t>経済活動が行われている環境に対して、あるいはその環境を超えて経済活動が気候の悪影響を構成し、または増大させるものに関して、適応基準へのDNSHは、以下の両方を確保すべきであると提案されている。</w:t>
      </w:r>
    </w:p>
    <w:p w14:paraId="095A5754" w14:textId="77777777" w:rsidR="002B3AD5" w:rsidRDefault="002B3AD5">
      <w:pPr>
        <w:pStyle w:val="a3"/>
        <w:spacing w:before="10"/>
        <w:rPr>
          <w:lang w:eastAsia="ja-JP"/>
        </w:rPr>
      </w:pPr>
    </w:p>
    <w:p w14:paraId="095A5755" w14:textId="006ADFFA" w:rsidR="002B3AD5" w:rsidRDefault="00D66CD0">
      <w:pPr>
        <w:pStyle w:val="a4"/>
        <w:numPr>
          <w:ilvl w:val="0"/>
          <w:numId w:val="20"/>
        </w:numPr>
        <w:tabs>
          <w:tab w:val="left" w:pos="1440"/>
          <w:tab w:val="left" w:pos="1441"/>
        </w:tabs>
        <w:spacing w:before="0" w:line="276" w:lineRule="auto"/>
        <w:ind w:right="1229"/>
        <w:rPr>
          <w:sz w:val="20"/>
          <w:lang w:eastAsia="ja-JP"/>
        </w:rPr>
      </w:pPr>
      <w:r>
        <w:rPr>
          <w:sz w:val="20"/>
          <w:lang w:eastAsia="ja-JP"/>
        </w:rPr>
        <w:t>経済活動/脆弱な住民/脆弱な生態系が依存するサービス</w:t>
      </w:r>
      <w:r w:rsidR="004160AB">
        <w:rPr>
          <w:rFonts w:hint="eastAsia"/>
          <w:sz w:val="20"/>
          <w:lang w:eastAsia="ja-JP"/>
        </w:rPr>
        <w:t>が</w:t>
      </w:r>
      <w:r>
        <w:rPr>
          <w:sz w:val="20"/>
          <w:lang w:eastAsia="ja-JP"/>
        </w:rPr>
        <w:t>、気候変動に強靱である</w:t>
      </w:r>
      <w:r w:rsidR="004160AB">
        <w:rPr>
          <w:rFonts w:hint="eastAsia"/>
          <w:sz w:val="20"/>
          <w:lang w:eastAsia="ja-JP"/>
        </w:rPr>
        <w:t>こと</w:t>
      </w:r>
      <w:r>
        <w:rPr>
          <w:sz w:val="20"/>
          <w:lang w:eastAsia="ja-JP"/>
        </w:rPr>
        <w:t>。 気候変動の影響により、これらの活動が抑制されず、これらのサービスが大幅に抑制されれば、これらの活動/個体群/生態系の回復力と適応能力は低下する。 これは、経済活動そのものに対するすべての重要なリスクが、可能な限り、最善の努力に基づいて低減されることによって達成</w:t>
      </w:r>
      <w:r w:rsidR="004160AB">
        <w:rPr>
          <w:rFonts w:hint="eastAsia"/>
          <w:sz w:val="20"/>
          <w:lang w:eastAsia="ja-JP"/>
        </w:rPr>
        <w:t>される</w:t>
      </w:r>
      <w:r>
        <w:rPr>
          <w:sz w:val="20"/>
          <w:lang w:eastAsia="ja-JP"/>
        </w:rPr>
        <w:t>。</w:t>
      </w:r>
    </w:p>
    <w:p w14:paraId="095A5756" w14:textId="77777777" w:rsidR="002B3AD5" w:rsidRDefault="002B3AD5">
      <w:pPr>
        <w:spacing w:line="276" w:lineRule="auto"/>
        <w:rPr>
          <w:sz w:val="20"/>
          <w:lang w:eastAsia="ja-JP"/>
        </w:rPr>
        <w:sectPr w:rsidR="002B3AD5">
          <w:pgSz w:w="12240" w:h="15840"/>
          <w:pgMar w:top="1440" w:right="320" w:bottom="1200" w:left="360" w:header="0" w:footer="1020" w:gutter="0"/>
          <w:cols w:space="720"/>
        </w:sectPr>
      </w:pPr>
    </w:p>
    <w:p w14:paraId="095A5757" w14:textId="0A72AA47" w:rsidR="002B3AD5" w:rsidRDefault="00D66CD0">
      <w:pPr>
        <w:pStyle w:val="a4"/>
        <w:numPr>
          <w:ilvl w:val="0"/>
          <w:numId w:val="20"/>
        </w:numPr>
        <w:tabs>
          <w:tab w:val="left" w:pos="1440"/>
          <w:tab w:val="left" w:pos="1441"/>
        </w:tabs>
        <w:spacing w:before="80"/>
        <w:rPr>
          <w:sz w:val="20"/>
          <w:lang w:eastAsia="ja-JP"/>
        </w:rPr>
      </w:pPr>
      <w:r>
        <w:rPr>
          <w:sz w:val="20"/>
          <w:lang w:eastAsia="ja-JP"/>
        </w:rPr>
        <w:lastRenderedPageBreak/>
        <w:t>これらのサービス</w:t>
      </w:r>
      <w:r w:rsidR="004160AB">
        <w:rPr>
          <w:rFonts w:hint="eastAsia"/>
          <w:sz w:val="20"/>
          <w:lang w:eastAsia="ja-JP"/>
        </w:rPr>
        <w:t>が</w:t>
      </w:r>
      <w:r>
        <w:rPr>
          <w:sz w:val="20"/>
          <w:lang w:eastAsia="ja-JP"/>
        </w:rPr>
        <w:t>、他者の適応努力に悪影響を与えるような形で提供されない</w:t>
      </w:r>
      <w:r w:rsidR="004160AB">
        <w:rPr>
          <w:rFonts w:hint="eastAsia"/>
          <w:sz w:val="20"/>
          <w:lang w:eastAsia="ja-JP"/>
        </w:rPr>
        <w:t>こと</w:t>
      </w:r>
      <w:r>
        <w:rPr>
          <w:sz w:val="20"/>
          <w:lang w:eastAsia="ja-JP"/>
        </w:rPr>
        <w:t>。</w:t>
      </w:r>
    </w:p>
    <w:p w14:paraId="095A5758" w14:textId="77777777" w:rsidR="002B3AD5" w:rsidRDefault="002B3AD5">
      <w:pPr>
        <w:pStyle w:val="a3"/>
        <w:spacing w:before="8"/>
        <w:rPr>
          <w:sz w:val="23"/>
          <w:lang w:eastAsia="ja-JP"/>
        </w:rPr>
      </w:pPr>
    </w:p>
    <w:p w14:paraId="095A5759" w14:textId="70347083" w:rsidR="002B3AD5" w:rsidRDefault="00D66CD0">
      <w:pPr>
        <w:pStyle w:val="a3"/>
        <w:spacing w:before="1" w:line="276" w:lineRule="auto"/>
        <w:ind w:left="1080" w:right="1172"/>
        <w:rPr>
          <w:lang w:eastAsia="ja-JP"/>
        </w:rPr>
      </w:pPr>
      <w:r>
        <w:rPr>
          <w:lang w:eastAsia="ja-JP"/>
        </w:rPr>
        <w:t>これらの要件への適合性</w:t>
      </w:r>
      <w:r w:rsidR="004160AB">
        <w:rPr>
          <w:rFonts w:hint="eastAsia"/>
          <w:lang w:eastAsia="ja-JP"/>
        </w:rPr>
        <w:t>が</w:t>
      </w:r>
      <w:r>
        <w:rPr>
          <w:lang w:eastAsia="ja-JP"/>
        </w:rPr>
        <w:t>、活動と状況に特有の評価を通してケースバイケースで判断されるべきか、あるいは事前の活動のみのレベル評価が必要かどうかについて議論</w:t>
      </w:r>
      <w:r w:rsidR="004160AB">
        <w:rPr>
          <w:rFonts w:hint="eastAsia"/>
          <w:lang w:eastAsia="ja-JP"/>
        </w:rPr>
        <w:t>がな</w:t>
      </w:r>
      <w:r>
        <w:rPr>
          <w:lang w:eastAsia="ja-JP"/>
        </w:rPr>
        <w:t>された。 上述したように、適応ニーズと適応と回復力に対する活動の影響は、状況に特有のものであり、従って状況に特化した評価が必要である。</w:t>
      </w:r>
    </w:p>
    <w:p w14:paraId="095A575A" w14:textId="77777777" w:rsidR="002B3AD5" w:rsidRDefault="002B3AD5">
      <w:pPr>
        <w:pStyle w:val="a3"/>
        <w:spacing w:before="10"/>
        <w:rPr>
          <w:lang w:eastAsia="ja-JP"/>
        </w:rPr>
      </w:pPr>
    </w:p>
    <w:p w14:paraId="095A575B" w14:textId="1DA2DFB4" w:rsidR="002B3AD5" w:rsidRDefault="00D66CD0">
      <w:pPr>
        <w:pStyle w:val="a3"/>
        <w:spacing w:line="276" w:lineRule="auto"/>
        <w:ind w:left="1080" w:right="1288"/>
        <w:rPr>
          <w:lang w:eastAsia="ja-JP"/>
        </w:rPr>
      </w:pPr>
      <w:r>
        <w:rPr>
          <w:lang w:eastAsia="ja-JP"/>
        </w:rPr>
        <w:t>これらの理由から、表6に示す2つの基準が、すべての経済活動の「適応へのDNSH」</w:t>
      </w:r>
      <w:r w:rsidR="004160AB">
        <w:rPr>
          <w:rFonts w:hint="eastAsia"/>
          <w:lang w:eastAsia="ja-JP"/>
        </w:rPr>
        <w:t>として</w:t>
      </w:r>
      <w:r>
        <w:rPr>
          <w:lang w:eastAsia="ja-JP"/>
        </w:rPr>
        <w:t>提案されている。 これらの基準に加えて、TEGは、特定の経済活動の文脈でこれら2つの基準を適用する際に利用できるツール、方法論、その他のガイダンスの例</w:t>
      </w:r>
      <w:r w:rsidR="008847CF">
        <w:rPr>
          <w:rFonts w:hint="eastAsia"/>
          <w:lang w:eastAsia="ja-JP"/>
        </w:rPr>
        <w:t>についても</w:t>
      </w:r>
      <w:r>
        <w:rPr>
          <w:lang w:eastAsia="ja-JP"/>
        </w:rPr>
        <w:t>それらを検討した。 このような例が特定された場合、適切な経済活動の「適応へのDNSH」の項に記載されている。</w:t>
      </w:r>
    </w:p>
    <w:p w14:paraId="095A575C" w14:textId="77777777" w:rsidR="002B3AD5" w:rsidRDefault="002B3AD5">
      <w:pPr>
        <w:pStyle w:val="a3"/>
        <w:spacing w:before="10"/>
        <w:rPr>
          <w:lang w:eastAsia="ja-JP"/>
        </w:rPr>
      </w:pPr>
    </w:p>
    <w:p w14:paraId="095A575D" w14:textId="0516B467" w:rsidR="002B3AD5" w:rsidRDefault="00D66CD0">
      <w:pPr>
        <w:pStyle w:val="a3"/>
        <w:spacing w:line="276" w:lineRule="auto"/>
        <w:ind w:left="1080" w:right="1152"/>
        <w:rPr>
          <w:lang w:eastAsia="ja-JP"/>
        </w:rPr>
      </w:pPr>
      <w:r>
        <w:rPr>
          <w:lang w:eastAsia="ja-JP"/>
        </w:rPr>
        <w:t>なお、新たな経済活動については、設計・施工段階において、以下の基準を満たす必要がある。 現存する活動及び関連資産については、物理的気候リスクに対処するために何らかの改良が必要な場合には、すべての重要な物理的気候リスクを評価し、それらに対処するために必要な適応策を明確にし、5年以内に期限付きの実行計画を立てて</w:t>
      </w:r>
      <w:r w:rsidR="008847CF">
        <w:rPr>
          <w:rFonts w:hint="eastAsia"/>
          <w:lang w:eastAsia="ja-JP"/>
        </w:rPr>
        <w:t>実施に織り込まれ</w:t>
      </w:r>
      <w:r>
        <w:rPr>
          <w:lang w:eastAsia="ja-JP"/>
        </w:rPr>
        <w:t>なければならない。</w:t>
      </w:r>
    </w:p>
    <w:p w14:paraId="095A575E" w14:textId="77777777" w:rsidR="002B3AD5" w:rsidRDefault="002B3AD5">
      <w:pPr>
        <w:pStyle w:val="a3"/>
        <w:spacing w:before="1"/>
        <w:rPr>
          <w:sz w:val="21"/>
          <w:lang w:eastAsia="ja-JP"/>
        </w:rPr>
      </w:pPr>
    </w:p>
    <w:p w14:paraId="095A575F" w14:textId="77777777" w:rsidR="002B3AD5" w:rsidRDefault="00D66CD0">
      <w:pPr>
        <w:ind w:left="2724"/>
        <w:rPr>
          <w:sz w:val="18"/>
          <w:lang w:eastAsia="ja-JP"/>
        </w:rPr>
      </w:pPr>
      <w:r>
        <w:rPr>
          <w:color w:val="44536A"/>
          <w:sz w:val="18"/>
          <w:lang w:eastAsia="ja-JP"/>
        </w:rPr>
        <w:t>表6 - 適応に重大な悪影響を及ぼさないこと: 「適応経済活動」</w:t>
      </w:r>
    </w:p>
    <w:p w14:paraId="095A5760" w14:textId="77777777" w:rsidR="002B3AD5" w:rsidRDefault="002B3AD5">
      <w:pPr>
        <w:pStyle w:val="a3"/>
        <w:spacing w:before="10"/>
        <w:rPr>
          <w:sz w:val="19"/>
          <w:lang w:eastAsia="ja-JP"/>
        </w:rPr>
      </w:pPr>
    </w:p>
    <w:tbl>
      <w:tblPr>
        <w:tblStyle w:val="TableNormal"/>
        <w:tblW w:w="0" w:type="auto"/>
        <w:tblInd w:w="109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1697"/>
        <w:gridCol w:w="7231"/>
      </w:tblGrid>
      <w:tr w:rsidR="002B3AD5" w14:paraId="095A5763" w14:textId="77777777">
        <w:trPr>
          <w:trHeight w:val="525"/>
        </w:trPr>
        <w:tc>
          <w:tcPr>
            <w:tcW w:w="1697" w:type="dxa"/>
            <w:tcBorders>
              <w:top w:val="nil"/>
              <w:left w:val="nil"/>
              <w:bottom w:val="nil"/>
              <w:right w:val="nil"/>
            </w:tcBorders>
            <w:shd w:val="clear" w:color="auto" w:fill="FFC000"/>
          </w:tcPr>
          <w:p w14:paraId="095A5761" w14:textId="77777777" w:rsidR="002B3AD5" w:rsidRDefault="00D66CD0">
            <w:pPr>
              <w:pStyle w:val="TableParagraph"/>
              <w:spacing w:before="129"/>
              <w:ind w:left="112"/>
              <w:rPr>
                <w:b/>
                <w:sz w:val="20"/>
              </w:rPr>
            </w:pPr>
            <w:proofErr w:type="spellStart"/>
            <w:r>
              <w:rPr>
                <w:b/>
                <w:color w:val="FFFFFF"/>
                <w:sz w:val="20"/>
              </w:rPr>
              <w:t>基準</w:t>
            </w:r>
            <w:proofErr w:type="spellEnd"/>
          </w:p>
        </w:tc>
        <w:tc>
          <w:tcPr>
            <w:tcW w:w="7231" w:type="dxa"/>
            <w:tcBorders>
              <w:top w:val="nil"/>
              <w:left w:val="nil"/>
              <w:bottom w:val="nil"/>
              <w:right w:val="nil"/>
            </w:tcBorders>
            <w:shd w:val="clear" w:color="auto" w:fill="FFC000"/>
          </w:tcPr>
          <w:p w14:paraId="095A5762" w14:textId="77777777" w:rsidR="002B3AD5" w:rsidRDefault="00D66CD0">
            <w:pPr>
              <w:pStyle w:val="TableParagraph"/>
              <w:spacing w:before="129"/>
              <w:ind w:left="112"/>
              <w:rPr>
                <w:b/>
                <w:sz w:val="20"/>
              </w:rPr>
            </w:pPr>
            <w:proofErr w:type="spellStart"/>
            <w:r>
              <w:rPr>
                <w:b/>
                <w:color w:val="FFFFFF"/>
                <w:sz w:val="20"/>
              </w:rPr>
              <w:t>内容</w:t>
            </w:r>
            <w:proofErr w:type="spellEnd"/>
          </w:p>
        </w:tc>
      </w:tr>
      <w:tr w:rsidR="002B3AD5" w14:paraId="095A5766" w14:textId="77777777">
        <w:trPr>
          <w:trHeight w:val="1562"/>
        </w:trPr>
        <w:tc>
          <w:tcPr>
            <w:tcW w:w="1697" w:type="dxa"/>
            <w:tcBorders>
              <w:top w:val="nil"/>
            </w:tcBorders>
            <w:shd w:val="clear" w:color="auto" w:fill="FFF1CC"/>
          </w:tcPr>
          <w:p w14:paraId="095A5764" w14:textId="77777777" w:rsidR="002B3AD5" w:rsidRDefault="00D66CD0">
            <w:pPr>
              <w:pStyle w:val="TableParagraph"/>
              <w:spacing w:before="119" w:line="276" w:lineRule="auto"/>
              <w:ind w:right="348"/>
              <w:rPr>
                <w:b/>
                <w:sz w:val="20"/>
                <w:lang w:eastAsia="ja-JP"/>
              </w:rPr>
            </w:pPr>
            <w:r>
              <w:rPr>
                <w:b/>
                <w:sz w:val="20"/>
                <w:lang w:eastAsia="ja-JP"/>
              </w:rPr>
              <w:t>基準A1:物質的な物理的気候リスクの低減</w:t>
            </w:r>
          </w:p>
        </w:tc>
        <w:tc>
          <w:tcPr>
            <w:tcW w:w="7231" w:type="dxa"/>
            <w:tcBorders>
              <w:top w:val="nil"/>
            </w:tcBorders>
            <w:shd w:val="clear" w:color="auto" w:fill="FFF1CC"/>
          </w:tcPr>
          <w:p w14:paraId="095A5765" w14:textId="77777777" w:rsidR="002B3AD5" w:rsidRDefault="00D66CD0">
            <w:pPr>
              <w:pStyle w:val="TableParagraph"/>
              <w:spacing w:before="119" w:line="276" w:lineRule="auto"/>
              <w:ind w:right="101"/>
              <w:rPr>
                <w:sz w:val="20"/>
                <w:lang w:eastAsia="ja-JP"/>
              </w:rPr>
            </w:pPr>
            <w:r>
              <w:rPr>
                <w:sz w:val="20"/>
                <w:lang w:eastAsia="ja-JP"/>
              </w:rPr>
              <w:t>経済活動は、可能な限り、最善の努力に基づいて、すべての物質的な気候リスクを活動にまで低減しなければならない。</w:t>
            </w:r>
          </w:p>
        </w:tc>
      </w:tr>
      <w:tr w:rsidR="002B3AD5" w14:paraId="095A5769" w14:textId="77777777">
        <w:trPr>
          <w:trHeight w:val="2090"/>
        </w:trPr>
        <w:tc>
          <w:tcPr>
            <w:tcW w:w="1697" w:type="dxa"/>
          </w:tcPr>
          <w:p w14:paraId="095A5767" w14:textId="77777777" w:rsidR="002B3AD5" w:rsidRDefault="00D66CD0">
            <w:pPr>
              <w:pStyle w:val="TableParagraph"/>
              <w:spacing w:before="119"/>
              <w:ind w:left="0" w:right="98"/>
              <w:jc w:val="right"/>
              <w:rPr>
                <w:b/>
                <w:sz w:val="20"/>
              </w:rPr>
            </w:pPr>
            <w:r>
              <w:rPr>
                <w:b/>
                <w:w w:val="95"/>
                <w:sz w:val="20"/>
              </w:rPr>
              <w:t>A1.1</w:t>
            </w:r>
          </w:p>
        </w:tc>
        <w:tc>
          <w:tcPr>
            <w:tcW w:w="7231" w:type="dxa"/>
          </w:tcPr>
          <w:p w14:paraId="095A5768" w14:textId="77777777" w:rsidR="002B3AD5" w:rsidRDefault="00D66CD0">
            <w:pPr>
              <w:pStyle w:val="TableParagraph"/>
              <w:spacing w:before="119" w:line="276" w:lineRule="auto"/>
              <w:ind w:right="101"/>
              <w:rPr>
                <w:sz w:val="20"/>
                <w:lang w:eastAsia="ja-JP"/>
              </w:rPr>
            </w:pPr>
            <w:r>
              <w:rPr>
                <w:sz w:val="20"/>
                <w:lang w:eastAsia="ja-JP"/>
              </w:rPr>
              <w:t>この活動は、気候リスク評価を通じて特定されたすべての重大なリスクを可能な限り、最善の努力に基づいて削減することを目的とした物理的・非物理的措置を統合している。 既存の活動については、これらの物理的・非物理的措置の実施は、最大5年間にわたって段階的に実施することができる。 新たな活動では、設計・施工時にこれらの対策を実施する必要がある。</w:t>
            </w:r>
          </w:p>
        </w:tc>
      </w:tr>
      <w:tr w:rsidR="002B3AD5" w14:paraId="095A576F" w14:textId="77777777">
        <w:trPr>
          <w:trHeight w:val="2453"/>
        </w:trPr>
        <w:tc>
          <w:tcPr>
            <w:tcW w:w="1697" w:type="dxa"/>
            <w:shd w:val="clear" w:color="auto" w:fill="FFF1CC"/>
          </w:tcPr>
          <w:p w14:paraId="095A576A" w14:textId="77777777" w:rsidR="002B3AD5" w:rsidRDefault="00D66CD0">
            <w:pPr>
              <w:pStyle w:val="TableParagraph"/>
              <w:spacing w:before="119"/>
              <w:ind w:left="0" w:right="98"/>
              <w:jc w:val="right"/>
              <w:rPr>
                <w:b/>
                <w:sz w:val="20"/>
              </w:rPr>
            </w:pPr>
            <w:r>
              <w:rPr>
                <w:b/>
                <w:w w:val="95"/>
                <w:sz w:val="20"/>
              </w:rPr>
              <w:t>A1.2</w:t>
            </w:r>
          </w:p>
        </w:tc>
        <w:tc>
          <w:tcPr>
            <w:tcW w:w="7231" w:type="dxa"/>
            <w:shd w:val="clear" w:color="auto" w:fill="FFF1CC"/>
          </w:tcPr>
          <w:p w14:paraId="095A576B" w14:textId="77777777" w:rsidR="002B3AD5" w:rsidRDefault="00D66CD0">
            <w:pPr>
              <w:pStyle w:val="TableParagraph"/>
              <w:spacing w:before="119" w:line="278" w:lineRule="auto"/>
              <w:ind w:right="101" w:firstLine="55"/>
              <w:rPr>
                <w:sz w:val="20"/>
                <w:lang w:eastAsia="ja-JP"/>
              </w:rPr>
            </w:pPr>
            <w:r>
              <w:rPr>
                <w:sz w:val="20"/>
                <w:lang w:eastAsia="ja-JP"/>
              </w:rPr>
              <w:t>上記の気候リスク評価には、以下の特徴がある。</w:t>
            </w:r>
          </w:p>
          <w:p w14:paraId="095A576C" w14:textId="03B8BB85" w:rsidR="002B3AD5" w:rsidRDefault="00D66CD0">
            <w:pPr>
              <w:pStyle w:val="TableParagraph"/>
              <w:numPr>
                <w:ilvl w:val="0"/>
                <w:numId w:val="7"/>
              </w:numPr>
              <w:tabs>
                <w:tab w:val="left" w:pos="828"/>
                <w:tab w:val="left" w:pos="829"/>
              </w:tabs>
              <w:spacing w:before="118" w:line="276" w:lineRule="auto"/>
              <w:ind w:right="345"/>
              <w:rPr>
                <w:sz w:val="20"/>
                <w:lang w:eastAsia="ja-JP"/>
              </w:rPr>
            </w:pPr>
            <w:r>
              <w:rPr>
                <w:sz w:val="20"/>
                <w:lang w:eastAsia="ja-JP"/>
              </w:rPr>
              <w:t>現在の気候変動性と将来の気候変動(不確実性を含む)の両方を考慮する</w:t>
            </w:r>
            <w:r w:rsidR="008847CF">
              <w:rPr>
                <w:rFonts w:hint="eastAsia"/>
                <w:sz w:val="20"/>
                <w:lang w:eastAsia="ja-JP"/>
              </w:rPr>
              <w:t>こと</w:t>
            </w:r>
            <w:r>
              <w:rPr>
                <w:sz w:val="20"/>
                <w:lang w:eastAsia="ja-JP"/>
              </w:rPr>
              <w:t>。</w:t>
            </w:r>
          </w:p>
          <w:p w14:paraId="095A576D" w14:textId="34C44686" w:rsidR="002B3AD5" w:rsidRDefault="00D66CD0">
            <w:pPr>
              <w:pStyle w:val="TableParagraph"/>
              <w:numPr>
                <w:ilvl w:val="0"/>
                <w:numId w:val="7"/>
              </w:numPr>
              <w:tabs>
                <w:tab w:val="left" w:pos="828"/>
                <w:tab w:val="left" w:pos="829"/>
              </w:tabs>
              <w:spacing w:before="119" w:line="276" w:lineRule="auto"/>
              <w:ind w:right="373"/>
              <w:rPr>
                <w:sz w:val="20"/>
                <w:lang w:eastAsia="ja-JP"/>
              </w:rPr>
            </w:pPr>
            <w:r>
              <w:rPr>
                <w:sz w:val="20"/>
                <w:lang w:eastAsia="ja-JP"/>
              </w:rPr>
              <w:t>利用可能な気候データと将来の一連のシナリオにわたる予測のロバストな分析に基づいている</w:t>
            </w:r>
            <w:r w:rsidR="008847CF">
              <w:rPr>
                <w:rFonts w:hint="eastAsia"/>
                <w:sz w:val="20"/>
                <w:lang w:eastAsia="ja-JP"/>
              </w:rPr>
              <w:t>こと</w:t>
            </w:r>
            <w:r>
              <w:rPr>
                <w:sz w:val="20"/>
                <w:lang w:eastAsia="ja-JP"/>
              </w:rPr>
              <w:t>。</w:t>
            </w:r>
          </w:p>
          <w:p w14:paraId="095A576E" w14:textId="53137A88" w:rsidR="002B3AD5" w:rsidRDefault="00D66CD0">
            <w:pPr>
              <w:pStyle w:val="TableParagraph"/>
              <w:numPr>
                <w:ilvl w:val="0"/>
                <w:numId w:val="7"/>
              </w:numPr>
              <w:tabs>
                <w:tab w:val="left" w:pos="828"/>
                <w:tab w:val="left" w:pos="829"/>
              </w:tabs>
              <w:spacing w:before="121"/>
              <w:rPr>
                <w:sz w:val="20"/>
                <w:lang w:eastAsia="ja-JP"/>
              </w:rPr>
            </w:pPr>
            <w:r>
              <w:rPr>
                <w:sz w:val="20"/>
                <w:lang w:eastAsia="ja-JP"/>
              </w:rPr>
              <w:t>活動の</w:t>
            </w:r>
            <w:r w:rsidR="008847CF">
              <w:rPr>
                <w:rFonts w:hint="eastAsia"/>
                <w:sz w:val="20"/>
                <w:lang w:eastAsia="ja-JP"/>
              </w:rPr>
              <w:t>有効期間</w:t>
            </w:r>
            <w:r>
              <w:rPr>
                <w:sz w:val="20"/>
                <w:lang w:eastAsia="ja-JP"/>
              </w:rPr>
              <w:t>と一致する</w:t>
            </w:r>
            <w:r w:rsidR="008847CF">
              <w:rPr>
                <w:rFonts w:hint="eastAsia"/>
                <w:sz w:val="20"/>
                <w:lang w:eastAsia="ja-JP"/>
              </w:rPr>
              <w:t>こと</w:t>
            </w:r>
            <w:r>
              <w:rPr>
                <w:sz w:val="20"/>
                <w:lang w:eastAsia="ja-JP"/>
              </w:rPr>
              <w:t>。</w:t>
            </w:r>
          </w:p>
        </w:tc>
      </w:tr>
    </w:tbl>
    <w:p w14:paraId="095A5770" w14:textId="77777777" w:rsidR="002B3AD5" w:rsidRDefault="002B3AD5">
      <w:pPr>
        <w:rPr>
          <w:sz w:val="20"/>
          <w:lang w:eastAsia="ja-JP"/>
        </w:rPr>
        <w:sectPr w:rsidR="002B3AD5">
          <w:pgSz w:w="12240" w:h="15840"/>
          <w:pgMar w:top="1360" w:right="320" w:bottom="1200" w:left="360" w:header="0" w:footer="1020" w:gutter="0"/>
          <w:cols w:space="720"/>
        </w:sectPr>
      </w:pPr>
    </w:p>
    <w:tbl>
      <w:tblPr>
        <w:tblStyle w:val="TableNormal"/>
        <w:tblW w:w="0" w:type="auto"/>
        <w:tblInd w:w="109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1697"/>
        <w:gridCol w:w="7231"/>
      </w:tblGrid>
      <w:tr w:rsidR="002B3AD5" w14:paraId="095A5773" w14:textId="77777777">
        <w:trPr>
          <w:trHeight w:val="1298"/>
        </w:trPr>
        <w:tc>
          <w:tcPr>
            <w:tcW w:w="1697" w:type="dxa"/>
          </w:tcPr>
          <w:p w14:paraId="095A5771" w14:textId="2D508634" w:rsidR="002B3AD5" w:rsidRDefault="00D66CD0" w:rsidP="008847CF">
            <w:pPr>
              <w:pStyle w:val="TableParagraph"/>
              <w:spacing w:before="120" w:line="276" w:lineRule="auto"/>
              <w:ind w:right="348"/>
              <w:rPr>
                <w:b/>
                <w:sz w:val="20"/>
                <w:lang w:eastAsia="ja-JP"/>
              </w:rPr>
            </w:pPr>
            <w:r>
              <w:rPr>
                <w:b/>
                <w:sz w:val="20"/>
                <w:lang w:eastAsia="ja-JP"/>
              </w:rPr>
              <w:lastRenderedPageBreak/>
              <w:t>基準A2:システムの適応</w:t>
            </w:r>
            <w:r w:rsidR="008847CF">
              <w:rPr>
                <w:rFonts w:hint="eastAsia"/>
                <w:b/>
                <w:sz w:val="20"/>
                <w:lang w:eastAsia="ja-JP"/>
              </w:rPr>
              <w:t>支援</w:t>
            </w:r>
          </w:p>
        </w:tc>
        <w:tc>
          <w:tcPr>
            <w:tcW w:w="7231" w:type="dxa"/>
          </w:tcPr>
          <w:p w14:paraId="095A5772" w14:textId="2AE35089" w:rsidR="002B3AD5" w:rsidRDefault="00D66CD0">
            <w:pPr>
              <w:pStyle w:val="TableParagraph"/>
              <w:spacing w:before="120" w:line="276" w:lineRule="auto"/>
              <w:ind w:right="101"/>
              <w:rPr>
                <w:sz w:val="20"/>
                <w:lang w:eastAsia="ja-JP"/>
              </w:rPr>
            </w:pPr>
            <w:r>
              <w:rPr>
                <w:sz w:val="20"/>
                <w:lang w:eastAsia="ja-JP"/>
              </w:rPr>
              <w:t>経済活動及びその適応措置は、他の人々、自然及び資産の適応努力に悪影響を及ぼさない</w:t>
            </w:r>
            <w:r w:rsidR="008847CF">
              <w:rPr>
                <w:rFonts w:hint="eastAsia"/>
                <w:sz w:val="20"/>
                <w:lang w:eastAsia="ja-JP"/>
              </w:rPr>
              <w:t>こと</w:t>
            </w:r>
            <w:r>
              <w:rPr>
                <w:sz w:val="20"/>
                <w:lang w:eastAsia="ja-JP"/>
              </w:rPr>
              <w:t>。</w:t>
            </w:r>
          </w:p>
        </w:tc>
      </w:tr>
      <w:tr w:rsidR="002B3AD5" w14:paraId="095A5776" w14:textId="77777777">
        <w:trPr>
          <w:trHeight w:val="1298"/>
        </w:trPr>
        <w:tc>
          <w:tcPr>
            <w:tcW w:w="1697" w:type="dxa"/>
            <w:shd w:val="clear" w:color="auto" w:fill="FFF1CC"/>
          </w:tcPr>
          <w:p w14:paraId="095A5774" w14:textId="77777777" w:rsidR="002B3AD5" w:rsidRDefault="00D66CD0">
            <w:pPr>
              <w:pStyle w:val="TableParagraph"/>
              <w:spacing w:before="119"/>
              <w:ind w:left="0" w:right="98"/>
              <w:jc w:val="right"/>
              <w:rPr>
                <w:b/>
                <w:sz w:val="20"/>
              </w:rPr>
            </w:pPr>
            <w:r>
              <w:rPr>
                <w:b/>
                <w:w w:val="95"/>
                <w:sz w:val="20"/>
              </w:rPr>
              <w:t>A2.1</w:t>
            </w:r>
          </w:p>
        </w:tc>
        <w:tc>
          <w:tcPr>
            <w:tcW w:w="7231" w:type="dxa"/>
            <w:shd w:val="clear" w:color="auto" w:fill="FFF1CC"/>
          </w:tcPr>
          <w:p w14:paraId="095A5775" w14:textId="053947B8" w:rsidR="002B3AD5" w:rsidRDefault="00D66CD0">
            <w:pPr>
              <w:pStyle w:val="TableParagraph"/>
              <w:spacing w:before="119" w:line="276" w:lineRule="auto"/>
              <w:ind w:right="102" w:firstLine="55"/>
              <w:rPr>
                <w:sz w:val="20"/>
                <w:lang w:eastAsia="ja-JP"/>
              </w:rPr>
            </w:pPr>
            <w:r>
              <w:rPr>
                <w:sz w:val="20"/>
                <w:lang w:eastAsia="ja-JP"/>
              </w:rPr>
              <w:t>経済活動及びその適応措置は、他の人々、自然及び資産に対する悪影響のリスクを増大させたり、他の場所での適応を妨げたりするものではない</w:t>
            </w:r>
            <w:r w:rsidR="008847CF">
              <w:rPr>
                <w:rFonts w:hint="eastAsia"/>
                <w:sz w:val="20"/>
                <w:lang w:eastAsia="ja-JP"/>
              </w:rPr>
              <w:t>こと</w:t>
            </w:r>
            <w:r>
              <w:rPr>
                <w:sz w:val="20"/>
                <w:lang w:eastAsia="ja-JP"/>
              </w:rPr>
              <w:t>。 適応に取り組むためには、「グリーン」または「自然に基づく解決策」が「グレー」対策よりも有効である</w:t>
            </w:r>
            <w:r w:rsidR="008847CF">
              <w:rPr>
                <w:rFonts w:hint="eastAsia"/>
                <w:sz w:val="20"/>
                <w:lang w:eastAsia="ja-JP"/>
              </w:rPr>
              <w:t>よう配慮</w:t>
            </w:r>
            <w:r>
              <w:rPr>
                <w:sz w:val="20"/>
                <w:lang w:eastAsia="ja-JP"/>
              </w:rPr>
              <w:t>すべきである。</w:t>
            </w:r>
          </w:p>
        </w:tc>
      </w:tr>
      <w:tr w:rsidR="002B3AD5" w14:paraId="095A5779" w14:textId="77777777">
        <w:trPr>
          <w:trHeight w:val="770"/>
        </w:trPr>
        <w:tc>
          <w:tcPr>
            <w:tcW w:w="1697" w:type="dxa"/>
          </w:tcPr>
          <w:p w14:paraId="095A5777" w14:textId="77777777" w:rsidR="002B3AD5" w:rsidRDefault="00D66CD0">
            <w:pPr>
              <w:pStyle w:val="TableParagraph"/>
              <w:spacing w:before="119"/>
              <w:ind w:left="0" w:right="98"/>
              <w:jc w:val="right"/>
              <w:rPr>
                <w:b/>
                <w:sz w:val="20"/>
              </w:rPr>
            </w:pPr>
            <w:r>
              <w:rPr>
                <w:b/>
                <w:w w:val="95"/>
                <w:sz w:val="20"/>
              </w:rPr>
              <w:t>A2.2</w:t>
            </w:r>
          </w:p>
        </w:tc>
        <w:tc>
          <w:tcPr>
            <w:tcW w:w="7231" w:type="dxa"/>
          </w:tcPr>
          <w:p w14:paraId="095A5778" w14:textId="0181149F" w:rsidR="002B3AD5" w:rsidRDefault="00D66CD0">
            <w:pPr>
              <w:pStyle w:val="TableParagraph"/>
              <w:spacing w:before="119" w:line="276" w:lineRule="auto"/>
              <w:ind w:right="101"/>
              <w:rPr>
                <w:sz w:val="20"/>
                <w:lang w:eastAsia="ja-JP"/>
              </w:rPr>
            </w:pPr>
            <w:r>
              <w:rPr>
                <w:sz w:val="20"/>
                <w:lang w:eastAsia="ja-JP"/>
              </w:rPr>
              <w:t>この活動</w:t>
            </w:r>
            <w:r w:rsidR="008847CF">
              <w:rPr>
                <w:rFonts w:hint="eastAsia"/>
                <w:sz w:val="20"/>
                <w:lang w:eastAsia="ja-JP"/>
              </w:rPr>
              <w:t>が</w:t>
            </w:r>
            <w:r>
              <w:rPr>
                <w:sz w:val="20"/>
                <w:lang w:eastAsia="ja-JP"/>
              </w:rPr>
              <w:t>、部門別、地域別、国別の適応努力と整合的である</w:t>
            </w:r>
            <w:r w:rsidR="008847CF">
              <w:rPr>
                <w:rFonts w:hint="eastAsia"/>
                <w:sz w:val="20"/>
                <w:lang w:eastAsia="ja-JP"/>
              </w:rPr>
              <w:t>こと</w:t>
            </w:r>
            <w:r>
              <w:rPr>
                <w:sz w:val="20"/>
                <w:lang w:eastAsia="ja-JP"/>
              </w:rPr>
              <w:t>。</w:t>
            </w:r>
          </w:p>
        </w:tc>
      </w:tr>
    </w:tbl>
    <w:p w14:paraId="095A577A" w14:textId="77777777" w:rsidR="002B3AD5" w:rsidRDefault="002B3AD5">
      <w:pPr>
        <w:pStyle w:val="a3"/>
        <w:rPr>
          <w:lang w:eastAsia="ja-JP"/>
        </w:rPr>
      </w:pPr>
    </w:p>
    <w:p w14:paraId="095A577B" w14:textId="77777777" w:rsidR="002B3AD5" w:rsidRDefault="002B3AD5">
      <w:pPr>
        <w:pStyle w:val="a3"/>
        <w:spacing w:before="3"/>
        <w:rPr>
          <w:sz w:val="26"/>
          <w:lang w:eastAsia="ja-JP"/>
        </w:rPr>
      </w:pPr>
    </w:p>
    <w:p w14:paraId="095A577C" w14:textId="77777777" w:rsidR="002B3AD5" w:rsidRDefault="00D66CD0">
      <w:pPr>
        <w:pStyle w:val="3"/>
        <w:numPr>
          <w:ilvl w:val="1"/>
          <w:numId w:val="24"/>
        </w:numPr>
        <w:tabs>
          <w:tab w:val="left" w:pos="1800"/>
          <w:tab w:val="left" w:pos="1801"/>
        </w:tabs>
        <w:spacing w:before="93"/>
      </w:pPr>
      <w:bookmarkStart w:id="15" w:name="_bookmark15"/>
      <w:bookmarkEnd w:id="15"/>
      <w:r>
        <w:rPr>
          <w:color w:val="006FC0"/>
        </w:rPr>
        <w:t>環境目標3-6へのDNSH</w:t>
      </w:r>
    </w:p>
    <w:p w14:paraId="095A577D" w14:textId="5000C2C5" w:rsidR="002B3AD5" w:rsidRDefault="00D66CD0">
      <w:pPr>
        <w:pStyle w:val="a3"/>
        <w:spacing w:before="201" w:line="276" w:lineRule="auto"/>
        <w:ind w:left="1080" w:right="1152"/>
        <w:rPr>
          <w:lang w:eastAsia="ja-JP"/>
        </w:rPr>
      </w:pPr>
      <w:r>
        <w:rPr>
          <w:lang w:eastAsia="ja-JP"/>
        </w:rPr>
        <w:t>DNSH基準は、</w:t>
      </w:r>
      <w:r w:rsidR="008847CF">
        <w:rPr>
          <w:rFonts w:hint="eastAsia"/>
          <w:lang w:eastAsia="ja-JP"/>
        </w:rPr>
        <w:t>タクソノミー</w:t>
      </w:r>
      <w:r>
        <w:rPr>
          <w:lang w:eastAsia="ja-JP"/>
        </w:rPr>
        <w:t>法案第14条に従い、各経済活動に関連する環境目的に重大な損害を与えないために満たすべき最低限の要件を規定することを目的としている。 第12条では、各環境目的に対してどのような重大な有害性があるかについて、さらに詳細に規定している。</w:t>
      </w:r>
    </w:p>
    <w:p w14:paraId="095A577E" w14:textId="77777777" w:rsidR="002B3AD5" w:rsidRDefault="002B3AD5">
      <w:pPr>
        <w:pStyle w:val="a3"/>
        <w:rPr>
          <w:sz w:val="21"/>
          <w:lang w:eastAsia="ja-JP"/>
        </w:rPr>
      </w:pPr>
    </w:p>
    <w:p w14:paraId="095A577F" w14:textId="483CE372" w:rsidR="002B3AD5" w:rsidRDefault="00D66CD0">
      <w:pPr>
        <w:spacing w:before="1"/>
        <w:ind w:left="2974"/>
        <w:rPr>
          <w:sz w:val="18"/>
          <w:lang w:eastAsia="ja-JP"/>
        </w:rPr>
      </w:pPr>
      <w:r>
        <w:rPr>
          <w:color w:val="44536A"/>
          <w:sz w:val="18"/>
          <w:lang w:eastAsia="ja-JP"/>
        </w:rPr>
        <w:t>表7 - 重大な有害性の判定基準: 環境目標3-6</w:t>
      </w:r>
    </w:p>
    <w:p w14:paraId="095A5780" w14:textId="77777777" w:rsidR="002B3AD5" w:rsidRDefault="002B3AD5">
      <w:pPr>
        <w:pStyle w:val="a3"/>
        <w:spacing w:before="1"/>
        <w:rPr>
          <w:sz w:val="17"/>
          <w:lang w:eastAsia="ja-JP"/>
        </w:rPr>
      </w:pPr>
    </w:p>
    <w:tbl>
      <w:tblPr>
        <w:tblStyle w:val="TableNormal"/>
        <w:tblW w:w="0" w:type="auto"/>
        <w:tblInd w:w="109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3116"/>
        <w:gridCol w:w="5948"/>
      </w:tblGrid>
      <w:tr w:rsidR="002B3AD5" w14:paraId="095A5783" w14:textId="77777777">
        <w:trPr>
          <w:trHeight w:val="525"/>
        </w:trPr>
        <w:tc>
          <w:tcPr>
            <w:tcW w:w="3116" w:type="dxa"/>
            <w:tcBorders>
              <w:top w:val="nil"/>
              <w:left w:val="nil"/>
              <w:bottom w:val="nil"/>
              <w:right w:val="nil"/>
            </w:tcBorders>
            <w:shd w:val="clear" w:color="auto" w:fill="FFC000"/>
          </w:tcPr>
          <w:p w14:paraId="095A5781" w14:textId="77777777" w:rsidR="002B3AD5" w:rsidRDefault="00D66CD0">
            <w:pPr>
              <w:pStyle w:val="TableParagraph"/>
              <w:spacing w:before="129"/>
              <w:ind w:left="112"/>
              <w:rPr>
                <w:b/>
                <w:sz w:val="20"/>
              </w:rPr>
            </w:pPr>
            <w:proofErr w:type="spellStart"/>
            <w:r>
              <w:rPr>
                <w:b/>
                <w:color w:val="FFFFFF"/>
                <w:sz w:val="20"/>
              </w:rPr>
              <w:t>目的</w:t>
            </w:r>
            <w:proofErr w:type="spellEnd"/>
          </w:p>
        </w:tc>
        <w:tc>
          <w:tcPr>
            <w:tcW w:w="5948" w:type="dxa"/>
            <w:tcBorders>
              <w:top w:val="nil"/>
              <w:left w:val="nil"/>
              <w:bottom w:val="nil"/>
              <w:right w:val="nil"/>
            </w:tcBorders>
            <w:shd w:val="clear" w:color="auto" w:fill="FFC000"/>
          </w:tcPr>
          <w:p w14:paraId="095A5782" w14:textId="77777777" w:rsidR="002B3AD5" w:rsidRDefault="00D66CD0">
            <w:pPr>
              <w:pStyle w:val="TableParagraph"/>
              <w:spacing w:before="129"/>
              <w:ind w:left="112"/>
              <w:rPr>
                <w:b/>
                <w:sz w:val="20"/>
                <w:lang w:eastAsia="ja-JP"/>
              </w:rPr>
            </w:pPr>
            <w:r>
              <w:rPr>
                <w:b/>
                <w:color w:val="FFFFFF"/>
                <w:sz w:val="20"/>
                <w:lang w:eastAsia="ja-JP"/>
              </w:rPr>
              <w:t>「重大な損害」を引き起こす条件</w:t>
            </w:r>
          </w:p>
        </w:tc>
      </w:tr>
      <w:tr w:rsidR="002B3AD5" w14:paraId="095A5786" w14:textId="77777777">
        <w:trPr>
          <w:trHeight w:val="1296"/>
        </w:trPr>
        <w:tc>
          <w:tcPr>
            <w:tcW w:w="3116" w:type="dxa"/>
            <w:tcBorders>
              <w:top w:val="nil"/>
            </w:tcBorders>
            <w:shd w:val="clear" w:color="auto" w:fill="FFF1CC"/>
          </w:tcPr>
          <w:p w14:paraId="095A5784" w14:textId="77777777" w:rsidR="002B3AD5" w:rsidRDefault="00D66CD0">
            <w:pPr>
              <w:pStyle w:val="TableParagraph"/>
              <w:spacing w:before="120" w:line="276" w:lineRule="auto"/>
              <w:ind w:left="467" w:hanging="360"/>
              <w:rPr>
                <w:b/>
                <w:sz w:val="20"/>
                <w:lang w:eastAsia="ja-JP"/>
              </w:rPr>
            </w:pPr>
            <w:r>
              <w:rPr>
                <w:b/>
                <w:sz w:val="20"/>
                <w:lang w:eastAsia="ja-JP"/>
              </w:rPr>
              <w:t>(3) 水資源及び海洋資源の持続可能な利用及び保護</w:t>
            </w:r>
          </w:p>
        </w:tc>
        <w:tc>
          <w:tcPr>
            <w:tcW w:w="5948" w:type="dxa"/>
            <w:tcBorders>
              <w:top w:val="nil"/>
            </w:tcBorders>
            <w:shd w:val="clear" w:color="auto" w:fill="FFF1CC"/>
          </w:tcPr>
          <w:p w14:paraId="095A5785" w14:textId="7BF5FF12" w:rsidR="002B3AD5" w:rsidRDefault="00D66CD0" w:rsidP="00E607EF">
            <w:pPr>
              <w:pStyle w:val="TableParagraph"/>
              <w:spacing w:before="120" w:line="276" w:lineRule="auto"/>
              <w:rPr>
                <w:sz w:val="20"/>
                <w:lang w:eastAsia="ja-JP"/>
              </w:rPr>
            </w:pPr>
            <w:r>
              <w:rPr>
                <w:sz w:val="20"/>
                <w:lang w:eastAsia="ja-JP"/>
              </w:rPr>
              <w:t>…その活動が良好な状態</w:t>
            </w:r>
            <w:r w:rsidR="00E607EF">
              <w:rPr>
                <w:rFonts w:hint="eastAsia"/>
                <w:sz w:val="20"/>
                <w:lang w:eastAsia="ja-JP"/>
              </w:rPr>
              <w:t>、</w:t>
            </w:r>
            <w:r w:rsidR="00E607EF" w:rsidRPr="00E607EF">
              <w:rPr>
                <w:rFonts w:hint="eastAsia"/>
                <w:sz w:val="20"/>
                <w:lang w:eastAsia="ja-JP"/>
              </w:rPr>
              <w:t>又は関連する場合には良好な生態学的潜在性、地表水及び地下水を含む水域又は海洋の良好な環境状態</w:t>
            </w:r>
            <w:r w:rsidR="008847CF">
              <w:rPr>
                <w:rFonts w:hint="eastAsia"/>
                <w:sz w:val="20"/>
                <w:lang w:eastAsia="ja-JP"/>
              </w:rPr>
              <w:t>について有害である、</w:t>
            </w:r>
          </w:p>
        </w:tc>
      </w:tr>
      <w:tr w:rsidR="002B3AD5" w14:paraId="095A5789" w14:textId="77777777">
        <w:trPr>
          <w:trHeight w:val="3151"/>
        </w:trPr>
        <w:tc>
          <w:tcPr>
            <w:tcW w:w="3116" w:type="dxa"/>
          </w:tcPr>
          <w:p w14:paraId="095A5787" w14:textId="27474F26" w:rsidR="002B3AD5" w:rsidRDefault="00D66CD0">
            <w:pPr>
              <w:pStyle w:val="TableParagraph"/>
              <w:spacing w:before="122" w:line="276" w:lineRule="auto"/>
              <w:ind w:left="467" w:right="140" w:hanging="360"/>
              <w:rPr>
                <w:b/>
                <w:sz w:val="20"/>
                <w:lang w:eastAsia="ja-JP"/>
              </w:rPr>
            </w:pPr>
            <w:r>
              <w:rPr>
                <w:b/>
                <w:sz w:val="20"/>
                <w:lang w:eastAsia="ja-JP"/>
              </w:rPr>
              <w:t>(4) 廃棄物の発生抑制・リサイクルを含めた</w:t>
            </w:r>
            <w:r w:rsidR="00E607EF">
              <w:rPr>
                <w:rFonts w:hint="eastAsia"/>
                <w:b/>
                <w:sz w:val="20"/>
                <w:lang w:eastAsia="ja-JP"/>
              </w:rPr>
              <w:t>さーゆらーエコノミー</w:t>
            </w:r>
          </w:p>
        </w:tc>
        <w:tc>
          <w:tcPr>
            <w:tcW w:w="5948" w:type="dxa"/>
          </w:tcPr>
          <w:p w14:paraId="095A5788" w14:textId="1DB49E8C" w:rsidR="002B3AD5" w:rsidRDefault="00D66CD0">
            <w:pPr>
              <w:pStyle w:val="TableParagraph"/>
              <w:spacing w:before="122" w:line="276" w:lineRule="auto"/>
              <w:ind w:right="219"/>
              <w:rPr>
                <w:sz w:val="20"/>
                <w:lang w:eastAsia="ja-JP"/>
              </w:rPr>
            </w:pPr>
            <w:r>
              <w:rPr>
                <w:sz w:val="20"/>
                <w:lang w:eastAsia="ja-JP"/>
              </w:rPr>
              <w:t>その活動が、製品の耐久性、修理性、耐久性、改良性、再使用性若しくはリサイクル性の観点を含め、製品のライフサイクルの一</w:t>
            </w:r>
            <w:r w:rsidR="00E607EF">
              <w:rPr>
                <w:rFonts w:hint="eastAsia"/>
                <w:sz w:val="20"/>
                <w:lang w:eastAsia="ja-JP"/>
              </w:rPr>
              <w:t>つ</w:t>
            </w:r>
            <w:r>
              <w:rPr>
                <w:sz w:val="20"/>
                <w:lang w:eastAsia="ja-JP"/>
              </w:rPr>
              <w:t>又は二</w:t>
            </w:r>
            <w:r w:rsidR="00E607EF">
              <w:rPr>
                <w:rFonts w:hint="eastAsia"/>
                <w:sz w:val="20"/>
                <w:lang w:eastAsia="ja-JP"/>
              </w:rPr>
              <w:t>つ</w:t>
            </w:r>
            <w:r>
              <w:rPr>
                <w:sz w:val="20"/>
                <w:lang w:eastAsia="ja-JP"/>
              </w:rPr>
              <w:t>以上の</w:t>
            </w:r>
            <w:r w:rsidR="00E607EF">
              <w:rPr>
                <w:rFonts w:hint="eastAsia"/>
                <w:sz w:val="20"/>
                <w:lang w:eastAsia="ja-JP"/>
              </w:rPr>
              <w:t>ステージ</w:t>
            </w:r>
            <w:r>
              <w:rPr>
                <w:sz w:val="20"/>
                <w:lang w:eastAsia="ja-JP"/>
              </w:rPr>
              <w:t>において、材料の使用並びに自然資源(再生不可能なエネルギー源、原材料、水及び土地等)の直接的又は間接的な使用に</w:t>
            </w:r>
            <w:r w:rsidR="00E607EF">
              <w:rPr>
                <w:rFonts w:hint="eastAsia"/>
                <w:sz w:val="20"/>
                <w:lang w:eastAsia="ja-JP"/>
              </w:rPr>
              <w:t>よる</w:t>
            </w:r>
            <w:r>
              <w:rPr>
                <w:sz w:val="20"/>
                <w:lang w:eastAsia="ja-JP"/>
              </w:rPr>
              <w:t>著しい非効率性をもたらす場合。リサイクル不可能な有害廃棄物の焼却を除き、又は廃棄物の長期的な処分が環境に重大かつ長期的な悪影響を与える場合において、廃棄物の発生、焼却若しくは処分を著しく増加させる場合。</w:t>
            </w:r>
          </w:p>
        </w:tc>
      </w:tr>
      <w:tr w:rsidR="002B3AD5" w14:paraId="095A578C" w14:textId="77777777">
        <w:trPr>
          <w:trHeight w:val="1034"/>
        </w:trPr>
        <w:tc>
          <w:tcPr>
            <w:tcW w:w="3116" w:type="dxa"/>
            <w:shd w:val="clear" w:color="auto" w:fill="FFF1CC"/>
          </w:tcPr>
          <w:p w14:paraId="095A578A" w14:textId="77777777" w:rsidR="002B3AD5" w:rsidRDefault="00D66CD0">
            <w:pPr>
              <w:pStyle w:val="TableParagraph"/>
              <w:spacing w:before="119" w:line="276" w:lineRule="auto"/>
              <w:ind w:left="467" w:hanging="360"/>
              <w:rPr>
                <w:b/>
                <w:sz w:val="20"/>
              </w:rPr>
            </w:pPr>
            <w:r>
              <w:rPr>
                <w:b/>
                <w:sz w:val="20"/>
              </w:rPr>
              <w:t xml:space="preserve">(5) </w:t>
            </w:r>
            <w:proofErr w:type="spellStart"/>
            <w:r>
              <w:rPr>
                <w:b/>
                <w:sz w:val="20"/>
              </w:rPr>
              <w:t>公害防止・管理</w:t>
            </w:r>
            <w:proofErr w:type="spellEnd"/>
          </w:p>
        </w:tc>
        <w:tc>
          <w:tcPr>
            <w:tcW w:w="5948" w:type="dxa"/>
            <w:shd w:val="clear" w:color="auto" w:fill="FFF1CC"/>
          </w:tcPr>
          <w:p w14:paraId="095A578B" w14:textId="77777777" w:rsidR="002B3AD5" w:rsidRDefault="00D66CD0">
            <w:pPr>
              <w:pStyle w:val="TableParagraph"/>
              <w:spacing w:before="119" w:line="276" w:lineRule="auto"/>
              <w:ind w:right="374"/>
              <w:rPr>
                <w:sz w:val="20"/>
                <w:lang w:eastAsia="ja-JP"/>
              </w:rPr>
            </w:pPr>
            <w:r>
              <w:rPr>
                <w:sz w:val="20"/>
                <w:lang w:eastAsia="ja-JP"/>
              </w:rPr>
              <w:t>…その活動が開始される前の状況と比較して、大気、水域又は土地への汚染物質の排出の著しい増加につながる場合</w:t>
            </w:r>
          </w:p>
        </w:tc>
      </w:tr>
    </w:tbl>
    <w:p w14:paraId="095A578D" w14:textId="77777777" w:rsidR="002B3AD5" w:rsidRDefault="002B3AD5">
      <w:pPr>
        <w:spacing w:line="276" w:lineRule="auto"/>
        <w:rPr>
          <w:sz w:val="20"/>
          <w:lang w:eastAsia="ja-JP"/>
        </w:rPr>
        <w:sectPr w:rsidR="002B3AD5">
          <w:pgSz w:w="12240" w:h="15840"/>
          <w:pgMar w:top="1440" w:right="320" w:bottom="1200" w:left="360" w:header="0" w:footer="1020" w:gutter="0"/>
          <w:cols w:space="720"/>
        </w:sectPr>
      </w:pPr>
    </w:p>
    <w:tbl>
      <w:tblPr>
        <w:tblStyle w:val="TableNormal"/>
        <w:tblW w:w="0" w:type="auto"/>
        <w:tblInd w:w="109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firstRow="1" w:lastRow="1" w:firstColumn="1" w:lastColumn="1" w:noHBand="0" w:noVBand="0"/>
      </w:tblPr>
      <w:tblGrid>
        <w:gridCol w:w="3116"/>
        <w:gridCol w:w="5948"/>
      </w:tblGrid>
      <w:tr w:rsidR="002B3AD5" w14:paraId="095A5790" w14:textId="77777777">
        <w:trPr>
          <w:trHeight w:val="1298"/>
        </w:trPr>
        <w:tc>
          <w:tcPr>
            <w:tcW w:w="3116" w:type="dxa"/>
          </w:tcPr>
          <w:p w14:paraId="095A578E" w14:textId="77777777" w:rsidR="002B3AD5" w:rsidRDefault="00D66CD0">
            <w:pPr>
              <w:pStyle w:val="TableParagraph"/>
              <w:spacing w:before="120" w:line="276" w:lineRule="auto"/>
              <w:ind w:left="467" w:hanging="360"/>
              <w:rPr>
                <w:b/>
                <w:sz w:val="20"/>
              </w:rPr>
            </w:pPr>
            <w:r>
              <w:rPr>
                <w:b/>
                <w:sz w:val="20"/>
              </w:rPr>
              <w:lastRenderedPageBreak/>
              <w:t xml:space="preserve">(6) </w:t>
            </w:r>
            <w:proofErr w:type="spellStart"/>
            <w:r>
              <w:rPr>
                <w:b/>
                <w:sz w:val="20"/>
              </w:rPr>
              <w:t>健全な生態系の保護</w:t>
            </w:r>
            <w:proofErr w:type="spellEnd"/>
          </w:p>
        </w:tc>
        <w:tc>
          <w:tcPr>
            <w:tcW w:w="5948" w:type="dxa"/>
          </w:tcPr>
          <w:p w14:paraId="095A578F" w14:textId="77777777" w:rsidR="002B3AD5" w:rsidRDefault="00D66CD0">
            <w:pPr>
              <w:pStyle w:val="TableParagraph"/>
              <w:spacing w:before="120" w:line="276" w:lineRule="auto"/>
              <w:ind w:right="252"/>
              <w:rPr>
                <w:sz w:val="20"/>
              </w:rPr>
            </w:pPr>
            <w:r>
              <w:rPr>
                <w:sz w:val="20"/>
                <w:lang w:eastAsia="ja-JP"/>
              </w:rPr>
              <w:t>…その活動が生態系の良好な状態及び回復力に著しく悪影響を及ぼす場合又はその活動が生息地及び種の保全状態に悪影響を及ぼす場合(共同体の関心を有するものを含む。</w:t>
            </w:r>
            <w:r>
              <w:rPr>
                <w:sz w:val="20"/>
              </w:rPr>
              <w:t>)</w:t>
            </w:r>
          </w:p>
        </w:tc>
      </w:tr>
    </w:tbl>
    <w:p w14:paraId="095A5791" w14:textId="77777777" w:rsidR="002B3AD5" w:rsidRDefault="002B3AD5">
      <w:pPr>
        <w:pStyle w:val="a3"/>
      </w:pPr>
    </w:p>
    <w:p w14:paraId="095A5792" w14:textId="77777777" w:rsidR="002B3AD5" w:rsidRDefault="002B3AD5">
      <w:pPr>
        <w:pStyle w:val="a3"/>
        <w:spacing w:before="1"/>
        <w:rPr>
          <w:sz w:val="26"/>
        </w:rPr>
      </w:pPr>
    </w:p>
    <w:p w14:paraId="095A5793" w14:textId="35333082" w:rsidR="002B3AD5" w:rsidRDefault="00D66CD0">
      <w:pPr>
        <w:pStyle w:val="a3"/>
        <w:spacing w:before="93" w:line="276" w:lineRule="auto"/>
        <w:ind w:left="1080" w:right="1330"/>
        <w:jc w:val="both"/>
        <w:rPr>
          <w:lang w:eastAsia="ja-JP"/>
        </w:rPr>
      </w:pPr>
      <w:r>
        <w:rPr>
          <w:lang w:eastAsia="ja-JP"/>
        </w:rPr>
        <w:t>さらに、規制は、すべての目的に対して、特にそれらの生産、使用及び寿命を考慮することによって、活動自体及びその活動によって提供される製品及びサービス</w:t>
      </w:r>
      <w:r w:rsidR="00E607EF">
        <w:rPr>
          <w:rFonts w:hint="eastAsia"/>
          <w:lang w:eastAsia="ja-JP"/>
        </w:rPr>
        <w:t>による</w:t>
      </w:r>
      <w:r>
        <w:rPr>
          <w:lang w:eastAsia="ja-JP"/>
        </w:rPr>
        <w:t>環境</w:t>
      </w:r>
      <w:r w:rsidR="00E607EF">
        <w:rPr>
          <w:rFonts w:hint="eastAsia"/>
          <w:lang w:eastAsia="ja-JP"/>
        </w:rPr>
        <w:t>への</w:t>
      </w:r>
      <w:r>
        <w:rPr>
          <w:lang w:eastAsia="ja-JP"/>
        </w:rPr>
        <w:t>影響が、それらのライフサイクルを通して考慮されなければならないことを規定している。</w:t>
      </w:r>
    </w:p>
    <w:p w14:paraId="095A5794" w14:textId="77777777" w:rsidR="002B3AD5" w:rsidRDefault="002B3AD5">
      <w:pPr>
        <w:pStyle w:val="a3"/>
        <w:rPr>
          <w:sz w:val="21"/>
          <w:lang w:eastAsia="ja-JP"/>
        </w:rPr>
      </w:pPr>
    </w:p>
    <w:p w14:paraId="095A5795" w14:textId="1F3B3585" w:rsidR="002B3AD5" w:rsidRDefault="00D66CD0">
      <w:pPr>
        <w:pStyle w:val="a3"/>
        <w:spacing w:line="276" w:lineRule="auto"/>
        <w:ind w:left="1080" w:right="1152"/>
        <w:rPr>
          <w:lang w:eastAsia="ja-JP"/>
        </w:rPr>
      </w:pPr>
      <w:r>
        <w:rPr>
          <w:lang w:eastAsia="ja-JP"/>
        </w:rPr>
        <w:t>TEGによって提案された技術的スクリーニング基準には、可能</w:t>
      </w:r>
      <w:r w:rsidR="00E607EF">
        <w:rPr>
          <w:rFonts w:hint="eastAsia"/>
          <w:lang w:eastAsia="ja-JP"/>
        </w:rPr>
        <w:t>な場合</w:t>
      </w:r>
      <w:r>
        <w:rPr>
          <w:lang w:eastAsia="ja-JP"/>
        </w:rPr>
        <w:t>定量的な閾値が含まれている。 これが不可能な場合、判定基準は定性的</w:t>
      </w:r>
      <w:r w:rsidR="00E607EF">
        <w:rPr>
          <w:rFonts w:hint="eastAsia"/>
          <w:lang w:eastAsia="ja-JP"/>
        </w:rPr>
        <w:t>なものにとどまらざるを得ないが</w:t>
      </w:r>
      <w:r>
        <w:rPr>
          <w:lang w:eastAsia="ja-JP"/>
        </w:rPr>
        <w:t>、重大な危害を回避するために実証すべき措置または一連の措置</w:t>
      </w:r>
      <w:r w:rsidR="00E607EF">
        <w:rPr>
          <w:rFonts w:hint="eastAsia"/>
          <w:lang w:eastAsia="ja-JP"/>
        </w:rPr>
        <w:t>が</w:t>
      </w:r>
      <w:r>
        <w:rPr>
          <w:lang w:eastAsia="ja-JP"/>
        </w:rPr>
        <w:t>記述</w:t>
      </w:r>
      <w:r w:rsidR="00E607EF">
        <w:rPr>
          <w:rFonts w:hint="eastAsia"/>
          <w:lang w:eastAsia="ja-JP"/>
        </w:rPr>
        <w:t>され</w:t>
      </w:r>
      <w:r>
        <w:rPr>
          <w:lang w:eastAsia="ja-JP"/>
        </w:rPr>
        <w:t>る。</w:t>
      </w:r>
    </w:p>
    <w:p w14:paraId="095A5796" w14:textId="77777777" w:rsidR="002B3AD5" w:rsidRDefault="002B3AD5">
      <w:pPr>
        <w:pStyle w:val="a3"/>
        <w:rPr>
          <w:sz w:val="21"/>
          <w:lang w:eastAsia="ja-JP"/>
        </w:rPr>
      </w:pPr>
    </w:p>
    <w:p w14:paraId="095A5797" w14:textId="18B3C771" w:rsidR="002B3AD5" w:rsidRDefault="00D66CD0">
      <w:pPr>
        <w:pStyle w:val="a3"/>
        <w:spacing w:line="276" w:lineRule="auto"/>
        <w:ind w:left="1080" w:right="1152"/>
        <w:rPr>
          <w:lang w:eastAsia="ja-JP"/>
        </w:rPr>
      </w:pPr>
      <w:r>
        <w:rPr>
          <w:lang w:eastAsia="ja-JP"/>
        </w:rPr>
        <w:t>経済活動のベースラインシナリオは、関連するEU環境法規の遵守である。 この目的のために、この基準は既存のEU法規を考慮に入れている。 TEGに</w:t>
      </w:r>
      <w:r w:rsidR="00E607EF">
        <w:rPr>
          <w:rFonts w:hint="eastAsia"/>
          <w:lang w:eastAsia="ja-JP"/>
        </w:rPr>
        <w:t>対する追加的な専門知識の提供と</w:t>
      </w:r>
      <w:r>
        <w:rPr>
          <w:lang w:eastAsia="ja-JP"/>
        </w:rPr>
        <w:t>、以下に述べるプロセスにより、利用可能な科学的証拠に基づく基準の確立が可能となった。 証拠が決定的でない場合、規則草案第14条で要求されているように、第191条TFEUに規定されている予防原則が考慮された。</w:t>
      </w:r>
    </w:p>
    <w:p w14:paraId="095A5798" w14:textId="77777777" w:rsidR="002B3AD5" w:rsidRDefault="002B3AD5">
      <w:pPr>
        <w:pStyle w:val="a3"/>
        <w:spacing w:before="10"/>
        <w:rPr>
          <w:lang w:eastAsia="ja-JP"/>
        </w:rPr>
      </w:pPr>
    </w:p>
    <w:p w14:paraId="095A5799" w14:textId="43F6F2B2" w:rsidR="002B3AD5" w:rsidRDefault="00D66CD0">
      <w:pPr>
        <w:pStyle w:val="a3"/>
        <w:spacing w:line="276" w:lineRule="auto"/>
        <w:ind w:left="1080" w:right="1143"/>
        <w:rPr>
          <w:sz w:val="13"/>
          <w:lang w:eastAsia="ja-JP"/>
        </w:rPr>
      </w:pPr>
      <w:r>
        <w:rPr>
          <w:lang w:eastAsia="ja-JP"/>
        </w:rPr>
        <w:t>可能な限り、適合性の検証を容易にするために、質的であろうと量的であろうと、スクリーニング基準が選択された。 多くの場合、提案された基準は、関連するEU法規及び/又は関連する参考情報、例えば、利用可能な最良の技術(BAT)参考文献文書(「BREFs」としても知られている)への準拠</w:t>
      </w:r>
      <w:r w:rsidR="00E607EF">
        <w:rPr>
          <w:rFonts w:hint="eastAsia"/>
          <w:lang w:eastAsia="ja-JP"/>
        </w:rPr>
        <w:t>という形で</w:t>
      </w:r>
      <w:r>
        <w:rPr>
          <w:lang w:eastAsia="ja-JP"/>
        </w:rPr>
        <w:t>表現され</w:t>
      </w:r>
      <w:r w:rsidR="00E607EF">
        <w:rPr>
          <w:rFonts w:hint="eastAsia"/>
          <w:lang w:eastAsia="ja-JP"/>
        </w:rPr>
        <w:t>てい</w:t>
      </w:r>
      <w:r>
        <w:rPr>
          <w:lang w:eastAsia="ja-JP"/>
        </w:rPr>
        <w:t>る15。</w:t>
      </w:r>
    </w:p>
    <w:p w14:paraId="095A579A" w14:textId="77777777" w:rsidR="002B3AD5" w:rsidRDefault="002B3AD5">
      <w:pPr>
        <w:pStyle w:val="a3"/>
        <w:spacing w:before="8"/>
        <w:rPr>
          <w:lang w:eastAsia="ja-JP"/>
        </w:rPr>
      </w:pPr>
    </w:p>
    <w:p w14:paraId="095A579B" w14:textId="77777777" w:rsidR="002B3AD5" w:rsidRDefault="00D66CD0">
      <w:pPr>
        <w:pStyle w:val="4"/>
        <w:rPr>
          <w:lang w:eastAsia="ja-JP"/>
        </w:rPr>
      </w:pPr>
      <w:r>
        <w:rPr>
          <w:lang w:eastAsia="ja-JP"/>
        </w:rPr>
        <w:t>技術的スクリーニング基準(TSC)プロセス</w:t>
      </w:r>
    </w:p>
    <w:p w14:paraId="095A579C" w14:textId="77777777" w:rsidR="002B3AD5" w:rsidRDefault="002B3AD5">
      <w:pPr>
        <w:pStyle w:val="a3"/>
        <w:spacing w:before="1"/>
        <w:rPr>
          <w:b/>
          <w:sz w:val="24"/>
          <w:lang w:eastAsia="ja-JP"/>
        </w:rPr>
      </w:pPr>
    </w:p>
    <w:p w14:paraId="095A579D" w14:textId="65F1558E" w:rsidR="002B3AD5" w:rsidRDefault="00D66CD0">
      <w:pPr>
        <w:pStyle w:val="a3"/>
        <w:spacing w:line="276" w:lineRule="auto"/>
        <w:ind w:left="1080" w:right="1110"/>
        <w:rPr>
          <w:lang w:eastAsia="ja-JP"/>
        </w:rPr>
      </w:pPr>
      <w:r>
        <w:rPr>
          <w:lang w:eastAsia="ja-JP"/>
        </w:rPr>
        <w:t>図9は、気候変動の緩和に大きく寄与することが期待される活動に対するDNSH技術スクリーニング基準の策定プロセスの概要を示す。 各活動について、対象範囲を見直し、ライフサイクルの側面と活動境界を特定した。 他の活動との関連性が生じた場合(すなわち、ライフサイクルの側面が他の活動と重複している場合)には、分析</w:t>
      </w:r>
      <w:r w:rsidR="00410A50">
        <w:rPr>
          <w:rFonts w:hint="eastAsia"/>
          <w:lang w:eastAsia="ja-JP"/>
        </w:rPr>
        <w:t>の欄</w:t>
      </w:r>
      <w:r>
        <w:rPr>
          <w:lang w:eastAsia="ja-JP"/>
        </w:rPr>
        <w:t>でこれを参照した。</w:t>
      </w:r>
    </w:p>
    <w:p w14:paraId="095A579E" w14:textId="77777777" w:rsidR="002B3AD5" w:rsidRDefault="002B3AD5">
      <w:pPr>
        <w:pStyle w:val="a3"/>
        <w:spacing w:before="9"/>
        <w:rPr>
          <w:lang w:eastAsia="ja-JP"/>
        </w:rPr>
      </w:pPr>
    </w:p>
    <w:p w14:paraId="095A579F" w14:textId="73C97CCA" w:rsidR="002B3AD5" w:rsidRDefault="00D66CD0">
      <w:pPr>
        <w:pStyle w:val="a4"/>
        <w:numPr>
          <w:ilvl w:val="0"/>
          <w:numId w:val="6"/>
        </w:numPr>
        <w:tabs>
          <w:tab w:val="left" w:pos="1800"/>
          <w:tab w:val="left" w:pos="1801"/>
        </w:tabs>
        <w:spacing w:before="1" w:line="271" w:lineRule="auto"/>
        <w:ind w:right="1150"/>
        <w:rPr>
          <w:sz w:val="20"/>
          <w:lang w:eastAsia="ja-JP"/>
        </w:rPr>
      </w:pPr>
      <w:r>
        <w:rPr>
          <w:b/>
          <w:sz w:val="20"/>
          <w:lang w:eastAsia="ja-JP"/>
        </w:rPr>
        <w:t>各環境目標に重大な影響を与える可能性のある活動の初期スクリーニング。</w:t>
      </w:r>
      <w:r w:rsidRPr="00EA32B3">
        <w:rPr>
          <w:rFonts w:hint="eastAsia"/>
          <w:sz w:val="20"/>
          <w:lang w:eastAsia="ja-JP"/>
        </w:rPr>
        <w:t xml:space="preserve"> この分析は、気候変動緩和目標への実質的な寄与として特定された経済活動</w:t>
      </w:r>
      <w:r w:rsidR="00410A50">
        <w:rPr>
          <w:rFonts w:hint="eastAsia"/>
          <w:sz w:val="20"/>
          <w:lang w:eastAsia="ja-JP"/>
        </w:rPr>
        <w:t>の</w:t>
      </w:r>
      <w:r w:rsidRPr="00EA32B3">
        <w:rPr>
          <w:rFonts w:hint="eastAsia"/>
          <w:sz w:val="20"/>
          <w:lang w:eastAsia="ja-JP"/>
        </w:rPr>
        <w:t>範囲内で実施された</w:t>
      </w:r>
      <w:r>
        <w:rPr>
          <w:b/>
          <w:sz w:val="20"/>
          <w:lang w:eastAsia="ja-JP"/>
        </w:rPr>
        <w:t>。</w:t>
      </w:r>
      <w:r>
        <w:rPr>
          <w:sz w:val="20"/>
          <w:lang w:eastAsia="ja-JP"/>
        </w:rPr>
        <w:t xml:space="preserve"> この分析では、TEGメンバーと追加の専門家は、経済活動のパフォーマンスのすべてのマテリアル・ライフ・サイクルの段階を、緩和スクリーニング基準の範囲内で検討した。</w:t>
      </w:r>
    </w:p>
    <w:p w14:paraId="095A57A0" w14:textId="77777777" w:rsidR="002B3AD5" w:rsidRDefault="002B3AD5">
      <w:pPr>
        <w:pStyle w:val="a3"/>
        <w:rPr>
          <w:lang w:eastAsia="ja-JP"/>
        </w:rPr>
      </w:pPr>
    </w:p>
    <w:p w14:paraId="095A57A1" w14:textId="77777777" w:rsidR="002B3AD5" w:rsidRDefault="002B3AD5">
      <w:pPr>
        <w:pStyle w:val="a3"/>
        <w:rPr>
          <w:lang w:eastAsia="ja-JP"/>
        </w:rPr>
      </w:pPr>
    </w:p>
    <w:p w14:paraId="095A57A2" w14:textId="77777777" w:rsidR="002B3AD5" w:rsidRDefault="002B3AD5">
      <w:pPr>
        <w:pStyle w:val="a3"/>
        <w:rPr>
          <w:lang w:eastAsia="ja-JP"/>
        </w:rPr>
      </w:pPr>
    </w:p>
    <w:p w14:paraId="095A57A3" w14:textId="77777777" w:rsidR="002B3AD5" w:rsidRDefault="002B3AD5">
      <w:pPr>
        <w:pStyle w:val="a3"/>
        <w:rPr>
          <w:lang w:eastAsia="ja-JP"/>
        </w:rPr>
      </w:pPr>
    </w:p>
    <w:p w14:paraId="095A57A4" w14:textId="56DB87DC" w:rsidR="002B3AD5" w:rsidRDefault="00C37D34">
      <w:pPr>
        <w:pStyle w:val="a3"/>
        <w:spacing w:before="10"/>
        <w:rPr>
          <w:sz w:val="27"/>
          <w:lang w:eastAsia="ja-JP"/>
        </w:rPr>
      </w:pPr>
      <w:r>
        <w:rPr>
          <w:noProof/>
          <w:lang w:val="en-US" w:eastAsia="ja-JP"/>
        </w:rPr>
        <mc:AlternateContent>
          <mc:Choice Requires="wps">
            <w:drawing>
              <wp:anchor distT="0" distB="0" distL="0" distR="0" simplePos="0" relativeHeight="251662336" behindDoc="1" locked="0" layoutInCell="1" allowOverlap="1" wp14:anchorId="095A58FB" wp14:editId="645CCAC3">
                <wp:simplePos x="0" y="0"/>
                <wp:positionH relativeFrom="page">
                  <wp:posOffset>914400</wp:posOffset>
                </wp:positionH>
                <wp:positionV relativeFrom="paragraph">
                  <wp:posOffset>231775</wp:posOffset>
                </wp:positionV>
                <wp:extent cx="1829435" cy="0"/>
                <wp:effectExtent l="9525" t="6985" r="8890" b="12065"/>
                <wp:wrapTopAndBottom/>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A82FA" id="Line 14" o:spid="_x0000_s1026" style="position:absolute;left:0;text-align:lef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5pt" to="216.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9s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" strokeweight=".16936mm">
                <w10:wrap type="topAndBottom" anchorx="page"/>
              </v:line>
            </w:pict>
          </mc:Fallback>
        </mc:AlternateContent>
      </w:r>
    </w:p>
    <w:p w14:paraId="095A57A5" w14:textId="77777777" w:rsidR="002B3AD5" w:rsidRDefault="002B3AD5">
      <w:pPr>
        <w:pStyle w:val="a3"/>
        <w:spacing w:before="2"/>
        <w:rPr>
          <w:sz w:val="17"/>
          <w:lang w:eastAsia="ja-JP"/>
        </w:rPr>
      </w:pPr>
    </w:p>
    <w:p w14:paraId="095A57A6" w14:textId="77777777" w:rsidR="002B3AD5" w:rsidRDefault="00D66CD0">
      <w:pPr>
        <w:pStyle w:val="a4"/>
        <w:numPr>
          <w:ilvl w:val="0"/>
          <w:numId w:val="9"/>
        </w:numPr>
        <w:tabs>
          <w:tab w:val="left" w:pos="1304"/>
        </w:tabs>
        <w:spacing w:before="96" w:line="259" w:lineRule="auto"/>
        <w:ind w:right="1474" w:firstLine="0"/>
        <w:rPr>
          <w:sz w:val="16"/>
          <w:lang w:eastAsia="ja-JP"/>
        </w:rPr>
      </w:pPr>
      <w:r>
        <w:rPr>
          <w:sz w:val="16"/>
          <w:lang w:eastAsia="ja-JP"/>
        </w:rPr>
        <w:t>参考文献のBREFリストは、産業排出指令(IED, 2010/75/EU)第13条(1)および他の政策/立法文書の枠組みの中で実施される情報交換の一環として作成されている(または作成される予定である)。 http://eippcb.jrc.ec.europa.eu/reference/.で入手可能</w:t>
      </w:r>
      <w:r w:rsidR="004339EC">
        <w:fldChar w:fldCharType="begin"/>
      </w:r>
      <w:r w:rsidR="004339EC">
        <w:rPr>
          <w:lang w:eastAsia="ja-JP"/>
        </w:rPr>
        <w:instrText xml:space="preserve"> HYPERLINK "http://eippcb.jrc.ec.europa.eu/reference/" \h </w:instrText>
      </w:r>
      <w:r w:rsidR="004339EC">
        <w:fldChar w:fldCharType="end"/>
      </w:r>
    </w:p>
    <w:p w14:paraId="095A57A7" w14:textId="77777777" w:rsidR="002B3AD5" w:rsidRDefault="002B3AD5">
      <w:pPr>
        <w:spacing w:line="259" w:lineRule="auto"/>
        <w:rPr>
          <w:sz w:val="16"/>
          <w:lang w:eastAsia="ja-JP"/>
        </w:rPr>
        <w:sectPr w:rsidR="002B3AD5">
          <w:pgSz w:w="12240" w:h="15840"/>
          <w:pgMar w:top="1440" w:right="320" w:bottom="1200" w:left="360" w:header="0" w:footer="1020" w:gutter="0"/>
          <w:cols w:space="720"/>
        </w:sectPr>
      </w:pPr>
    </w:p>
    <w:p w14:paraId="095A57A8" w14:textId="4B4D3998" w:rsidR="002B3AD5" w:rsidRDefault="00D66CD0">
      <w:pPr>
        <w:pStyle w:val="a4"/>
        <w:numPr>
          <w:ilvl w:val="0"/>
          <w:numId w:val="6"/>
        </w:numPr>
        <w:tabs>
          <w:tab w:val="left" w:pos="1800"/>
          <w:tab w:val="left" w:pos="1801"/>
        </w:tabs>
        <w:spacing w:before="79" w:line="273" w:lineRule="auto"/>
        <w:ind w:right="1238"/>
        <w:rPr>
          <w:sz w:val="20"/>
          <w:lang w:eastAsia="ja-JP"/>
        </w:rPr>
      </w:pPr>
      <w:r>
        <w:rPr>
          <w:b/>
          <w:sz w:val="20"/>
          <w:lang w:eastAsia="ja-JP"/>
        </w:rPr>
        <w:lastRenderedPageBreak/>
        <w:t xml:space="preserve">ライフサイクル思考。 </w:t>
      </w:r>
      <w:r w:rsidRPr="00EA32B3">
        <w:rPr>
          <w:sz w:val="20"/>
          <w:lang w:eastAsia="ja-JP"/>
        </w:rPr>
        <w:t xml:space="preserve">Taxonomy Proposal </w:t>
      </w:r>
      <w:r w:rsidRPr="00EA32B3">
        <w:rPr>
          <w:rFonts w:hint="eastAsia"/>
          <w:sz w:val="20"/>
          <w:lang w:eastAsia="ja-JP"/>
        </w:rPr>
        <w:t>14.1(f)項に従い、DNSHの技術的スクリーニング基準を確立するためにライフサイクルアプローチが採用された</w:t>
      </w:r>
      <w:r w:rsidR="00410A50">
        <w:rPr>
          <w:rFonts w:hint="eastAsia"/>
          <w:sz w:val="20"/>
          <w:lang w:eastAsia="ja-JP"/>
        </w:rPr>
        <w:t>16</w:t>
      </w:r>
      <w:r w:rsidRPr="00EA32B3">
        <w:rPr>
          <w:rFonts w:hint="eastAsia"/>
          <w:sz w:val="20"/>
          <w:lang w:eastAsia="ja-JP"/>
        </w:rPr>
        <w:t>。このアプローチは、上流または下流の段階でマイナスの影響を及ぼす可能性のある持続可能な経済活動を考慮するなど、エラーを回避するための頑健な方法を提供した。</w:t>
      </w:r>
      <w:r>
        <w:rPr>
          <w:sz w:val="20"/>
          <w:lang w:eastAsia="ja-JP"/>
        </w:rPr>
        <w:t xml:space="preserve"> 質問および解決した質問は以下の通りである。</w:t>
      </w:r>
    </w:p>
    <w:p w14:paraId="095A57A9" w14:textId="77777777" w:rsidR="002B3AD5" w:rsidRDefault="00D66CD0">
      <w:pPr>
        <w:pStyle w:val="a4"/>
        <w:numPr>
          <w:ilvl w:val="1"/>
          <w:numId w:val="6"/>
        </w:numPr>
        <w:tabs>
          <w:tab w:val="left" w:pos="2521"/>
        </w:tabs>
        <w:spacing w:before="0" w:line="229" w:lineRule="exact"/>
        <w:rPr>
          <w:sz w:val="20"/>
          <w:lang w:eastAsia="ja-JP"/>
        </w:rPr>
      </w:pPr>
      <w:r>
        <w:rPr>
          <w:sz w:val="20"/>
          <w:lang w:eastAsia="ja-JP"/>
        </w:rPr>
        <w:t>活動のライフサイクルの間に、どのような重大な危害が生じるか?</w:t>
      </w:r>
    </w:p>
    <w:p w14:paraId="095A57AA" w14:textId="13C54154" w:rsidR="002B3AD5" w:rsidRDefault="00410A50">
      <w:pPr>
        <w:pStyle w:val="a3"/>
        <w:spacing w:before="154"/>
        <w:ind w:left="5549"/>
      </w:pPr>
      <w:r>
        <w:rPr>
          <w:rFonts w:hint="eastAsia"/>
          <w:lang w:eastAsia="ja-JP"/>
        </w:rPr>
        <w:t>そして</w:t>
      </w:r>
    </w:p>
    <w:p w14:paraId="095A57AB" w14:textId="77777777" w:rsidR="002B3AD5" w:rsidRDefault="002B3AD5">
      <w:pPr>
        <w:pStyle w:val="a3"/>
        <w:rPr>
          <w:sz w:val="24"/>
        </w:rPr>
      </w:pPr>
    </w:p>
    <w:p w14:paraId="095A57AC" w14:textId="77777777" w:rsidR="002B3AD5" w:rsidRDefault="00D66CD0">
      <w:pPr>
        <w:pStyle w:val="a4"/>
        <w:numPr>
          <w:ilvl w:val="1"/>
          <w:numId w:val="6"/>
        </w:numPr>
        <w:tabs>
          <w:tab w:val="left" w:pos="2521"/>
        </w:tabs>
        <w:spacing w:before="0" w:line="276" w:lineRule="auto"/>
        <w:ind w:right="2074"/>
        <w:rPr>
          <w:sz w:val="20"/>
          <w:lang w:eastAsia="ja-JP"/>
        </w:rPr>
      </w:pPr>
      <w:r>
        <w:rPr>
          <w:sz w:val="20"/>
          <w:lang w:eastAsia="ja-JP"/>
        </w:rPr>
        <w:t>このリスクは、EUの法律、ベストプラクティス、国際基準、ガイドラインを遵守することで対処できるか?</w:t>
      </w:r>
    </w:p>
    <w:p w14:paraId="095A57AD" w14:textId="77777777" w:rsidR="002B3AD5" w:rsidRDefault="002B3AD5">
      <w:pPr>
        <w:pStyle w:val="a3"/>
        <w:spacing w:before="10"/>
        <w:rPr>
          <w:sz w:val="22"/>
          <w:lang w:eastAsia="ja-JP"/>
        </w:rPr>
      </w:pPr>
    </w:p>
    <w:p w14:paraId="095A57AE" w14:textId="3843DB50" w:rsidR="002B3AD5" w:rsidRDefault="002F5B54">
      <w:pPr>
        <w:pStyle w:val="a4"/>
        <w:numPr>
          <w:ilvl w:val="0"/>
          <w:numId w:val="6"/>
        </w:numPr>
        <w:tabs>
          <w:tab w:val="left" w:pos="1800"/>
          <w:tab w:val="left" w:pos="1801"/>
        </w:tabs>
        <w:spacing w:before="0" w:line="273" w:lineRule="auto"/>
        <w:ind w:right="1406"/>
        <w:rPr>
          <w:sz w:val="20"/>
          <w:lang w:eastAsia="ja-JP"/>
        </w:rPr>
      </w:pPr>
      <w:r>
        <w:rPr>
          <w:b/>
          <w:sz w:val="20"/>
          <w:lang w:eastAsia="ja-JP"/>
        </w:rPr>
        <w:t>タクソノミー</w:t>
      </w:r>
      <w:r w:rsidR="00D66CD0">
        <w:rPr>
          <w:b/>
          <w:sz w:val="20"/>
          <w:lang w:eastAsia="ja-JP"/>
        </w:rPr>
        <w:t>に含まれない高い緩和ポテンシャルを持つ部門活動。</w:t>
      </w:r>
      <w:r w:rsidR="00D66CD0" w:rsidRPr="00EA32B3">
        <w:rPr>
          <w:rFonts w:hint="eastAsia"/>
          <w:sz w:val="20"/>
          <w:lang w:eastAsia="ja-JP"/>
        </w:rPr>
        <w:t xml:space="preserve"> 活動による1つ以上の環境目的に対する「重大な危害」がTEG要件を通じて回避できない場合、その活動は</w:t>
      </w:r>
      <w:r w:rsidRPr="00EA32B3">
        <w:rPr>
          <w:rFonts w:hint="eastAsia"/>
          <w:sz w:val="20"/>
          <w:lang w:eastAsia="ja-JP"/>
        </w:rPr>
        <w:t>タクソノミー</w:t>
      </w:r>
      <w:r w:rsidR="00D66CD0" w:rsidRPr="00EA32B3">
        <w:rPr>
          <w:rFonts w:hint="eastAsia"/>
          <w:sz w:val="20"/>
          <w:lang w:eastAsia="ja-JP"/>
        </w:rPr>
        <w:t>には含まれなかった。</w:t>
      </w:r>
      <w:r w:rsidR="00D66CD0" w:rsidRPr="00410A50">
        <w:rPr>
          <w:sz w:val="20"/>
          <w:lang w:eastAsia="ja-JP"/>
        </w:rPr>
        <w:t xml:space="preserve"> </w:t>
      </w:r>
      <w:r w:rsidR="00D66CD0">
        <w:rPr>
          <w:sz w:val="20"/>
          <w:lang w:eastAsia="ja-JP"/>
        </w:rPr>
        <w:t>ある活動が</w:t>
      </w:r>
      <w:r>
        <w:rPr>
          <w:sz w:val="20"/>
          <w:lang w:eastAsia="ja-JP"/>
        </w:rPr>
        <w:t>タクソノミー</w:t>
      </w:r>
      <w:r w:rsidR="00D66CD0">
        <w:rPr>
          <w:sz w:val="20"/>
          <w:lang w:eastAsia="ja-JP"/>
        </w:rPr>
        <w:t>に含めるのに適さないと考えられる重要な問題には、以下が含まれるが、これらに限定されない:(予防的アプローチに沿った)DNSHの合理的な評価のための経験的データの欠如、ロックイン、世代間リスク</w:t>
      </w:r>
      <w:r w:rsidR="00410A50">
        <w:rPr>
          <w:rFonts w:hint="eastAsia"/>
          <w:sz w:val="20"/>
          <w:lang w:eastAsia="ja-JP"/>
        </w:rPr>
        <w:t>等である</w:t>
      </w:r>
      <w:r w:rsidR="00D66CD0">
        <w:rPr>
          <w:sz w:val="20"/>
          <w:lang w:eastAsia="ja-JP"/>
        </w:rPr>
        <w:t>。</w:t>
      </w:r>
    </w:p>
    <w:p w14:paraId="095A57AF" w14:textId="77777777" w:rsidR="002B3AD5" w:rsidRDefault="002B3AD5">
      <w:pPr>
        <w:pStyle w:val="a3"/>
        <w:spacing w:before="2"/>
        <w:rPr>
          <w:sz w:val="23"/>
          <w:lang w:eastAsia="ja-JP"/>
        </w:rPr>
      </w:pPr>
    </w:p>
    <w:p w14:paraId="095A57B0" w14:textId="042D14B6" w:rsidR="002B3AD5" w:rsidRDefault="00D66CD0">
      <w:pPr>
        <w:pStyle w:val="a4"/>
        <w:numPr>
          <w:ilvl w:val="0"/>
          <w:numId w:val="6"/>
        </w:numPr>
        <w:tabs>
          <w:tab w:val="left" w:pos="1800"/>
          <w:tab w:val="left" w:pos="1801"/>
        </w:tabs>
        <w:spacing w:before="0" w:line="271" w:lineRule="auto"/>
        <w:ind w:right="1253"/>
        <w:rPr>
          <w:sz w:val="20"/>
          <w:lang w:eastAsia="ja-JP"/>
        </w:rPr>
      </w:pPr>
      <w:r>
        <w:rPr>
          <w:b/>
          <w:sz w:val="20"/>
          <w:lang w:eastAsia="ja-JP"/>
        </w:rPr>
        <w:t>関連する研究および技術出版物からの主要な発見事項を評価し、文書化する。</w:t>
      </w:r>
      <w:r w:rsidR="000327D8">
        <w:rPr>
          <w:rFonts w:hint="eastAsia"/>
          <w:sz w:val="20"/>
          <w:lang w:eastAsia="ja-JP"/>
        </w:rPr>
        <w:t>環境に関する情報が公知となっている状況</w:t>
      </w:r>
      <w:r w:rsidRPr="00EA32B3">
        <w:rPr>
          <w:rFonts w:hint="eastAsia"/>
          <w:sz w:val="20"/>
          <w:lang w:eastAsia="ja-JP"/>
        </w:rPr>
        <w:t>についての包括的な理解を得るために、また、既存のEU法規、BEMP、BAT、BREFでは捉えられていない可能性のある</w:t>
      </w:r>
      <w:r w:rsidR="000327D8">
        <w:rPr>
          <w:rFonts w:hint="eastAsia"/>
          <w:sz w:val="20"/>
          <w:lang w:eastAsia="ja-JP"/>
        </w:rPr>
        <w:t>重要な情報</w:t>
      </w:r>
      <w:r w:rsidRPr="00EA32B3">
        <w:rPr>
          <w:rFonts w:hint="eastAsia"/>
          <w:sz w:val="20"/>
          <w:lang w:eastAsia="ja-JP"/>
        </w:rPr>
        <w:t>を特定するために、</w:t>
      </w:r>
      <w:r w:rsidR="000327D8">
        <w:rPr>
          <w:rFonts w:hint="eastAsia"/>
          <w:sz w:val="20"/>
          <w:lang w:eastAsia="ja-JP"/>
        </w:rPr>
        <w:t>権威ある出版物が</w:t>
      </w:r>
      <w:r w:rsidRPr="00EA32B3">
        <w:rPr>
          <w:rFonts w:hint="eastAsia"/>
          <w:sz w:val="20"/>
          <w:lang w:eastAsia="ja-JP"/>
        </w:rPr>
        <w:t>レビューされた。</w:t>
      </w:r>
    </w:p>
    <w:p w14:paraId="095A57B1" w14:textId="77777777" w:rsidR="002B3AD5" w:rsidRDefault="002B3AD5">
      <w:pPr>
        <w:pStyle w:val="a3"/>
        <w:spacing w:before="5"/>
        <w:rPr>
          <w:sz w:val="23"/>
          <w:lang w:eastAsia="ja-JP"/>
        </w:rPr>
      </w:pPr>
    </w:p>
    <w:p w14:paraId="095A57B2" w14:textId="6143B359" w:rsidR="002B3AD5" w:rsidRDefault="00C37D34">
      <w:pPr>
        <w:pStyle w:val="a4"/>
        <w:numPr>
          <w:ilvl w:val="0"/>
          <w:numId w:val="6"/>
        </w:numPr>
        <w:tabs>
          <w:tab w:val="left" w:pos="1800"/>
          <w:tab w:val="left" w:pos="1801"/>
        </w:tabs>
        <w:spacing w:before="0" w:line="273" w:lineRule="auto"/>
        <w:ind w:right="1177"/>
        <w:rPr>
          <w:sz w:val="20"/>
          <w:lang w:eastAsia="ja-JP"/>
        </w:rPr>
      </w:pPr>
      <w:r>
        <w:rPr>
          <w:noProof/>
          <w:lang w:val="en-US" w:eastAsia="ja-JP"/>
        </w:rPr>
        <mc:AlternateContent>
          <mc:Choice Requires="wps">
            <w:drawing>
              <wp:anchor distT="0" distB="0" distL="114300" distR="114300" simplePos="0" relativeHeight="251652096" behindDoc="1" locked="0" layoutInCell="1" allowOverlap="1" wp14:anchorId="095A58FC" wp14:editId="540DF152">
                <wp:simplePos x="0" y="0"/>
                <wp:positionH relativeFrom="page">
                  <wp:posOffset>5389880</wp:posOffset>
                </wp:positionH>
                <wp:positionV relativeFrom="paragraph">
                  <wp:posOffset>639445</wp:posOffset>
                </wp:positionV>
                <wp:extent cx="34925" cy="8890"/>
                <wp:effectExtent l="0" t="0" r="4445" b="1270"/>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BFC7" id="Rectangle 13" o:spid="_x0000_s1026" style="position:absolute;left:0;text-align:left;margin-left:424.4pt;margin-top:50.35pt;width:2.75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" fillcolor="#0462c1" stroked="f">
                <w10:wrap anchorx="page"/>
              </v:rect>
            </w:pict>
          </mc:Fallback>
        </mc:AlternateContent>
      </w:r>
      <w:r w:rsidR="00D66CD0">
        <w:rPr>
          <w:b/>
          <w:sz w:val="20"/>
          <w:lang w:eastAsia="ja-JP"/>
        </w:rPr>
        <w:t>EU環境</w:t>
      </w:r>
      <w:r w:rsidR="000327D8">
        <w:rPr>
          <w:rFonts w:hint="eastAsia"/>
          <w:b/>
          <w:sz w:val="20"/>
          <w:lang w:eastAsia="ja-JP"/>
        </w:rPr>
        <w:t>法</w:t>
      </w:r>
      <w:r w:rsidR="00D66CD0">
        <w:rPr>
          <w:sz w:val="20"/>
          <w:lang w:eastAsia="ja-JP"/>
        </w:rPr>
        <w:t xml:space="preserve"> 水資源、循環経済、汚染予防、生態系の管理と保護に関する環境目的の保護は、EUの既存の環境法体系(すなわち、環境取得)に含まれているように、関連する方法論と閾値に基づいてEUレベルで進められている。17 EUの既存の法的要件は、</w:t>
      </w:r>
      <w:r w:rsidR="002F5B54">
        <w:rPr>
          <w:sz w:val="20"/>
          <w:lang w:eastAsia="ja-JP"/>
        </w:rPr>
        <w:t>タクソノミー</w:t>
      </w:r>
      <w:r w:rsidR="00D66CD0">
        <w:rPr>
          <w:sz w:val="20"/>
          <w:lang w:eastAsia="ja-JP"/>
        </w:rPr>
        <w:t>全体にわたって適用される。 従って、活動を含めるためには、最低限、EUの法的要件、並びにその活動に必要な国内の法的要件及び環境認可に関連する要件を遵守しなければならない。 EUの法的要件は最低要件とみなされ、一般的にDNSHの評価では繰り返されなかった。 環境影響が重大であるとみなされた場合、重大な危害を回避するためにより具体的な要件が必要であるとみなされない限り、関連するEU法的要件(BREFを含む)および/または国内要件がDNSH基準に含まれた。</w:t>
      </w:r>
    </w:p>
    <w:p w14:paraId="095A57B3" w14:textId="77777777" w:rsidR="002B3AD5" w:rsidRDefault="002B3AD5">
      <w:pPr>
        <w:pStyle w:val="a3"/>
        <w:spacing w:before="11"/>
        <w:rPr>
          <w:sz w:val="23"/>
          <w:lang w:eastAsia="ja-JP"/>
        </w:rPr>
      </w:pPr>
    </w:p>
    <w:p w14:paraId="095A57B4" w14:textId="7D4449FA" w:rsidR="002B3AD5" w:rsidRDefault="00D66CD0">
      <w:pPr>
        <w:pStyle w:val="a4"/>
        <w:numPr>
          <w:ilvl w:val="0"/>
          <w:numId w:val="6"/>
        </w:numPr>
        <w:tabs>
          <w:tab w:val="left" w:pos="1801"/>
        </w:tabs>
        <w:spacing w:before="0" w:line="271" w:lineRule="auto"/>
        <w:ind w:right="1121"/>
        <w:jc w:val="both"/>
        <w:rPr>
          <w:sz w:val="20"/>
          <w:lang w:eastAsia="ja-JP"/>
        </w:rPr>
      </w:pPr>
      <w:r>
        <w:rPr>
          <w:b/>
          <w:sz w:val="20"/>
          <w:lang w:eastAsia="ja-JP"/>
        </w:rPr>
        <w:t xml:space="preserve">グローバル・コンテキスト </w:t>
      </w:r>
      <w:r w:rsidR="002F5B54">
        <w:rPr>
          <w:b/>
          <w:sz w:val="20"/>
          <w:lang w:eastAsia="ja-JP"/>
        </w:rPr>
        <w:t>タクソノミー</w:t>
      </w:r>
      <w:r>
        <w:rPr>
          <w:b/>
          <w:sz w:val="20"/>
          <w:lang w:eastAsia="ja-JP"/>
        </w:rPr>
        <w:t>はEU外の経済活動に利用できる可能性がある。</w:t>
      </w:r>
      <w:r>
        <w:rPr>
          <w:sz w:val="20"/>
          <w:lang w:eastAsia="ja-JP"/>
        </w:rPr>
        <w:t xml:space="preserve"> DNSHの技術的スクリーニング基準は、EUが発行する金融商品に必要なパフォーマンスレベルまたは閾値を提供する。</w:t>
      </w:r>
    </w:p>
    <w:p w14:paraId="095A57B5" w14:textId="77777777" w:rsidR="002B3AD5" w:rsidRDefault="002B3AD5">
      <w:pPr>
        <w:pStyle w:val="a3"/>
        <w:rPr>
          <w:lang w:eastAsia="ja-JP"/>
        </w:rPr>
      </w:pPr>
    </w:p>
    <w:p w14:paraId="095A57B6" w14:textId="77777777" w:rsidR="002B3AD5" w:rsidRDefault="002B3AD5">
      <w:pPr>
        <w:pStyle w:val="a3"/>
        <w:rPr>
          <w:lang w:eastAsia="ja-JP"/>
        </w:rPr>
      </w:pPr>
    </w:p>
    <w:p w14:paraId="095A57B7" w14:textId="77777777" w:rsidR="002B3AD5" w:rsidRDefault="002B3AD5">
      <w:pPr>
        <w:pStyle w:val="a3"/>
        <w:rPr>
          <w:lang w:eastAsia="ja-JP"/>
        </w:rPr>
      </w:pPr>
    </w:p>
    <w:p w14:paraId="095A57B8" w14:textId="25817276" w:rsidR="002B3AD5" w:rsidRDefault="00C37D34">
      <w:pPr>
        <w:pStyle w:val="a3"/>
        <w:spacing w:before="10"/>
        <w:rPr>
          <w:sz w:val="24"/>
          <w:lang w:eastAsia="ja-JP"/>
        </w:rPr>
      </w:pPr>
      <w:r>
        <w:rPr>
          <w:noProof/>
          <w:lang w:val="en-US" w:eastAsia="ja-JP"/>
        </w:rPr>
        <mc:AlternateContent>
          <mc:Choice Requires="wps">
            <w:drawing>
              <wp:anchor distT="0" distB="0" distL="0" distR="0" simplePos="0" relativeHeight="251663360" behindDoc="1" locked="0" layoutInCell="1" allowOverlap="1" wp14:anchorId="095A58FD" wp14:editId="1C2A801C">
                <wp:simplePos x="0" y="0"/>
                <wp:positionH relativeFrom="page">
                  <wp:posOffset>914400</wp:posOffset>
                </wp:positionH>
                <wp:positionV relativeFrom="paragraph">
                  <wp:posOffset>209550</wp:posOffset>
                </wp:positionV>
                <wp:extent cx="1829435" cy="0"/>
                <wp:effectExtent l="9525" t="11430" r="8890" b="7620"/>
                <wp:wrapTopAndBottom/>
                <wp:docPr id="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9948C" id="Line 12" o:spid="_x0000_s1026" style="position:absolute;left:0;text-align:lef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5pt" to="21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tf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" strokeweight=".16936mm">
                <w10:wrap type="topAndBottom" anchorx="page"/>
              </v:line>
            </w:pict>
          </mc:Fallback>
        </mc:AlternateContent>
      </w:r>
    </w:p>
    <w:p w14:paraId="095A57B9" w14:textId="77777777" w:rsidR="002B3AD5" w:rsidRDefault="002B3AD5">
      <w:pPr>
        <w:pStyle w:val="a3"/>
        <w:spacing w:before="4"/>
        <w:rPr>
          <w:sz w:val="17"/>
          <w:lang w:eastAsia="ja-JP"/>
        </w:rPr>
      </w:pPr>
    </w:p>
    <w:p w14:paraId="095A57BA" w14:textId="77777777" w:rsidR="002B3AD5" w:rsidRDefault="00D66CD0">
      <w:pPr>
        <w:pStyle w:val="a4"/>
        <w:numPr>
          <w:ilvl w:val="0"/>
          <w:numId w:val="9"/>
        </w:numPr>
        <w:tabs>
          <w:tab w:val="left" w:pos="1304"/>
        </w:tabs>
        <w:spacing w:before="96" w:line="259" w:lineRule="auto"/>
        <w:ind w:right="1192" w:firstLine="0"/>
        <w:rPr>
          <w:sz w:val="16"/>
          <w:lang w:eastAsia="ja-JP"/>
        </w:rPr>
      </w:pPr>
      <w:r>
        <w:rPr>
          <w:sz w:val="16"/>
          <w:lang w:eastAsia="ja-JP"/>
        </w:rPr>
        <w:t>第14.1条(f)は、第6条(2)、第7条(2)、第8条(2)、第9条(2)、第10条(2)及び第11条(2)に従って採択された技術的選別基準は、経済活動自体、並びにその経済活動によって提供される製品及びサービスの環境影響を、特にそれらの生産、使用及び使用済みを考慮することによって考慮しなければならないと述べている。</w:t>
      </w:r>
    </w:p>
    <w:p w14:paraId="095A57BB" w14:textId="77777777" w:rsidR="002B3AD5" w:rsidRDefault="00D66CD0">
      <w:pPr>
        <w:pStyle w:val="a4"/>
        <w:numPr>
          <w:ilvl w:val="0"/>
          <w:numId w:val="9"/>
        </w:numPr>
        <w:tabs>
          <w:tab w:val="left" w:pos="1304"/>
        </w:tabs>
        <w:spacing w:before="160"/>
        <w:ind w:left="1303" w:hanging="223"/>
        <w:rPr>
          <w:sz w:val="16"/>
          <w:lang w:eastAsia="ja-JP"/>
        </w:rPr>
      </w:pPr>
      <w:r>
        <w:rPr>
          <w:sz w:val="16"/>
          <w:lang w:eastAsia="ja-JP"/>
        </w:rPr>
        <w:t>https://eur-lex.europa.eu/browse/summaries.htmlでは、欧州連合の環境関連の法規制および方針の要約を入手できる。</w:t>
      </w:r>
      <w:r w:rsidR="004339EC">
        <w:fldChar w:fldCharType="begin"/>
      </w:r>
      <w:r w:rsidR="004339EC">
        <w:rPr>
          <w:lang w:eastAsia="ja-JP"/>
        </w:rPr>
        <w:instrText xml:space="preserve"> HYPERLINK "https://eur-lex.europa.eu/browse/summaries.html" \h </w:instrText>
      </w:r>
      <w:r w:rsidR="004339EC">
        <w:fldChar w:fldCharType="end"/>
      </w:r>
    </w:p>
    <w:p w14:paraId="095A57BC" w14:textId="77777777" w:rsidR="002B3AD5" w:rsidRDefault="002B3AD5">
      <w:pPr>
        <w:rPr>
          <w:sz w:val="16"/>
          <w:lang w:eastAsia="ja-JP"/>
        </w:rPr>
        <w:sectPr w:rsidR="002B3AD5">
          <w:pgSz w:w="12240" w:h="15840"/>
          <w:pgMar w:top="1360" w:right="320" w:bottom="1200" w:left="360" w:header="0" w:footer="1020" w:gutter="0"/>
          <w:cols w:space="720"/>
        </w:sectPr>
      </w:pPr>
    </w:p>
    <w:p w14:paraId="095A57BD" w14:textId="20645516" w:rsidR="002B3AD5" w:rsidRDefault="00D66CD0">
      <w:pPr>
        <w:pStyle w:val="a4"/>
        <w:numPr>
          <w:ilvl w:val="0"/>
          <w:numId w:val="6"/>
        </w:numPr>
        <w:tabs>
          <w:tab w:val="left" w:pos="1800"/>
          <w:tab w:val="left" w:pos="1801"/>
        </w:tabs>
        <w:spacing w:before="79" w:line="273" w:lineRule="auto"/>
        <w:ind w:right="1261"/>
        <w:rPr>
          <w:sz w:val="20"/>
          <w:lang w:eastAsia="ja-JP"/>
        </w:rPr>
      </w:pPr>
      <w:r>
        <w:rPr>
          <w:b/>
          <w:sz w:val="20"/>
          <w:lang w:eastAsia="ja-JP"/>
        </w:rPr>
        <w:lastRenderedPageBreak/>
        <w:t xml:space="preserve">DNSH基準を分割する。 </w:t>
      </w:r>
      <w:r w:rsidRPr="00EA32B3">
        <w:rPr>
          <w:rFonts w:hint="eastAsia"/>
          <w:sz w:val="20"/>
          <w:lang w:eastAsia="ja-JP"/>
        </w:rPr>
        <w:t>DNSHのために考慮される活動の範囲は、活動の緩和範囲を反映している。</w:t>
      </w:r>
      <w:r>
        <w:rPr>
          <w:sz w:val="20"/>
          <w:lang w:eastAsia="ja-JP"/>
        </w:rPr>
        <w:t xml:space="preserve"> しかし、少数の活動については、2~3種類の異なるDNSH基準が必要であると考えられた。 一例として、製造マクロ部門では、NACEコード20.13:他の無機基礎化学品の製造</w:t>
      </w:r>
      <w:r w:rsidR="000327D8">
        <w:rPr>
          <w:rFonts w:hint="eastAsia"/>
          <w:sz w:val="20"/>
          <w:lang w:eastAsia="ja-JP"/>
        </w:rPr>
        <w:t>について</w:t>
      </w:r>
      <w:r>
        <w:rPr>
          <w:sz w:val="20"/>
          <w:lang w:eastAsia="ja-JP"/>
        </w:rPr>
        <w:t>、1セットの緩和基準と3セットのDNSH基準がソーダ灰、カーボンブラック、塩素</w:t>
      </w:r>
      <w:r w:rsidR="000327D8">
        <w:rPr>
          <w:rFonts w:hint="eastAsia"/>
          <w:sz w:val="20"/>
          <w:lang w:eastAsia="ja-JP"/>
        </w:rPr>
        <w:t>向け</w:t>
      </w:r>
      <w:r>
        <w:rPr>
          <w:sz w:val="20"/>
          <w:lang w:eastAsia="ja-JP"/>
        </w:rPr>
        <w:t>に分割されている。</w:t>
      </w:r>
    </w:p>
    <w:p w14:paraId="095A57BE" w14:textId="77777777" w:rsidR="002B3AD5" w:rsidRDefault="002B3AD5">
      <w:pPr>
        <w:pStyle w:val="a3"/>
        <w:spacing w:before="2"/>
        <w:rPr>
          <w:sz w:val="23"/>
          <w:lang w:eastAsia="ja-JP"/>
        </w:rPr>
      </w:pPr>
    </w:p>
    <w:p w14:paraId="095A57BF" w14:textId="77777777" w:rsidR="002B3AD5" w:rsidRPr="000327D8" w:rsidRDefault="00D66CD0">
      <w:pPr>
        <w:pStyle w:val="a4"/>
        <w:numPr>
          <w:ilvl w:val="0"/>
          <w:numId w:val="6"/>
        </w:numPr>
        <w:tabs>
          <w:tab w:val="left" w:pos="1800"/>
          <w:tab w:val="left" w:pos="1801"/>
        </w:tabs>
        <w:spacing w:before="0" w:line="261" w:lineRule="auto"/>
        <w:ind w:right="1183"/>
        <w:rPr>
          <w:sz w:val="20"/>
          <w:lang w:eastAsia="ja-JP"/>
        </w:rPr>
      </w:pPr>
      <w:r>
        <w:rPr>
          <w:b/>
          <w:sz w:val="20"/>
          <w:lang w:eastAsia="ja-JP"/>
        </w:rPr>
        <w:t>技術的スクリーニング基準の選択。</w:t>
      </w:r>
      <w:r w:rsidRPr="00EA32B3">
        <w:rPr>
          <w:rFonts w:hint="eastAsia"/>
          <w:spacing w:val="-3"/>
          <w:sz w:val="20"/>
          <w:lang w:eastAsia="ja-JP"/>
        </w:rPr>
        <w:t xml:space="preserve"> 「重大な有害性なし」の評価は、懸念される最も重要な側面にのみ焦点を当て、以下の場合には閾値スクリーニング基準を策定した。</w:t>
      </w:r>
    </w:p>
    <w:p w14:paraId="095A57C0" w14:textId="77777777" w:rsidR="002B3AD5" w:rsidRDefault="00D66CD0">
      <w:pPr>
        <w:pStyle w:val="a4"/>
        <w:numPr>
          <w:ilvl w:val="1"/>
          <w:numId w:val="6"/>
        </w:numPr>
        <w:tabs>
          <w:tab w:val="left" w:pos="2521"/>
        </w:tabs>
        <w:spacing w:before="14"/>
        <w:rPr>
          <w:sz w:val="20"/>
          <w:lang w:eastAsia="ja-JP"/>
        </w:rPr>
      </w:pPr>
      <w:r>
        <w:rPr>
          <w:sz w:val="20"/>
          <w:lang w:eastAsia="ja-JP"/>
        </w:rPr>
        <w:t>重大な危害を回避するためには、EUの法律とは異なる基準が必要である。</w:t>
      </w:r>
    </w:p>
    <w:p w14:paraId="095A57C1" w14:textId="77777777" w:rsidR="002B3AD5" w:rsidRDefault="00D66CD0">
      <w:pPr>
        <w:pStyle w:val="a4"/>
        <w:numPr>
          <w:ilvl w:val="1"/>
          <w:numId w:val="6"/>
        </w:numPr>
        <w:tabs>
          <w:tab w:val="left" w:pos="2521"/>
        </w:tabs>
        <w:spacing w:before="34" w:line="278" w:lineRule="auto"/>
        <w:ind w:right="1684"/>
        <w:rPr>
          <w:sz w:val="20"/>
          <w:lang w:eastAsia="ja-JP"/>
        </w:rPr>
      </w:pPr>
      <w:r>
        <w:rPr>
          <w:sz w:val="20"/>
          <w:lang w:eastAsia="ja-JP"/>
        </w:rPr>
        <w:t>国際的な基準、法律、条約及び世界的なSDGsとの整合性が必要と考えられた。</w:t>
      </w:r>
    </w:p>
    <w:p w14:paraId="095A57C2" w14:textId="77777777" w:rsidR="002B3AD5" w:rsidRDefault="00D66CD0">
      <w:pPr>
        <w:pStyle w:val="a4"/>
        <w:numPr>
          <w:ilvl w:val="1"/>
          <w:numId w:val="6"/>
        </w:numPr>
        <w:tabs>
          <w:tab w:val="left" w:pos="2520"/>
          <w:tab w:val="left" w:pos="2521"/>
        </w:tabs>
        <w:spacing w:before="0" w:line="276" w:lineRule="auto"/>
        <w:ind w:right="1695"/>
        <w:rPr>
          <w:sz w:val="20"/>
          <w:lang w:eastAsia="ja-JP"/>
        </w:rPr>
      </w:pPr>
      <w:r>
        <w:rPr>
          <w:sz w:val="20"/>
          <w:lang w:eastAsia="ja-JP"/>
        </w:rPr>
        <w:t>問題は、欧州レベルで解決されたとしても、世界的な文脈において最も重要であると特定された。</w:t>
      </w:r>
    </w:p>
    <w:p w14:paraId="095A57C3" w14:textId="77777777" w:rsidR="002B3AD5" w:rsidRDefault="00D66CD0">
      <w:pPr>
        <w:pStyle w:val="a4"/>
        <w:numPr>
          <w:ilvl w:val="1"/>
          <w:numId w:val="6"/>
        </w:numPr>
        <w:tabs>
          <w:tab w:val="left" w:pos="2521"/>
        </w:tabs>
        <w:spacing w:before="0" w:line="276" w:lineRule="auto"/>
        <w:ind w:right="1467"/>
        <w:rPr>
          <w:sz w:val="20"/>
          <w:lang w:eastAsia="ja-JP"/>
        </w:rPr>
      </w:pPr>
      <w:r>
        <w:rPr>
          <w:sz w:val="20"/>
          <w:lang w:eastAsia="ja-JP"/>
        </w:rPr>
        <w:t>地域の地理的/物理的、気候的及び/又は水文学的条件に対処するために特別な注意が必要であった</w:t>
      </w:r>
    </w:p>
    <w:p w14:paraId="095A57C4" w14:textId="77777777" w:rsidR="002B3AD5" w:rsidRDefault="00D66CD0">
      <w:pPr>
        <w:pStyle w:val="a4"/>
        <w:numPr>
          <w:ilvl w:val="1"/>
          <w:numId w:val="6"/>
        </w:numPr>
        <w:tabs>
          <w:tab w:val="left" w:pos="2521"/>
        </w:tabs>
        <w:spacing w:before="0" w:line="276" w:lineRule="auto"/>
        <w:ind w:right="1753"/>
        <w:rPr>
          <w:sz w:val="20"/>
          <w:lang w:eastAsia="ja-JP"/>
        </w:rPr>
      </w:pPr>
      <w:r>
        <w:rPr>
          <w:sz w:val="20"/>
          <w:lang w:eastAsia="ja-JP"/>
        </w:rPr>
        <w:t>理論的根拠に詳述されているように、1つ以上のDNSH目標に関する他の部門別の特定の側面が見出された。</w:t>
      </w:r>
    </w:p>
    <w:p w14:paraId="095A57C5" w14:textId="77777777" w:rsidR="002B3AD5" w:rsidRDefault="002B3AD5">
      <w:pPr>
        <w:spacing w:line="276" w:lineRule="auto"/>
        <w:rPr>
          <w:sz w:val="20"/>
          <w:lang w:eastAsia="ja-JP"/>
        </w:rPr>
        <w:sectPr w:rsidR="002B3AD5">
          <w:pgSz w:w="12240" w:h="15840"/>
          <w:pgMar w:top="1360" w:right="320" w:bottom="1200" w:left="360" w:header="0" w:footer="1020" w:gutter="0"/>
          <w:cols w:space="720"/>
        </w:sectPr>
      </w:pPr>
    </w:p>
    <w:p w14:paraId="095A57C6" w14:textId="77777777" w:rsidR="002B3AD5" w:rsidRDefault="00D66CD0">
      <w:pPr>
        <w:pStyle w:val="a3"/>
        <w:ind w:left="1080"/>
      </w:pPr>
      <w:r>
        <w:rPr>
          <w:noProof/>
          <w:lang w:val="en-US" w:eastAsia="ja-JP"/>
        </w:rPr>
        <w:lastRenderedPageBreak/>
        <w:drawing>
          <wp:inline distT="0" distB="0" distL="0" distR="0" wp14:anchorId="095A58FE" wp14:editId="095A58FF">
            <wp:extent cx="5076147" cy="529980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076147" cy="5299805"/>
                    </a:xfrm>
                    <a:prstGeom prst="rect">
                      <a:avLst/>
                    </a:prstGeom>
                  </pic:spPr>
                </pic:pic>
              </a:graphicData>
            </a:graphic>
          </wp:inline>
        </w:drawing>
      </w:r>
    </w:p>
    <w:p w14:paraId="095A57C7" w14:textId="77777777" w:rsidR="002B3AD5" w:rsidRDefault="002B3AD5">
      <w:pPr>
        <w:pStyle w:val="a3"/>
        <w:rPr>
          <w:sz w:val="10"/>
        </w:rPr>
      </w:pPr>
    </w:p>
    <w:p w14:paraId="095A57C8" w14:textId="77777777" w:rsidR="002B3AD5" w:rsidRDefault="00D66CD0">
      <w:pPr>
        <w:spacing w:before="94"/>
        <w:ind w:right="37"/>
        <w:jc w:val="center"/>
        <w:rPr>
          <w:sz w:val="18"/>
          <w:lang w:eastAsia="ja-JP"/>
        </w:rPr>
      </w:pPr>
      <w:r>
        <w:rPr>
          <w:color w:val="44536A"/>
          <w:sz w:val="18"/>
          <w:lang w:eastAsia="ja-JP"/>
        </w:rPr>
        <w:t>図5 - 重大な害の意思決定ツリーはないか</w:t>
      </w:r>
    </w:p>
    <w:p w14:paraId="095A57C9" w14:textId="77777777" w:rsidR="002B3AD5" w:rsidRDefault="002B3AD5">
      <w:pPr>
        <w:jc w:val="center"/>
        <w:rPr>
          <w:sz w:val="18"/>
          <w:lang w:eastAsia="ja-JP"/>
        </w:rPr>
        <w:sectPr w:rsidR="002B3AD5">
          <w:pgSz w:w="12240" w:h="15840"/>
          <w:pgMar w:top="1440" w:right="320" w:bottom="1200" w:left="360" w:header="0" w:footer="1020" w:gutter="0"/>
          <w:cols w:space="720"/>
        </w:sectPr>
      </w:pPr>
    </w:p>
    <w:p w14:paraId="095A57CA" w14:textId="77777777" w:rsidR="002B3AD5" w:rsidRDefault="00D66CD0">
      <w:pPr>
        <w:pStyle w:val="1"/>
        <w:spacing w:line="276" w:lineRule="auto"/>
        <w:ind w:right="3326"/>
        <w:rPr>
          <w:lang w:eastAsia="ja-JP"/>
        </w:rPr>
      </w:pPr>
      <w:bookmarkStart w:id="16" w:name="_bookmark16"/>
      <w:bookmarkEnd w:id="16"/>
      <w:r w:rsidRPr="003D28CB">
        <w:rPr>
          <w:rFonts w:hint="eastAsia"/>
          <w:color w:val="30A2A9"/>
          <w:lang w:eastAsia="ja-JP"/>
        </w:rPr>
        <w:lastRenderedPageBreak/>
        <w:t>適格NACEコード</w:t>
      </w:r>
      <w:r w:rsidRPr="003D28CB">
        <w:rPr>
          <w:color w:val="30A2A9"/>
          <w:lang w:eastAsia="ja-JP"/>
        </w:rPr>
        <w:t xml:space="preserve"> - </w:t>
      </w:r>
      <w:r w:rsidRPr="003D28CB">
        <w:rPr>
          <w:rFonts w:hint="eastAsia"/>
          <w:color w:val="30A2A9"/>
          <w:lang w:eastAsia="ja-JP"/>
        </w:rPr>
        <w:t>注記事項</w:t>
      </w:r>
    </w:p>
    <w:p w14:paraId="095A57CB" w14:textId="77777777" w:rsidR="002B3AD5" w:rsidRDefault="00D66CD0">
      <w:pPr>
        <w:pStyle w:val="3"/>
        <w:numPr>
          <w:ilvl w:val="1"/>
          <w:numId w:val="24"/>
        </w:numPr>
        <w:tabs>
          <w:tab w:val="left" w:pos="1800"/>
          <w:tab w:val="left" w:pos="1801"/>
        </w:tabs>
        <w:spacing w:before="239"/>
      </w:pPr>
      <w:bookmarkStart w:id="17" w:name="_bookmark17"/>
      <w:bookmarkEnd w:id="17"/>
      <w:proofErr w:type="spellStart"/>
      <w:r>
        <w:rPr>
          <w:color w:val="006FC0"/>
        </w:rPr>
        <w:t>NACEの利用</w:t>
      </w:r>
      <w:proofErr w:type="spellEnd"/>
    </w:p>
    <w:p w14:paraId="095A57CC" w14:textId="77777777" w:rsidR="002B3AD5" w:rsidRDefault="00D66CD0">
      <w:pPr>
        <w:pStyle w:val="a3"/>
        <w:spacing w:before="201" w:line="276" w:lineRule="auto"/>
        <w:ind w:left="1080" w:right="1051"/>
        <w:rPr>
          <w:lang w:eastAsia="ja-JP"/>
        </w:rPr>
      </w:pPr>
      <w:r>
        <w:rPr>
          <w:lang w:eastAsia="ja-JP"/>
        </w:rPr>
        <w:t>この報告書は産業分類にNACEを使用し、TEGはNACE内の優先セクターのスクリーニング基準を開発した。 その他の活動も、会社または投資家が実質的な貢献基準の遵守を実証でき、他の環境目的に重大な損害が生じていない限り、適格とすることができる。</w:t>
      </w:r>
    </w:p>
    <w:p w14:paraId="095A57CD" w14:textId="77777777" w:rsidR="002B3AD5" w:rsidRDefault="002B3AD5">
      <w:pPr>
        <w:pStyle w:val="a3"/>
        <w:spacing w:before="11"/>
        <w:rPr>
          <w:lang w:eastAsia="ja-JP"/>
        </w:rPr>
      </w:pPr>
    </w:p>
    <w:p w14:paraId="095A57CE" w14:textId="77777777" w:rsidR="002B3AD5" w:rsidRDefault="00D66CD0">
      <w:pPr>
        <w:pStyle w:val="a3"/>
        <w:ind w:left="1080"/>
        <w:rPr>
          <w:lang w:eastAsia="ja-JP"/>
        </w:rPr>
      </w:pPr>
      <w:r>
        <w:rPr>
          <w:lang w:eastAsia="ja-JP"/>
        </w:rPr>
        <w:t>これらの例としては、以下のものが挙げられる</w:t>
      </w:r>
    </w:p>
    <w:p w14:paraId="095A57CF" w14:textId="77777777" w:rsidR="002B3AD5" w:rsidRDefault="002B3AD5">
      <w:pPr>
        <w:pStyle w:val="a3"/>
        <w:spacing w:before="9"/>
        <w:rPr>
          <w:sz w:val="23"/>
          <w:lang w:eastAsia="ja-JP"/>
        </w:rPr>
      </w:pPr>
    </w:p>
    <w:p w14:paraId="095A57D0" w14:textId="77777777" w:rsidR="002B3AD5" w:rsidRDefault="00D66CD0">
      <w:pPr>
        <w:pStyle w:val="4"/>
        <w:rPr>
          <w:lang w:eastAsia="ja-JP"/>
        </w:rPr>
      </w:pPr>
      <w:r>
        <w:rPr>
          <w:color w:val="00AFEF"/>
          <w:lang w:eastAsia="ja-JP"/>
        </w:rPr>
        <w:t>製造</w:t>
      </w:r>
    </w:p>
    <w:p w14:paraId="095A57D1" w14:textId="77777777" w:rsidR="002B3AD5" w:rsidRDefault="002B3AD5">
      <w:pPr>
        <w:pStyle w:val="a3"/>
        <w:spacing w:before="10"/>
        <w:rPr>
          <w:b/>
          <w:sz w:val="23"/>
          <w:lang w:eastAsia="ja-JP"/>
        </w:rPr>
      </w:pPr>
    </w:p>
    <w:p w14:paraId="095A57D2" w14:textId="58B63239" w:rsidR="002B3AD5" w:rsidRDefault="00D66CD0">
      <w:pPr>
        <w:pStyle w:val="a3"/>
        <w:spacing w:line="276" w:lineRule="auto"/>
        <w:ind w:left="1080" w:right="1155"/>
        <w:rPr>
          <w:lang w:eastAsia="ja-JP"/>
        </w:rPr>
      </w:pPr>
      <w:r>
        <w:rPr>
          <w:lang w:eastAsia="ja-JP"/>
        </w:rPr>
        <w:t>最終製品を製造・販売する企業の中には、製造工程よりも最終製品に収益を帰属させる企業もある。 本報告書の技術的スクリーニング基準は、製造プロセスに対する期待を示している。 試験基準を製造に合わせる際には、製造工程内で適格な活動が評価される場合であっても、同じ組織によって最終製品の販売に分類される収益をレビューする必要があるかもしれない。 これはサプライチェーンアセスメントではな</w:t>
      </w:r>
      <w:r w:rsidR="003D28CB">
        <w:rPr>
          <w:rFonts w:hint="eastAsia"/>
          <w:lang w:eastAsia="ja-JP"/>
        </w:rPr>
        <w:t>いため</w:t>
      </w:r>
      <w:r>
        <w:rPr>
          <w:lang w:eastAsia="ja-JP"/>
        </w:rPr>
        <w:t>、企業は適格性を</w:t>
      </w:r>
      <w:r w:rsidR="003D28CB">
        <w:rPr>
          <w:rFonts w:hint="eastAsia"/>
          <w:lang w:eastAsia="ja-JP"/>
        </w:rPr>
        <w:t>得</w:t>
      </w:r>
      <w:r>
        <w:rPr>
          <w:lang w:eastAsia="ja-JP"/>
        </w:rPr>
        <w:t>るために製造プロセスを所有</w:t>
      </w:r>
      <w:r w:rsidR="003D28CB">
        <w:rPr>
          <w:rFonts w:hint="eastAsia"/>
          <w:lang w:eastAsia="ja-JP"/>
        </w:rPr>
        <w:t>してい</w:t>
      </w:r>
      <w:r>
        <w:rPr>
          <w:lang w:eastAsia="ja-JP"/>
        </w:rPr>
        <w:t>る必要がある。</w:t>
      </w:r>
    </w:p>
    <w:p w14:paraId="095A57D3" w14:textId="77777777" w:rsidR="002B3AD5" w:rsidRDefault="002B3AD5">
      <w:pPr>
        <w:pStyle w:val="a3"/>
        <w:spacing w:before="10"/>
        <w:rPr>
          <w:lang w:eastAsia="ja-JP"/>
        </w:rPr>
      </w:pPr>
    </w:p>
    <w:p w14:paraId="095A57D4" w14:textId="77777777" w:rsidR="002B3AD5" w:rsidRDefault="00D66CD0">
      <w:pPr>
        <w:pStyle w:val="a3"/>
        <w:spacing w:line="276" w:lineRule="auto"/>
        <w:ind w:left="1080" w:right="1110"/>
        <w:rPr>
          <w:lang w:eastAsia="ja-JP"/>
        </w:rPr>
      </w:pPr>
      <w:r>
        <w:rPr>
          <w:lang w:eastAsia="ja-JP"/>
        </w:rPr>
        <w:t>例えば、技術的スクリーニング基準は、NACEコード23.51-セメントの製造の下で提供される。 しかしながら、これらの製造工程の収益は、以下のように帰属される可能性がある。</w:t>
      </w:r>
    </w:p>
    <w:p w14:paraId="095A57D5" w14:textId="77777777" w:rsidR="002B3AD5" w:rsidRDefault="002B3AD5">
      <w:pPr>
        <w:pStyle w:val="a3"/>
        <w:rPr>
          <w:sz w:val="21"/>
          <w:lang w:eastAsia="ja-JP"/>
        </w:rPr>
      </w:pPr>
    </w:p>
    <w:tbl>
      <w:tblPr>
        <w:tblStyle w:val="TableNormal"/>
        <w:tblW w:w="0" w:type="auto"/>
        <w:tblInd w:w="10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6"/>
        <w:gridCol w:w="864"/>
        <w:gridCol w:w="5677"/>
      </w:tblGrid>
      <w:tr w:rsidR="002B3AD5" w14:paraId="095A57D9" w14:textId="77777777">
        <w:trPr>
          <w:trHeight w:val="397"/>
        </w:trPr>
        <w:tc>
          <w:tcPr>
            <w:tcW w:w="2806" w:type="dxa"/>
          </w:tcPr>
          <w:p w14:paraId="095A57D6" w14:textId="77777777" w:rsidR="002B3AD5" w:rsidRDefault="00D66CD0">
            <w:pPr>
              <w:pStyle w:val="TableParagraph"/>
              <w:spacing w:before="54"/>
              <w:ind w:left="112"/>
              <w:rPr>
                <w:sz w:val="20"/>
              </w:rPr>
            </w:pPr>
            <w:proofErr w:type="spellStart"/>
            <w:r>
              <w:rPr>
                <w:sz w:val="20"/>
              </w:rPr>
              <w:t>名称</w:t>
            </w:r>
            <w:proofErr w:type="spellEnd"/>
          </w:p>
        </w:tc>
        <w:tc>
          <w:tcPr>
            <w:tcW w:w="864" w:type="dxa"/>
          </w:tcPr>
          <w:p w14:paraId="095A57D7" w14:textId="77777777" w:rsidR="002B3AD5" w:rsidRDefault="00D66CD0">
            <w:pPr>
              <w:pStyle w:val="TableParagraph"/>
              <w:spacing w:before="54"/>
              <w:ind w:left="93" w:right="159"/>
              <w:jc w:val="center"/>
              <w:rPr>
                <w:sz w:val="20"/>
              </w:rPr>
            </w:pPr>
            <w:r>
              <w:rPr>
                <w:sz w:val="20"/>
              </w:rPr>
              <w:t>NACE</w:t>
            </w:r>
          </w:p>
        </w:tc>
        <w:tc>
          <w:tcPr>
            <w:tcW w:w="5677" w:type="dxa"/>
          </w:tcPr>
          <w:p w14:paraId="095A57D8" w14:textId="77777777" w:rsidR="002B3AD5" w:rsidRDefault="00D66CD0">
            <w:pPr>
              <w:pStyle w:val="TableParagraph"/>
              <w:spacing w:before="54"/>
              <w:ind w:left="112"/>
              <w:rPr>
                <w:sz w:val="20"/>
              </w:rPr>
            </w:pPr>
            <w:proofErr w:type="spellStart"/>
            <w:r>
              <w:rPr>
                <w:sz w:val="20"/>
              </w:rPr>
              <w:t>名称</w:t>
            </w:r>
            <w:proofErr w:type="spellEnd"/>
          </w:p>
        </w:tc>
      </w:tr>
      <w:tr w:rsidR="002B3AD5" w14:paraId="095A57DD" w14:textId="77777777">
        <w:trPr>
          <w:trHeight w:val="400"/>
        </w:trPr>
        <w:tc>
          <w:tcPr>
            <w:tcW w:w="2806" w:type="dxa"/>
          </w:tcPr>
          <w:p w14:paraId="095A57DA" w14:textId="77777777" w:rsidR="002B3AD5" w:rsidRDefault="00D66CD0">
            <w:pPr>
              <w:pStyle w:val="TableParagraph"/>
              <w:spacing w:before="57"/>
              <w:ind w:left="112"/>
              <w:rPr>
                <w:sz w:val="20"/>
              </w:rPr>
            </w:pPr>
            <w:proofErr w:type="spellStart"/>
            <w:r>
              <w:rPr>
                <w:sz w:val="20"/>
              </w:rPr>
              <w:t>コンクリート製品</w:t>
            </w:r>
            <w:proofErr w:type="spellEnd"/>
          </w:p>
        </w:tc>
        <w:tc>
          <w:tcPr>
            <w:tcW w:w="864" w:type="dxa"/>
          </w:tcPr>
          <w:p w14:paraId="095A57DB" w14:textId="77777777" w:rsidR="002B3AD5" w:rsidRDefault="00D66CD0">
            <w:pPr>
              <w:pStyle w:val="TableParagraph"/>
              <w:spacing w:before="57"/>
              <w:ind w:left="37" w:right="159"/>
              <w:jc w:val="center"/>
              <w:rPr>
                <w:sz w:val="20"/>
              </w:rPr>
            </w:pPr>
            <w:r>
              <w:rPr>
                <w:sz w:val="20"/>
              </w:rPr>
              <w:t>23.61</w:t>
            </w:r>
          </w:p>
        </w:tc>
        <w:tc>
          <w:tcPr>
            <w:tcW w:w="5677" w:type="dxa"/>
          </w:tcPr>
          <w:p w14:paraId="095A57DC" w14:textId="77777777" w:rsidR="002B3AD5" w:rsidRDefault="00D66CD0">
            <w:pPr>
              <w:pStyle w:val="TableParagraph"/>
              <w:spacing w:before="57"/>
              <w:ind w:left="112"/>
              <w:rPr>
                <w:sz w:val="20"/>
                <w:lang w:eastAsia="ja-JP"/>
              </w:rPr>
            </w:pPr>
            <w:r>
              <w:rPr>
                <w:sz w:val="20"/>
                <w:lang w:eastAsia="ja-JP"/>
              </w:rPr>
              <w:t>建設用コンクリート製品の製造</w:t>
            </w:r>
          </w:p>
        </w:tc>
      </w:tr>
      <w:tr w:rsidR="002B3AD5" w14:paraId="095A57E1" w14:textId="77777777">
        <w:trPr>
          <w:trHeight w:val="400"/>
        </w:trPr>
        <w:tc>
          <w:tcPr>
            <w:tcW w:w="2806" w:type="dxa"/>
          </w:tcPr>
          <w:p w14:paraId="095A57DE" w14:textId="77777777" w:rsidR="002B3AD5" w:rsidRDefault="00D66CD0">
            <w:pPr>
              <w:pStyle w:val="TableParagraph"/>
              <w:spacing w:before="54"/>
              <w:ind w:left="112"/>
              <w:rPr>
                <w:sz w:val="20"/>
                <w:lang w:eastAsia="ja-JP"/>
              </w:rPr>
            </w:pPr>
            <w:r>
              <w:rPr>
                <w:sz w:val="20"/>
                <w:lang w:eastAsia="ja-JP"/>
              </w:rPr>
              <w:t>コンクリートブロック・レンガ</w:t>
            </w:r>
          </w:p>
        </w:tc>
        <w:tc>
          <w:tcPr>
            <w:tcW w:w="864" w:type="dxa"/>
          </w:tcPr>
          <w:p w14:paraId="095A57DF" w14:textId="77777777" w:rsidR="002B3AD5" w:rsidRDefault="00D66CD0">
            <w:pPr>
              <w:pStyle w:val="TableParagraph"/>
              <w:spacing w:before="54"/>
              <w:ind w:left="37" w:right="159"/>
              <w:jc w:val="center"/>
              <w:rPr>
                <w:sz w:val="20"/>
              </w:rPr>
            </w:pPr>
            <w:r>
              <w:rPr>
                <w:sz w:val="20"/>
              </w:rPr>
              <w:t>23.61</w:t>
            </w:r>
          </w:p>
        </w:tc>
        <w:tc>
          <w:tcPr>
            <w:tcW w:w="5677" w:type="dxa"/>
          </w:tcPr>
          <w:p w14:paraId="095A57E0" w14:textId="77777777" w:rsidR="002B3AD5" w:rsidRDefault="00D66CD0">
            <w:pPr>
              <w:pStyle w:val="TableParagraph"/>
              <w:spacing w:before="54"/>
              <w:ind w:left="112"/>
              <w:rPr>
                <w:sz w:val="20"/>
                <w:lang w:eastAsia="ja-JP"/>
              </w:rPr>
            </w:pPr>
            <w:r>
              <w:rPr>
                <w:sz w:val="20"/>
                <w:lang w:eastAsia="ja-JP"/>
              </w:rPr>
              <w:t>建設用コンクリート製品の製造</w:t>
            </w:r>
          </w:p>
        </w:tc>
      </w:tr>
      <w:tr w:rsidR="002B3AD5" w14:paraId="095A57E5" w14:textId="77777777">
        <w:trPr>
          <w:trHeight w:val="397"/>
        </w:trPr>
        <w:tc>
          <w:tcPr>
            <w:tcW w:w="2806" w:type="dxa"/>
          </w:tcPr>
          <w:p w14:paraId="095A57E2" w14:textId="77777777" w:rsidR="002B3AD5" w:rsidRDefault="00D66CD0">
            <w:pPr>
              <w:pStyle w:val="TableParagraph"/>
              <w:spacing w:before="54"/>
              <w:ind w:left="112"/>
              <w:rPr>
                <w:sz w:val="20"/>
              </w:rPr>
            </w:pPr>
            <w:proofErr w:type="spellStart"/>
            <w:r>
              <w:rPr>
                <w:sz w:val="20"/>
              </w:rPr>
              <w:t>コンクリートパイプ</w:t>
            </w:r>
            <w:proofErr w:type="spellEnd"/>
          </w:p>
        </w:tc>
        <w:tc>
          <w:tcPr>
            <w:tcW w:w="864" w:type="dxa"/>
          </w:tcPr>
          <w:p w14:paraId="095A57E3" w14:textId="77777777" w:rsidR="002B3AD5" w:rsidRDefault="00D66CD0">
            <w:pPr>
              <w:pStyle w:val="TableParagraph"/>
              <w:spacing w:before="54"/>
              <w:ind w:left="37" w:right="159"/>
              <w:jc w:val="center"/>
              <w:rPr>
                <w:sz w:val="20"/>
              </w:rPr>
            </w:pPr>
            <w:r>
              <w:rPr>
                <w:sz w:val="20"/>
              </w:rPr>
              <w:t>23.61</w:t>
            </w:r>
          </w:p>
        </w:tc>
        <w:tc>
          <w:tcPr>
            <w:tcW w:w="5677" w:type="dxa"/>
          </w:tcPr>
          <w:p w14:paraId="095A57E4" w14:textId="77777777" w:rsidR="002B3AD5" w:rsidRDefault="00D66CD0">
            <w:pPr>
              <w:pStyle w:val="TableParagraph"/>
              <w:spacing w:before="54"/>
              <w:ind w:left="112"/>
              <w:rPr>
                <w:sz w:val="20"/>
                <w:lang w:eastAsia="ja-JP"/>
              </w:rPr>
            </w:pPr>
            <w:r>
              <w:rPr>
                <w:sz w:val="20"/>
                <w:lang w:eastAsia="ja-JP"/>
              </w:rPr>
              <w:t>建設用コンクリート製品の製造</w:t>
            </w:r>
          </w:p>
        </w:tc>
      </w:tr>
      <w:tr w:rsidR="002B3AD5" w14:paraId="095A57E9" w14:textId="77777777">
        <w:trPr>
          <w:trHeight w:val="400"/>
        </w:trPr>
        <w:tc>
          <w:tcPr>
            <w:tcW w:w="2806" w:type="dxa"/>
          </w:tcPr>
          <w:p w14:paraId="095A57E6" w14:textId="77777777" w:rsidR="002B3AD5" w:rsidRDefault="00D66CD0">
            <w:pPr>
              <w:pStyle w:val="TableParagraph"/>
              <w:spacing w:before="57"/>
              <w:ind w:left="112"/>
              <w:rPr>
                <w:sz w:val="20"/>
                <w:lang w:eastAsia="ja-JP"/>
              </w:rPr>
            </w:pPr>
            <w:r>
              <w:rPr>
                <w:sz w:val="20"/>
                <w:lang w:eastAsia="ja-JP"/>
              </w:rPr>
              <w:t>その他のコンクリート製品</w:t>
            </w:r>
          </w:p>
        </w:tc>
        <w:tc>
          <w:tcPr>
            <w:tcW w:w="864" w:type="dxa"/>
          </w:tcPr>
          <w:p w14:paraId="095A57E7" w14:textId="77777777" w:rsidR="002B3AD5" w:rsidRDefault="00D66CD0">
            <w:pPr>
              <w:pStyle w:val="TableParagraph"/>
              <w:spacing w:before="57"/>
              <w:ind w:left="37" w:right="159"/>
              <w:jc w:val="center"/>
              <w:rPr>
                <w:sz w:val="20"/>
              </w:rPr>
            </w:pPr>
            <w:r>
              <w:rPr>
                <w:sz w:val="20"/>
              </w:rPr>
              <w:t>23.61</w:t>
            </w:r>
          </w:p>
        </w:tc>
        <w:tc>
          <w:tcPr>
            <w:tcW w:w="5677" w:type="dxa"/>
          </w:tcPr>
          <w:p w14:paraId="095A57E8" w14:textId="77777777" w:rsidR="002B3AD5" w:rsidRDefault="00D66CD0">
            <w:pPr>
              <w:pStyle w:val="TableParagraph"/>
              <w:spacing w:before="57"/>
              <w:ind w:left="112"/>
              <w:rPr>
                <w:sz w:val="20"/>
                <w:lang w:eastAsia="ja-JP"/>
              </w:rPr>
            </w:pPr>
            <w:r>
              <w:rPr>
                <w:sz w:val="20"/>
                <w:lang w:eastAsia="ja-JP"/>
              </w:rPr>
              <w:t>建設用コンクリート製品の製造</w:t>
            </w:r>
          </w:p>
        </w:tc>
      </w:tr>
    </w:tbl>
    <w:p w14:paraId="095A57EA" w14:textId="77777777" w:rsidR="002B3AD5" w:rsidRDefault="002B3AD5">
      <w:pPr>
        <w:pStyle w:val="a3"/>
        <w:rPr>
          <w:sz w:val="22"/>
          <w:lang w:eastAsia="ja-JP"/>
        </w:rPr>
      </w:pPr>
    </w:p>
    <w:p w14:paraId="095A57EB" w14:textId="77777777" w:rsidR="002B3AD5" w:rsidRDefault="00D66CD0">
      <w:pPr>
        <w:pStyle w:val="a3"/>
        <w:spacing w:before="147" w:line="276" w:lineRule="auto"/>
        <w:ind w:left="1080" w:right="1152"/>
        <w:rPr>
          <w:lang w:eastAsia="ja-JP"/>
        </w:rPr>
      </w:pPr>
      <w:r>
        <w:rPr>
          <w:lang w:eastAsia="ja-JP"/>
        </w:rPr>
        <w:t>非鉄金属についても同様に、製造工程は試験基準を満たさなければならないが、収入は最終製品に帰属させることができる。</w:t>
      </w:r>
    </w:p>
    <w:p w14:paraId="095A57EC" w14:textId="77777777" w:rsidR="002B3AD5" w:rsidRDefault="002B3AD5">
      <w:pPr>
        <w:pStyle w:val="a3"/>
        <w:spacing w:before="1"/>
        <w:rPr>
          <w:sz w:val="21"/>
          <w:lang w:eastAsia="ja-JP"/>
        </w:r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49"/>
        <w:gridCol w:w="5672"/>
      </w:tblGrid>
      <w:tr w:rsidR="002B3AD5" w14:paraId="095A57F0" w14:textId="77777777">
        <w:trPr>
          <w:trHeight w:val="397"/>
        </w:trPr>
        <w:tc>
          <w:tcPr>
            <w:tcW w:w="2830" w:type="dxa"/>
          </w:tcPr>
          <w:p w14:paraId="095A57ED" w14:textId="77777777" w:rsidR="002B3AD5" w:rsidRDefault="00D66CD0">
            <w:pPr>
              <w:pStyle w:val="TableParagraph"/>
              <w:spacing w:before="54"/>
              <w:ind w:left="112"/>
              <w:rPr>
                <w:sz w:val="20"/>
              </w:rPr>
            </w:pPr>
            <w:proofErr w:type="spellStart"/>
            <w:r>
              <w:rPr>
                <w:sz w:val="20"/>
              </w:rPr>
              <w:t>名称</w:t>
            </w:r>
            <w:proofErr w:type="spellEnd"/>
          </w:p>
        </w:tc>
        <w:tc>
          <w:tcPr>
            <w:tcW w:w="849" w:type="dxa"/>
          </w:tcPr>
          <w:p w14:paraId="095A57EE" w14:textId="77777777" w:rsidR="002B3AD5" w:rsidRDefault="00D66CD0">
            <w:pPr>
              <w:pStyle w:val="TableParagraph"/>
              <w:spacing w:before="54"/>
              <w:ind w:left="112"/>
              <w:rPr>
                <w:sz w:val="20"/>
              </w:rPr>
            </w:pPr>
            <w:r>
              <w:rPr>
                <w:sz w:val="20"/>
              </w:rPr>
              <w:t>NACE</w:t>
            </w:r>
          </w:p>
        </w:tc>
        <w:tc>
          <w:tcPr>
            <w:tcW w:w="5672" w:type="dxa"/>
          </w:tcPr>
          <w:p w14:paraId="095A57EF" w14:textId="77777777" w:rsidR="002B3AD5" w:rsidRDefault="00D66CD0">
            <w:pPr>
              <w:pStyle w:val="TableParagraph"/>
              <w:spacing w:before="54"/>
              <w:ind w:left="168"/>
              <w:rPr>
                <w:sz w:val="20"/>
              </w:rPr>
            </w:pPr>
            <w:proofErr w:type="spellStart"/>
            <w:r>
              <w:rPr>
                <w:sz w:val="20"/>
              </w:rPr>
              <w:t>内容</w:t>
            </w:r>
            <w:proofErr w:type="spellEnd"/>
          </w:p>
        </w:tc>
      </w:tr>
      <w:tr w:rsidR="002B3AD5" w14:paraId="095A57F4" w14:textId="77777777">
        <w:trPr>
          <w:trHeight w:val="400"/>
        </w:trPr>
        <w:tc>
          <w:tcPr>
            <w:tcW w:w="2830" w:type="dxa"/>
          </w:tcPr>
          <w:p w14:paraId="095A57F1" w14:textId="77777777" w:rsidR="002B3AD5" w:rsidRDefault="00D66CD0">
            <w:pPr>
              <w:pStyle w:val="TableParagraph"/>
              <w:spacing w:before="57"/>
              <w:ind w:left="112"/>
              <w:rPr>
                <w:sz w:val="20"/>
              </w:rPr>
            </w:pPr>
            <w:proofErr w:type="spellStart"/>
            <w:r>
              <w:rPr>
                <w:sz w:val="20"/>
              </w:rPr>
              <w:t>鉄鋼鍛造</w:t>
            </w:r>
            <w:proofErr w:type="spellEnd"/>
          </w:p>
        </w:tc>
        <w:tc>
          <w:tcPr>
            <w:tcW w:w="849" w:type="dxa"/>
          </w:tcPr>
          <w:p w14:paraId="095A57F2" w14:textId="77777777" w:rsidR="002B3AD5" w:rsidRDefault="00D66CD0">
            <w:pPr>
              <w:pStyle w:val="TableParagraph"/>
              <w:spacing w:before="57"/>
              <w:ind w:left="112"/>
              <w:rPr>
                <w:sz w:val="20"/>
              </w:rPr>
            </w:pPr>
            <w:r>
              <w:rPr>
                <w:sz w:val="20"/>
              </w:rPr>
              <w:t>25.50</w:t>
            </w:r>
          </w:p>
        </w:tc>
        <w:tc>
          <w:tcPr>
            <w:tcW w:w="5672" w:type="dxa"/>
          </w:tcPr>
          <w:p w14:paraId="095A57F3" w14:textId="197F4276" w:rsidR="002B3AD5" w:rsidRDefault="00D66CD0">
            <w:pPr>
              <w:pStyle w:val="TableParagraph"/>
              <w:spacing w:before="57"/>
              <w:ind w:left="223"/>
              <w:rPr>
                <w:sz w:val="20"/>
                <w:lang w:eastAsia="ja-JP"/>
              </w:rPr>
            </w:pPr>
            <w:r>
              <w:rPr>
                <w:sz w:val="20"/>
                <w:lang w:eastAsia="ja-JP"/>
              </w:rPr>
              <w:t>熱間、温間、冷間の鍛造品</w:t>
            </w:r>
            <w:r w:rsidR="003D28CB">
              <w:rPr>
                <w:rFonts w:hint="eastAsia"/>
                <w:sz w:val="20"/>
                <w:lang w:eastAsia="ja-JP"/>
              </w:rPr>
              <w:t>で</w:t>
            </w:r>
            <w:r>
              <w:rPr>
                <w:sz w:val="20"/>
                <w:lang w:eastAsia="ja-JP"/>
              </w:rPr>
              <w:t>鉄</w:t>
            </w:r>
            <w:r w:rsidR="003D28CB">
              <w:rPr>
                <w:rFonts w:hint="eastAsia"/>
                <w:sz w:val="20"/>
                <w:lang w:eastAsia="ja-JP"/>
              </w:rPr>
              <w:t>・</w:t>
            </w:r>
            <w:r>
              <w:rPr>
                <w:sz w:val="20"/>
                <w:lang w:eastAsia="ja-JP"/>
              </w:rPr>
              <w:t>鋼の</w:t>
            </w:r>
            <w:r w:rsidR="003D28CB">
              <w:rPr>
                <w:rFonts w:hint="eastAsia"/>
                <w:sz w:val="20"/>
                <w:lang w:eastAsia="ja-JP"/>
              </w:rPr>
              <w:t>いずれか</w:t>
            </w:r>
            <w:r>
              <w:rPr>
                <w:sz w:val="20"/>
                <w:lang w:eastAsia="ja-JP"/>
              </w:rPr>
              <w:t>を鍛造する</w:t>
            </w:r>
            <w:r w:rsidR="003D28CB">
              <w:rPr>
                <w:rFonts w:hint="eastAsia"/>
                <w:sz w:val="20"/>
                <w:lang w:eastAsia="ja-JP"/>
              </w:rPr>
              <w:t>もの</w:t>
            </w:r>
            <w:r>
              <w:rPr>
                <w:sz w:val="20"/>
                <w:lang w:eastAsia="ja-JP"/>
              </w:rPr>
              <w:t>。</w:t>
            </w:r>
          </w:p>
        </w:tc>
      </w:tr>
      <w:tr w:rsidR="002B3AD5" w14:paraId="095A57F8" w14:textId="77777777">
        <w:trPr>
          <w:trHeight w:val="664"/>
        </w:trPr>
        <w:tc>
          <w:tcPr>
            <w:tcW w:w="2830" w:type="dxa"/>
          </w:tcPr>
          <w:p w14:paraId="095A57F5" w14:textId="77777777" w:rsidR="002B3AD5" w:rsidRDefault="00D66CD0">
            <w:pPr>
              <w:pStyle w:val="TableParagraph"/>
              <w:spacing w:before="186"/>
              <w:ind w:left="112"/>
              <w:rPr>
                <w:sz w:val="20"/>
              </w:rPr>
            </w:pPr>
            <w:proofErr w:type="spellStart"/>
            <w:r>
              <w:rPr>
                <w:sz w:val="20"/>
              </w:rPr>
              <w:t>金属製容器包装</w:t>
            </w:r>
            <w:proofErr w:type="spellEnd"/>
          </w:p>
        </w:tc>
        <w:tc>
          <w:tcPr>
            <w:tcW w:w="849" w:type="dxa"/>
          </w:tcPr>
          <w:p w14:paraId="095A57F6" w14:textId="77777777" w:rsidR="002B3AD5" w:rsidRDefault="00D66CD0">
            <w:pPr>
              <w:pStyle w:val="TableParagraph"/>
              <w:spacing w:before="186"/>
              <w:ind w:left="112"/>
              <w:rPr>
                <w:sz w:val="20"/>
              </w:rPr>
            </w:pPr>
            <w:r>
              <w:rPr>
                <w:sz w:val="20"/>
              </w:rPr>
              <w:t>25.92</w:t>
            </w:r>
          </w:p>
        </w:tc>
        <w:tc>
          <w:tcPr>
            <w:tcW w:w="5672" w:type="dxa"/>
          </w:tcPr>
          <w:p w14:paraId="095A57F7" w14:textId="77777777" w:rsidR="002B3AD5" w:rsidRDefault="00D66CD0">
            <w:pPr>
              <w:pStyle w:val="TableParagraph"/>
              <w:spacing w:before="54" w:line="276" w:lineRule="auto"/>
              <w:ind w:left="113" w:right="871" w:firstLine="110"/>
              <w:rPr>
                <w:sz w:val="20"/>
                <w:lang w:eastAsia="ja-JP"/>
              </w:rPr>
            </w:pPr>
            <w:r>
              <w:rPr>
                <w:sz w:val="20"/>
                <w:lang w:eastAsia="ja-JP"/>
              </w:rPr>
              <w:t>包装用金属製容器の製造 金属缶、アルミ箔を含む。</w:t>
            </w:r>
          </w:p>
        </w:tc>
      </w:tr>
    </w:tbl>
    <w:p w14:paraId="095A57F9" w14:textId="77777777" w:rsidR="002B3AD5" w:rsidRDefault="002B3AD5">
      <w:pPr>
        <w:spacing w:line="276" w:lineRule="auto"/>
        <w:rPr>
          <w:sz w:val="20"/>
          <w:lang w:eastAsia="ja-JP"/>
        </w:rPr>
        <w:sectPr w:rsidR="002B3AD5">
          <w:pgSz w:w="12240" w:h="15840"/>
          <w:pgMar w:top="1360" w:right="320" w:bottom="1200" w:left="360" w:header="0" w:footer="1020" w:gutter="0"/>
          <w:cols w:space="720"/>
        </w:sectPr>
      </w:pPr>
    </w:p>
    <w:p w14:paraId="095A57FA" w14:textId="77777777" w:rsidR="002B3AD5" w:rsidRDefault="00D66CD0">
      <w:pPr>
        <w:pStyle w:val="a3"/>
        <w:spacing w:before="79" w:line="276" w:lineRule="auto"/>
        <w:ind w:left="1080" w:right="1199"/>
        <w:rPr>
          <w:lang w:eastAsia="ja-JP"/>
        </w:rPr>
      </w:pPr>
      <w:r>
        <w:rPr>
          <w:lang w:eastAsia="ja-JP"/>
        </w:rPr>
        <w:lastRenderedPageBreak/>
        <w:t>提供されたNACEコードと整合しない活動を検討する場合、その企業の活動が、1つまたは複数の環境目的に実質的な貢献を果たす可能性がある。 この活動は、報告書内に存在する試験基準が満たされている限り、適格とみなすことができる。</w:t>
      </w:r>
    </w:p>
    <w:p w14:paraId="095A57FB" w14:textId="77777777" w:rsidR="002B3AD5" w:rsidRDefault="002B3AD5">
      <w:pPr>
        <w:pStyle w:val="a3"/>
        <w:rPr>
          <w:sz w:val="21"/>
          <w:lang w:eastAsia="ja-JP"/>
        </w:rPr>
      </w:pPr>
    </w:p>
    <w:p w14:paraId="095A57FC" w14:textId="77777777" w:rsidR="002B3AD5" w:rsidRDefault="00D66CD0">
      <w:pPr>
        <w:pStyle w:val="4"/>
        <w:rPr>
          <w:lang w:eastAsia="ja-JP"/>
        </w:rPr>
      </w:pPr>
      <w:r>
        <w:rPr>
          <w:color w:val="00AFEF"/>
          <w:lang w:eastAsia="ja-JP"/>
        </w:rPr>
        <w:t>建設</w:t>
      </w:r>
    </w:p>
    <w:p w14:paraId="095A57FD" w14:textId="77777777" w:rsidR="002B3AD5" w:rsidRDefault="002B3AD5">
      <w:pPr>
        <w:pStyle w:val="a3"/>
        <w:spacing w:before="9"/>
        <w:rPr>
          <w:b/>
          <w:sz w:val="23"/>
          <w:lang w:eastAsia="ja-JP"/>
        </w:rPr>
      </w:pPr>
    </w:p>
    <w:p w14:paraId="095A57FE" w14:textId="58A48D69" w:rsidR="002B3AD5" w:rsidRDefault="003D28CB">
      <w:pPr>
        <w:pStyle w:val="a3"/>
        <w:spacing w:line="276" w:lineRule="auto"/>
        <w:ind w:left="1080" w:right="1152"/>
        <w:rPr>
          <w:lang w:eastAsia="ja-JP"/>
        </w:rPr>
      </w:pPr>
      <w:r>
        <w:rPr>
          <w:rFonts w:hint="eastAsia"/>
          <w:b/>
          <w:lang w:eastAsia="ja-JP"/>
        </w:rPr>
        <w:t>元請</w:t>
      </w:r>
      <w:r w:rsidR="00D66CD0">
        <w:rPr>
          <w:b/>
          <w:lang w:eastAsia="ja-JP"/>
        </w:rPr>
        <w:t>および</w:t>
      </w:r>
      <w:r>
        <w:rPr>
          <w:rFonts w:hint="eastAsia"/>
          <w:b/>
          <w:lang w:eastAsia="ja-JP"/>
        </w:rPr>
        <w:t>下請</w:t>
      </w:r>
      <w:r w:rsidR="00D66CD0">
        <w:rPr>
          <w:b/>
          <w:lang w:eastAsia="ja-JP"/>
        </w:rPr>
        <w:t>建設業者の活動は、</w:t>
      </w:r>
      <w:r w:rsidR="00D66CD0" w:rsidRPr="00EA32B3">
        <w:rPr>
          <w:lang w:eastAsia="ja-JP"/>
        </w:rPr>
        <w:t xml:space="preserve">NACE </w:t>
      </w:r>
      <w:r w:rsidR="00D66CD0" w:rsidRPr="00EA32B3">
        <w:rPr>
          <w:rFonts w:hint="eastAsia"/>
          <w:lang w:eastAsia="ja-JP"/>
        </w:rPr>
        <w:t>43内にあり、NACE</w:t>
      </w:r>
      <w:r w:rsidR="00D66CD0" w:rsidRPr="00EA32B3">
        <w:rPr>
          <w:lang w:eastAsia="ja-JP"/>
        </w:rPr>
        <w:t xml:space="preserve"> </w:t>
      </w:r>
      <w:r w:rsidR="00D66CD0" w:rsidRPr="00EA32B3">
        <w:rPr>
          <w:rFonts w:hint="eastAsia"/>
          <w:lang w:eastAsia="ja-JP"/>
        </w:rPr>
        <w:t>42の下に追加のサブセクターがある。</w:t>
      </w:r>
      <w:r w:rsidR="00D66CD0">
        <w:rPr>
          <w:lang w:eastAsia="ja-JP"/>
        </w:rPr>
        <w:t xml:space="preserve"> これらの企業の活動は、「新築・改修」で設定された分類基準に準拠した建設活動に貢献すれば、(実施</w:t>
      </w:r>
      <w:r w:rsidR="004548CA">
        <w:rPr>
          <w:rFonts w:hint="eastAsia"/>
          <w:lang w:eastAsia="ja-JP"/>
        </w:rPr>
        <w:t>をイネ―ブリングする</w:t>
      </w:r>
      <w:r w:rsidR="00D66CD0">
        <w:rPr>
          <w:lang w:eastAsia="ja-JP"/>
        </w:rPr>
        <w:t>活動として)適格とみなすことができる。 プロジェクトごとに適格性を評価する必要がある。なぜなら、請負業者は、自らの作業ポートフォリオ内で異なるプロジェクトを有し、あるものは</w:t>
      </w:r>
      <w:r w:rsidR="002F5B54">
        <w:rPr>
          <w:lang w:eastAsia="ja-JP"/>
        </w:rPr>
        <w:t>タクソノミー</w:t>
      </w:r>
      <w:r w:rsidR="00D66CD0">
        <w:rPr>
          <w:lang w:eastAsia="ja-JP"/>
        </w:rPr>
        <w:t>に準拠し、他のものはそうでないからである。</w:t>
      </w:r>
    </w:p>
    <w:p w14:paraId="095A57FF" w14:textId="77777777" w:rsidR="002B3AD5" w:rsidRDefault="002B3AD5">
      <w:pPr>
        <w:pStyle w:val="a3"/>
        <w:spacing w:before="10"/>
        <w:rPr>
          <w:lang w:eastAsia="ja-JP"/>
        </w:rPr>
      </w:pPr>
    </w:p>
    <w:p w14:paraId="095A5800" w14:textId="7CAD97D1" w:rsidR="002B3AD5" w:rsidRDefault="00D66CD0">
      <w:pPr>
        <w:pStyle w:val="a3"/>
        <w:spacing w:line="276" w:lineRule="auto"/>
        <w:ind w:left="1080" w:right="1288"/>
        <w:rPr>
          <w:lang w:eastAsia="ja-JP"/>
        </w:rPr>
      </w:pPr>
      <w:r>
        <w:rPr>
          <w:b/>
          <w:lang w:eastAsia="ja-JP"/>
        </w:rPr>
        <w:t>建築</w:t>
      </w:r>
      <w:r w:rsidR="003D28CB">
        <w:rPr>
          <w:rFonts w:hint="eastAsia"/>
          <w:b/>
          <w:lang w:eastAsia="ja-JP"/>
        </w:rPr>
        <w:t>物</w:t>
      </w:r>
      <w:r>
        <w:rPr>
          <w:b/>
          <w:lang w:eastAsia="ja-JP"/>
        </w:rPr>
        <w:t>および機械の製造業者の活動(</w:t>
      </w:r>
      <w:r w:rsidRPr="00EA32B3">
        <w:rPr>
          <w:lang w:eastAsia="ja-JP"/>
        </w:rPr>
        <w:t xml:space="preserve">NACE </w:t>
      </w:r>
      <w:r w:rsidRPr="00EA32B3">
        <w:rPr>
          <w:rFonts w:hint="eastAsia"/>
          <w:lang w:eastAsia="ja-JP"/>
        </w:rPr>
        <w:t>16、23、28のサブセクター)は、建築物の低炭素技術(例えば、効率的な窓、断熱材など)を生産し、本報告書の製造セクションに規定された基準に準拠する場合、適格(実施</w:t>
      </w:r>
      <w:r w:rsidR="009A2545" w:rsidRPr="00EA32B3">
        <w:rPr>
          <w:rFonts w:hint="eastAsia"/>
          <w:lang w:eastAsia="ja-JP"/>
        </w:rPr>
        <w:t>をイネ―ブリングする</w:t>
      </w:r>
      <w:r w:rsidRPr="00EA32B3">
        <w:rPr>
          <w:rFonts w:hint="eastAsia"/>
          <w:lang w:eastAsia="ja-JP"/>
        </w:rPr>
        <w:t>活動として)とみなすことができる。</w:t>
      </w:r>
    </w:p>
    <w:p w14:paraId="095A5801" w14:textId="77777777" w:rsidR="002B3AD5" w:rsidRDefault="002B3AD5">
      <w:pPr>
        <w:pStyle w:val="a3"/>
        <w:spacing w:before="11"/>
        <w:rPr>
          <w:lang w:eastAsia="ja-JP"/>
        </w:rPr>
      </w:pPr>
    </w:p>
    <w:p w14:paraId="095A5802" w14:textId="2AA62856" w:rsidR="002B3AD5" w:rsidRPr="00A22752" w:rsidRDefault="00D66CD0">
      <w:pPr>
        <w:pStyle w:val="a3"/>
        <w:spacing w:line="276" w:lineRule="auto"/>
        <w:ind w:left="1080" w:right="1458"/>
        <w:rPr>
          <w:lang w:eastAsia="ja-JP"/>
        </w:rPr>
      </w:pPr>
      <w:r w:rsidRPr="00A22752">
        <w:rPr>
          <w:b/>
          <w:lang w:eastAsia="ja-JP"/>
        </w:rPr>
        <w:t>不動産仲介業者および代理店</w:t>
      </w:r>
      <w:r w:rsidRPr="00EA32B3">
        <w:rPr>
          <w:lang w:eastAsia="ja-JP"/>
        </w:rPr>
        <w:t xml:space="preserve">(NACE </w:t>
      </w:r>
      <w:r w:rsidRPr="00EA32B3">
        <w:rPr>
          <w:rFonts w:hint="eastAsia"/>
          <w:lang w:eastAsia="ja-JP"/>
        </w:rPr>
        <w:t>68.31)の活動は、取得および所有における「計算されたパフォーマンス」の基準に合致する不動産の取得を支援する場合、適格(実施</w:t>
      </w:r>
      <w:r w:rsidR="009A2545" w:rsidRPr="00EA32B3">
        <w:rPr>
          <w:rFonts w:hint="eastAsia"/>
          <w:lang w:eastAsia="ja-JP"/>
        </w:rPr>
        <w:t>をイネ―ブリングする</w:t>
      </w:r>
      <w:r w:rsidRPr="00EA32B3">
        <w:rPr>
          <w:rFonts w:hint="eastAsia"/>
          <w:lang w:eastAsia="ja-JP"/>
        </w:rPr>
        <w:t>活動として)とみなすことができるが、これは、取得ごとに評価され、開示されなければならない。</w:t>
      </w:r>
    </w:p>
    <w:p w14:paraId="095A5803" w14:textId="77777777" w:rsidR="002B3AD5" w:rsidRDefault="002B3AD5">
      <w:pPr>
        <w:pStyle w:val="a3"/>
        <w:spacing w:before="10"/>
        <w:rPr>
          <w:lang w:eastAsia="ja-JP"/>
        </w:rPr>
      </w:pPr>
    </w:p>
    <w:p w14:paraId="095A5804" w14:textId="43662503" w:rsidR="002B3AD5" w:rsidRDefault="00D66CD0">
      <w:pPr>
        <w:pStyle w:val="a3"/>
        <w:spacing w:line="276" w:lineRule="auto"/>
        <w:ind w:left="1080" w:right="1152"/>
        <w:rPr>
          <w:lang w:eastAsia="ja-JP"/>
        </w:rPr>
      </w:pPr>
      <w:r>
        <w:rPr>
          <w:b/>
          <w:lang w:eastAsia="ja-JP"/>
        </w:rPr>
        <w:t>不動産管理</w:t>
      </w:r>
      <w:r w:rsidRPr="00EA32B3">
        <w:rPr>
          <w:lang w:eastAsia="ja-JP"/>
        </w:rPr>
        <w:t xml:space="preserve">(NACE 68.32) - </w:t>
      </w:r>
      <w:r w:rsidRPr="00EA32B3">
        <w:rPr>
          <w:rFonts w:hint="eastAsia"/>
          <w:lang w:eastAsia="ja-JP"/>
        </w:rPr>
        <w:t>これらの会社の活動は、取得および所有権で設定された「測定されたパフォーマンス」の基準を満たす場合、適格(実施</w:t>
      </w:r>
      <w:r w:rsidR="009A2545" w:rsidRPr="00EA32B3">
        <w:rPr>
          <w:rFonts w:hint="eastAsia"/>
          <w:lang w:eastAsia="ja-JP"/>
        </w:rPr>
        <w:t>をイネ―ブリングする</w:t>
      </w:r>
      <w:r w:rsidRPr="00EA32B3">
        <w:rPr>
          <w:rFonts w:hint="eastAsia"/>
          <w:lang w:eastAsia="ja-JP"/>
        </w:rPr>
        <w:t>活動として)とみなすことができ、コンプライアンスは不動産ごとに評価されなければならない。</w:t>
      </w:r>
    </w:p>
    <w:p w14:paraId="095A5805" w14:textId="77777777" w:rsidR="002B3AD5" w:rsidRDefault="002B3AD5">
      <w:pPr>
        <w:pStyle w:val="a3"/>
        <w:rPr>
          <w:sz w:val="22"/>
          <w:lang w:eastAsia="ja-JP"/>
        </w:rPr>
      </w:pPr>
    </w:p>
    <w:p w14:paraId="095A5806" w14:textId="77777777" w:rsidR="002B3AD5" w:rsidRDefault="002B3AD5">
      <w:pPr>
        <w:pStyle w:val="a3"/>
        <w:spacing w:before="10"/>
        <w:rPr>
          <w:sz w:val="26"/>
          <w:lang w:eastAsia="ja-JP"/>
        </w:rPr>
      </w:pPr>
    </w:p>
    <w:p w14:paraId="095A5807" w14:textId="77777777" w:rsidR="002B3AD5" w:rsidRDefault="00D66CD0">
      <w:pPr>
        <w:pStyle w:val="3"/>
        <w:numPr>
          <w:ilvl w:val="1"/>
          <w:numId w:val="24"/>
        </w:numPr>
        <w:tabs>
          <w:tab w:val="left" w:pos="1800"/>
          <w:tab w:val="left" w:pos="1801"/>
        </w:tabs>
        <w:rPr>
          <w:lang w:eastAsia="ja-JP"/>
        </w:rPr>
      </w:pPr>
      <w:bookmarkStart w:id="18" w:name="_bookmark18"/>
      <w:bookmarkEnd w:id="18"/>
      <w:r>
        <w:rPr>
          <w:color w:val="006FC0"/>
          <w:lang w:eastAsia="ja-JP"/>
        </w:rPr>
        <w:t>グリーン債務・ローンの分類基準の評価</w:t>
      </w:r>
    </w:p>
    <w:p w14:paraId="095A5808" w14:textId="77777777" w:rsidR="002B3AD5" w:rsidRDefault="00D66CD0">
      <w:pPr>
        <w:pStyle w:val="a3"/>
        <w:spacing w:before="201" w:line="276" w:lineRule="auto"/>
        <w:ind w:left="1080" w:right="1152"/>
        <w:rPr>
          <w:lang w:eastAsia="ja-JP"/>
        </w:rPr>
      </w:pPr>
      <w:r>
        <w:rPr>
          <w:lang w:eastAsia="ja-JP"/>
        </w:rPr>
        <w:t>グリーン債務または融資活動には、NACEまたは同等の産業分類コードを割り当てることができる。 本報告書に記載されているNACEが金融商品に割り当てられている場合、実質的な寄与度および重大なハーム・テストは、記載されているとおりに適用することができる。 ただし、事業全体の産業や部門がこの報告書に記載されていない場合でも、その活動が試験に適している場合がある。 そのような例は、</w:t>
      </w:r>
    </w:p>
    <w:p w14:paraId="095A5809" w14:textId="77777777" w:rsidR="002B3AD5" w:rsidRDefault="002B3AD5">
      <w:pPr>
        <w:pStyle w:val="a3"/>
        <w:rPr>
          <w:sz w:val="22"/>
          <w:lang w:eastAsia="ja-JP"/>
        </w:rPr>
      </w:pPr>
    </w:p>
    <w:p w14:paraId="095A580A" w14:textId="77777777" w:rsidR="002B3AD5" w:rsidRDefault="002B3AD5">
      <w:pPr>
        <w:pStyle w:val="a3"/>
        <w:spacing w:before="4"/>
        <w:rPr>
          <w:sz w:val="25"/>
          <w:lang w:eastAsia="ja-JP"/>
        </w:rPr>
      </w:pPr>
    </w:p>
    <w:p w14:paraId="095A580B" w14:textId="77777777" w:rsidR="002B3AD5" w:rsidRDefault="00D66CD0">
      <w:pPr>
        <w:pStyle w:val="4"/>
        <w:rPr>
          <w:lang w:eastAsia="ja-JP"/>
        </w:rPr>
      </w:pPr>
      <w:r>
        <w:rPr>
          <w:color w:val="00AFEF"/>
          <w:lang w:eastAsia="ja-JP"/>
        </w:rPr>
        <w:t>マルチセクターの適格性</w:t>
      </w:r>
    </w:p>
    <w:p w14:paraId="095A580C" w14:textId="77777777" w:rsidR="002B3AD5" w:rsidRDefault="002B3AD5">
      <w:pPr>
        <w:pStyle w:val="a3"/>
        <w:spacing w:before="10"/>
        <w:rPr>
          <w:b/>
          <w:sz w:val="23"/>
          <w:lang w:eastAsia="ja-JP"/>
        </w:rPr>
      </w:pPr>
    </w:p>
    <w:p w14:paraId="095A580D" w14:textId="77777777" w:rsidR="002B3AD5" w:rsidRDefault="00D66CD0">
      <w:pPr>
        <w:pStyle w:val="a3"/>
        <w:spacing w:line="276" w:lineRule="auto"/>
        <w:ind w:left="1080" w:right="1188"/>
        <w:rPr>
          <w:lang w:eastAsia="ja-JP"/>
        </w:rPr>
      </w:pPr>
      <w:r>
        <w:rPr>
          <w:lang w:eastAsia="ja-JP"/>
        </w:rPr>
        <w:t>債券または融資の収益がプロジェクトに配分され、プロジェクトが複数のセクター(例えば、太陽光、水力、風力)に配分される場合、各プロジェクトまたは資産は、この分類報告書(水力発電、太陽光発電、風力発電からの電力生産)で規定された特定の適格基準を満たさなければならない。 プロジェクトへの資金配分が3つの活動に均等に分割され、技術審査基準を満たしたプロジェクトが1件のみであれば、投資の33%のみが適格となる。</w:t>
      </w:r>
    </w:p>
    <w:p w14:paraId="095A580E"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80F" w14:textId="77777777" w:rsidR="002B3AD5" w:rsidRDefault="00D66CD0">
      <w:pPr>
        <w:pStyle w:val="4"/>
        <w:spacing w:before="79"/>
        <w:rPr>
          <w:lang w:eastAsia="ja-JP"/>
        </w:rPr>
      </w:pPr>
      <w:r>
        <w:rPr>
          <w:color w:val="00AFEF"/>
          <w:lang w:eastAsia="ja-JP"/>
        </w:rPr>
        <w:lastRenderedPageBreak/>
        <w:t>セクター・アライメント</w:t>
      </w:r>
    </w:p>
    <w:p w14:paraId="095A5810" w14:textId="77777777" w:rsidR="002B3AD5" w:rsidRDefault="002B3AD5">
      <w:pPr>
        <w:pStyle w:val="a3"/>
        <w:spacing w:before="10"/>
        <w:rPr>
          <w:b/>
          <w:sz w:val="23"/>
          <w:lang w:eastAsia="ja-JP"/>
        </w:rPr>
      </w:pPr>
    </w:p>
    <w:p w14:paraId="095A5811" w14:textId="40A6BFA7" w:rsidR="002B3AD5" w:rsidRDefault="00D66CD0">
      <w:pPr>
        <w:pStyle w:val="a3"/>
        <w:spacing w:line="276" w:lineRule="auto"/>
        <w:ind w:left="1080" w:right="1152"/>
        <w:rPr>
          <w:lang w:eastAsia="ja-JP"/>
        </w:rPr>
      </w:pPr>
      <w:r>
        <w:rPr>
          <w:lang w:eastAsia="ja-JP"/>
        </w:rPr>
        <w:t>債券または貸付金の収益が、資産所有者の通常の業種分類の外にあるプロジェクトまたは資産に配分される場合(例)。 農業用車両の電気自動車への農業改良)、プロジェクトまたは資産の性質は、適切な</w:t>
      </w:r>
      <w:r w:rsidR="002F5B54">
        <w:rPr>
          <w:lang w:eastAsia="ja-JP"/>
        </w:rPr>
        <w:t>タクソノミー</w:t>
      </w:r>
      <w:r>
        <w:rPr>
          <w:lang w:eastAsia="ja-JP"/>
        </w:rPr>
        <w:t>的試験基準に従って評価される必要がある。 この例では、資産(電気自動車)は、債券または融資が農業に分類されていても、運輸(50g CO2/Km未満)の対象となる。</w:t>
      </w:r>
    </w:p>
    <w:p w14:paraId="095A5812" w14:textId="77777777" w:rsidR="002B3AD5" w:rsidRDefault="002B3AD5">
      <w:pPr>
        <w:pStyle w:val="a3"/>
        <w:spacing w:before="10"/>
        <w:rPr>
          <w:lang w:eastAsia="ja-JP"/>
        </w:rPr>
      </w:pPr>
    </w:p>
    <w:p w14:paraId="095A5813" w14:textId="77777777" w:rsidR="002B3AD5" w:rsidRDefault="00D66CD0">
      <w:pPr>
        <w:pStyle w:val="a3"/>
        <w:spacing w:line="276" w:lineRule="auto"/>
        <w:ind w:left="1080" w:right="1140"/>
        <w:rPr>
          <w:lang w:eastAsia="ja-JP"/>
        </w:rPr>
      </w:pPr>
      <w:r>
        <w:rPr>
          <w:lang w:eastAsia="ja-JP"/>
        </w:rPr>
        <w:t>本報告書の対象となっていない業界の企業が、自社のプロセスにおいてより多くのエネルギー効率を可能にする新たなインフラに投資したいと考えており、そのようなプロジェクトによって企業が技術的スクリーニング基準を満たすことができる場合には、適格となる。 関連する目論見書では、満たされた技術的スクリーニング基準の実証が要求されるであろう。</w:t>
      </w:r>
    </w:p>
    <w:p w14:paraId="095A5814"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815" w14:textId="77777777" w:rsidR="002B3AD5" w:rsidRDefault="00D66CD0">
      <w:pPr>
        <w:pStyle w:val="1"/>
        <w:spacing w:line="276" w:lineRule="auto"/>
        <w:ind w:right="2926"/>
        <w:rPr>
          <w:lang w:eastAsia="ja-JP"/>
        </w:rPr>
      </w:pPr>
      <w:bookmarkStart w:id="19" w:name="_bookmark19"/>
      <w:bookmarkEnd w:id="19"/>
      <w:r>
        <w:rPr>
          <w:color w:val="30A2A9"/>
          <w:lang w:eastAsia="ja-JP"/>
        </w:rPr>
        <w:lastRenderedPageBreak/>
        <w:t>技術的スクリーニング基準:気候変動緩和への実質的寄与</w:t>
      </w:r>
    </w:p>
    <w:p w14:paraId="095A5816"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817" w14:textId="77777777" w:rsidR="002B3AD5" w:rsidRDefault="00D66CD0">
      <w:pPr>
        <w:pStyle w:val="2"/>
        <w:tabs>
          <w:tab w:val="left" w:pos="1800"/>
        </w:tabs>
        <w:rPr>
          <w:lang w:eastAsia="ja-JP"/>
        </w:rPr>
      </w:pPr>
      <w:bookmarkStart w:id="20" w:name="_bookmark20"/>
      <w:bookmarkEnd w:id="20"/>
      <w:r>
        <w:rPr>
          <w:color w:val="087ADA"/>
          <w:lang w:eastAsia="ja-JP"/>
        </w:rPr>
        <w:lastRenderedPageBreak/>
        <w:t>1.</w:t>
      </w:r>
      <w:r>
        <w:rPr>
          <w:color w:val="087ADA"/>
          <w:lang w:eastAsia="ja-JP"/>
        </w:rPr>
        <w:tab/>
        <w:t>林業</w:t>
      </w:r>
    </w:p>
    <w:p w14:paraId="095A5818" w14:textId="77777777" w:rsidR="002B3AD5" w:rsidRDefault="002B3AD5">
      <w:pPr>
        <w:pStyle w:val="a3"/>
        <w:spacing w:before="1"/>
        <w:rPr>
          <w:b/>
          <w:sz w:val="25"/>
          <w:lang w:eastAsia="ja-JP"/>
        </w:rPr>
      </w:pPr>
    </w:p>
    <w:p w14:paraId="095A5819" w14:textId="58134228" w:rsidR="002B3AD5" w:rsidRDefault="00D66CD0">
      <w:pPr>
        <w:pStyle w:val="4"/>
        <w:rPr>
          <w:lang w:eastAsia="ja-JP"/>
        </w:rPr>
      </w:pPr>
      <w:r>
        <w:rPr>
          <w:lang w:eastAsia="ja-JP"/>
        </w:rPr>
        <w:t>なぜ林業が</w:t>
      </w:r>
      <w:r w:rsidR="002F5B54">
        <w:rPr>
          <w:lang w:eastAsia="ja-JP"/>
        </w:rPr>
        <w:t>タクソノミー</w:t>
      </w:r>
      <w:r>
        <w:rPr>
          <w:lang w:eastAsia="ja-JP"/>
        </w:rPr>
        <w:t>に含まれるのか</w:t>
      </w:r>
    </w:p>
    <w:p w14:paraId="095A581A" w14:textId="77777777" w:rsidR="002B3AD5" w:rsidRDefault="002B3AD5">
      <w:pPr>
        <w:pStyle w:val="a3"/>
        <w:spacing w:before="9"/>
        <w:rPr>
          <w:b/>
          <w:sz w:val="23"/>
          <w:lang w:eastAsia="ja-JP"/>
        </w:rPr>
      </w:pPr>
    </w:p>
    <w:p w14:paraId="095A581B" w14:textId="3D344D35" w:rsidR="002B3AD5" w:rsidRDefault="002F5B54">
      <w:pPr>
        <w:pStyle w:val="a3"/>
        <w:spacing w:line="276" w:lineRule="auto"/>
        <w:ind w:left="1080" w:right="1134"/>
        <w:rPr>
          <w:lang w:eastAsia="ja-JP"/>
        </w:rPr>
      </w:pPr>
      <w:r>
        <w:rPr>
          <w:lang w:eastAsia="ja-JP"/>
        </w:rPr>
        <w:t>タクソノミー</w:t>
      </w:r>
      <w:r w:rsidR="00D66CD0">
        <w:rPr>
          <w:lang w:eastAsia="ja-JP"/>
        </w:rPr>
        <w:t>では、国連食糧農業機関の定義に従い、森林を「5mを超える樹木が0.5ヘクタールを超え、10%を超える樹冠がある土地、またはその場でこれらの閾値に達することができる樹木</w:t>
      </w:r>
      <w:r w:rsidR="00162B6A">
        <w:rPr>
          <w:rFonts w:hint="eastAsia"/>
          <w:lang w:eastAsia="ja-JP"/>
        </w:rPr>
        <w:t>群</w:t>
      </w:r>
      <w:r w:rsidR="00D66CD0">
        <w:rPr>
          <w:lang w:eastAsia="ja-JP"/>
        </w:rPr>
        <w:t xml:space="preserve">」と定義している。 これには、主として農地または都市の土地利用下にある土地は含まれない。」(UNFAO, 2019)19。 </w:t>
      </w:r>
      <w:r>
        <w:rPr>
          <w:lang w:eastAsia="ja-JP"/>
        </w:rPr>
        <w:t>タクソノミー</w:t>
      </w:r>
      <w:r w:rsidR="00D66CD0">
        <w:rPr>
          <w:lang w:eastAsia="ja-JP"/>
        </w:rPr>
        <w:t>の文脈では、プランテーション林は特に除外されている。 植林は、FAOによって「集約的に管理され、かつ、植林及び林分の成熟度において以下の基準を満たす、植林された森林:1種又は2種、時には年齢階級、及び規則的な間隔」と定義されている。 1. 具体的には、木材、繊維、エネルギーのための短期輪作農園;2:保護または生態系回復のために植林された森林;3を除外する。 具体的には、次のものを除外する。植林又は播種によって樹立された森林であって、樹木の成熟度が自然に再生する森林に類似し又は類似するもの。 国や国のグループは、特定の地域的条件を表すために森林の特定の定義を設定することができることを認識し、</w:t>
      </w:r>
      <w:r>
        <w:rPr>
          <w:lang w:eastAsia="ja-JP"/>
        </w:rPr>
        <w:t>タクソノミー</w:t>
      </w:r>
      <w:r w:rsidR="00D66CD0">
        <w:rPr>
          <w:lang w:eastAsia="ja-JP"/>
        </w:rPr>
        <w:t xml:space="preserve">は、森林ヨーロッパのような地域的プロセスや、国際熱帯木材協定などの様々な協定の下で開発された森林定義を、これらがFAOの定義と整合的であることを条件として、使用することを認めている。 </w:t>
      </w:r>
      <w:r>
        <w:rPr>
          <w:lang w:eastAsia="ja-JP"/>
        </w:rPr>
        <w:t>タクソノミー</w:t>
      </w:r>
      <w:r w:rsidR="00D66CD0">
        <w:rPr>
          <w:lang w:eastAsia="ja-JP"/>
        </w:rPr>
        <w:t>を整合させるために適用する場合には、特定の定義(FAOと異なる場合)を設定し、FAOの定義との整合性を明確に示すべきである。</w:t>
      </w:r>
    </w:p>
    <w:p w14:paraId="095A581C" w14:textId="77777777" w:rsidR="002B3AD5" w:rsidRDefault="002B3AD5">
      <w:pPr>
        <w:pStyle w:val="a3"/>
        <w:spacing w:before="1"/>
        <w:rPr>
          <w:sz w:val="21"/>
          <w:lang w:eastAsia="ja-JP"/>
        </w:rPr>
      </w:pPr>
    </w:p>
    <w:p w14:paraId="095A581D" w14:textId="4836A1EE" w:rsidR="002B3AD5" w:rsidRDefault="002F5B54">
      <w:pPr>
        <w:pStyle w:val="a3"/>
        <w:spacing w:line="276" w:lineRule="auto"/>
        <w:ind w:left="1080" w:right="1152"/>
        <w:rPr>
          <w:sz w:val="13"/>
          <w:lang w:eastAsia="ja-JP"/>
        </w:rPr>
      </w:pPr>
      <w:r>
        <w:rPr>
          <w:lang w:eastAsia="ja-JP"/>
        </w:rPr>
        <w:t>タクソノミー</w:t>
      </w:r>
      <w:r w:rsidR="00D66CD0">
        <w:rPr>
          <w:lang w:eastAsia="ja-JP"/>
        </w:rPr>
        <w:t>の目的では、森林の炭素貯蔵・吸収源の維持と部門内の隔離ポテンシャルの増加に焦点を当て、森林部門の顕著な緩和達成は、活動自体のパフォーマンスの改善を通して判断される。 森林は、世界の陸地面積の約30%(ヨーロッパでは、この数字は約40~45%と高い)を占め、毎年約20億トンの二酸化炭素を吸収している。20の森林は、生態系を規制し、生物多様性を保護し、炭素循環に不可欠な役割を果たし、生計を支え、持続可能な成長を促進することができる。 EUの森林は、すでに世界の森林炭素吸収量の20%以上を占めているが、2050年までにヨーロッパと世界全体で純ゼロ目標を達成するためには、森林による炭素固定の増加が不可欠である。</w:t>
      </w:r>
    </w:p>
    <w:p w14:paraId="095A581E" w14:textId="77777777" w:rsidR="002B3AD5" w:rsidRDefault="002B3AD5">
      <w:pPr>
        <w:pStyle w:val="a3"/>
        <w:spacing w:before="9"/>
        <w:rPr>
          <w:lang w:eastAsia="ja-JP"/>
        </w:rPr>
      </w:pPr>
    </w:p>
    <w:p w14:paraId="095A581F" w14:textId="4487196E" w:rsidR="002B3AD5" w:rsidRDefault="00D66CD0">
      <w:pPr>
        <w:pStyle w:val="a3"/>
        <w:spacing w:line="276" w:lineRule="auto"/>
        <w:ind w:left="1080" w:right="1165"/>
        <w:rPr>
          <w:lang w:eastAsia="ja-JP"/>
        </w:rPr>
      </w:pPr>
      <w:r>
        <w:rPr>
          <w:lang w:eastAsia="ja-JP"/>
        </w:rPr>
        <w:t>既存の森林炭素吸収源を維持する必要性を考慮すると、森林セクター内で保全</w:t>
      </w:r>
      <w:r w:rsidR="003531DA">
        <w:rPr>
          <w:rFonts w:hint="eastAsia"/>
          <w:lang w:eastAsia="ja-JP"/>
        </w:rPr>
        <w:t>のための</w:t>
      </w:r>
      <w:r>
        <w:rPr>
          <w:lang w:eastAsia="ja-JP"/>
        </w:rPr>
        <w:t>資金</w:t>
      </w:r>
      <w:r w:rsidR="003531DA">
        <w:rPr>
          <w:rFonts w:hint="eastAsia"/>
          <w:lang w:eastAsia="ja-JP"/>
        </w:rPr>
        <w:t>確保</w:t>
      </w:r>
      <w:r>
        <w:rPr>
          <w:lang w:eastAsia="ja-JP"/>
        </w:rPr>
        <w:t>が可能となる。すなわち、森林が経済的生産のために使用されるかどうかにかかわらず、森林地域の維持・保護を支援する資金である。 生産的な機能を持たない保全林を</w:t>
      </w:r>
      <w:r w:rsidR="002F5B54">
        <w:rPr>
          <w:lang w:eastAsia="ja-JP"/>
        </w:rPr>
        <w:t>タクソノミー</w:t>
      </w:r>
      <w:r>
        <w:rPr>
          <w:lang w:eastAsia="ja-JP"/>
        </w:rPr>
        <w:t>に導入することは、他の環境目的への実質的な貢献を含め</w:t>
      </w:r>
      <w:r w:rsidR="003531DA">
        <w:rPr>
          <w:rFonts w:hint="eastAsia"/>
          <w:lang w:eastAsia="ja-JP"/>
        </w:rPr>
        <w:t>ているので</w:t>
      </w:r>
      <w:r>
        <w:rPr>
          <w:lang w:eastAsia="ja-JP"/>
        </w:rPr>
        <w:t>、</w:t>
      </w:r>
      <w:r w:rsidR="002F5B54">
        <w:rPr>
          <w:lang w:eastAsia="ja-JP"/>
        </w:rPr>
        <w:t>タクソノミー</w:t>
      </w:r>
      <w:r>
        <w:rPr>
          <w:lang w:eastAsia="ja-JP"/>
        </w:rPr>
        <w:t>の整合性</w:t>
      </w:r>
      <w:r w:rsidR="003531DA">
        <w:rPr>
          <w:rFonts w:hint="eastAsia"/>
          <w:lang w:eastAsia="ja-JP"/>
        </w:rPr>
        <w:t>確保に役立つ</w:t>
      </w:r>
      <w:r>
        <w:rPr>
          <w:lang w:eastAsia="ja-JP"/>
        </w:rPr>
        <w:t>。</w:t>
      </w:r>
    </w:p>
    <w:p w14:paraId="095A5820" w14:textId="77777777" w:rsidR="002B3AD5" w:rsidRDefault="002B3AD5">
      <w:pPr>
        <w:pStyle w:val="a3"/>
        <w:rPr>
          <w:lang w:eastAsia="ja-JP"/>
        </w:rPr>
      </w:pPr>
    </w:p>
    <w:p w14:paraId="095A5821" w14:textId="77777777" w:rsidR="002B3AD5" w:rsidRDefault="002B3AD5">
      <w:pPr>
        <w:pStyle w:val="a3"/>
        <w:rPr>
          <w:lang w:eastAsia="ja-JP"/>
        </w:rPr>
      </w:pPr>
    </w:p>
    <w:p w14:paraId="095A5822" w14:textId="77777777" w:rsidR="002B3AD5" w:rsidRDefault="002B3AD5">
      <w:pPr>
        <w:pStyle w:val="a3"/>
        <w:rPr>
          <w:lang w:eastAsia="ja-JP"/>
        </w:rPr>
      </w:pPr>
    </w:p>
    <w:p w14:paraId="095A5823" w14:textId="77777777" w:rsidR="002B3AD5" w:rsidRDefault="002B3AD5">
      <w:pPr>
        <w:pStyle w:val="a3"/>
        <w:rPr>
          <w:lang w:eastAsia="ja-JP"/>
        </w:rPr>
      </w:pPr>
    </w:p>
    <w:p w14:paraId="095A5824" w14:textId="77777777" w:rsidR="002B3AD5" w:rsidRDefault="002B3AD5">
      <w:pPr>
        <w:pStyle w:val="a3"/>
        <w:rPr>
          <w:lang w:eastAsia="ja-JP"/>
        </w:rPr>
      </w:pPr>
    </w:p>
    <w:p w14:paraId="095A5825" w14:textId="29D86F8D" w:rsidR="002B3AD5" w:rsidRDefault="00C37D34">
      <w:pPr>
        <w:pStyle w:val="a3"/>
        <w:spacing w:before="6"/>
        <w:rPr>
          <w:sz w:val="17"/>
          <w:lang w:eastAsia="ja-JP"/>
        </w:rPr>
      </w:pPr>
      <w:r>
        <w:rPr>
          <w:noProof/>
          <w:lang w:val="en-US" w:eastAsia="ja-JP"/>
        </w:rPr>
        <mc:AlternateContent>
          <mc:Choice Requires="wps">
            <w:drawing>
              <wp:anchor distT="0" distB="0" distL="0" distR="0" simplePos="0" relativeHeight="251664384" behindDoc="1" locked="0" layoutInCell="1" allowOverlap="1" wp14:anchorId="095A5900" wp14:editId="5F967376">
                <wp:simplePos x="0" y="0"/>
                <wp:positionH relativeFrom="page">
                  <wp:posOffset>914400</wp:posOffset>
                </wp:positionH>
                <wp:positionV relativeFrom="paragraph">
                  <wp:posOffset>156210</wp:posOffset>
                </wp:positionV>
                <wp:extent cx="1829435" cy="0"/>
                <wp:effectExtent l="9525" t="7620" r="8890" b="11430"/>
                <wp:wrapTopAndBottom/>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22607" id="Line 11" o:spid="_x0000_s1026" style="position:absolute;left:0;text-align:lef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3pt" to="216.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" strokeweight=".48pt">
                <w10:wrap type="topAndBottom" anchorx="page"/>
              </v:line>
            </w:pict>
          </mc:Fallback>
        </mc:AlternateContent>
      </w:r>
    </w:p>
    <w:p w14:paraId="095A5826" w14:textId="77777777" w:rsidR="002B3AD5" w:rsidRDefault="002B3AD5">
      <w:pPr>
        <w:pStyle w:val="a3"/>
        <w:spacing w:before="4"/>
        <w:rPr>
          <w:sz w:val="17"/>
          <w:lang w:eastAsia="ja-JP"/>
        </w:rPr>
      </w:pPr>
    </w:p>
    <w:p w14:paraId="095A5827" w14:textId="77777777" w:rsidR="002B3AD5" w:rsidRDefault="00D66CD0">
      <w:pPr>
        <w:pStyle w:val="a4"/>
        <w:numPr>
          <w:ilvl w:val="0"/>
          <w:numId w:val="9"/>
        </w:numPr>
        <w:tabs>
          <w:tab w:val="left" w:pos="1304"/>
        </w:tabs>
        <w:spacing w:before="96"/>
        <w:ind w:left="1303" w:hanging="223"/>
        <w:rPr>
          <w:sz w:val="16"/>
        </w:rPr>
      </w:pPr>
      <w:r>
        <w:rPr>
          <w:sz w:val="16"/>
        </w:rPr>
        <w:t>FAO FRA 2020</w:t>
      </w:r>
    </w:p>
    <w:p w14:paraId="095A5828" w14:textId="77777777" w:rsidR="002B3AD5" w:rsidRDefault="002B3AD5">
      <w:pPr>
        <w:pStyle w:val="a3"/>
        <w:spacing w:before="1"/>
        <w:rPr>
          <w:sz w:val="15"/>
        </w:rPr>
      </w:pPr>
    </w:p>
    <w:p w14:paraId="095A5829" w14:textId="77777777" w:rsidR="002B3AD5" w:rsidRDefault="00D66CD0">
      <w:pPr>
        <w:pStyle w:val="a4"/>
        <w:numPr>
          <w:ilvl w:val="0"/>
          <w:numId w:val="9"/>
        </w:numPr>
        <w:tabs>
          <w:tab w:val="left" w:pos="1304"/>
        </w:tabs>
        <w:spacing w:before="0" w:line="259" w:lineRule="auto"/>
        <w:ind w:right="1515" w:firstLine="0"/>
        <w:rPr>
          <w:sz w:val="16"/>
          <w:lang w:eastAsia="ja-JP"/>
        </w:rPr>
      </w:pPr>
      <w:r>
        <w:rPr>
          <w:sz w:val="16"/>
          <w:lang w:eastAsia="ja-JP"/>
        </w:rPr>
        <w:t>国連食糧農業機関(2019)「世界森林資源評価2020:用語と定義FRA」。</w:t>
      </w:r>
      <w:r>
        <w:rPr>
          <w:spacing w:val="-4"/>
          <w:sz w:val="16"/>
          <w:lang w:eastAsia="ja-JP"/>
        </w:rPr>
        <w:t xml:space="preserve"> 森林資源評価作業ペーパー188。</w:t>
      </w:r>
    </w:p>
    <w:p w14:paraId="095A582A" w14:textId="77777777" w:rsidR="002B3AD5" w:rsidRDefault="002B3AD5">
      <w:pPr>
        <w:pStyle w:val="a3"/>
        <w:spacing w:before="1"/>
        <w:rPr>
          <w:sz w:val="14"/>
          <w:lang w:eastAsia="ja-JP"/>
        </w:rPr>
      </w:pPr>
    </w:p>
    <w:p w14:paraId="095A582B" w14:textId="77777777" w:rsidR="002B3AD5" w:rsidRDefault="004339EC">
      <w:pPr>
        <w:pStyle w:val="a4"/>
        <w:numPr>
          <w:ilvl w:val="0"/>
          <w:numId w:val="9"/>
        </w:numPr>
        <w:tabs>
          <w:tab w:val="left" w:pos="1304"/>
        </w:tabs>
        <w:spacing w:before="0" w:line="465" w:lineRule="auto"/>
        <w:ind w:right="7540" w:firstLine="0"/>
        <w:rPr>
          <w:sz w:val="16"/>
        </w:rPr>
      </w:pPr>
      <w:hyperlink r:id="rId17">
        <w:r w:rsidR="00D66CD0">
          <w:rPr>
            <w:spacing w:val="-1"/>
            <w:sz w:val="16"/>
            <w:lang w:eastAsia="ja-JP"/>
          </w:rPr>
          <w:t>http://www.fao.org/state-of-forests/en/.</w:t>
        </w:r>
      </w:hyperlink>
      <w:r w:rsidR="00D66CD0">
        <w:rPr>
          <w:spacing w:val="-1"/>
          <w:sz w:val="16"/>
          <w:lang w:eastAsia="ja-JP"/>
        </w:rPr>
        <w:t xml:space="preserve"> </w:t>
      </w:r>
      <w:r w:rsidR="00D66CD0">
        <w:rPr>
          <w:spacing w:val="-1"/>
          <w:sz w:val="16"/>
        </w:rPr>
        <w:t>21のヨーロッパ森林研究所。</w:t>
      </w:r>
    </w:p>
    <w:p w14:paraId="095A582C" w14:textId="77777777" w:rsidR="002B3AD5" w:rsidRDefault="002B3AD5">
      <w:pPr>
        <w:spacing w:line="465" w:lineRule="auto"/>
        <w:rPr>
          <w:sz w:val="16"/>
        </w:rPr>
        <w:sectPr w:rsidR="002B3AD5">
          <w:pgSz w:w="12240" w:h="15840"/>
          <w:pgMar w:top="1360" w:right="320" w:bottom="1200" w:left="360" w:header="0" w:footer="1020" w:gutter="0"/>
          <w:cols w:space="720"/>
        </w:sectPr>
      </w:pPr>
    </w:p>
    <w:p w14:paraId="095A582D" w14:textId="3AF1F4BE" w:rsidR="002B3AD5" w:rsidRDefault="00D66CD0">
      <w:pPr>
        <w:pStyle w:val="a3"/>
        <w:spacing w:before="79" w:line="276" w:lineRule="auto"/>
        <w:ind w:left="1080" w:right="1152"/>
        <w:rPr>
          <w:sz w:val="10"/>
          <w:lang w:eastAsia="ja-JP"/>
        </w:rPr>
      </w:pPr>
      <w:r>
        <w:rPr>
          <w:lang w:eastAsia="ja-JP"/>
        </w:rPr>
        <w:lastRenderedPageBreak/>
        <w:t>EUの森林から生産されるバイオマスの約48%(191 Mt)はエネルギーとして消費され、残りの52%(209 Mt)はその</w:t>
      </w:r>
      <w:r w:rsidR="006518AC">
        <w:rPr>
          <w:rFonts w:hint="eastAsia"/>
          <w:lang w:eastAsia="ja-JP"/>
        </w:rPr>
        <w:t>木材として</w:t>
      </w:r>
      <w:r>
        <w:rPr>
          <w:lang w:eastAsia="ja-JP"/>
        </w:rPr>
        <w:t>使用されている(Camia et al., 2018)22。 これら2つの数字は互いに独立したものではなく、森林バイオマスのエネルギー最終利用が、その目的のために収穫された</w:t>
      </w:r>
      <w:r w:rsidR="006518AC">
        <w:rPr>
          <w:rFonts w:hint="eastAsia"/>
          <w:lang w:eastAsia="ja-JP"/>
        </w:rPr>
        <w:t>材木</w:t>
      </w:r>
      <w:r>
        <w:rPr>
          <w:lang w:eastAsia="ja-JP"/>
        </w:rPr>
        <w:t xml:space="preserve">からのみ生じることはめったにないことを認識することが重要である。 </w:t>
      </w:r>
      <w:r w:rsidR="002F5B54">
        <w:rPr>
          <w:lang w:eastAsia="ja-JP"/>
        </w:rPr>
        <w:t>タクソノミー</w:t>
      </w:r>
      <w:r>
        <w:rPr>
          <w:lang w:eastAsia="ja-JP"/>
        </w:rPr>
        <w:t>は、EU森林戦略で提唱された原則を認識しており、持続可能な森林管理の恩恵と森林の多面的機能の両方を推進している23。</w:t>
      </w:r>
    </w:p>
    <w:p w14:paraId="095A582E" w14:textId="77777777" w:rsidR="002B3AD5" w:rsidRDefault="002B3AD5">
      <w:pPr>
        <w:pStyle w:val="a3"/>
        <w:spacing w:before="10"/>
        <w:rPr>
          <w:lang w:eastAsia="ja-JP"/>
        </w:rPr>
      </w:pPr>
    </w:p>
    <w:p w14:paraId="095A582F" w14:textId="621EBC69" w:rsidR="002B3AD5" w:rsidRDefault="006518AC">
      <w:pPr>
        <w:pStyle w:val="a3"/>
        <w:spacing w:line="276" w:lineRule="auto"/>
        <w:ind w:left="1080" w:right="1502"/>
        <w:jc w:val="both"/>
        <w:rPr>
          <w:lang w:eastAsia="ja-JP"/>
        </w:rPr>
      </w:pPr>
      <w:r>
        <w:rPr>
          <w:rFonts w:hint="eastAsia"/>
          <w:lang w:eastAsia="ja-JP"/>
        </w:rPr>
        <w:t>木材利用</w:t>
      </w:r>
      <w:r w:rsidR="00D66CD0">
        <w:rPr>
          <w:lang w:eastAsia="ja-JP"/>
        </w:rPr>
        <w:t>とエネルギー利用に</w:t>
      </w:r>
      <w:r>
        <w:rPr>
          <w:rFonts w:hint="eastAsia"/>
          <w:lang w:eastAsia="ja-JP"/>
        </w:rPr>
        <w:t>ついて</w:t>
      </w:r>
      <w:r w:rsidR="00D66CD0">
        <w:rPr>
          <w:lang w:eastAsia="ja-JP"/>
        </w:rPr>
        <w:t>バイオ経済の文脈では、</w:t>
      </w:r>
      <w:r>
        <w:rPr>
          <w:rFonts w:hint="eastAsia"/>
          <w:lang w:eastAsia="ja-JP"/>
        </w:rPr>
        <w:t>得られる</w:t>
      </w:r>
      <w:r w:rsidR="00D66CD0">
        <w:rPr>
          <w:lang w:eastAsia="ja-JP"/>
        </w:rPr>
        <w:t>収入と雇用</w:t>
      </w:r>
      <w:r w:rsidR="00282558">
        <w:rPr>
          <w:rFonts w:hint="eastAsia"/>
          <w:lang w:eastAsia="ja-JP"/>
        </w:rPr>
        <w:t>は</w:t>
      </w:r>
      <w:r w:rsidR="00D66CD0">
        <w:rPr>
          <w:lang w:eastAsia="ja-JP"/>
        </w:rPr>
        <w:t>大きく異なっている。</w:t>
      </w:r>
      <w:r>
        <w:rPr>
          <w:rFonts w:hint="eastAsia"/>
          <w:lang w:eastAsia="ja-JP"/>
        </w:rPr>
        <w:t>木材</w:t>
      </w:r>
      <w:r w:rsidRPr="006518AC">
        <w:rPr>
          <w:rFonts w:hint="eastAsia"/>
          <w:lang w:eastAsia="ja-JP"/>
        </w:rPr>
        <w:t>生産</w:t>
      </w:r>
      <w:r>
        <w:rPr>
          <w:rFonts w:hint="eastAsia"/>
          <w:lang w:eastAsia="ja-JP"/>
        </w:rPr>
        <w:t>が</w:t>
      </w:r>
      <w:r w:rsidRPr="006518AC">
        <w:rPr>
          <w:rFonts w:hint="eastAsia"/>
          <w:lang w:eastAsia="ja-JP"/>
        </w:rPr>
        <w:t>EU全体のバイオ経済収入の27%</w:t>
      </w:r>
      <w:r>
        <w:rPr>
          <w:rFonts w:hint="eastAsia"/>
          <w:lang w:eastAsia="ja-JP"/>
        </w:rPr>
        <w:t>を生み出しているの</w:t>
      </w:r>
      <w:r w:rsidRPr="006518AC">
        <w:rPr>
          <w:rFonts w:hint="eastAsia"/>
          <w:lang w:eastAsia="ja-JP"/>
        </w:rPr>
        <w:t>に対して、エネルギー利用から生み出されている</w:t>
      </w:r>
      <w:r>
        <w:rPr>
          <w:rFonts w:hint="eastAsia"/>
          <w:lang w:eastAsia="ja-JP"/>
        </w:rPr>
        <w:t>のは</w:t>
      </w:r>
      <w:r w:rsidR="00282558">
        <w:rPr>
          <w:rFonts w:hint="eastAsia"/>
          <w:lang w:eastAsia="ja-JP"/>
        </w:rPr>
        <w:t>わずか</w:t>
      </w:r>
      <w:r w:rsidR="00D66CD0">
        <w:rPr>
          <w:lang w:eastAsia="ja-JP"/>
        </w:rPr>
        <w:t xml:space="preserve"> 1.8%</w:t>
      </w:r>
      <w:r>
        <w:rPr>
          <w:rFonts w:hint="eastAsia"/>
          <w:lang w:eastAsia="ja-JP"/>
        </w:rPr>
        <w:t>にすぎない</w:t>
      </w:r>
      <w:r w:rsidR="00D66CD0">
        <w:rPr>
          <w:lang w:eastAsia="ja-JP"/>
        </w:rPr>
        <w:t>。</w:t>
      </w:r>
    </w:p>
    <w:p w14:paraId="095A5830" w14:textId="1CD331DC" w:rsidR="002B3AD5" w:rsidRDefault="00D66CD0">
      <w:pPr>
        <w:pStyle w:val="a3"/>
        <w:spacing w:before="1"/>
        <w:ind w:left="1080"/>
        <w:rPr>
          <w:lang w:eastAsia="ja-JP"/>
        </w:rPr>
      </w:pPr>
      <w:r>
        <w:rPr>
          <w:lang w:eastAsia="ja-JP"/>
        </w:rPr>
        <w:t>雇用部門としての林業はさらに2.2%</w:t>
      </w:r>
      <w:r w:rsidR="00282558">
        <w:rPr>
          <w:rFonts w:hint="eastAsia"/>
          <w:lang w:eastAsia="ja-JP"/>
        </w:rPr>
        <w:t>総生産を</w:t>
      </w:r>
      <w:r w:rsidR="00162B6A">
        <w:rPr>
          <w:rFonts w:hint="eastAsia"/>
          <w:lang w:eastAsia="ja-JP"/>
        </w:rPr>
        <w:t>生み出す</w:t>
      </w:r>
      <w:r w:rsidR="00162B6A">
        <w:rPr>
          <w:lang w:eastAsia="ja-JP"/>
        </w:rPr>
        <w:t xml:space="preserve"> </w:t>
      </w:r>
      <w:r>
        <w:rPr>
          <w:lang w:eastAsia="ja-JP"/>
        </w:rPr>
        <w:t>(EEA, 2018)24。</w:t>
      </w:r>
    </w:p>
    <w:p w14:paraId="095A5831" w14:textId="77777777" w:rsidR="002B3AD5" w:rsidRDefault="002B3AD5">
      <w:pPr>
        <w:pStyle w:val="a3"/>
        <w:spacing w:before="10"/>
        <w:rPr>
          <w:sz w:val="23"/>
          <w:lang w:eastAsia="ja-JP"/>
        </w:rPr>
      </w:pPr>
    </w:p>
    <w:p w14:paraId="095A5832" w14:textId="0CAB7AAA" w:rsidR="002B3AD5" w:rsidRDefault="00D66CD0">
      <w:pPr>
        <w:pStyle w:val="a3"/>
        <w:spacing w:line="276" w:lineRule="auto"/>
        <w:ind w:left="1080" w:right="1121"/>
        <w:rPr>
          <w:lang w:eastAsia="ja-JP"/>
        </w:rPr>
      </w:pPr>
      <w:r>
        <w:rPr>
          <w:lang w:eastAsia="ja-JP"/>
        </w:rPr>
        <w:t>森林は、気象パターン(例、極端な熱波)の変化、有害動植物や病気の発生など、気候変化の影響にさらされている。 ヨーロッパだけでも、2019年の最初の4ヵ月間には、201825年の全体よりも多くの野火が記録され</w:t>
      </w:r>
      <w:r w:rsidR="00282558">
        <w:rPr>
          <w:rFonts w:hint="eastAsia"/>
          <w:lang w:eastAsia="ja-JP"/>
        </w:rPr>
        <w:t>た。</w:t>
      </w:r>
      <w:r>
        <w:rPr>
          <w:lang w:eastAsia="ja-JP"/>
        </w:rPr>
        <w:t>EUでは森林面積が増加している</w:t>
      </w:r>
      <w:r w:rsidR="00282558">
        <w:rPr>
          <w:rFonts w:hint="eastAsia"/>
          <w:lang w:eastAsia="ja-JP"/>
        </w:rPr>
        <w:t>が、</w:t>
      </w:r>
      <w:r>
        <w:rPr>
          <w:lang w:eastAsia="ja-JP"/>
        </w:rPr>
        <w:t xml:space="preserve">地球規模での森林減少は、化石燃料の燃焼後、依然として気候変動の第2の原因である。26 国連気候変動枠組条約(UNFCCC)は、気候変動緩和プロジェクトの実施を含め、2030年に世界中の農林水産業における気候影響に対処するために、140億米ドルの追加的資金フローが必要であると推定している。27。森林の気候変動に対する回復力の確保、森林生態系、生物多様性、生息・生育地、土壌の積極的保護、森林を基盤とする産業のための持続可能な原料供給も含まれる。 </w:t>
      </w:r>
      <w:r w:rsidR="002F5B54">
        <w:rPr>
          <w:lang w:eastAsia="ja-JP"/>
        </w:rPr>
        <w:t>タクソノミー</w:t>
      </w:r>
      <w:r>
        <w:rPr>
          <w:lang w:eastAsia="ja-JP"/>
        </w:rPr>
        <w:t>は、気候条件および変化する環境の影響を認識しており、それには不可抗力条項が含まれており、自然の攪乱に起因する不履行は閾値の達成に影響を及ぼすことから除外することができ、</w:t>
      </w:r>
      <w:r w:rsidR="002F5B54">
        <w:rPr>
          <w:lang w:eastAsia="ja-JP"/>
        </w:rPr>
        <w:t>タクソノミー</w:t>
      </w:r>
      <w:r>
        <w:rPr>
          <w:lang w:eastAsia="ja-JP"/>
        </w:rPr>
        <w:t>的基準28の不遵守には至らないと</w:t>
      </w:r>
      <w:r w:rsidR="00282558">
        <w:rPr>
          <w:rFonts w:hint="eastAsia"/>
          <w:lang w:eastAsia="ja-JP"/>
        </w:rPr>
        <w:t>して</w:t>
      </w:r>
      <w:r>
        <w:rPr>
          <w:lang w:eastAsia="ja-JP"/>
        </w:rPr>
        <w:t>いる。</w:t>
      </w:r>
    </w:p>
    <w:p w14:paraId="095A5833" w14:textId="77777777" w:rsidR="002B3AD5" w:rsidRDefault="002B3AD5">
      <w:pPr>
        <w:pStyle w:val="a3"/>
        <w:rPr>
          <w:sz w:val="21"/>
          <w:lang w:eastAsia="ja-JP"/>
        </w:rPr>
      </w:pPr>
    </w:p>
    <w:p w14:paraId="095A5834" w14:textId="25BF02BA" w:rsidR="002B3AD5" w:rsidRDefault="00D66CD0">
      <w:pPr>
        <w:pStyle w:val="a3"/>
        <w:spacing w:line="276" w:lineRule="auto"/>
        <w:ind w:left="1080" w:right="1157"/>
        <w:rPr>
          <w:lang w:eastAsia="ja-JP"/>
        </w:rPr>
      </w:pPr>
      <w:r>
        <w:rPr>
          <w:lang w:eastAsia="ja-JP"/>
        </w:rPr>
        <w:t>世界の温室効果ガスバランスにおける森林の役割は、劣化した森林の再生、再植林、持続可能な森林管理、保全及び新規植林を含む、森林部門内での費用対効果の高い緩和オプション(グリーン化)の実施を通じて強化することができる。 地球全体での森林減少の削減も不可欠であるが、しばしば</w:t>
      </w:r>
      <w:r w:rsidR="00282558">
        <w:rPr>
          <w:rFonts w:hint="eastAsia"/>
          <w:lang w:eastAsia="ja-JP"/>
        </w:rPr>
        <w:t>農業や都市の拡大のような</w:t>
      </w:r>
      <w:r>
        <w:rPr>
          <w:lang w:eastAsia="ja-JP"/>
        </w:rPr>
        <w:t>外部要因によって引き起こされる。</w:t>
      </w:r>
    </w:p>
    <w:p w14:paraId="095A5835" w14:textId="77777777" w:rsidR="002B3AD5" w:rsidRDefault="002B3AD5">
      <w:pPr>
        <w:pStyle w:val="a3"/>
        <w:rPr>
          <w:lang w:eastAsia="ja-JP"/>
        </w:rPr>
      </w:pPr>
    </w:p>
    <w:p w14:paraId="095A5836" w14:textId="77777777" w:rsidR="002B3AD5" w:rsidRDefault="002B3AD5">
      <w:pPr>
        <w:pStyle w:val="a3"/>
        <w:rPr>
          <w:lang w:eastAsia="ja-JP"/>
        </w:rPr>
      </w:pPr>
    </w:p>
    <w:p w14:paraId="095A5837" w14:textId="77777777" w:rsidR="002B3AD5" w:rsidRDefault="002B3AD5">
      <w:pPr>
        <w:pStyle w:val="a3"/>
        <w:rPr>
          <w:lang w:eastAsia="ja-JP"/>
        </w:rPr>
      </w:pPr>
    </w:p>
    <w:p w14:paraId="095A5838" w14:textId="77777777" w:rsidR="002B3AD5" w:rsidRDefault="002B3AD5">
      <w:pPr>
        <w:pStyle w:val="a3"/>
        <w:rPr>
          <w:lang w:eastAsia="ja-JP"/>
        </w:rPr>
      </w:pPr>
    </w:p>
    <w:p w14:paraId="095A5839" w14:textId="44C8B00E" w:rsidR="002B3AD5" w:rsidRDefault="00C37D34">
      <w:pPr>
        <w:pStyle w:val="a3"/>
        <w:spacing w:before="2"/>
        <w:rPr>
          <w:sz w:val="14"/>
          <w:lang w:eastAsia="ja-JP"/>
        </w:rPr>
      </w:pPr>
      <w:r>
        <w:rPr>
          <w:noProof/>
          <w:lang w:val="en-US" w:eastAsia="ja-JP"/>
        </w:rPr>
        <mc:AlternateContent>
          <mc:Choice Requires="wps">
            <w:drawing>
              <wp:anchor distT="0" distB="0" distL="0" distR="0" simplePos="0" relativeHeight="251665408" behindDoc="1" locked="0" layoutInCell="1" allowOverlap="1" wp14:anchorId="095A5901" wp14:editId="59D112BD">
                <wp:simplePos x="0" y="0"/>
                <wp:positionH relativeFrom="page">
                  <wp:posOffset>914400</wp:posOffset>
                </wp:positionH>
                <wp:positionV relativeFrom="paragraph">
                  <wp:posOffset>131445</wp:posOffset>
                </wp:positionV>
                <wp:extent cx="1829435" cy="0"/>
                <wp:effectExtent l="9525" t="6350" r="8890" b="12700"/>
                <wp:wrapTopAndBottom/>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9AFF5" id="Line 10" o:spid="_x0000_s1026" style="position:absolute;left:0;text-align:lef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35pt" to="216.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MQFQIAACo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" strokeweight=".48pt">
                <w10:wrap type="topAndBottom" anchorx="page"/>
              </v:line>
            </w:pict>
          </mc:Fallback>
        </mc:AlternateContent>
      </w:r>
    </w:p>
    <w:p w14:paraId="095A583A" w14:textId="77777777" w:rsidR="002B3AD5" w:rsidRDefault="002B3AD5">
      <w:pPr>
        <w:pStyle w:val="a3"/>
        <w:spacing w:before="4"/>
        <w:rPr>
          <w:sz w:val="17"/>
          <w:lang w:eastAsia="ja-JP"/>
        </w:rPr>
      </w:pPr>
    </w:p>
    <w:p w14:paraId="095A583B" w14:textId="77777777" w:rsidR="002B3AD5" w:rsidRDefault="00D66CD0">
      <w:pPr>
        <w:pStyle w:val="a4"/>
        <w:numPr>
          <w:ilvl w:val="0"/>
          <w:numId w:val="5"/>
        </w:numPr>
        <w:tabs>
          <w:tab w:val="left" w:pos="1304"/>
        </w:tabs>
        <w:spacing w:before="96" w:line="259" w:lineRule="auto"/>
        <w:ind w:right="1369" w:firstLine="0"/>
        <w:rPr>
          <w:sz w:val="16"/>
          <w:lang w:eastAsia="ja-JP"/>
        </w:rPr>
      </w:pPr>
      <w:r>
        <w:rPr>
          <w:sz w:val="16"/>
          <w:lang w:eastAsia="ja-JP"/>
        </w:rPr>
        <w:t>Camia A., Robert N., Jonsson R., Pilli a-Condado S., Garci. a-Condado S., Lo. pez-Lozano R., van der Velde M., Ronzon T., Gurri a P., M'Barek R., Tamosiunas S., Fiore G., Araujo R., Hoepffner N., Marelli L., Giuntoli J. (2018) EUにおけるバイオマス生産、供給、使用および流れ。 統合的評価からの最初の結果。 日本レスポンシブル・ケア学会方針報告書</w:t>
      </w:r>
    </w:p>
    <w:p w14:paraId="095A583C" w14:textId="77777777" w:rsidR="002B3AD5" w:rsidRDefault="004339EC">
      <w:pPr>
        <w:pStyle w:val="a4"/>
        <w:numPr>
          <w:ilvl w:val="0"/>
          <w:numId w:val="5"/>
        </w:numPr>
        <w:tabs>
          <w:tab w:val="left" w:pos="1304"/>
        </w:tabs>
        <w:spacing w:before="160"/>
        <w:ind w:left="1303" w:hanging="223"/>
        <w:rPr>
          <w:sz w:val="16"/>
          <w:lang w:eastAsia="ja-JP"/>
        </w:rPr>
      </w:pPr>
      <w:hyperlink r:id="rId18">
        <w:r w:rsidR="00D66CD0">
          <w:rPr>
            <w:sz w:val="16"/>
            <w:lang w:eastAsia="ja-JP"/>
          </w:rPr>
          <w:t>https://ec.europa.eu/agriculture/forest/strategy_en.</w:t>
        </w:r>
      </w:hyperlink>
    </w:p>
    <w:p w14:paraId="095A583D" w14:textId="77777777" w:rsidR="002B3AD5" w:rsidRDefault="002B3AD5">
      <w:pPr>
        <w:pStyle w:val="a3"/>
        <w:spacing w:before="2"/>
        <w:rPr>
          <w:sz w:val="15"/>
          <w:lang w:eastAsia="ja-JP"/>
        </w:rPr>
      </w:pPr>
    </w:p>
    <w:p w14:paraId="095A583E" w14:textId="77777777" w:rsidR="002B3AD5" w:rsidRDefault="00D66CD0">
      <w:pPr>
        <w:pStyle w:val="a4"/>
        <w:numPr>
          <w:ilvl w:val="0"/>
          <w:numId w:val="5"/>
        </w:numPr>
        <w:tabs>
          <w:tab w:val="left" w:pos="1304"/>
        </w:tabs>
        <w:spacing w:before="0" w:line="465" w:lineRule="auto"/>
        <w:ind w:right="2830" w:firstLine="0"/>
        <w:rPr>
          <w:sz w:val="16"/>
        </w:rPr>
      </w:pPr>
      <w:r>
        <w:rPr>
          <w:sz w:val="16"/>
          <w:lang w:eastAsia="ja-JP"/>
        </w:rPr>
        <w:t>EEA (2018) 循環経済とバイオ経済。</w:t>
      </w:r>
      <w:r>
        <w:rPr>
          <w:spacing w:val="-3"/>
          <w:sz w:val="16"/>
          <w:lang w:eastAsia="ja-JP"/>
        </w:rPr>
        <w:t xml:space="preserve"> </w:t>
      </w:r>
      <w:proofErr w:type="spellStart"/>
      <w:r>
        <w:rPr>
          <w:spacing w:val="-3"/>
          <w:sz w:val="16"/>
        </w:rPr>
        <w:t>サステナビリティのパートナ</w:t>
      </w:r>
      <w:proofErr w:type="spellEnd"/>
      <w:r>
        <w:rPr>
          <w:spacing w:val="-3"/>
          <w:sz w:val="16"/>
        </w:rPr>
        <w:t>ー EEA報告書No.8/2018 25EC Joint Research Center's European Forest Fire Information System,2019</w:t>
      </w:r>
    </w:p>
    <w:p w14:paraId="095A583F" w14:textId="77777777" w:rsidR="002B3AD5" w:rsidRDefault="00755CE4">
      <w:pPr>
        <w:pStyle w:val="a4"/>
        <w:numPr>
          <w:ilvl w:val="0"/>
          <w:numId w:val="4"/>
        </w:numPr>
        <w:tabs>
          <w:tab w:val="left" w:pos="1304"/>
        </w:tabs>
        <w:spacing w:before="3"/>
        <w:ind w:hanging="223"/>
        <w:rPr>
          <w:sz w:val="16"/>
        </w:rPr>
      </w:pPr>
      <w:hyperlink r:id="rId19">
        <w:r w:rsidR="00D66CD0">
          <w:rPr>
            <w:sz w:val="16"/>
          </w:rPr>
          <w:t>www.fao.org/state-of-forests/en/.</w:t>
        </w:r>
      </w:hyperlink>
    </w:p>
    <w:p w14:paraId="095A5840" w14:textId="77777777" w:rsidR="002B3AD5" w:rsidRDefault="002B3AD5">
      <w:pPr>
        <w:pStyle w:val="a3"/>
        <w:spacing w:before="1"/>
        <w:rPr>
          <w:sz w:val="15"/>
        </w:rPr>
      </w:pPr>
    </w:p>
    <w:p w14:paraId="095A5841" w14:textId="77777777" w:rsidR="002B3AD5" w:rsidRDefault="00D66CD0">
      <w:pPr>
        <w:pStyle w:val="a4"/>
        <w:numPr>
          <w:ilvl w:val="0"/>
          <w:numId w:val="4"/>
        </w:numPr>
        <w:tabs>
          <w:tab w:val="left" w:pos="1304"/>
        </w:tabs>
        <w:spacing w:before="1"/>
        <w:ind w:hanging="223"/>
        <w:rPr>
          <w:sz w:val="16"/>
        </w:rPr>
      </w:pPr>
      <w:r>
        <w:rPr>
          <w:sz w:val="16"/>
        </w:rPr>
        <w:t>https://unfccc.int/files/cooperation_and_support/financial_mechanism/application/pdf/adaptation.pdf.</w:t>
      </w:r>
    </w:p>
    <w:p w14:paraId="095A5842" w14:textId="77777777" w:rsidR="002B3AD5" w:rsidRDefault="002B3AD5">
      <w:pPr>
        <w:pStyle w:val="a3"/>
        <w:spacing w:before="1"/>
        <w:rPr>
          <w:sz w:val="15"/>
        </w:rPr>
      </w:pPr>
    </w:p>
    <w:p w14:paraId="095A5843" w14:textId="77777777" w:rsidR="002B3AD5" w:rsidRDefault="00D66CD0">
      <w:pPr>
        <w:pStyle w:val="a4"/>
        <w:numPr>
          <w:ilvl w:val="0"/>
          <w:numId w:val="4"/>
        </w:numPr>
        <w:tabs>
          <w:tab w:val="left" w:pos="1304"/>
        </w:tabs>
        <w:spacing w:before="0" w:line="259" w:lineRule="auto"/>
        <w:ind w:left="1080" w:right="1125" w:firstLine="0"/>
        <w:rPr>
          <w:sz w:val="16"/>
          <w:lang w:eastAsia="ja-JP"/>
        </w:rPr>
      </w:pPr>
      <w:r>
        <w:rPr>
          <w:sz w:val="16"/>
          <w:lang w:eastAsia="ja-JP"/>
        </w:rPr>
        <w:t>森林スタンドの火災や風の投下による消失などの不可抗力が発生した場合、既存の森林管理NACEは復元NACEに移行し、20年間にわたる森林スタンドの再構築、したがって炭素貯蔵の開発に基づいて、性能が判断される。</w:t>
      </w:r>
    </w:p>
    <w:p w14:paraId="095A5844" w14:textId="77777777" w:rsidR="002B3AD5" w:rsidRDefault="002B3AD5">
      <w:pPr>
        <w:spacing w:line="259" w:lineRule="auto"/>
        <w:rPr>
          <w:sz w:val="16"/>
          <w:lang w:eastAsia="ja-JP"/>
        </w:rPr>
        <w:sectPr w:rsidR="002B3AD5">
          <w:pgSz w:w="12240" w:h="15840"/>
          <w:pgMar w:top="1360" w:right="320" w:bottom="1200" w:left="360" w:header="0" w:footer="1020" w:gutter="0"/>
          <w:cols w:space="720"/>
        </w:sectPr>
      </w:pPr>
    </w:p>
    <w:p w14:paraId="095A5845" w14:textId="2A5EBEBA" w:rsidR="002B3AD5" w:rsidRDefault="00282558">
      <w:pPr>
        <w:spacing w:before="79" w:line="276" w:lineRule="auto"/>
        <w:ind w:left="1080" w:right="1216"/>
        <w:rPr>
          <w:b/>
          <w:sz w:val="20"/>
          <w:lang w:eastAsia="ja-JP"/>
        </w:rPr>
      </w:pPr>
      <w:r>
        <w:rPr>
          <w:rFonts w:hint="eastAsia"/>
          <w:sz w:val="20"/>
          <w:lang w:eastAsia="ja-JP"/>
        </w:rPr>
        <w:lastRenderedPageBreak/>
        <w:t>森林部門由来の製品は</w:t>
      </w:r>
      <w:r w:rsidR="00D66CD0">
        <w:rPr>
          <w:sz w:val="20"/>
          <w:lang w:eastAsia="ja-JP"/>
        </w:rPr>
        <w:t>GHG排出量の削減や代替効果を通して、他の経済部門で使用された場合、気候緩和効果を持つことができる</w:t>
      </w:r>
      <w:r>
        <w:rPr>
          <w:rFonts w:hint="eastAsia"/>
          <w:sz w:val="20"/>
          <w:lang w:eastAsia="ja-JP"/>
        </w:rPr>
        <w:t>（イネ―ブリング）</w:t>
      </w:r>
      <w:r w:rsidR="00D66CD0">
        <w:rPr>
          <w:sz w:val="20"/>
          <w:lang w:eastAsia="ja-JP"/>
        </w:rPr>
        <w:t>。 2つの形態の「置換」が</w:t>
      </w:r>
      <w:r>
        <w:rPr>
          <w:rFonts w:hint="eastAsia"/>
          <w:sz w:val="20"/>
          <w:lang w:eastAsia="ja-JP"/>
        </w:rPr>
        <w:t>起きる可能性があるといえる</w:t>
      </w:r>
      <w:r w:rsidR="00D66CD0">
        <w:rPr>
          <w:sz w:val="20"/>
          <w:lang w:eastAsia="ja-JP"/>
        </w:rPr>
        <w:t>。 GHG集約的な材料を収穫木材製品(HWP)に置き換えること(例えば、建設に使用される木材ベースの原材料や製品)、および化石燃料の置き換え</w:t>
      </w:r>
      <w:r>
        <w:rPr>
          <w:rFonts w:hint="eastAsia"/>
          <w:sz w:val="20"/>
          <w:lang w:eastAsia="ja-JP"/>
        </w:rPr>
        <w:t>である</w:t>
      </w:r>
      <w:r w:rsidR="00D66CD0">
        <w:rPr>
          <w:sz w:val="20"/>
          <w:lang w:eastAsia="ja-JP"/>
        </w:rPr>
        <w:t xml:space="preserve">。 これら2つの代替形態は、GHG排出への影響と炭素削減へのアプローチが大きく異なる。 </w:t>
      </w:r>
      <w:r w:rsidR="00D66CD0" w:rsidRPr="00EA32B3">
        <w:rPr>
          <w:rFonts w:hint="eastAsia"/>
          <w:b/>
          <w:sz w:val="20"/>
          <w:lang w:eastAsia="ja-JP"/>
        </w:rPr>
        <w:t>この時点で、森林</w:t>
      </w:r>
      <w:r w:rsidR="002F5B54" w:rsidRPr="00EA32B3">
        <w:rPr>
          <w:rFonts w:hint="eastAsia"/>
          <w:b/>
          <w:sz w:val="20"/>
          <w:lang w:eastAsia="ja-JP"/>
        </w:rPr>
        <w:t>タクソノミー</w:t>
      </w:r>
      <w:r w:rsidR="00D66CD0" w:rsidRPr="00EA32B3">
        <w:rPr>
          <w:rFonts w:hint="eastAsia"/>
          <w:b/>
          <w:sz w:val="20"/>
          <w:lang w:eastAsia="ja-JP"/>
        </w:rPr>
        <w:t>は、森林の炭素貯蔵と吸収源を保護・強化するための「グリーン化」活動に焦点を当てている。</w:t>
      </w:r>
      <w:r w:rsidR="00D66CD0">
        <w:rPr>
          <w:b/>
          <w:sz w:val="20"/>
          <w:lang w:eastAsia="ja-JP"/>
        </w:rPr>
        <w:t xml:space="preserve"> 審議会は、長寿の木材製品と収穫された木材製品を含む「</w:t>
      </w:r>
      <w:r>
        <w:rPr>
          <w:rFonts w:hint="eastAsia"/>
          <w:b/>
          <w:sz w:val="20"/>
          <w:lang w:eastAsia="ja-JP"/>
        </w:rPr>
        <w:t>イネ―ブリング活動</w:t>
      </w:r>
      <w:r w:rsidR="00D66CD0">
        <w:rPr>
          <w:b/>
          <w:sz w:val="20"/>
          <w:lang w:eastAsia="ja-JP"/>
        </w:rPr>
        <w:t>」が、どのように</w:t>
      </w:r>
      <w:r w:rsidR="002F5B54">
        <w:rPr>
          <w:b/>
          <w:sz w:val="20"/>
          <w:lang w:eastAsia="ja-JP"/>
        </w:rPr>
        <w:t>タクソノミー</w:t>
      </w:r>
      <w:r w:rsidR="00D66CD0">
        <w:rPr>
          <w:b/>
          <w:sz w:val="20"/>
          <w:lang w:eastAsia="ja-JP"/>
        </w:rPr>
        <w:t>の範囲内で運営できるかを検討することが推奨される。 附属書F1に</w:t>
      </w:r>
      <w:r>
        <w:rPr>
          <w:rFonts w:hint="eastAsia"/>
          <w:b/>
          <w:sz w:val="20"/>
          <w:lang w:eastAsia="ja-JP"/>
        </w:rPr>
        <w:t>は</w:t>
      </w:r>
      <w:r w:rsidR="002F5B54">
        <w:rPr>
          <w:b/>
          <w:sz w:val="20"/>
          <w:lang w:eastAsia="ja-JP"/>
        </w:rPr>
        <w:t>タクソノミー</w:t>
      </w:r>
      <w:r w:rsidR="00D66CD0">
        <w:rPr>
          <w:b/>
          <w:sz w:val="20"/>
          <w:lang w:eastAsia="ja-JP"/>
        </w:rPr>
        <w:t>の考察のための提案</w:t>
      </w:r>
      <w:r>
        <w:rPr>
          <w:rFonts w:hint="eastAsia"/>
          <w:b/>
          <w:sz w:val="20"/>
          <w:lang w:eastAsia="ja-JP"/>
        </w:rPr>
        <w:t>が書かれている</w:t>
      </w:r>
      <w:r w:rsidR="00D66CD0">
        <w:rPr>
          <w:b/>
          <w:sz w:val="20"/>
          <w:lang w:eastAsia="ja-JP"/>
        </w:rPr>
        <w:t>。</w:t>
      </w:r>
    </w:p>
    <w:p w14:paraId="095A5846" w14:textId="77777777" w:rsidR="002B3AD5" w:rsidRDefault="002B3AD5">
      <w:pPr>
        <w:pStyle w:val="a3"/>
        <w:spacing w:before="11"/>
        <w:rPr>
          <w:b/>
          <w:lang w:eastAsia="ja-JP"/>
        </w:rPr>
      </w:pPr>
    </w:p>
    <w:p w14:paraId="095A5847" w14:textId="77777777" w:rsidR="002B3AD5" w:rsidRDefault="00D66CD0">
      <w:pPr>
        <w:pStyle w:val="4"/>
        <w:rPr>
          <w:lang w:eastAsia="ja-JP"/>
        </w:rPr>
      </w:pPr>
      <w:r>
        <w:rPr>
          <w:lang w:eastAsia="ja-JP"/>
        </w:rPr>
        <w:t>対象</w:t>
      </w:r>
    </w:p>
    <w:p w14:paraId="095A5848" w14:textId="77777777" w:rsidR="002B3AD5" w:rsidRDefault="002B3AD5">
      <w:pPr>
        <w:pStyle w:val="a3"/>
        <w:spacing w:before="9"/>
        <w:rPr>
          <w:b/>
          <w:sz w:val="23"/>
          <w:lang w:eastAsia="ja-JP"/>
        </w:rPr>
      </w:pPr>
    </w:p>
    <w:p w14:paraId="095A5849" w14:textId="43C97F72" w:rsidR="002B3AD5" w:rsidRDefault="002F5B54">
      <w:pPr>
        <w:pStyle w:val="a3"/>
        <w:spacing w:line="276" w:lineRule="auto"/>
        <w:ind w:left="1080" w:right="1152"/>
      </w:pPr>
      <w:r>
        <w:rPr>
          <w:lang w:eastAsia="ja-JP"/>
        </w:rPr>
        <w:t>タクソノミー</w:t>
      </w:r>
      <w:r w:rsidR="00D66CD0">
        <w:rPr>
          <w:lang w:eastAsia="ja-JP"/>
        </w:rPr>
        <w:t>の範囲は、森林</w:t>
      </w:r>
      <w:r w:rsidR="00282558">
        <w:rPr>
          <w:rFonts w:hint="eastAsia"/>
          <w:lang w:eastAsia="ja-JP"/>
        </w:rPr>
        <w:t>域すべてに</w:t>
      </w:r>
      <w:r w:rsidR="00D66CD0">
        <w:rPr>
          <w:lang w:eastAsia="ja-JP"/>
        </w:rPr>
        <w:t xml:space="preserve">適用される森林管理活動を通して、森林における炭素固定と炭素貯蔵に重点を置いている。 選択された活動は、森林の経済的ライフサイクルのさまざまな段階での介入であり、NACEコードA2-森林と伐採の下でスコープ化されている。 </w:t>
      </w:r>
      <w:r w:rsidR="00162B6A">
        <w:rPr>
          <w:rFonts w:hint="eastAsia"/>
          <w:lang w:eastAsia="ja-JP"/>
        </w:rPr>
        <w:t>具体的</w:t>
      </w:r>
      <w:proofErr w:type="spellStart"/>
      <w:r w:rsidR="00D66CD0">
        <w:t>には、次のものが</w:t>
      </w:r>
      <w:proofErr w:type="spellEnd"/>
      <w:r w:rsidR="007C124F">
        <w:rPr>
          <w:rFonts w:hint="eastAsia"/>
          <w:lang w:eastAsia="ja-JP"/>
        </w:rPr>
        <w:t>含まれる；</w:t>
      </w:r>
    </w:p>
    <w:p w14:paraId="095A584A" w14:textId="77777777" w:rsidR="002B3AD5" w:rsidRDefault="002B3AD5">
      <w:pPr>
        <w:pStyle w:val="a3"/>
        <w:spacing w:before="1"/>
        <w:rPr>
          <w:sz w:val="21"/>
        </w:rPr>
      </w:pPr>
    </w:p>
    <w:p w14:paraId="095A584B" w14:textId="5F3321C6" w:rsidR="002B3AD5" w:rsidRDefault="00D66CD0">
      <w:pPr>
        <w:pStyle w:val="a4"/>
        <w:numPr>
          <w:ilvl w:val="0"/>
          <w:numId w:val="20"/>
        </w:numPr>
        <w:tabs>
          <w:tab w:val="left" w:pos="1440"/>
          <w:tab w:val="left" w:pos="1441"/>
        </w:tabs>
        <w:spacing w:before="0" w:line="273" w:lineRule="auto"/>
        <w:ind w:right="1217"/>
        <w:rPr>
          <w:sz w:val="20"/>
          <w:lang w:eastAsia="ja-JP"/>
        </w:rPr>
      </w:pPr>
      <w:r>
        <w:rPr>
          <w:sz w:val="20"/>
          <w:lang w:eastAsia="ja-JP"/>
        </w:rPr>
        <w:t>新規植林(FAO FRA</w:t>
      </w:r>
      <w:r w:rsidR="007C124F">
        <w:rPr>
          <w:rFonts w:hint="eastAsia"/>
          <w:sz w:val="20"/>
          <w:lang w:eastAsia="ja-JP"/>
        </w:rPr>
        <w:t>の定義</w:t>
      </w:r>
      <w:r>
        <w:rPr>
          <w:sz w:val="20"/>
          <w:lang w:eastAsia="ja-JP"/>
        </w:rPr>
        <w:t xml:space="preserve"> 2020</w:t>
      </w:r>
      <w:r w:rsidR="00873DF5">
        <w:rPr>
          <w:rFonts w:hint="eastAsia"/>
          <w:sz w:val="20"/>
          <w:lang w:eastAsia="ja-JP"/>
        </w:rPr>
        <w:t>による</w:t>
      </w:r>
      <w:r>
        <w:rPr>
          <w:sz w:val="20"/>
          <w:lang w:eastAsia="ja-JP"/>
        </w:rPr>
        <w:t>):それまで異なる土地利用下にあった土地に植林および/または意図的播種を通して森林を確立することは、土地利用を非森林から森林に転換することを意味する。</w:t>
      </w:r>
    </w:p>
    <w:p w14:paraId="095A584C" w14:textId="77777777" w:rsidR="002B3AD5" w:rsidRDefault="002B3AD5">
      <w:pPr>
        <w:pStyle w:val="a3"/>
        <w:spacing w:before="1"/>
        <w:rPr>
          <w:sz w:val="21"/>
          <w:lang w:eastAsia="ja-JP"/>
        </w:rPr>
      </w:pPr>
    </w:p>
    <w:p w14:paraId="095A584D" w14:textId="435ED523" w:rsidR="002B3AD5" w:rsidRDefault="00D66CD0">
      <w:pPr>
        <w:pStyle w:val="a4"/>
        <w:numPr>
          <w:ilvl w:val="0"/>
          <w:numId w:val="20"/>
        </w:numPr>
        <w:tabs>
          <w:tab w:val="left" w:pos="1440"/>
          <w:tab w:val="left" w:pos="1441"/>
        </w:tabs>
        <w:spacing w:before="0" w:line="276" w:lineRule="auto"/>
        <w:ind w:right="1356"/>
        <w:rPr>
          <w:sz w:val="20"/>
          <w:lang w:eastAsia="ja-JP"/>
        </w:rPr>
      </w:pPr>
      <w:r>
        <w:rPr>
          <w:sz w:val="20"/>
          <w:lang w:eastAsia="ja-JP"/>
        </w:rPr>
        <w:t>森林再生(FAO FRA 2020</w:t>
      </w:r>
      <w:r w:rsidR="00873DF5">
        <w:rPr>
          <w:rFonts w:hint="eastAsia"/>
          <w:sz w:val="20"/>
          <w:lang w:eastAsia="ja-JP"/>
        </w:rPr>
        <w:t>の</w:t>
      </w:r>
      <w:r>
        <w:rPr>
          <w:sz w:val="20"/>
          <w:lang w:eastAsia="ja-JP"/>
        </w:rPr>
        <w:t>定義):森林に分類される土地に植林および/または意図的播種を通して森林を再構築すること。 FAO FRAによる森林再生の定義では、自然再生は除外されている。 しかし、</w:t>
      </w:r>
      <w:r w:rsidR="002F5B54">
        <w:rPr>
          <w:sz w:val="20"/>
          <w:lang w:eastAsia="ja-JP"/>
        </w:rPr>
        <w:t>タクソノミー</w:t>
      </w:r>
      <w:r>
        <w:rPr>
          <w:sz w:val="20"/>
          <w:lang w:eastAsia="ja-JP"/>
        </w:rPr>
        <w:t>は、森林一般によってもたらされる炭素吸収と貯蔵ポテンシャルの増加に対する自然再生の重要性を認識している。 従って、自然再生林</w:t>
      </w:r>
      <w:r w:rsidR="00873DF5">
        <w:rPr>
          <w:rFonts w:hint="eastAsia"/>
          <w:sz w:val="20"/>
          <w:lang w:eastAsia="ja-JP"/>
        </w:rPr>
        <w:t>も</w:t>
      </w:r>
      <w:r>
        <w:rPr>
          <w:sz w:val="20"/>
          <w:lang w:eastAsia="ja-JP"/>
        </w:rPr>
        <w:t>FAO FRAの定義に沿って、この文脈の中に明示的に含まれている。</w:t>
      </w:r>
      <w:r w:rsidR="00873DF5">
        <w:rPr>
          <w:rFonts w:hint="eastAsia"/>
          <w:sz w:val="20"/>
          <w:lang w:eastAsia="ja-JP"/>
        </w:rPr>
        <w:t>31</w:t>
      </w:r>
    </w:p>
    <w:p w14:paraId="095A584E" w14:textId="77777777" w:rsidR="002B3AD5" w:rsidRDefault="002B3AD5">
      <w:pPr>
        <w:pStyle w:val="a3"/>
        <w:spacing w:before="7"/>
        <w:rPr>
          <w:lang w:eastAsia="ja-JP"/>
        </w:rPr>
      </w:pPr>
    </w:p>
    <w:p w14:paraId="095A584F" w14:textId="77777777" w:rsidR="002B3AD5" w:rsidRDefault="00D66CD0">
      <w:pPr>
        <w:pStyle w:val="a4"/>
        <w:numPr>
          <w:ilvl w:val="0"/>
          <w:numId w:val="20"/>
        </w:numPr>
        <w:tabs>
          <w:tab w:val="left" w:pos="1440"/>
          <w:tab w:val="left" w:pos="1441"/>
        </w:tabs>
        <w:spacing w:before="1" w:line="271" w:lineRule="auto"/>
        <w:ind w:right="1750"/>
        <w:rPr>
          <w:sz w:val="20"/>
          <w:lang w:eastAsia="ja-JP"/>
        </w:rPr>
      </w:pPr>
      <w:r>
        <w:rPr>
          <w:sz w:val="20"/>
          <w:lang w:eastAsia="ja-JP"/>
        </w:rPr>
        <w:t>復旧/復興:劣化した状態からの生態系の回復を開始または加速する意図的な活動。</w:t>
      </w:r>
    </w:p>
    <w:p w14:paraId="095A5850" w14:textId="77777777" w:rsidR="002B3AD5" w:rsidRDefault="002B3AD5">
      <w:pPr>
        <w:pStyle w:val="a3"/>
        <w:spacing w:before="4"/>
        <w:rPr>
          <w:sz w:val="21"/>
          <w:lang w:eastAsia="ja-JP"/>
        </w:rPr>
      </w:pPr>
    </w:p>
    <w:p w14:paraId="095A5851" w14:textId="39FB951C" w:rsidR="002B3AD5" w:rsidRPr="00EA32B3" w:rsidRDefault="00D66CD0" w:rsidP="00EF219F">
      <w:pPr>
        <w:pStyle w:val="a4"/>
        <w:numPr>
          <w:ilvl w:val="0"/>
          <w:numId w:val="20"/>
        </w:numPr>
        <w:tabs>
          <w:tab w:val="left" w:pos="1440"/>
          <w:tab w:val="left" w:pos="1441"/>
        </w:tabs>
        <w:spacing w:before="0" w:line="273" w:lineRule="auto"/>
        <w:ind w:right="1237"/>
        <w:rPr>
          <w:sz w:val="20"/>
          <w:lang w:eastAsia="ja-JP"/>
        </w:rPr>
      </w:pPr>
      <w:r>
        <w:rPr>
          <w:sz w:val="20"/>
          <w:lang w:eastAsia="ja-JP"/>
        </w:rPr>
        <w:t>既存の森林管理:持続可能な森林管理の原則に従って、森林として</w:t>
      </w:r>
      <w:r w:rsidR="00EF219F">
        <w:rPr>
          <w:rFonts w:hint="eastAsia"/>
          <w:sz w:val="20"/>
          <w:lang w:eastAsia="ja-JP"/>
        </w:rPr>
        <w:t>登録された</w:t>
      </w:r>
      <w:r>
        <w:rPr>
          <w:sz w:val="20"/>
          <w:lang w:eastAsia="ja-JP"/>
        </w:rPr>
        <w:t>土地の管理。 さらに、</w:t>
      </w:r>
      <w:r w:rsidR="00EF219F">
        <w:rPr>
          <w:rFonts w:hint="eastAsia"/>
          <w:sz w:val="20"/>
          <w:lang w:eastAsia="ja-JP"/>
        </w:rPr>
        <w:t>SFM(</w:t>
      </w:r>
      <w:r w:rsidRPr="00EA32B3">
        <w:rPr>
          <w:rFonts w:hint="eastAsia"/>
          <w:sz w:val="20"/>
          <w:lang w:eastAsia="ja-JP"/>
        </w:rPr>
        <w:t>森林ヨーロッパ</w:t>
      </w:r>
      <w:r w:rsidR="00EF219F">
        <w:rPr>
          <w:rFonts w:hint="eastAsia"/>
          <w:sz w:val="20"/>
          <w:lang w:eastAsia="ja-JP"/>
        </w:rPr>
        <w:t>)</w:t>
      </w:r>
      <w:r w:rsidRPr="00EA32B3">
        <w:rPr>
          <w:rFonts w:hint="eastAsia"/>
          <w:sz w:val="20"/>
          <w:lang w:eastAsia="ja-JP"/>
        </w:rPr>
        <w:t>は「持続可能な森林経営」</w:t>
      </w:r>
      <w:r w:rsidR="00EF219F">
        <w:rPr>
          <w:rFonts w:hint="eastAsia"/>
          <w:sz w:val="20"/>
          <w:lang w:eastAsia="ja-JP"/>
        </w:rPr>
        <w:t>を</w:t>
      </w:r>
      <w:r w:rsidRPr="00EA32B3">
        <w:rPr>
          <w:rFonts w:hint="eastAsia"/>
          <w:sz w:val="20"/>
          <w:lang w:eastAsia="ja-JP"/>
        </w:rPr>
        <w:t>定義しており、</w:t>
      </w:r>
      <w:r w:rsidR="00EF219F">
        <w:rPr>
          <w:rFonts w:hint="eastAsia"/>
          <w:sz w:val="20"/>
          <w:lang w:eastAsia="ja-JP"/>
        </w:rPr>
        <w:t>これは</w:t>
      </w:r>
      <w:r w:rsidRPr="00EA32B3">
        <w:rPr>
          <w:rFonts w:hint="eastAsia"/>
          <w:sz w:val="20"/>
          <w:lang w:eastAsia="ja-JP"/>
        </w:rPr>
        <w:t>森林と森林地帯を、生物多様性、生産性、再生能力、活力、および現在と現在の可能性を維持する方法で、かつ</w:t>
      </w:r>
      <w:r w:rsidR="00EF219F" w:rsidRPr="00EF219F">
        <w:rPr>
          <w:rFonts w:hint="eastAsia"/>
          <w:sz w:val="20"/>
          <w:lang w:eastAsia="ja-JP"/>
        </w:rPr>
        <w:t>地域レベル、国レベル、地球レベルでの将来の生態学的、経済的、社会的機能であり、他の生態系に損害を与えない</w:t>
      </w:r>
      <w:r w:rsidR="00EF219F">
        <w:rPr>
          <w:rFonts w:hint="eastAsia"/>
          <w:sz w:val="20"/>
          <w:lang w:eastAsia="ja-JP"/>
        </w:rPr>
        <w:t>ペース</w:t>
      </w:r>
      <w:r w:rsidRPr="00EA32B3">
        <w:rPr>
          <w:rFonts w:hint="eastAsia"/>
          <w:sz w:val="20"/>
          <w:lang w:eastAsia="ja-JP"/>
        </w:rPr>
        <w:t>で利用することを意味する。</w:t>
      </w:r>
      <w:r w:rsidR="00EF219F">
        <w:rPr>
          <w:rFonts w:hint="eastAsia"/>
          <w:sz w:val="20"/>
          <w:lang w:eastAsia="ja-JP"/>
        </w:rPr>
        <w:t>32</w:t>
      </w:r>
    </w:p>
    <w:p w14:paraId="095A5852" w14:textId="77777777" w:rsidR="002B3AD5" w:rsidRDefault="002B3AD5">
      <w:pPr>
        <w:pStyle w:val="a3"/>
        <w:rPr>
          <w:lang w:eastAsia="ja-JP"/>
        </w:rPr>
      </w:pPr>
    </w:p>
    <w:p w14:paraId="095A5853" w14:textId="77777777" w:rsidR="002B3AD5" w:rsidRDefault="002B3AD5">
      <w:pPr>
        <w:pStyle w:val="a3"/>
        <w:rPr>
          <w:lang w:eastAsia="ja-JP"/>
        </w:rPr>
      </w:pPr>
    </w:p>
    <w:p w14:paraId="095A5854" w14:textId="15F1B931" w:rsidR="002B3AD5" w:rsidRDefault="00C37D34">
      <w:pPr>
        <w:pStyle w:val="a3"/>
        <w:spacing w:before="5"/>
        <w:rPr>
          <w:sz w:val="17"/>
          <w:lang w:eastAsia="ja-JP"/>
        </w:rPr>
      </w:pPr>
      <w:r>
        <w:rPr>
          <w:noProof/>
          <w:lang w:val="en-US" w:eastAsia="ja-JP"/>
        </w:rPr>
        <mc:AlternateContent>
          <mc:Choice Requires="wps">
            <w:drawing>
              <wp:anchor distT="0" distB="0" distL="0" distR="0" simplePos="0" relativeHeight="251666432" behindDoc="1" locked="0" layoutInCell="1" allowOverlap="1" wp14:anchorId="095A5902" wp14:editId="272D7517">
                <wp:simplePos x="0" y="0"/>
                <wp:positionH relativeFrom="page">
                  <wp:posOffset>914400</wp:posOffset>
                </wp:positionH>
                <wp:positionV relativeFrom="paragraph">
                  <wp:posOffset>155575</wp:posOffset>
                </wp:positionV>
                <wp:extent cx="1829435" cy="0"/>
                <wp:effectExtent l="9525" t="13335" r="8890" b="5715"/>
                <wp:wrapTopAndBottom/>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ED24A" id="Line 9" o:spid="_x0000_s1026" style="position:absolute;left:0;text-align:lef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5pt" to="21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pFA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" strokeweight=".16936mm">
                <w10:wrap type="topAndBottom" anchorx="page"/>
              </v:line>
            </w:pict>
          </mc:Fallback>
        </mc:AlternateContent>
      </w:r>
    </w:p>
    <w:p w14:paraId="095A5855" w14:textId="77777777" w:rsidR="002B3AD5" w:rsidRDefault="002B3AD5">
      <w:pPr>
        <w:pStyle w:val="a3"/>
        <w:spacing w:before="5"/>
        <w:rPr>
          <w:sz w:val="17"/>
          <w:lang w:eastAsia="ja-JP"/>
        </w:rPr>
      </w:pPr>
    </w:p>
    <w:p w14:paraId="095A5856" w14:textId="6334246E" w:rsidR="002B3AD5" w:rsidRDefault="00EF219F">
      <w:pPr>
        <w:spacing w:before="96"/>
        <w:ind w:left="1080"/>
        <w:rPr>
          <w:sz w:val="16"/>
        </w:rPr>
      </w:pPr>
      <w:r>
        <w:rPr>
          <w:rFonts w:hint="eastAsia"/>
          <w:sz w:val="16"/>
          <w:lang w:eastAsia="ja-JP"/>
        </w:rPr>
        <w:t xml:space="preserve">29 </w:t>
      </w:r>
      <w:r w:rsidR="00D66CD0">
        <w:rPr>
          <w:sz w:val="16"/>
        </w:rPr>
        <w:t>IPCC、2014年</w:t>
      </w:r>
    </w:p>
    <w:p w14:paraId="095A5857" w14:textId="77777777" w:rsidR="002B3AD5" w:rsidRDefault="002B3AD5">
      <w:pPr>
        <w:pStyle w:val="a3"/>
        <w:spacing w:before="3"/>
        <w:rPr>
          <w:sz w:val="15"/>
        </w:rPr>
      </w:pPr>
    </w:p>
    <w:p w14:paraId="095A5858" w14:textId="0E93C809" w:rsidR="002B3AD5" w:rsidRDefault="00D66CD0">
      <w:pPr>
        <w:pStyle w:val="a4"/>
        <w:numPr>
          <w:ilvl w:val="0"/>
          <w:numId w:val="3"/>
        </w:numPr>
        <w:tabs>
          <w:tab w:val="left" w:pos="1304"/>
        </w:tabs>
        <w:spacing w:before="0" w:line="259" w:lineRule="auto"/>
        <w:ind w:right="1302" w:firstLine="0"/>
        <w:rPr>
          <w:sz w:val="16"/>
          <w:lang w:eastAsia="ja-JP"/>
        </w:rPr>
      </w:pPr>
      <w:r>
        <w:rPr>
          <w:sz w:val="16"/>
          <w:lang w:eastAsia="ja-JP"/>
        </w:rPr>
        <w:t>森林</w:t>
      </w:r>
      <w:r w:rsidR="002F5B54">
        <w:rPr>
          <w:sz w:val="16"/>
          <w:lang w:eastAsia="ja-JP"/>
        </w:rPr>
        <w:t>タクソノミー</w:t>
      </w:r>
      <w:r>
        <w:rPr>
          <w:sz w:val="16"/>
          <w:lang w:eastAsia="ja-JP"/>
        </w:rPr>
        <w:t>は、森林活動の緩和ポテンシャルの向上に重点を置いているが、世界的に森林減少を削減することの重要性</w:t>
      </w:r>
      <w:r w:rsidR="00EF219F">
        <w:rPr>
          <w:rFonts w:hint="eastAsia"/>
          <w:sz w:val="16"/>
          <w:lang w:eastAsia="ja-JP"/>
        </w:rPr>
        <w:t>と</w:t>
      </w:r>
      <w:r>
        <w:rPr>
          <w:sz w:val="16"/>
          <w:lang w:eastAsia="ja-JP"/>
        </w:rPr>
        <w:t>、UNREDDが提供する森林減少に対する国際的な指針原則の重要性を改めて強調する。</w:t>
      </w:r>
    </w:p>
    <w:p w14:paraId="095A5859" w14:textId="77777777" w:rsidR="002B3AD5" w:rsidRDefault="00D66CD0">
      <w:pPr>
        <w:pStyle w:val="a4"/>
        <w:numPr>
          <w:ilvl w:val="0"/>
          <w:numId w:val="3"/>
        </w:numPr>
        <w:tabs>
          <w:tab w:val="left" w:pos="1304"/>
        </w:tabs>
        <w:spacing w:before="158"/>
        <w:ind w:left="1303" w:hanging="223"/>
        <w:rPr>
          <w:sz w:val="16"/>
          <w:lang w:eastAsia="ja-JP"/>
        </w:rPr>
      </w:pPr>
      <w:r>
        <w:rPr>
          <w:sz w:val="16"/>
          <w:lang w:eastAsia="ja-JP"/>
        </w:rPr>
        <w:t>自然再生により樹木を主体とした森林。</w:t>
      </w:r>
    </w:p>
    <w:p w14:paraId="095A585A" w14:textId="77777777" w:rsidR="002B3AD5" w:rsidRDefault="002B3AD5">
      <w:pPr>
        <w:pStyle w:val="a3"/>
        <w:spacing w:before="3"/>
        <w:rPr>
          <w:sz w:val="15"/>
          <w:lang w:eastAsia="ja-JP"/>
        </w:rPr>
      </w:pPr>
    </w:p>
    <w:p w14:paraId="095A585B" w14:textId="77777777" w:rsidR="002B3AD5" w:rsidRDefault="00D66CD0">
      <w:pPr>
        <w:spacing w:line="259" w:lineRule="auto"/>
        <w:ind w:left="1080" w:right="1148"/>
        <w:rPr>
          <w:sz w:val="16"/>
          <w:lang w:eastAsia="ja-JP"/>
        </w:rPr>
      </w:pPr>
      <w:r>
        <w:rPr>
          <w:sz w:val="16"/>
          <w:lang w:eastAsia="ja-JP"/>
        </w:rPr>
        <w:t>注記1. 植林、自然再生の区別ができない森林を含む。 2. 自然再生樹種と植林・播種樹木が混在した森林を含み、自然再生樹木が成熟時の生育株の大部分を占めると予想される森林を含む。 3. 自然再生によって樹立された雑木林を含む。 4. 導入された種の自然に再生された樹木を含む。</w:t>
      </w:r>
    </w:p>
    <w:p w14:paraId="095A585C" w14:textId="77777777" w:rsidR="002B3AD5" w:rsidRDefault="002B3AD5">
      <w:pPr>
        <w:spacing w:line="259" w:lineRule="auto"/>
        <w:rPr>
          <w:sz w:val="16"/>
          <w:lang w:eastAsia="ja-JP"/>
        </w:rPr>
        <w:sectPr w:rsidR="002B3AD5">
          <w:pgSz w:w="12240" w:h="15840"/>
          <w:pgMar w:top="1360" w:right="320" w:bottom="1200" w:left="360" w:header="0" w:footer="1020" w:gutter="0"/>
          <w:cols w:space="720"/>
        </w:sectPr>
      </w:pPr>
    </w:p>
    <w:p w14:paraId="095A585D" w14:textId="6F306F5A" w:rsidR="002B3AD5" w:rsidRDefault="002B3AD5">
      <w:pPr>
        <w:pStyle w:val="a3"/>
        <w:spacing w:before="79" w:line="276" w:lineRule="auto"/>
        <w:ind w:left="1440" w:right="1439"/>
        <w:rPr>
          <w:sz w:val="10"/>
          <w:lang w:eastAsia="ja-JP"/>
        </w:rPr>
      </w:pPr>
    </w:p>
    <w:p w14:paraId="095A585E" w14:textId="77777777" w:rsidR="002B3AD5" w:rsidRDefault="002B3AD5">
      <w:pPr>
        <w:pStyle w:val="a3"/>
        <w:spacing w:before="11"/>
        <w:rPr>
          <w:lang w:eastAsia="ja-JP"/>
        </w:rPr>
      </w:pPr>
    </w:p>
    <w:p w14:paraId="095A585F" w14:textId="302CD3A5" w:rsidR="002B3AD5" w:rsidRDefault="00D66CD0">
      <w:pPr>
        <w:pStyle w:val="a4"/>
        <w:numPr>
          <w:ilvl w:val="0"/>
          <w:numId w:val="20"/>
        </w:numPr>
        <w:tabs>
          <w:tab w:val="left" w:pos="1440"/>
          <w:tab w:val="left" w:pos="1441"/>
        </w:tabs>
        <w:spacing w:before="0" w:line="276" w:lineRule="auto"/>
        <w:ind w:right="1233"/>
        <w:rPr>
          <w:sz w:val="20"/>
          <w:lang w:eastAsia="ja-JP"/>
        </w:rPr>
      </w:pPr>
      <w:r>
        <w:rPr>
          <w:sz w:val="20"/>
          <w:lang w:eastAsia="ja-JP"/>
        </w:rPr>
        <w:t>保全林:ここでは、「第一次指定管理目標」(FAO FRA定義)が</w:t>
      </w:r>
      <w:r w:rsidR="00EF219F">
        <w:rPr>
          <w:rFonts w:hint="eastAsia"/>
          <w:sz w:val="20"/>
          <w:lang w:eastAsia="ja-JP"/>
        </w:rPr>
        <w:t>設定されている</w:t>
      </w:r>
      <w:r>
        <w:rPr>
          <w:sz w:val="20"/>
          <w:lang w:eastAsia="ja-JP"/>
        </w:rPr>
        <w:t>森林と定義する。 具体的には、FAO FRAの定義に基づく「生物多様性の保全」または「社会サービス」を経営目標とする森林(囲み1)を指す。</w:t>
      </w:r>
    </w:p>
    <w:p w14:paraId="095A5860" w14:textId="77777777" w:rsidR="002B3AD5" w:rsidRDefault="002B3AD5">
      <w:pPr>
        <w:pStyle w:val="a3"/>
        <w:spacing w:before="6"/>
        <w:rPr>
          <w:lang w:eastAsia="ja-JP"/>
        </w:rPr>
      </w:pPr>
    </w:p>
    <w:p w14:paraId="095A5861" w14:textId="77777777" w:rsidR="002B3AD5" w:rsidRDefault="00D66CD0">
      <w:pPr>
        <w:pStyle w:val="a3"/>
        <w:ind w:left="1080"/>
        <w:rPr>
          <w:lang w:eastAsia="ja-JP"/>
        </w:rPr>
      </w:pPr>
      <w:r>
        <w:rPr>
          <w:lang w:eastAsia="ja-JP"/>
        </w:rPr>
        <w:t>囲み1:保全林に関するFAO FRAの定義</w:t>
      </w:r>
    </w:p>
    <w:p w14:paraId="095A5862" w14:textId="77777777" w:rsidR="002B3AD5" w:rsidRDefault="002B3AD5">
      <w:pPr>
        <w:pStyle w:val="a3"/>
        <w:rPr>
          <w:sz w:val="22"/>
          <w:lang w:eastAsia="ja-JP"/>
        </w:rPr>
      </w:pPr>
    </w:p>
    <w:p w14:paraId="095A5863" w14:textId="6A6F070A" w:rsidR="002B3AD5" w:rsidRDefault="00C37D34">
      <w:pPr>
        <w:pStyle w:val="a4"/>
        <w:numPr>
          <w:ilvl w:val="1"/>
          <w:numId w:val="3"/>
        </w:numPr>
        <w:tabs>
          <w:tab w:val="left" w:pos="1914"/>
        </w:tabs>
        <w:spacing w:before="151" w:line="276" w:lineRule="auto"/>
        <w:ind w:right="2433"/>
        <w:rPr>
          <w:sz w:val="20"/>
        </w:rPr>
      </w:pPr>
      <w:r>
        <w:rPr>
          <w:noProof/>
          <w:lang w:val="en-US" w:eastAsia="ja-JP"/>
        </w:rPr>
        <mc:AlternateContent>
          <mc:Choice Requires="wpg">
            <w:drawing>
              <wp:anchor distT="0" distB="0" distL="114300" distR="114300" simplePos="0" relativeHeight="251653120" behindDoc="1" locked="0" layoutInCell="1" allowOverlap="1" wp14:anchorId="095A5903" wp14:editId="147C1717">
                <wp:simplePos x="0" y="0"/>
                <wp:positionH relativeFrom="page">
                  <wp:posOffset>914400</wp:posOffset>
                </wp:positionH>
                <wp:positionV relativeFrom="paragraph">
                  <wp:posOffset>13970</wp:posOffset>
                </wp:positionV>
                <wp:extent cx="5731510" cy="4699635"/>
                <wp:effectExtent l="9525" t="9525" r="2540" b="5715"/>
                <wp:wrapNone/>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699635"/>
                          <a:chOff x="1440" y="22"/>
                          <a:chExt cx="9026" cy="7401"/>
                        </a:xfrm>
                      </wpg:grpSpPr>
                      <wps:wsp>
                        <wps:cNvPr id="23" name="Line 8"/>
                        <wps:cNvCnPr>
                          <a:cxnSpLocks noChangeShapeType="1"/>
                        </wps:cNvCnPr>
                        <wps:spPr bwMode="auto">
                          <a:xfrm>
                            <a:off x="1450" y="27"/>
                            <a:ext cx="90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7"/>
                        <wps:cNvCnPr>
                          <a:cxnSpLocks noChangeShapeType="1"/>
                        </wps:cNvCnPr>
                        <wps:spPr bwMode="auto">
                          <a:xfrm>
                            <a:off x="1445" y="22"/>
                            <a:ext cx="0" cy="7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6"/>
                        <wps:cNvCnPr>
                          <a:cxnSpLocks noChangeShapeType="1"/>
                        </wps:cNvCnPr>
                        <wps:spPr bwMode="auto">
                          <a:xfrm>
                            <a:off x="1450" y="7417"/>
                            <a:ext cx="900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 name="Line 5"/>
                        <wps:cNvCnPr>
                          <a:cxnSpLocks noChangeShapeType="1"/>
                        </wps:cNvCnPr>
                        <wps:spPr bwMode="auto">
                          <a:xfrm>
                            <a:off x="10461" y="22"/>
                            <a:ext cx="0" cy="740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0AB52" id="Group 4" o:spid="_x0000_s1026" style="position:absolute;left:0;text-align:left;margin-left:1in;margin-top:1.1pt;width:451.3pt;height:370.05pt;z-index:-251663360;mso-position-horizontal-relative:page" coordorigin="1440,22" coordsize="902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">
                <v:line id="Line 8" o:spid="_x0000_s1027" style="position:absolute;visibility:visible;mso-wrap-style:square" from="1450,27" to="104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7" o:spid="_x0000_s1028" style="position:absolute;visibility:visible;mso-wrap-style:square" from="1445,22" to="144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6" o:spid="_x0000_s1029" style="position:absolute;visibility:visible;mso-wrap-style:square" from="1450,7417" to="10456,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IiMQAAADbAAAADwAAAGRycy9kb3ducmV2LnhtbESPwWrDMBBE74X8g9hCbo1ch5rgRjEm&#10;UMghEJr20ttibWUTaWUsNbbz9VGh0OMwM2+YbTU5K640hM6zgudVBoK48bpjo+Dz4+1pAyJEZI3W&#10;MymYKUC1WzxssdR+5He6nqMRCcKhRAVtjH0pZWhachhWvidO3rcfHMYkByP1gGOCOyvzLCukw47T&#10;Qos97VtqLucfp2Bdz1/T2tuNvZmuyE1xOZ76TKnl41S/gog0xf/wX/ugFeQv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ciIxAAAANsAAAAPAAAAAAAAAAAA&#10;AAAAAKECAABkcnMvZG93bnJldi54bWxQSwUGAAAAAAQABAD5AAAAkgMAAAAA&#10;" strokeweight=".16936mm"/>
                <v:line id="Line 5" o:spid="_x0000_s1030" style="position:absolute;visibility:visible;mso-wrap-style:square" from="10461,22" to="10461,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W/8IAAADbAAAADwAAAGRycy9kb3ducmV2LnhtbESPQYvCMBSE74L/ITzBm023QpGuUWRh&#10;wYMgq168PZq3aTF5KU1Wq7/eLAgeh5n5hlmuB2fFlfrQelbwkeUgiGuvWzYKTsfv2QJEiMgarWdS&#10;cKcA69V4tMRK+xv/0PUQjUgQDhUqaGLsKilD3ZDDkPmOOHm/vncYk+yN1D3eEtxZWeR5KR22nBYa&#10;7Oirofpy+HMK5pv7eZh7u7AP05aFKS+7fZcrNZ0Mm08QkYb4Dr/aW62gKOH/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tW/8IAAADbAAAADwAAAAAAAAAAAAAA&#10;AAChAgAAZHJzL2Rvd25yZXYueG1sUEsFBgAAAAAEAAQA+QAAAJADAAAAAA==&#10;" strokeweight=".16936mm"/>
                <w10:wrap anchorx="page"/>
              </v:group>
            </w:pict>
          </mc:Fallback>
        </mc:AlternateContent>
      </w:r>
      <w:r w:rsidR="00D66CD0">
        <w:rPr>
          <w:b/>
          <w:sz w:val="20"/>
          <w:lang w:eastAsia="ja-JP"/>
        </w:rPr>
        <w:t>一次指定管理目標:</w:t>
      </w:r>
      <w:r w:rsidR="00D66CD0" w:rsidRPr="00EA32B3">
        <w:rPr>
          <w:rFonts w:hint="eastAsia"/>
          <w:sz w:val="20"/>
          <w:lang w:eastAsia="ja-JP"/>
        </w:rPr>
        <w:t>管理単位に割り当てられた一次指定管理目標。</w:t>
      </w:r>
      <w:r w:rsidR="00D66CD0" w:rsidRPr="00EF219F">
        <w:rPr>
          <w:sz w:val="20"/>
          <w:lang w:eastAsia="ja-JP"/>
        </w:rPr>
        <w:t xml:space="preserve"> </w:t>
      </w:r>
      <w:proofErr w:type="spellStart"/>
      <w:r w:rsidR="00D66CD0">
        <w:rPr>
          <w:sz w:val="20"/>
        </w:rPr>
        <w:t>注記</w:t>
      </w:r>
      <w:proofErr w:type="spellEnd"/>
      <w:r w:rsidR="00EF219F">
        <w:rPr>
          <w:rFonts w:hint="eastAsia"/>
          <w:sz w:val="20"/>
          <w:lang w:eastAsia="ja-JP"/>
        </w:rPr>
        <w:t>は以下。</w:t>
      </w:r>
    </w:p>
    <w:p w14:paraId="095A5864" w14:textId="77777777" w:rsidR="002B3AD5" w:rsidRDefault="002B3AD5">
      <w:pPr>
        <w:pStyle w:val="a3"/>
        <w:rPr>
          <w:sz w:val="21"/>
        </w:rPr>
      </w:pPr>
    </w:p>
    <w:p w14:paraId="095A5865" w14:textId="6615C013" w:rsidR="002B3AD5" w:rsidRDefault="00D66CD0">
      <w:pPr>
        <w:pStyle w:val="a4"/>
        <w:numPr>
          <w:ilvl w:val="2"/>
          <w:numId w:val="3"/>
        </w:numPr>
        <w:tabs>
          <w:tab w:val="left" w:pos="2634"/>
        </w:tabs>
        <w:spacing w:before="1" w:line="276" w:lineRule="auto"/>
        <w:ind w:right="1573"/>
        <w:jc w:val="both"/>
        <w:rPr>
          <w:sz w:val="20"/>
          <w:lang w:eastAsia="ja-JP"/>
        </w:rPr>
      </w:pPr>
      <w:r>
        <w:rPr>
          <w:sz w:val="20"/>
          <w:lang w:eastAsia="ja-JP"/>
        </w:rPr>
        <w:t>第一義</w:t>
      </w:r>
      <w:r w:rsidR="00EF219F">
        <w:rPr>
          <w:rFonts w:hint="eastAsia"/>
          <w:sz w:val="20"/>
          <w:lang w:eastAsia="ja-JP"/>
        </w:rPr>
        <w:t>として</w:t>
      </w:r>
      <w:r>
        <w:rPr>
          <w:sz w:val="20"/>
          <w:lang w:eastAsia="ja-JP"/>
        </w:rPr>
        <w:t>考慮</w:t>
      </w:r>
      <w:r w:rsidR="00EF219F">
        <w:rPr>
          <w:rFonts w:hint="eastAsia"/>
          <w:sz w:val="20"/>
          <w:lang w:eastAsia="ja-JP"/>
        </w:rPr>
        <w:t>され</w:t>
      </w:r>
      <w:r>
        <w:rPr>
          <w:sz w:val="20"/>
          <w:lang w:eastAsia="ja-JP"/>
        </w:rPr>
        <w:t>るため、</w:t>
      </w:r>
      <w:r w:rsidR="00EF219F">
        <w:rPr>
          <w:rFonts w:hint="eastAsia"/>
          <w:sz w:val="20"/>
          <w:lang w:eastAsia="ja-JP"/>
        </w:rPr>
        <w:t>本</w:t>
      </w:r>
      <w:r>
        <w:rPr>
          <w:sz w:val="20"/>
          <w:lang w:eastAsia="ja-JP"/>
        </w:rPr>
        <w:t>管理目標</w:t>
      </w:r>
      <w:r w:rsidR="00EF219F">
        <w:rPr>
          <w:rFonts w:hint="eastAsia"/>
          <w:sz w:val="20"/>
          <w:lang w:eastAsia="ja-JP"/>
        </w:rPr>
        <w:t>が</w:t>
      </w:r>
      <w:r>
        <w:rPr>
          <w:sz w:val="20"/>
          <w:lang w:eastAsia="ja-JP"/>
        </w:rPr>
        <w:t>他の管理目標よりも</w:t>
      </w:r>
      <w:r w:rsidR="00EF219F">
        <w:rPr>
          <w:rFonts w:hint="eastAsia"/>
          <w:sz w:val="20"/>
          <w:lang w:eastAsia="ja-JP"/>
        </w:rPr>
        <w:t>抜きんでて重要とされなくてはならない</w:t>
      </w:r>
    </w:p>
    <w:p w14:paraId="095A5866" w14:textId="6B768F5D" w:rsidR="002B3AD5" w:rsidRDefault="00D66CD0">
      <w:pPr>
        <w:pStyle w:val="a4"/>
        <w:numPr>
          <w:ilvl w:val="2"/>
          <w:numId w:val="3"/>
        </w:numPr>
        <w:tabs>
          <w:tab w:val="left" w:pos="2634"/>
        </w:tabs>
        <w:spacing w:before="0" w:line="276" w:lineRule="auto"/>
        <w:ind w:right="1565"/>
        <w:jc w:val="both"/>
        <w:rPr>
          <w:sz w:val="20"/>
          <w:lang w:eastAsia="ja-JP"/>
        </w:rPr>
      </w:pPr>
      <w:r>
        <w:rPr>
          <w:sz w:val="20"/>
          <w:lang w:eastAsia="ja-JP"/>
        </w:rPr>
        <w:t>主たる管理目標は排他的であり、1つの主たる管理目標の下で報告される領域は、他の主たる管理目標に</w:t>
      </w:r>
      <w:r w:rsidR="00EF219F">
        <w:rPr>
          <w:rFonts w:hint="eastAsia"/>
          <w:sz w:val="20"/>
          <w:lang w:eastAsia="ja-JP"/>
        </w:rPr>
        <w:t>つい</w:t>
      </w:r>
      <w:r>
        <w:rPr>
          <w:sz w:val="20"/>
          <w:lang w:eastAsia="ja-JP"/>
        </w:rPr>
        <w:t>て報告されるべきではない。</w:t>
      </w:r>
    </w:p>
    <w:p w14:paraId="095A5867" w14:textId="77777777" w:rsidR="002B3AD5" w:rsidRDefault="00D66CD0">
      <w:pPr>
        <w:pStyle w:val="a4"/>
        <w:numPr>
          <w:ilvl w:val="2"/>
          <w:numId w:val="3"/>
        </w:numPr>
        <w:tabs>
          <w:tab w:val="left" w:pos="2634"/>
        </w:tabs>
        <w:spacing w:before="0" w:line="276" w:lineRule="auto"/>
        <w:ind w:right="1565"/>
        <w:jc w:val="both"/>
        <w:rPr>
          <w:sz w:val="20"/>
          <w:lang w:eastAsia="ja-JP"/>
        </w:rPr>
      </w:pPr>
      <w:r>
        <w:rPr>
          <w:sz w:val="20"/>
          <w:lang w:eastAsia="ja-JP"/>
        </w:rPr>
        <w:t>国の法律や政策(例えば、「すべての森林地は、生産、保全及び社会的目的のために管理されるべきである」など)で設定された全国的な一般管理目標は、この文脈では管理目標として考慮されるべきではない。</w:t>
      </w:r>
    </w:p>
    <w:p w14:paraId="095A5868" w14:textId="76C52F7E" w:rsidR="002B3AD5" w:rsidRDefault="00D66CD0">
      <w:pPr>
        <w:pStyle w:val="a4"/>
        <w:numPr>
          <w:ilvl w:val="1"/>
          <w:numId w:val="3"/>
        </w:numPr>
        <w:tabs>
          <w:tab w:val="left" w:pos="1914"/>
        </w:tabs>
        <w:spacing w:before="0" w:line="276" w:lineRule="auto"/>
        <w:ind w:right="2152"/>
        <w:rPr>
          <w:sz w:val="20"/>
        </w:rPr>
      </w:pPr>
      <w:r>
        <w:rPr>
          <w:b/>
          <w:sz w:val="20"/>
          <w:lang w:eastAsia="ja-JP"/>
        </w:rPr>
        <w:t>生物多様性の保全:管理目的が生物多様性の保全である森林。</w:t>
      </w:r>
      <w:r>
        <w:rPr>
          <w:sz w:val="20"/>
          <w:lang w:eastAsia="ja-JP"/>
        </w:rPr>
        <w:t xml:space="preserve"> 保護地域内の生物多様性保全のために指定された地域を含むが、これらに限定されない。 </w:t>
      </w:r>
      <w:proofErr w:type="spellStart"/>
      <w:r>
        <w:rPr>
          <w:sz w:val="20"/>
        </w:rPr>
        <w:t>注記</w:t>
      </w:r>
      <w:proofErr w:type="spellEnd"/>
      <w:r w:rsidR="00C81E76">
        <w:rPr>
          <w:rFonts w:hint="eastAsia"/>
          <w:sz w:val="20"/>
          <w:lang w:eastAsia="ja-JP"/>
        </w:rPr>
        <w:t>は以下。</w:t>
      </w:r>
    </w:p>
    <w:p w14:paraId="095A5869" w14:textId="77777777" w:rsidR="002B3AD5" w:rsidRDefault="002B3AD5">
      <w:pPr>
        <w:pStyle w:val="a3"/>
        <w:spacing w:before="9"/>
      </w:pPr>
    </w:p>
    <w:p w14:paraId="095A586A" w14:textId="77777777" w:rsidR="002B3AD5" w:rsidRDefault="00D66CD0">
      <w:pPr>
        <w:pStyle w:val="a4"/>
        <w:numPr>
          <w:ilvl w:val="2"/>
          <w:numId w:val="3"/>
        </w:numPr>
        <w:tabs>
          <w:tab w:val="left" w:pos="2634"/>
        </w:tabs>
        <w:spacing w:before="0" w:line="276" w:lineRule="auto"/>
        <w:ind w:right="2160"/>
        <w:rPr>
          <w:sz w:val="20"/>
          <w:lang w:eastAsia="ja-JP"/>
        </w:rPr>
      </w:pPr>
      <w:r>
        <w:rPr>
          <w:sz w:val="20"/>
          <w:lang w:eastAsia="ja-JP"/>
        </w:rPr>
        <w:t>野生生物保護区、高い保護価値、主要な生息地、および野生生物生息地保護のために指定または管理された森林を含む。</w:t>
      </w:r>
    </w:p>
    <w:p w14:paraId="095A586B" w14:textId="77777777" w:rsidR="002B3AD5" w:rsidRDefault="002B3AD5">
      <w:pPr>
        <w:pStyle w:val="a3"/>
        <w:spacing w:before="9"/>
        <w:rPr>
          <w:lang w:eastAsia="ja-JP"/>
        </w:rPr>
      </w:pPr>
    </w:p>
    <w:p w14:paraId="095A586C" w14:textId="1AD2889C" w:rsidR="002B3AD5" w:rsidRDefault="00D66CD0">
      <w:pPr>
        <w:pStyle w:val="a4"/>
        <w:numPr>
          <w:ilvl w:val="1"/>
          <w:numId w:val="3"/>
        </w:numPr>
        <w:tabs>
          <w:tab w:val="left" w:pos="1914"/>
        </w:tabs>
        <w:spacing w:before="0" w:line="278" w:lineRule="auto"/>
        <w:ind w:right="2526"/>
        <w:rPr>
          <w:sz w:val="20"/>
        </w:rPr>
      </w:pPr>
      <w:r>
        <w:rPr>
          <w:b/>
          <w:sz w:val="20"/>
          <w:lang w:eastAsia="ja-JP"/>
        </w:rPr>
        <w:t>社会サービス:管理目標が社会サービスである森林。</w:t>
      </w:r>
      <w:r>
        <w:rPr>
          <w:sz w:val="20"/>
          <w:lang w:eastAsia="ja-JP"/>
        </w:rPr>
        <w:t xml:space="preserve"> </w:t>
      </w:r>
      <w:proofErr w:type="spellStart"/>
      <w:r>
        <w:rPr>
          <w:sz w:val="20"/>
        </w:rPr>
        <w:t>注記</w:t>
      </w:r>
      <w:proofErr w:type="spellEnd"/>
      <w:r w:rsidR="00C81E76">
        <w:rPr>
          <w:rFonts w:hint="eastAsia"/>
          <w:sz w:val="20"/>
          <w:lang w:eastAsia="ja-JP"/>
        </w:rPr>
        <w:t>は以下。</w:t>
      </w:r>
    </w:p>
    <w:p w14:paraId="095A586D" w14:textId="77777777" w:rsidR="002B3AD5" w:rsidRDefault="002B3AD5">
      <w:pPr>
        <w:pStyle w:val="a3"/>
        <w:spacing w:before="7"/>
      </w:pPr>
    </w:p>
    <w:p w14:paraId="095A586E" w14:textId="77777777" w:rsidR="002B3AD5" w:rsidRDefault="00D66CD0">
      <w:pPr>
        <w:pStyle w:val="a4"/>
        <w:numPr>
          <w:ilvl w:val="2"/>
          <w:numId w:val="3"/>
        </w:numPr>
        <w:tabs>
          <w:tab w:val="left" w:pos="2634"/>
        </w:tabs>
        <w:spacing w:before="0" w:line="276" w:lineRule="auto"/>
        <w:ind w:right="2396"/>
        <w:rPr>
          <w:sz w:val="20"/>
          <w:lang w:eastAsia="ja-JP"/>
        </w:rPr>
      </w:pPr>
      <w:r>
        <w:rPr>
          <w:sz w:val="20"/>
          <w:lang w:eastAsia="ja-JP"/>
        </w:rPr>
        <w:t>レクリエーション、観光、教育、研究、および/または文化的/霊的サイトの保護などのサービスを含む。</w:t>
      </w:r>
    </w:p>
    <w:p w14:paraId="095A586F" w14:textId="77777777" w:rsidR="002B3AD5" w:rsidRDefault="002B3AD5">
      <w:pPr>
        <w:pStyle w:val="a3"/>
        <w:spacing w:before="9"/>
        <w:rPr>
          <w:lang w:eastAsia="ja-JP"/>
        </w:rPr>
      </w:pPr>
    </w:p>
    <w:p w14:paraId="095A5870" w14:textId="77777777" w:rsidR="002B3AD5" w:rsidRDefault="00D66CD0">
      <w:pPr>
        <w:pStyle w:val="a4"/>
        <w:numPr>
          <w:ilvl w:val="2"/>
          <w:numId w:val="3"/>
        </w:numPr>
        <w:tabs>
          <w:tab w:val="left" w:pos="2633"/>
          <w:tab w:val="left" w:pos="2634"/>
        </w:tabs>
        <w:spacing w:before="0" w:line="268" w:lineRule="auto"/>
        <w:ind w:right="2401"/>
        <w:rPr>
          <w:rFonts w:ascii="Calibri"/>
          <w:sz w:val="18"/>
          <w:lang w:eastAsia="ja-JP"/>
        </w:rPr>
      </w:pPr>
      <w:r>
        <w:rPr>
          <w:sz w:val="20"/>
          <w:lang w:eastAsia="ja-JP"/>
        </w:rPr>
        <w:t>木材及び/又は非木材林産物の自給用収集区域を除く。</w:t>
      </w:r>
    </w:p>
    <w:p w14:paraId="095A5871" w14:textId="77777777" w:rsidR="002B3AD5" w:rsidRDefault="002B3AD5">
      <w:pPr>
        <w:pStyle w:val="a3"/>
        <w:rPr>
          <w:lang w:eastAsia="ja-JP"/>
        </w:rPr>
      </w:pPr>
    </w:p>
    <w:p w14:paraId="095A5872" w14:textId="77777777" w:rsidR="002B3AD5" w:rsidRDefault="002B3AD5">
      <w:pPr>
        <w:pStyle w:val="a3"/>
        <w:rPr>
          <w:lang w:eastAsia="ja-JP"/>
        </w:rPr>
      </w:pPr>
    </w:p>
    <w:p w14:paraId="19CF7ED9" w14:textId="77777777" w:rsidR="00C81E76" w:rsidRDefault="00C81E76">
      <w:pPr>
        <w:pStyle w:val="a3"/>
        <w:rPr>
          <w:lang w:eastAsia="ja-JP"/>
        </w:rPr>
      </w:pPr>
    </w:p>
    <w:p w14:paraId="48421652" w14:textId="77777777" w:rsidR="00C81E76" w:rsidRDefault="00C81E76">
      <w:pPr>
        <w:pStyle w:val="a3"/>
        <w:rPr>
          <w:lang w:eastAsia="ja-JP"/>
        </w:rPr>
      </w:pPr>
    </w:p>
    <w:p w14:paraId="095A5873" w14:textId="77777777" w:rsidR="002B3AD5" w:rsidRDefault="002B3AD5">
      <w:pPr>
        <w:pStyle w:val="a3"/>
        <w:rPr>
          <w:sz w:val="21"/>
          <w:lang w:eastAsia="ja-JP"/>
        </w:rPr>
      </w:pPr>
    </w:p>
    <w:p w14:paraId="095A5874" w14:textId="3E66C34B" w:rsidR="002B3AD5" w:rsidRDefault="00D66CD0">
      <w:pPr>
        <w:pStyle w:val="a3"/>
        <w:spacing w:line="276" w:lineRule="auto"/>
        <w:ind w:left="1080" w:right="1152"/>
        <w:rPr>
          <w:lang w:eastAsia="ja-JP"/>
        </w:rPr>
      </w:pPr>
      <w:r>
        <w:rPr>
          <w:lang w:eastAsia="ja-JP"/>
        </w:rPr>
        <w:t>「新規植林」及び「再植林」というカテゴリーの慣行の変更により、新規に設立された森林に関連する慣行から最初に行われる傾向が変化したため、EU LULUCF</w:t>
      </w:r>
      <w:r w:rsidR="00C81E76" w:rsidRPr="00C81E76">
        <w:rPr>
          <w:rFonts w:hint="eastAsia"/>
          <w:lang w:eastAsia="ja-JP"/>
        </w:rPr>
        <w:t>会計規則</w:t>
      </w:r>
      <w:r w:rsidR="00C81E76">
        <w:rPr>
          <w:rFonts w:hint="eastAsia"/>
          <w:lang w:eastAsia="ja-JP"/>
        </w:rPr>
        <w:t>が続いた</w:t>
      </w:r>
      <w:r>
        <w:rPr>
          <w:lang w:eastAsia="ja-JP"/>
        </w:rPr>
        <w:t>20年間の後に、これらの2つのカテゴリーをNACEカテゴリー「既存の森林管理」又は「保全林業」(管理の目的に応じて)に移すことが提案されている。</w:t>
      </w:r>
    </w:p>
    <w:p w14:paraId="095A5875" w14:textId="77777777" w:rsidR="002B3AD5" w:rsidRDefault="002B3AD5">
      <w:pPr>
        <w:spacing w:line="276" w:lineRule="auto"/>
        <w:rPr>
          <w:lang w:eastAsia="ja-JP"/>
        </w:rPr>
        <w:sectPr w:rsidR="002B3AD5">
          <w:footerReference w:type="default" r:id="rId20"/>
          <w:pgSz w:w="12240" w:h="15840"/>
          <w:pgMar w:top="1360" w:right="320" w:bottom="2460" w:left="360" w:header="0" w:footer="2270" w:gutter="0"/>
          <w:pgNumType w:start="32"/>
          <w:cols w:space="720"/>
        </w:sectPr>
      </w:pPr>
    </w:p>
    <w:p w14:paraId="095A5876" w14:textId="5091851D" w:rsidR="002B3AD5" w:rsidRDefault="00D66CD0">
      <w:pPr>
        <w:pStyle w:val="a3"/>
        <w:spacing w:before="79" w:line="276" w:lineRule="auto"/>
        <w:ind w:left="1080" w:right="1100"/>
        <w:rPr>
          <w:lang w:eastAsia="ja-JP"/>
        </w:rPr>
      </w:pPr>
      <w:r>
        <w:rPr>
          <w:lang w:eastAsia="ja-JP"/>
        </w:rPr>
        <w:lastRenderedPageBreak/>
        <w:t>同様に、大規模な収穫がある場合、NACEカテゴリーは既存の森林管理から再植林のものに移行する。 EU域内では、収穫後の再植林が必要であるが、これは世界的な</w:t>
      </w:r>
      <w:r w:rsidR="00C81E76">
        <w:rPr>
          <w:rFonts w:hint="eastAsia"/>
          <w:lang w:eastAsia="ja-JP"/>
        </w:rPr>
        <w:t>慣習</w:t>
      </w:r>
      <w:r>
        <w:rPr>
          <w:lang w:eastAsia="ja-JP"/>
        </w:rPr>
        <w:t xml:space="preserve">ではない。 </w:t>
      </w:r>
      <w:r w:rsidR="002F5B54">
        <w:rPr>
          <w:lang w:eastAsia="ja-JP"/>
        </w:rPr>
        <w:t>タクソノミー</w:t>
      </w:r>
      <w:r>
        <w:rPr>
          <w:lang w:eastAsia="ja-JP"/>
        </w:rPr>
        <w:t>は、グローバルな文脈においてこのように価値を付加する。 保全林は、様々な形態(指定、または任意保全など)で生じる可能性があり、</w:t>
      </w:r>
      <w:r w:rsidR="002F5B54">
        <w:rPr>
          <w:lang w:eastAsia="ja-JP"/>
        </w:rPr>
        <w:t>タクソノミー</w:t>
      </w:r>
      <w:r>
        <w:rPr>
          <w:lang w:eastAsia="ja-JP"/>
        </w:rPr>
        <w:t xml:space="preserve">の文脈では、「既存の森林管理」NACEと類似していると考えられる。 他の森林NACEとの関係は次のとおりである。 </w:t>
      </w:r>
      <w:r w:rsidR="00173154">
        <w:rPr>
          <w:rFonts w:hint="eastAsia"/>
          <w:lang w:eastAsia="ja-JP"/>
        </w:rPr>
        <w:t>森林</w:t>
      </w:r>
      <w:r>
        <w:rPr>
          <w:lang w:eastAsia="ja-JP"/>
        </w:rPr>
        <w:t>保全が</w:t>
      </w:r>
      <w:r w:rsidR="00173154">
        <w:rPr>
          <w:rFonts w:hint="eastAsia"/>
          <w:lang w:eastAsia="ja-JP"/>
        </w:rPr>
        <w:t>木立ちや林の</w:t>
      </w:r>
      <w:r w:rsidRPr="00173154">
        <w:rPr>
          <w:lang w:eastAsia="ja-JP"/>
        </w:rPr>
        <w:t>管理</w:t>
      </w:r>
      <w:r w:rsidR="00173154">
        <w:rPr>
          <w:rFonts w:hint="eastAsia"/>
          <w:lang w:eastAsia="ja-JP"/>
        </w:rPr>
        <w:t>業務にとって</w:t>
      </w:r>
      <w:r w:rsidRPr="00173154">
        <w:rPr>
          <w:lang w:eastAsia="ja-JP"/>
        </w:rPr>
        <w:t>の</w:t>
      </w:r>
      <w:r>
        <w:rPr>
          <w:lang w:eastAsia="ja-JP"/>
        </w:rPr>
        <w:t>主目的ではなくなった場合、NACEは「既存の森林管理」に移行する。 森林の著しい損失(例えば、火災や嵐による被害)がある場合、緩和への実質的な貢献を確保するためのNACE活動は、その時点での森林管理の目的に応じて、NACEが再び「保全森林」または「既存の森林管理」となる20年</w:t>
      </w:r>
      <w:r w:rsidR="00C81E76">
        <w:rPr>
          <w:rFonts w:hint="eastAsia"/>
          <w:lang w:eastAsia="ja-JP"/>
        </w:rPr>
        <w:t>間</w:t>
      </w:r>
      <w:r>
        <w:rPr>
          <w:lang w:eastAsia="ja-JP"/>
        </w:rPr>
        <w:t>は、「再植林」または「復旧/復興」となる。</w:t>
      </w:r>
    </w:p>
    <w:p w14:paraId="095A5877" w14:textId="77777777" w:rsidR="002B3AD5" w:rsidRDefault="002B3AD5">
      <w:pPr>
        <w:pStyle w:val="a3"/>
        <w:spacing w:before="10"/>
        <w:rPr>
          <w:lang w:eastAsia="ja-JP"/>
        </w:rPr>
      </w:pPr>
    </w:p>
    <w:p w14:paraId="095A5878" w14:textId="79AC7A01" w:rsidR="002B3AD5" w:rsidRDefault="00D66CD0">
      <w:pPr>
        <w:pStyle w:val="a3"/>
        <w:spacing w:line="276" w:lineRule="auto"/>
        <w:ind w:left="1080" w:right="1152"/>
        <w:rPr>
          <w:lang w:eastAsia="ja-JP"/>
        </w:rPr>
      </w:pPr>
      <w:r>
        <w:rPr>
          <w:lang w:eastAsia="ja-JP"/>
        </w:rPr>
        <w:t>間伐、除去、最終伐採等の収穫方法 炭素貯蔵を一時的に減少させ、炭素を隔離する可能性がある。 しかし、このような森林管理活動は、SFMの実施が行われている限り、また、森林の輪作期間中、地上及び地下の炭素吸収源が維持又は増加されている場合、又は森林保全計画の一部として樹木の選択的除去が必要な場合には、</w:t>
      </w:r>
      <w:r w:rsidR="002F5B54">
        <w:rPr>
          <w:lang w:eastAsia="ja-JP"/>
        </w:rPr>
        <w:t>タクソノミー</w:t>
      </w:r>
      <w:r>
        <w:rPr>
          <w:lang w:eastAsia="ja-JP"/>
        </w:rPr>
        <w:t>の下で適格とされるべきである。 ここでいう輪作期間とは、播種、植付け、自然再生から収穫までの時間をいう。</w:t>
      </w:r>
    </w:p>
    <w:p w14:paraId="095A5879" w14:textId="77777777" w:rsidR="002B3AD5" w:rsidRDefault="002B3AD5">
      <w:pPr>
        <w:pStyle w:val="a3"/>
        <w:rPr>
          <w:sz w:val="22"/>
          <w:lang w:eastAsia="ja-JP"/>
        </w:rPr>
      </w:pPr>
    </w:p>
    <w:p w14:paraId="095A587A" w14:textId="77777777" w:rsidR="002B3AD5" w:rsidRDefault="002B3AD5">
      <w:pPr>
        <w:pStyle w:val="a3"/>
        <w:rPr>
          <w:sz w:val="22"/>
          <w:lang w:eastAsia="ja-JP"/>
        </w:rPr>
      </w:pPr>
    </w:p>
    <w:p w14:paraId="095A587B" w14:textId="77777777" w:rsidR="002B3AD5" w:rsidRDefault="00D66CD0">
      <w:pPr>
        <w:pStyle w:val="4"/>
        <w:spacing w:before="135"/>
        <w:rPr>
          <w:lang w:eastAsia="ja-JP"/>
        </w:rPr>
      </w:pPr>
      <w:r>
        <w:rPr>
          <w:lang w:eastAsia="ja-JP"/>
        </w:rPr>
        <w:t>基準および閾値</w:t>
      </w:r>
    </w:p>
    <w:p w14:paraId="095A587C" w14:textId="77777777" w:rsidR="002B3AD5" w:rsidRDefault="002B3AD5">
      <w:pPr>
        <w:pStyle w:val="a3"/>
        <w:rPr>
          <w:b/>
          <w:sz w:val="24"/>
          <w:lang w:eastAsia="ja-JP"/>
        </w:rPr>
      </w:pPr>
    </w:p>
    <w:p w14:paraId="095A587D" w14:textId="290E8300" w:rsidR="002B3AD5" w:rsidRDefault="00095092">
      <w:pPr>
        <w:pStyle w:val="a3"/>
        <w:spacing w:before="1" w:line="276" w:lineRule="auto"/>
        <w:ind w:left="1080" w:right="1199"/>
        <w:rPr>
          <w:lang w:eastAsia="ja-JP"/>
        </w:rPr>
      </w:pPr>
      <w:r>
        <w:rPr>
          <w:rFonts w:hint="eastAsia"/>
          <w:lang w:eastAsia="ja-JP"/>
        </w:rPr>
        <w:t>基準は</w:t>
      </w:r>
      <w:r w:rsidR="00D66CD0">
        <w:rPr>
          <w:lang w:eastAsia="ja-JP"/>
        </w:rPr>
        <w:t>既存のEU法規(例:再生可能エネルギー指令とそのリキャスト、EU LUCF、EU Nature Directives、EU FLEGT、EU Timber Regulationなど)、各国の森林法規、国際基準とベストプラクティス、欧州森林保護閣僚会議(森林ヨーロッパ)などの国際プロセスに基づいて</w:t>
      </w:r>
      <w:r>
        <w:rPr>
          <w:rFonts w:hint="eastAsia"/>
          <w:lang w:eastAsia="ja-JP"/>
        </w:rPr>
        <w:t>選択された</w:t>
      </w:r>
      <w:r w:rsidR="00D66CD0">
        <w:rPr>
          <w:lang w:eastAsia="ja-JP"/>
        </w:rPr>
        <w:t xml:space="preserve">。 </w:t>
      </w:r>
      <w:r w:rsidR="002F5B54">
        <w:rPr>
          <w:lang w:eastAsia="ja-JP"/>
        </w:rPr>
        <w:t>タクソノミー</w:t>
      </w:r>
      <w:r w:rsidR="00D66CD0">
        <w:rPr>
          <w:lang w:eastAsia="ja-JP"/>
        </w:rPr>
        <w:t>は、EUは多様な森林関連政策を有しているが、欧州連合の機能に関する条約は、EUの森林政策に関する特定の規定には言及しておらず、森林に対する責任は、国および地域の規制における長期的な計画の歴史を含む、確立された所有権の定義された枠組みの中で、加盟国にある</w:t>
      </w:r>
      <w:r>
        <w:rPr>
          <w:rFonts w:hint="eastAsia"/>
          <w:lang w:eastAsia="ja-JP"/>
        </w:rPr>
        <w:t>という認識に基づいて作成された</w:t>
      </w:r>
      <w:r w:rsidR="00D66CD0">
        <w:rPr>
          <w:lang w:eastAsia="ja-JP"/>
        </w:rPr>
        <w:t>。</w:t>
      </w:r>
    </w:p>
    <w:p w14:paraId="095A587E" w14:textId="77777777" w:rsidR="002B3AD5" w:rsidRDefault="002B3AD5">
      <w:pPr>
        <w:pStyle w:val="a3"/>
        <w:spacing w:before="8"/>
        <w:rPr>
          <w:lang w:eastAsia="ja-JP"/>
        </w:rPr>
      </w:pPr>
    </w:p>
    <w:p w14:paraId="095A587F" w14:textId="66C8E0AE" w:rsidR="002B3AD5" w:rsidRDefault="002F5B54">
      <w:pPr>
        <w:pStyle w:val="a3"/>
        <w:spacing w:before="1" w:line="276" w:lineRule="auto"/>
        <w:ind w:left="1080" w:right="1128"/>
      </w:pPr>
      <w:r>
        <w:rPr>
          <w:lang w:eastAsia="ja-JP"/>
        </w:rPr>
        <w:t>タクソノミー</w:t>
      </w:r>
      <w:r w:rsidR="00D66CD0">
        <w:rPr>
          <w:lang w:eastAsia="ja-JP"/>
        </w:rPr>
        <w:t>では、森林地域の持続可能な管理を確保するための3つの定性的・定量的緩和基準、実質的な緩和に向けた進捗の測定ベースライン、この緩和が累積的(増加</w:t>
      </w:r>
      <w:r w:rsidR="00095092">
        <w:rPr>
          <w:rFonts w:hint="eastAsia"/>
          <w:lang w:eastAsia="ja-JP"/>
        </w:rPr>
        <w:t>すること</w:t>
      </w:r>
      <w:r w:rsidR="00D66CD0">
        <w:rPr>
          <w:lang w:eastAsia="ja-JP"/>
        </w:rPr>
        <w:t>)(既存の森林管理の場合は維持)かつ恒久的であることの</w:t>
      </w:r>
      <w:r w:rsidR="00095092">
        <w:rPr>
          <w:rFonts w:hint="eastAsia"/>
          <w:lang w:eastAsia="ja-JP"/>
        </w:rPr>
        <w:t>実証</w:t>
      </w:r>
      <w:r w:rsidR="00D66CD0">
        <w:rPr>
          <w:lang w:eastAsia="ja-JP"/>
        </w:rPr>
        <w:t xml:space="preserve">を定めている。 持続可能かつ実質的な緩和を実証するためには、3つの基準すべてが必要である。 </w:t>
      </w:r>
      <w:proofErr w:type="spellStart"/>
      <w:r w:rsidR="00D66CD0">
        <w:t>具体的には、次のようにな</w:t>
      </w:r>
      <w:proofErr w:type="spellEnd"/>
      <w:r w:rsidR="009B70CC">
        <w:rPr>
          <w:rFonts w:hint="eastAsia"/>
          <w:lang w:eastAsia="ja-JP"/>
        </w:rPr>
        <w:t>る</w:t>
      </w:r>
      <w:r w:rsidR="00D66CD0">
        <w:t>。</w:t>
      </w:r>
    </w:p>
    <w:p w14:paraId="095A5880" w14:textId="77777777" w:rsidR="002B3AD5" w:rsidRDefault="002B3AD5">
      <w:pPr>
        <w:pStyle w:val="a3"/>
        <w:spacing w:before="10"/>
      </w:pPr>
    </w:p>
    <w:p w14:paraId="095A5881" w14:textId="77777777" w:rsidR="002B3AD5" w:rsidRDefault="00D66CD0">
      <w:pPr>
        <w:pStyle w:val="a4"/>
        <w:numPr>
          <w:ilvl w:val="0"/>
          <w:numId w:val="2"/>
        </w:numPr>
        <w:tabs>
          <w:tab w:val="left" w:pos="1801"/>
        </w:tabs>
        <w:spacing w:before="0" w:line="276" w:lineRule="auto"/>
        <w:ind w:right="1123"/>
        <w:rPr>
          <w:sz w:val="20"/>
          <w:lang w:eastAsia="ja-JP"/>
        </w:rPr>
      </w:pPr>
      <w:r>
        <w:rPr>
          <w:sz w:val="20"/>
          <w:lang w:eastAsia="ja-JP"/>
        </w:rPr>
        <w:t>基準1:</w:t>
      </w:r>
      <w:r w:rsidRPr="00EA32B3">
        <w:rPr>
          <w:rFonts w:hint="eastAsia"/>
          <w:b/>
          <w:sz w:val="20"/>
          <w:lang w:eastAsia="ja-JP"/>
        </w:rPr>
        <w:t>森林生態系と森林サービスを支援しながら、森林炭素貯蔵を確実に維持するための持続可能な森林管理(SFM)要件の遵守</w:t>
      </w:r>
      <w:r>
        <w:rPr>
          <w:sz w:val="20"/>
          <w:lang w:eastAsia="ja-JP"/>
        </w:rPr>
        <w:t>。 SFMは、「地域、国、地球規模のレベルで、生物多様性、生産性、再生能力、活力、および現在および将来において、関連する生態学的、経済的、社会的機能を果たす可能性を維持し、他の生態系に損害を与えない方法で、かつその速度で森林および森林地帯を管理し利用すること」と定義されている33。</w:t>
      </w:r>
    </w:p>
    <w:p w14:paraId="095A5882" w14:textId="77777777" w:rsidR="002B3AD5" w:rsidRDefault="002B3AD5">
      <w:pPr>
        <w:spacing w:line="276" w:lineRule="auto"/>
        <w:rPr>
          <w:sz w:val="20"/>
          <w:lang w:eastAsia="ja-JP"/>
        </w:rPr>
        <w:sectPr w:rsidR="002B3AD5">
          <w:footerReference w:type="default" r:id="rId21"/>
          <w:pgSz w:w="12240" w:h="15840"/>
          <w:pgMar w:top="1360" w:right="320" w:bottom="2460" w:left="360" w:header="0" w:footer="2270" w:gutter="0"/>
          <w:pgNumType w:start="33"/>
          <w:cols w:space="720"/>
        </w:sectPr>
      </w:pPr>
    </w:p>
    <w:p w14:paraId="095A5883" w14:textId="3A18120A" w:rsidR="002B3AD5" w:rsidRDefault="00095092">
      <w:pPr>
        <w:pStyle w:val="a3"/>
        <w:spacing w:before="79" w:line="276" w:lineRule="auto"/>
        <w:ind w:left="1800" w:right="1124"/>
        <w:rPr>
          <w:lang w:eastAsia="ja-JP"/>
        </w:rPr>
      </w:pPr>
      <w:r>
        <w:rPr>
          <w:rFonts w:hint="eastAsia"/>
          <w:lang w:eastAsia="ja-JP"/>
        </w:rPr>
        <w:lastRenderedPageBreak/>
        <w:t>タクソノミーにおけるSFM要件は義務であるが、</w:t>
      </w:r>
      <w:r w:rsidR="00162B6A">
        <w:rPr>
          <w:rFonts w:hint="eastAsia"/>
          <w:lang w:eastAsia="ja-JP"/>
        </w:rPr>
        <w:t>①</w:t>
      </w:r>
      <w:r w:rsidR="00D66CD0">
        <w:rPr>
          <w:lang w:eastAsia="ja-JP"/>
        </w:rPr>
        <w:t>地域的に適切なアプローチ(正当化されていることを条件とする)、</w:t>
      </w:r>
      <w:r w:rsidR="00162B6A">
        <w:rPr>
          <w:rFonts w:hint="eastAsia"/>
          <w:lang w:eastAsia="ja-JP"/>
        </w:rPr>
        <w:t>②</w:t>
      </w:r>
      <w:r w:rsidR="00D66CD0">
        <w:rPr>
          <w:lang w:eastAsia="ja-JP"/>
        </w:rPr>
        <w:t>国際的に適用されるアプローチ(定期的に監査される独立した第三者のスキームによって検証できる場合)、または</w:t>
      </w:r>
      <w:r w:rsidR="00162B6A">
        <w:rPr>
          <w:rFonts w:hint="eastAsia"/>
          <w:lang w:eastAsia="ja-JP"/>
        </w:rPr>
        <w:t>③</w:t>
      </w:r>
      <w:r w:rsidR="00D66CD0">
        <w:rPr>
          <w:lang w:eastAsia="ja-JP"/>
        </w:rPr>
        <w:t>国際協定に基づくアプローチ</w:t>
      </w:r>
      <w:r w:rsidR="009B70CC">
        <w:rPr>
          <w:rFonts w:hint="eastAsia"/>
          <w:lang w:eastAsia="ja-JP"/>
        </w:rPr>
        <w:t>であれば柔軟に採用することが許されている</w:t>
      </w:r>
      <w:r w:rsidR="00D66CD0">
        <w:rPr>
          <w:lang w:eastAsia="ja-JP"/>
        </w:rPr>
        <w:t>。 これにより、投資家や森林管理会社は、欧州や世界中の基準の遵守状況を検証することができる。付属書F2には、効果的に実施されれば、炭素貯蔵の維持・増加、非生産的機能の保全という文脈で</w:t>
      </w:r>
      <w:r w:rsidR="002F5B54">
        <w:rPr>
          <w:lang w:eastAsia="ja-JP"/>
        </w:rPr>
        <w:t>タクソノミー</w:t>
      </w:r>
      <w:r w:rsidR="00D66CD0">
        <w:rPr>
          <w:lang w:eastAsia="ja-JP"/>
        </w:rPr>
        <w:t>の目的の達成につながるような、包括的でない活動のリスト</w:t>
      </w:r>
      <w:r w:rsidR="009B70CC">
        <w:rPr>
          <w:rFonts w:hint="eastAsia"/>
          <w:lang w:eastAsia="ja-JP"/>
        </w:rPr>
        <w:t>が記載されてい</w:t>
      </w:r>
      <w:r w:rsidR="00D66CD0">
        <w:rPr>
          <w:lang w:eastAsia="ja-JP"/>
        </w:rPr>
        <w:t>る。 リストの目的は、実施すべき業務の種類について、事業者と投資家に支援を提供することである。 地域や森林の様々な条件や特徴を認識すること</w:t>
      </w:r>
      <w:r w:rsidR="009B70CC">
        <w:rPr>
          <w:rFonts w:hint="eastAsia"/>
          <w:lang w:eastAsia="ja-JP"/>
        </w:rPr>
        <w:t>で</w:t>
      </w:r>
      <w:r w:rsidR="00D66CD0">
        <w:rPr>
          <w:lang w:eastAsia="ja-JP"/>
        </w:rPr>
        <w:t>、</w:t>
      </w:r>
      <w:r w:rsidR="009B70CC">
        <w:rPr>
          <w:rFonts w:hint="eastAsia"/>
          <w:lang w:eastAsia="ja-JP"/>
        </w:rPr>
        <w:t>代替的な</w:t>
      </w:r>
      <w:r w:rsidR="00D66CD0">
        <w:rPr>
          <w:lang w:eastAsia="ja-JP"/>
        </w:rPr>
        <w:t>手法を適用すること</w:t>
      </w:r>
      <w:r w:rsidR="009B70CC">
        <w:rPr>
          <w:rFonts w:hint="eastAsia"/>
          <w:lang w:eastAsia="ja-JP"/>
        </w:rPr>
        <w:t>も</w:t>
      </w:r>
      <w:r w:rsidR="00D66CD0">
        <w:rPr>
          <w:lang w:eastAsia="ja-JP"/>
        </w:rPr>
        <w:t>でき</w:t>
      </w:r>
      <w:r w:rsidR="009B70CC">
        <w:rPr>
          <w:rFonts w:hint="eastAsia"/>
          <w:lang w:eastAsia="ja-JP"/>
        </w:rPr>
        <w:t>りため</w:t>
      </w:r>
      <w:r w:rsidR="00D66CD0">
        <w:rPr>
          <w:lang w:eastAsia="ja-JP"/>
        </w:rPr>
        <w:t>、</w:t>
      </w:r>
      <w:r w:rsidR="009B70CC">
        <w:rPr>
          <w:rFonts w:hint="eastAsia"/>
          <w:lang w:eastAsia="ja-JP"/>
        </w:rPr>
        <w:t>異なる手法でも</w:t>
      </w:r>
      <w:r w:rsidR="00D66CD0">
        <w:rPr>
          <w:lang w:eastAsia="ja-JP"/>
        </w:rPr>
        <w:t>同じ結果をもたらすことを事前に実証することができる。</w:t>
      </w:r>
    </w:p>
    <w:p w14:paraId="095A5884" w14:textId="77777777" w:rsidR="002B3AD5" w:rsidRDefault="002B3AD5">
      <w:pPr>
        <w:pStyle w:val="a3"/>
        <w:spacing w:before="10"/>
        <w:rPr>
          <w:lang w:eastAsia="ja-JP"/>
        </w:rPr>
      </w:pPr>
    </w:p>
    <w:p w14:paraId="095A5885" w14:textId="60FC87E4" w:rsidR="002B3AD5" w:rsidRDefault="00D66CD0">
      <w:pPr>
        <w:pStyle w:val="a3"/>
        <w:spacing w:line="276" w:lineRule="auto"/>
        <w:ind w:left="1800" w:right="1121"/>
        <w:rPr>
          <w:lang w:eastAsia="ja-JP"/>
        </w:rPr>
      </w:pPr>
      <w:r>
        <w:rPr>
          <w:lang w:eastAsia="ja-JP"/>
        </w:rPr>
        <w:t>基準1は、保護目的が定められており、木材生産が主要目的ではない森林</w:t>
      </w:r>
      <w:r w:rsidR="009B70CC">
        <w:rPr>
          <w:rFonts w:hint="eastAsia"/>
          <w:lang w:eastAsia="ja-JP"/>
        </w:rPr>
        <w:t>とは</w:t>
      </w:r>
      <w:r>
        <w:rPr>
          <w:lang w:eastAsia="ja-JP"/>
        </w:rPr>
        <w:t xml:space="preserve">、保全林の文脈において異なる。 </w:t>
      </w:r>
      <w:r w:rsidR="002F5B54">
        <w:rPr>
          <w:lang w:eastAsia="ja-JP"/>
        </w:rPr>
        <w:t>タクソノミー</w:t>
      </w:r>
      <w:r>
        <w:rPr>
          <w:lang w:eastAsia="ja-JP"/>
        </w:rPr>
        <w:t>は、その当初の目標は実質的な緩和をもたらすことであり、それゆえ保全林は森林炭素吸収源の維持に焦点を当てていると認識している。 森林保全計画は、より広範な保全目的に沿った実質的な緩和(この場合は炭素吸収源の維持と増加)を確実に実施するために必要である。 これは、他の森林NACEの要件とは異なり、介入要件がゼロである可能性があり、かつ/または付属書F2のカテゴリーCに列挙された管理活動のみを必要とする。 必要な収穫(例えば、病木)は、保全計画に従って実施されるべきである。</w:t>
      </w:r>
    </w:p>
    <w:p w14:paraId="095A5886" w14:textId="77777777" w:rsidR="002B3AD5" w:rsidRDefault="002B3AD5">
      <w:pPr>
        <w:pStyle w:val="a3"/>
        <w:spacing w:before="11"/>
        <w:rPr>
          <w:lang w:eastAsia="ja-JP"/>
        </w:rPr>
      </w:pPr>
    </w:p>
    <w:p w14:paraId="095A5887" w14:textId="243A32BB" w:rsidR="002B3AD5" w:rsidRDefault="00D66CD0">
      <w:pPr>
        <w:pStyle w:val="a4"/>
        <w:numPr>
          <w:ilvl w:val="0"/>
          <w:numId w:val="2"/>
        </w:numPr>
        <w:tabs>
          <w:tab w:val="left" w:pos="1801"/>
        </w:tabs>
        <w:spacing w:before="0" w:line="276" w:lineRule="auto"/>
        <w:ind w:right="1326"/>
        <w:rPr>
          <w:sz w:val="20"/>
          <w:lang w:eastAsia="ja-JP"/>
        </w:rPr>
      </w:pPr>
      <w:r>
        <w:rPr>
          <w:sz w:val="20"/>
          <w:lang w:eastAsia="ja-JP"/>
        </w:rPr>
        <w:t>基準2:</w:t>
      </w:r>
      <w:r w:rsidRPr="00EA32B3">
        <w:rPr>
          <w:rFonts w:hint="eastAsia"/>
          <w:b/>
          <w:sz w:val="20"/>
          <w:lang w:eastAsia="ja-JP"/>
        </w:rPr>
        <w:t>森林炭素吸収量が増加し続け、森林部門からのGHG排出量が減少することを実証するために、成長-収量曲線に基づいて、検証済みのGHGバランスベースラインを設定すること</w:t>
      </w:r>
      <w:r>
        <w:rPr>
          <w:sz w:val="20"/>
          <w:lang w:eastAsia="ja-JP"/>
        </w:rPr>
        <w:t>。 この基準は、すべての森林炭素</w:t>
      </w:r>
      <w:r w:rsidR="00373C8C">
        <w:rPr>
          <w:rFonts w:hint="eastAsia"/>
          <w:sz w:val="20"/>
          <w:lang w:eastAsia="ja-JP"/>
        </w:rPr>
        <w:t>保存量</w:t>
      </w:r>
      <w:r>
        <w:rPr>
          <w:sz w:val="20"/>
          <w:lang w:eastAsia="ja-JP"/>
        </w:rPr>
        <w:t>(地上及び地下)を暗黙のうちに考慮するが、地下炭素測定の課題を認識している。 従って、</w:t>
      </w:r>
      <w:commentRangeStart w:id="21"/>
      <w:r w:rsidRPr="00EA32B3">
        <w:rPr>
          <w:rFonts w:hint="eastAsia"/>
          <w:sz w:val="20"/>
          <w:highlight w:val="magenta"/>
          <w:lang w:eastAsia="ja-JP"/>
        </w:rPr>
        <w:t>フィッシュ</w:t>
      </w:r>
      <w:commentRangeEnd w:id="21"/>
      <w:r w:rsidR="00373C8C">
        <w:rPr>
          <w:rStyle w:val="ab"/>
        </w:rPr>
        <w:commentReference w:id="21"/>
      </w:r>
      <w:r>
        <w:rPr>
          <w:sz w:val="20"/>
          <w:lang w:eastAsia="ja-JP"/>
        </w:rPr>
        <w:t>で使用される特定の基準は、地上炭素</w:t>
      </w:r>
      <w:r w:rsidR="00373C8C">
        <w:rPr>
          <w:rFonts w:hint="eastAsia"/>
          <w:sz w:val="20"/>
          <w:lang w:eastAsia="ja-JP"/>
        </w:rPr>
        <w:t>保存量</w:t>
      </w:r>
      <w:r>
        <w:rPr>
          <w:sz w:val="20"/>
          <w:lang w:eastAsia="ja-JP"/>
        </w:rPr>
        <w:t>のみの測定に焦点を当てる。</w:t>
      </w:r>
    </w:p>
    <w:p w14:paraId="095A5888" w14:textId="77777777" w:rsidR="002B3AD5" w:rsidRDefault="002B3AD5">
      <w:pPr>
        <w:pStyle w:val="a3"/>
        <w:spacing w:before="2"/>
        <w:rPr>
          <w:sz w:val="23"/>
          <w:lang w:eastAsia="ja-JP"/>
        </w:rPr>
      </w:pPr>
    </w:p>
    <w:p w14:paraId="095A5889" w14:textId="77777777" w:rsidR="002B3AD5" w:rsidRDefault="00D66CD0">
      <w:pPr>
        <w:pStyle w:val="a4"/>
        <w:numPr>
          <w:ilvl w:val="0"/>
          <w:numId w:val="2"/>
        </w:numPr>
        <w:tabs>
          <w:tab w:val="left" w:pos="1801"/>
        </w:tabs>
        <w:spacing w:before="0" w:line="276" w:lineRule="auto"/>
        <w:ind w:right="1218"/>
        <w:rPr>
          <w:sz w:val="20"/>
          <w:lang w:eastAsia="ja-JP"/>
        </w:rPr>
      </w:pPr>
      <w:r>
        <w:rPr>
          <w:sz w:val="20"/>
          <w:lang w:eastAsia="ja-JP"/>
        </w:rPr>
        <w:t>基準3:10年間隔での森林管理計画(または同等の文書)を通して報告された基準1および2に関する</w:t>
      </w:r>
      <w:r w:rsidRPr="00EA32B3">
        <w:rPr>
          <w:rFonts w:hint="eastAsia"/>
          <w:b/>
          <w:sz w:val="20"/>
          <w:lang w:eastAsia="ja-JP"/>
        </w:rPr>
        <w:t>永続性と着実な進展の実証</w:t>
      </w:r>
      <w:r>
        <w:rPr>
          <w:sz w:val="20"/>
          <w:lang w:eastAsia="ja-JP"/>
        </w:rPr>
        <w:t>。その後、独立した第三者認証機関および/または所管官庁による審査を受ける。 炭素蓄積量は、新規植林及び再植林プロジェクトの場合は20年間にわたり炭素ベースラインを上回り増加し、復元プロジェクトのためのローテーション期間にわたって増加し、既存の森林管理及び保全森林の場合は維持又は増加される。</w:t>
      </w:r>
    </w:p>
    <w:p w14:paraId="095A588A" w14:textId="77777777" w:rsidR="002B3AD5" w:rsidRDefault="002B3AD5">
      <w:pPr>
        <w:pStyle w:val="a3"/>
        <w:spacing w:before="9"/>
        <w:rPr>
          <w:lang w:eastAsia="ja-JP"/>
        </w:rPr>
      </w:pPr>
    </w:p>
    <w:p w14:paraId="095A588B" w14:textId="4037686C" w:rsidR="002B3AD5" w:rsidRDefault="00D66CD0">
      <w:pPr>
        <w:pStyle w:val="a3"/>
        <w:spacing w:line="276" w:lineRule="auto"/>
        <w:ind w:left="1080" w:right="1121"/>
        <w:rPr>
          <w:lang w:eastAsia="ja-JP"/>
        </w:rPr>
      </w:pPr>
      <w:r>
        <w:rPr>
          <w:lang w:eastAsia="ja-JP"/>
        </w:rPr>
        <w:t xml:space="preserve">森林炭素インベントリの進展と森林増加量の進展は、森林の輪作期間にわたって、検証されたベースラインと比較して必要である。これは、産業の成熟度、気候条件、立地の特徴、市場構造のレベルを反映し、それに適応するものである。 </w:t>
      </w:r>
      <w:r w:rsidR="002F5B54">
        <w:rPr>
          <w:lang w:eastAsia="ja-JP"/>
        </w:rPr>
        <w:t>タクソノミー</w:t>
      </w:r>
      <w:r>
        <w:rPr>
          <w:lang w:eastAsia="ja-JP"/>
        </w:rPr>
        <w:t>は、森林の商業的機能と、森林の持続可能な金融市場</w:t>
      </w:r>
      <w:r w:rsidR="00373C8C">
        <w:rPr>
          <w:rFonts w:hint="eastAsia"/>
          <w:lang w:eastAsia="ja-JP"/>
        </w:rPr>
        <w:t>が機能するようになる</w:t>
      </w:r>
      <w:r>
        <w:rPr>
          <w:lang w:eastAsia="ja-JP"/>
        </w:rPr>
        <w:t>ことの重要性を認識している。</w:t>
      </w:r>
    </w:p>
    <w:p w14:paraId="095A588C" w14:textId="77777777" w:rsidR="002B3AD5" w:rsidRDefault="002B3AD5">
      <w:pPr>
        <w:pStyle w:val="a3"/>
        <w:rPr>
          <w:lang w:eastAsia="ja-JP"/>
        </w:rPr>
      </w:pPr>
    </w:p>
    <w:p w14:paraId="095A588D" w14:textId="0BB40A8A" w:rsidR="002B3AD5" w:rsidRDefault="00C37D34">
      <w:pPr>
        <w:pStyle w:val="a3"/>
        <w:spacing w:before="10"/>
        <w:rPr>
          <w:sz w:val="19"/>
          <w:lang w:eastAsia="ja-JP"/>
        </w:rPr>
      </w:pPr>
      <w:r>
        <w:rPr>
          <w:noProof/>
          <w:lang w:val="en-US" w:eastAsia="ja-JP"/>
        </w:rPr>
        <mc:AlternateContent>
          <mc:Choice Requires="wps">
            <w:drawing>
              <wp:anchor distT="0" distB="0" distL="0" distR="0" simplePos="0" relativeHeight="251667456" behindDoc="1" locked="0" layoutInCell="1" allowOverlap="1" wp14:anchorId="095A5904" wp14:editId="25C4D88B">
                <wp:simplePos x="0" y="0"/>
                <wp:positionH relativeFrom="page">
                  <wp:posOffset>914400</wp:posOffset>
                </wp:positionH>
                <wp:positionV relativeFrom="paragraph">
                  <wp:posOffset>173355</wp:posOffset>
                </wp:positionV>
                <wp:extent cx="1829435" cy="0"/>
                <wp:effectExtent l="9525" t="10795" r="8890" b="8255"/>
                <wp:wrapTopAndBottom/>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9A70F" id="Line 3" o:spid="_x0000_s1026" style="position:absolute;left:0;text-align:lef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5pt" to="216.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i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" strokeweight=".16936mm">
                <w10:wrap type="topAndBottom" anchorx="page"/>
              </v:line>
            </w:pict>
          </mc:Fallback>
        </mc:AlternateContent>
      </w:r>
    </w:p>
    <w:p w14:paraId="095A588E" w14:textId="77777777" w:rsidR="002B3AD5" w:rsidRDefault="002B3AD5">
      <w:pPr>
        <w:pStyle w:val="a3"/>
        <w:spacing w:before="2"/>
        <w:rPr>
          <w:sz w:val="17"/>
          <w:lang w:eastAsia="ja-JP"/>
        </w:rPr>
      </w:pPr>
    </w:p>
    <w:p w14:paraId="095A588F" w14:textId="77777777" w:rsidR="002B3AD5" w:rsidRDefault="00D66CD0">
      <w:pPr>
        <w:pStyle w:val="a4"/>
        <w:numPr>
          <w:ilvl w:val="0"/>
          <w:numId w:val="1"/>
        </w:numPr>
        <w:tabs>
          <w:tab w:val="left" w:pos="1304"/>
        </w:tabs>
        <w:spacing w:before="96" w:line="259" w:lineRule="auto"/>
        <w:ind w:right="1338" w:firstLine="0"/>
        <w:rPr>
          <w:sz w:val="16"/>
        </w:rPr>
      </w:pPr>
      <w:r>
        <w:rPr>
          <w:sz w:val="16"/>
          <w:lang w:eastAsia="ja-JP"/>
        </w:rPr>
        <w:t xml:space="preserve">FSC/PEFCは、世界の森林の約54%が生産的であり、かつ/または複数の目的に利用されており、そのうち20%がFSCおよびPEFCによって認証されていると推定している。 </w:t>
      </w:r>
      <w:r>
        <w:rPr>
          <w:sz w:val="16"/>
        </w:rPr>
        <w:t xml:space="preserve">Forest Management, John </w:t>
      </w:r>
      <w:proofErr w:type="spellStart"/>
      <w:r>
        <w:rPr>
          <w:sz w:val="16"/>
        </w:rPr>
        <w:t>Hontelez</w:t>
      </w:r>
      <w:proofErr w:type="spellEnd"/>
      <w:r>
        <w:rPr>
          <w:sz w:val="16"/>
        </w:rPr>
        <w:t>, FSC International, 2019 4.30のShare Forest Certification (FSC+PEFC)</w:t>
      </w:r>
      <w:proofErr w:type="spellStart"/>
      <w:r>
        <w:rPr>
          <w:sz w:val="16"/>
        </w:rPr>
        <w:t>に関するデータを参照</w:t>
      </w:r>
      <w:proofErr w:type="spellEnd"/>
    </w:p>
    <w:p w14:paraId="095A5890" w14:textId="77777777" w:rsidR="002B3AD5" w:rsidRDefault="002B3AD5">
      <w:pPr>
        <w:spacing w:line="259" w:lineRule="auto"/>
        <w:rPr>
          <w:sz w:val="16"/>
        </w:rPr>
        <w:sectPr w:rsidR="002B3AD5">
          <w:footerReference w:type="default" r:id="rId25"/>
          <w:pgSz w:w="12240" w:h="15840"/>
          <w:pgMar w:top="1360" w:right="320" w:bottom="1200" w:left="360" w:header="0" w:footer="1020" w:gutter="0"/>
          <w:pgNumType w:start="45"/>
          <w:cols w:space="720"/>
        </w:sectPr>
      </w:pPr>
    </w:p>
    <w:p w14:paraId="095A5891" w14:textId="473C94E3" w:rsidR="002B3AD5" w:rsidRDefault="00D66CD0">
      <w:pPr>
        <w:pStyle w:val="a3"/>
        <w:spacing w:before="79" w:line="276" w:lineRule="auto"/>
        <w:ind w:left="1080" w:right="1164"/>
        <w:rPr>
          <w:lang w:eastAsia="ja-JP"/>
        </w:rPr>
      </w:pPr>
      <w:r w:rsidRPr="00173154">
        <w:rPr>
          <w:lang w:eastAsia="ja-JP"/>
        </w:rPr>
        <w:lastRenderedPageBreak/>
        <w:t>森林については、上記基準3で</w:t>
      </w:r>
      <w:r w:rsidR="00173154">
        <w:rPr>
          <w:rFonts w:hint="eastAsia"/>
          <w:lang w:eastAsia="ja-JP"/>
        </w:rPr>
        <w:t>触れた</w:t>
      </w:r>
      <w:r w:rsidRPr="00173154">
        <w:rPr>
          <w:lang w:eastAsia="ja-JP"/>
        </w:rPr>
        <w:t>たように</w:t>
      </w:r>
      <w:r>
        <w:rPr>
          <w:lang w:eastAsia="ja-JP"/>
        </w:rPr>
        <w:t>、</w:t>
      </w:r>
      <w:r w:rsidR="00173154">
        <w:rPr>
          <w:rFonts w:hint="eastAsia"/>
          <w:lang w:eastAsia="ja-JP"/>
        </w:rPr>
        <w:t>実務的観点から</w:t>
      </w:r>
      <w:r>
        <w:rPr>
          <w:lang w:eastAsia="ja-JP"/>
        </w:rPr>
        <w:t>森林NACEコード間で異なるパフォーマンス期間を</w:t>
      </w:r>
      <w:r w:rsidR="00173154">
        <w:rPr>
          <w:rFonts w:hint="eastAsia"/>
          <w:lang w:eastAsia="ja-JP"/>
        </w:rPr>
        <w:t>採用</w:t>
      </w:r>
      <w:r>
        <w:rPr>
          <w:lang w:eastAsia="ja-JP"/>
        </w:rPr>
        <w:t>している。 新規植林と再植林のためには、森林林が成長し、樹木が成長するにつれて炭素貯蔵量が測定可能に増加するであろうことが認識されている。 既存の森林管理、及び回復/修復については、森林は、</w:t>
      </w:r>
      <w:r w:rsidR="00533B8E">
        <w:rPr>
          <w:rFonts w:hint="eastAsia"/>
          <w:lang w:eastAsia="ja-JP"/>
        </w:rPr>
        <w:t>一般論として</w:t>
      </w:r>
      <w:r>
        <w:rPr>
          <w:lang w:eastAsia="ja-JP"/>
        </w:rPr>
        <w:t>様々な成熟段階にある</w:t>
      </w:r>
      <w:r w:rsidR="00173154">
        <w:rPr>
          <w:rFonts w:hint="eastAsia"/>
          <w:lang w:eastAsia="ja-JP"/>
        </w:rPr>
        <w:t>木立ち</w:t>
      </w:r>
      <w:r>
        <w:rPr>
          <w:lang w:eastAsia="ja-JP"/>
        </w:rPr>
        <w:t>を含む。 実質的な緩和の観点からは、森林の炭素貯蔵の維持が重要であると考えられ、ある点を超え</w:t>
      </w:r>
      <w:r w:rsidR="00533B8E">
        <w:rPr>
          <w:rFonts w:hint="eastAsia"/>
          <w:lang w:eastAsia="ja-JP"/>
        </w:rPr>
        <w:t>ると</w:t>
      </w:r>
      <w:r>
        <w:rPr>
          <w:lang w:eastAsia="ja-JP"/>
        </w:rPr>
        <w:t>、炭素貯蔵は地上バイオマスの飽和点に達する可能性があること</w:t>
      </w:r>
      <w:r w:rsidR="00533B8E">
        <w:rPr>
          <w:rFonts w:hint="eastAsia"/>
          <w:lang w:eastAsia="ja-JP"/>
        </w:rPr>
        <w:t>が</w:t>
      </w:r>
      <w:r>
        <w:rPr>
          <w:lang w:eastAsia="ja-JP"/>
        </w:rPr>
        <w:t>認識</w:t>
      </w:r>
      <w:r w:rsidR="00533B8E">
        <w:rPr>
          <w:rFonts w:hint="eastAsia"/>
          <w:lang w:eastAsia="ja-JP"/>
        </w:rPr>
        <w:t>され</w:t>
      </w:r>
      <w:r>
        <w:rPr>
          <w:lang w:eastAsia="ja-JP"/>
        </w:rPr>
        <w:t>ている。森林</w:t>
      </w:r>
      <w:r w:rsidR="00533B8E">
        <w:rPr>
          <w:rFonts w:hint="eastAsia"/>
          <w:lang w:eastAsia="ja-JP"/>
        </w:rPr>
        <w:t>はその</w:t>
      </w:r>
      <w:r>
        <w:rPr>
          <w:lang w:eastAsia="ja-JP"/>
        </w:rPr>
        <w:t>商業的</w:t>
      </w:r>
      <w:r w:rsidR="00533B8E">
        <w:rPr>
          <w:rFonts w:hint="eastAsia"/>
          <w:lang w:eastAsia="ja-JP"/>
        </w:rPr>
        <w:t>価値から</w:t>
      </w:r>
      <w:r>
        <w:rPr>
          <w:lang w:eastAsia="ja-JP"/>
        </w:rPr>
        <w:t>、完全な成熟または飽和に達する前に伐採される</w:t>
      </w:r>
      <w:r w:rsidR="00533B8E">
        <w:rPr>
          <w:rFonts w:hint="eastAsia"/>
          <w:lang w:eastAsia="ja-JP"/>
        </w:rPr>
        <w:t>こと</w:t>
      </w:r>
      <w:r>
        <w:rPr>
          <w:lang w:eastAsia="ja-JP"/>
        </w:rPr>
        <w:t>がある。 しかし、もし収穫がSFMの手法に従い、純増分のレベルを下回っているならば、森林の炭素吸収源全体は、長期的に安定的または増加し続けると予想される。</w:t>
      </w:r>
    </w:p>
    <w:p w14:paraId="095A5892" w14:textId="77777777" w:rsidR="002B3AD5" w:rsidRDefault="002B3AD5">
      <w:pPr>
        <w:pStyle w:val="a3"/>
        <w:spacing w:before="11"/>
        <w:rPr>
          <w:lang w:eastAsia="ja-JP"/>
        </w:rPr>
      </w:pPr>
    </w:p>
    <w:p w14:paraId="095A5893" w14:textId="3B1FC705" w:rsidR="002B3AD5" w:rsidRDefault="00D66CD0">
      <w:pPr>
        <w:pStyle w:val="a3"/>
        <w:spacing w:line="276" w:lineRule="auto"/>
        <w:ind w:left="1080" w:right="1176"/>
        <w:rPr>
          <w:lang w:eastAsia="ja-JP"/>
        </w:rPr>
      </w:pPr>
      <w:r w:rsidRPr="00FF5A41">
        <w:rPr>
          <w:rFonts w:hint="eastAsia"/>
          <w:lang w:eastAsia="ja-JP"/>
        </w:rPr>
        <w:t>実際的には、既存の森林管理と森林の回復/回復</w:t>
      </w:r>
      <w:r>
        <w:rPr>
          <w:lang w:eastAsia="ja-JP"/>
        </w:rPr>
        <w:t>のために、森林所有者は、立木レベルか景観レベルかにかかわらず、与えられた森林の輪作期間を定義する必要がある。 基準2と3を満たすために、森林所有者は、回転期間に関して、炭素貯蔵が(ベースラインに対して)維持されているか、(ベースラインから)増加していることを実証する</w:t>
      </w:r>
      <w:r w:rsidR="00FF5A41">
        <w:rPr>
          <w:rFonts w:hint="eastAsia"/>
          <w:lang w:eastAsia="ja-JP"/>
        </w:rPr>
        <w:t>必要に迫られるだろう</w:t>
      </w:r>
      <w:r>
        <w:rPr>
          <w:lang w:eastAsia="ja-JP"/>
        </w:rPr>
        <w:t>。 重要なことは、パフォーマンス/デモンストレーション期間はローテーション期間と結びついているが、</w:t>
      </w:r>
      <w:r w:rsidR="00FF5A41">
        <w:rPr>
          <w:rFonts w:hint="eastAsia"/>
          <w:lang w:eastAsia="ja-JP"/>
        </w:rPr>
        <w:t>変化</w:t>
      </w:r>
      <w:r>
        <w:rPr>
          <w:lang w:eastAsia="ja-JP"/>
        </w:rPr>
        <w:t>の方向性、すなわち炭素貯蔵が維持または増加していることを示すために</w:t>
      </w:r>
      <w:r w:rsidR="00FF5A41">
        <w:rPr>
          <w:rFonts w:hint="eastAsia"/>
          <w:lang w:eastAsia="ja-JP"/>
        </w:rPr>
        <w:t>は</w:t>
      </w:r>
      <w:r>
        <w:rPr>
          <w:lang w:eastAsia="ja-JP"/>
        </w:rPr>
        <w:t>、10年間の報告期間を通</w:t>
      </w:r>
      <w:r w:rsidR="00FF5A41">
        <w:rPr>
          <w:rFonts w:hint="eastAsia"/>
          <w:lang w:eastAsia="ja-JP"/>
        </w:rPr>
        <w:t>じた支援がなされ</w:t>
      </w:r>
      <w:r>
        <w:rPr>
          <w:lang w:eastAsia="ja-JP"/>
        </w:rPr>
        <w:t xml:space="preserve">ることである。 </w:t>
      </w:r>
      <w:r w:rsidR="00FF5A41">
        <w:rPr>
          <w:rFonts w:hint="eastAsia"/>
          <w:lang w:eastAsia="ja-JP"/>
        </w:rPr>
        <w:t>林</w:t>
      </w:r>
      <w:r>
        <w:rPr>
          <w:lang w:eastAsia="ja-JP"/>
        </w:rPr>
        <w:t>の火災や</w:t>
      </w:r>
      <w:r w:rsidR="00FF5A41">
        <w:rPr>
          <w:rFonts w:hint="eastAsia"/>
          <w:lang w:eastAsia="ja-JP"/>
        </w:rPr>
        <w:t>強</w:t>
      </w:r>
      <w:r>
        <w:rPr>
          <w:lang w:eastAsia="ja-JP"/>
        </w:rPr>
        <w:t>風による</w:t>
      </w:r>
      <w:r w:rsidR="00FF5A41">
        <w:rPr>
          <w:rFonts w:hint="eastAsia"/>
          <w:lang w:eastAsia="ja-JP"/>
        </w:rPr>
        <w:t>倒木</w:t>
      </w:r>
      <w:r>
        <w:rPr>
          <w:lang w:eastAsia="ja-JP"/>
        </w:rPr>
        <w:t>などの不可抗力が発生した場合、既存の森林管理NACEは復元NACEに移行し、20年間</w:t>
      </w:r>
      <w:r w:rsidR="00FF5A41">
        <w:rPr>
          <w:rFonts w:hint="eastAsia"/>
          <w:lang w:eastAsia="ja-JP"/>
        </w:rPr>
        <w:t>超</w:t>
      </w:r>
      <w:r>
        <w:rPr>
          <w:lang w:eastAsia="ja-JP"/>
        </w:rPr>
        <w:t>にわたる</w:t>
      </w:r>
      <w:r w:rsidR="00FF5A41">
        <w:rPr>
          <w:rFonts w:hint="eastAsia"/>
          <w:lang w:eastAsia="ja-JP"/>
        </w:rPr>
        <w:t>林</w:t>
      </w:r>
      <w:r>
        <w:rPr>
          <w:lang w:eastAsia="ja-JP"/>
        </w:rPr>
        <w:t>の再構築、したがって炭素貯蔵の開発に基づいて、性能が判断される。</w:t>
      </w:r>
    </w:p>
    <w:p w14:paraId="095A5894" w14:textId="77777777" w:rsidR="002B3AD5" w:rsidRDefault="002B3AD5">
      <w:pPr>
        <w:pStyle w:val="a3"/>
        <w:spacing w:before="10"/>
        <w:rPr>
          <w:lang w:eastAsia="ja-JP"/>
        </w:rPr>
      </w:pPr>
    </w:p>
    <w:p w14:paraId="095A5895" w14:textId="20BA36DD" w:rsidR="002B3AD5" w:rsidRDefault="00D66CD0">
      <w:pPr>
        <w:pStyle w:val="a3"/>
        <w:spacing w:line="276" w:lineRule="auto"/>
        <w:ind w:left="1080" w:right="1166"/>
        <w:rPr>
          <w:lang w:eastAsia="ja-JP"/>
        </w:rPr>
      </w:pPr>
      <w:r>
        <w:rPr>
          <w:lang w:eastAsia="ja-JP"/>
        </w:rPr>
        <w:t>測定及び報告は、</w:t>
      </w:r>
      <w:r w:rsidR="002F5B54">
        <w:rPr>
          <w:lang w:eastAsia="ja-JP"/>
        </w:rPr>
        <w:t>タクソノミー</w:t>
      </w:r>
      <w:r>
        <w:rPr>
          <w:lang w:eastAsia="ja-JP"/>
        </w:rPr>
        <w:t>がEUの法律及び既存の国内枠組みを構築し、個人の</w:t>
      </w:r>
      <w:r w:rsidR="00FF5A41">
        <w:rPr>
          <w:rFonts w:hint="eastAsia"/>
          <w:lang w:eastAsia="ja-JP"/>
        </w:rPr>
        <w:t>所有</w:t>
      </w:r>
      <w:r>
        <w:rPr>
          <w:lang w:eastAsia="ja-JP"/>
        </w:rPr>
        <w:t>レベルを超えて適用される検証及び評価に対する既存のアプローチを通じた異なる規模の報告の適用可能性を認識していることから、民間投資から利益を得る可能性のある小規模事業者に重大な負担を生じさ</w:t>
      </w:r>
      <w:r w:rsidR="00FF5A41">
        <w:rPr>
          <w:rFonts w:hint="eastAsia"/>
          <w:lang w:eastAsia="ja-JP"/>
        </w:rPr>
        <w:t>ることに</w:t>
      </w:r>
      <w:r>
        <w:rPr>
          <w:lang w:eastAsia="ja-JP"/>
        </w:rPr>
        <w:t xml:space="preserve">はならない。 これらには、国または準国家/地域レベル、調達地域レベル(複数保有)または個人保有レベルで採用されたアプローチが含まれる。 </w:t>
      </w:r>
      <w:r w:rsidR="002F5B54">
        <w:rPr>
          <w:lang w:eastAsia="ja-JP"/>
        </w:rPr>
        <w:t>タクソノミー</w:t>
      </w:r>
      <w:r>
        <w:rPr>
          <w:lang w:eastAsia="ja-JP"/>
        </w:rPr>
        <w:t>では、どの報告の枠組みが用いられるかを規定しておらず、従って、基準および閾値の遵守が投資に適した保持レベルで評価できることを条件として、国内の状況に適応する柔軟性を認めている。</w:t>
      </w:r>
    </w:p>
    <w:p w14:paraId="095A5896" w14:textId="77777777" w:rsidR="002B3AD5" w:rsidRDefault="002B3AD5">
      <w:pPr>
        <w:pStyle w:val="a3"/>
        <w:rPr>
          <w:sz w:val="21"/>
          <w:lang w:eastAsia="ja-JP"/>
        </w:rPr>
      </w:pPr>
    </w:p>
    <w:p w14:paraId="095A5897" w14:textId="22D78EA2" w:rsidR="002B3AD5" w:rsidRDefault="00B22591">
      <w:pPr>
        <w:pStyle w:val="4"/>
        <w:rPr>
          <w:lang w:eastAsia="ja-JP"/>
        </w:rPr>
      </w:pPr>
      <w:r>
        <w:rPr>
          <w:rFonts w:hint="eastAsia"/>
          <w:lang w:eastAsia="ja-JP"/>
        </w:rPr>
        <w:t>緩和分野</w:t>
      </w:r>
      <w:r w:rsidR="00D66CD0">
        <w:rPr>
          <w:lang w:eastAsia="ja-JP"/>
        </w:rPr>
        <w:t>に</w:t>
      </w:r>
      <w:r>
        <w:rPr>
          <w:rFonts w:hint="eastAsia"/>
          <w:lang w:eastAsia="ja-JP"/>
        </w:rPr>
        <w:t>ついて</w:t>
      </w:r>
      <w:r w:rsidR="00D66CD0">
        <w:rPr>
          <w:lang w:eastAsia="ja-JP"/>
        </w:rPr>
        <w:t>重大な悪影響を及ぼさないこと</w:t>
      </w:r>
    </w:p>
    <w:p w14:paraId="095A5898" w14:textId="77777777" w:rsidR="002B3AD5" w:rsidRDefault="002B3AD5">
      <w:pPr>
        <w:pStyle w:val="a3"/>
        <w:spacing w:before="10"/>
        <w:rPr>
          <w:b/>
          <w:sz w:val="23"/>
          <w:lang w:eastAsia="ja-JP"/>
        </w:rPr>
      </w:pPr>
    </w:p>
    <w:p w14:paraId="095A5899" w14:textId="643CD5F2" w:rsidR="002B3AD5" w:rsidRDefault="00D66CD0">
      <w:pPr>
        <w:pStyle w:val="a3"/>
        <w:spacing w:line="276" w:lineRule="auto"/>
        <w:ind w:left="1080" w:right="1152"/>
        <w:rPr>
          <w:lang w:eastAsia="ja-JP"/>
        </w:rPr>
      </w:pPr>
      <w:r>
        <w:rPr>
          <w:lang w:eastAsia="ja-JP"/>
        </w:rPr>
        <w:t>森林</w:t>
      </w:r>
      <w:r w:rsidR="002F5B54">
        <w:rPr>
          <w:lang w:eastAsia="ja-JP"/>
        </w:rPr>
        <w:t>タクソノミー</w:t>
      </w:r>
      <w:r>
        <w:rPr>
          <w:lang w:eastAsia="ja-JP"/>
        </w:rPr>
        <w:t>における緩和活動は、活動からのGHG排出を削減し回避する一方で、森林炭素吸収源の維持と増加に焦点を当てている。 林業のような一次生産部門は、気候関連の変化やショック(例、気候パターンの変化、熱波など)に対して特に脆弱である。 したがって、炭素吸収源を維持</w:t>
      </w:r>
      <w:r w:rsidR="00B22591">
        <w:rPr>
          <w:rFonts w:hint="eastAsia"/>
          <w:lang w:eastAsia="ja-JP"/>
        </w:rPr>
        <w:t>し、貯蔵量が増加</w:t>
      </w:r>
      <w:r>
        <w:rPr>
          <w:lang w:eastAsia="ja-JP"/>
        </w:rPr>
        <w:t>するためには、森林の適応が不可欠であ</w:t>
      </w:r>
      <w:r w:rsidR="00B22591">
        <w:rPr>
          <w:rFonts w:hint="eastAsia"/>
          <w:lang w:eastAsia="ja-JP"/>
        </w:rPr>
        <w:t>る。</w:t>
      </w:r>
      <w:r>
        <w:rPr>
          <w:lang w:eastAsia="ja-JP"/>
        </w:rPr>
        <w:t>。 適応要件は、可能な限り実質的な緩和との相乗効果を促進し、かつ重大な被害を最小限に抑えるように策定されるべきである。</w:t>
      </w:r>
    </w:p>
    <w:p w14:paraId="095A589A" w14:textId="77777777" w:rsidR="002B3AD5" w:rsidRDefault="002B3AD5">
      <w:pPr>
        <w:pStyle w:val="a3"/>
        <w:spacing w:before="10"/>
        <w:rPr>
          <w:lang w:eastAsia="ja-JP"/>
        </w:rPr>
      </w:pPr>
    </w:p>
    <w:p w14:paraId="095A589B" w14:textId="0CE89DED" w:rsidR="002B3AD5" w:rsidRDefault="00D66CD0">
      <w:pPr>
        <w:pStyle w:val="a3"/>
        <w:spacing w:line="276" w:lineRule="auto"/>
        <w:ind w:left="1080" w:right="1152"/>
        <w:rPr>
          <w:lang w:eastAsia="ja-JP"/>
        </w:rPr>
      </w:pPr>
      <w:r>
        <w:rPr>
          <w:lang w:eastAsia="ja-JP"/>
        </w:rPr>
        <w:t>提案された</w:t>
      </w:r>
      <w:r w:rsidR="002F5B54">
        <w:rPr>
          <w:lang w:eastAsia="ja-JP"/>
        </w:rPr>
        <w:t>タクソノミー</w:t>
      </w:r>
      <w:r>
        <w:rPr>
          <w:lang w:eastAsia="ja-JP"/>
        </w:rPr>
        <w:t>規則の本文(第12条(a)):第3条(b)の適用上、経済活動は、次の事項を著しく害するとみなされる。(a)気候変動の緩和であって、その活動が重大な温室効果ガスの排出につながるもの</w:t>
      </w:r>
    </w:p>
    <w:p w14:paraId="095A589C" w14:textId="77777777" w:rsidR="002B3AD5" w:rsidRDefault="002B3AD5">
      <w:pPr>
        <w:pStyle w:val="a3"/>
        <w:spacing w:before="11"/>
        <w:rPr>
          <w:lang w:eastAsia="ja-JP"/>
        </w:rPr>
      </w:pPr>
    </w:p>
    <w:p w14:paraId="095A589D" w14:textId="4B216AC4" w:rsidR="002B3AD5" w:rsidRDefault="00D66CD0">
      <w:pPr>
        <w:pStyle w:val="a3"/>
        <w:spacing w:line="276" w:lineRule="auto"/>
        <w:ind w:left="1080" w:right="1152"/>
        <w:rPr>
          <w:lang w:eastAsia="ja-JP"/>
        </w:rPr>
      </w:pPr>
      <w:r>
        <w:rPr>
          <w:lang w:eastAsia="ja-JP"/>
        </w:rPr>
        <w:t>森林は、著しい炭素吸収源を提供し、森林気候変動の緩和に著しい悪影響を与える異例の経済部門であり、(適応)活動が炭素吸収源の顕著な長期的削減につながる場合を含む。 したがって、</w:t>
      </w:r>
      <w:r w:rsidR="00B22591" w:rsidRPr="00B22591">
        <w:rPr>
          <w:rFonts w:hint="eastAsia"/>
          <w:lang w:eastAsia="ja-JP"/>
        </w:rPr>
        <w:t>森林の炭素貯蔵と長期的な潜在的吸収力</w:t>
      </w:r>
      <w:r w:rsidR="00B22591">
        <w:rPr>
          <w:rFonts w:hint="eastAsia"/>
          <w:lang w:eastAsia="ja-JP"/>
        </w:rPr>
        <w:t>につながる</w:t>
      </w:r>
      <w:r>
        <w:rPr>
          <w:lang w:eastAsia="ja-JP"/>
        </w:rPr>
        <w:t>森林面積を維持することが重要</w:t>
      </w:r>
      <w:r w:rsidR="00B22591">
        <w:rPr>
          <w:rFonts w:hint="eastAsia"/>
          <w:lang w:eastAsia="ja-JP"/>
        </w:rPr>
        <w:t>なのである。</w:t>
      </w:r>
    </w:p>
    <w:p w14:paraId="095A589E" w14:textId="77777777" w:rsidR="002B3AD5" w:rsidRDefault="002B3AD5">
      <w:pPr>
        <w:spacing w:line="276" w:lineRule="auto"/>
        <w:rPr>
          <w:lang w:eastAsia="ja-JP"/>
        </w:rPr>
        <w:sectPr w:rsidR="002B3AD5">
          <w:pgSz w:w="12240" w:h="15840"/>
          <w:pgMar w:top="1360" w:right="320" w:bottom="1200" w:left="360" w:header="0" w:footer="1020" w:gutter="0"/>
          <w:cols w:space="720"/>
        </w:sectPr>
      </w:pPr>
    </w:p>
    <w:p w14:paraId="095A589F" w14:textId="455BFD6C" w:rsidR="002B3AD5" w:rsidRDefault="00D66CD0">
      <w:pPr>
        <w:pStyle w:val="a3"/>
        <w:spacing w:before="79" w:line="276" w:lineRule="auto"/>
        <w:ind w:left="1080" w:right="1566"/>
        <w:rPr>
          <w:lang w:eastAsia="ja-JP"/>
        </w:rPr>
      </w:pPr>
      <w:r>
        <w:rPr>
          <w:lang w:eastAsia="ja-JP"/>
        </w:rPr>
        <w:lastRenderedPageBreak/>
        <w:t>適応活動</w:t>
      </w:r>
      <w:r w:rsidR="00B22591">
        <w:rPr>
          <w:rFonts w:hint="eastAsia"/>
          <w:lang w:eastAsia="ja-JP"/>
        </w:rPr>
        <w:t>について緩和効果</w:t>
      </w:r>
      <w:r>
        <w:rPr>
          <w:lang w:eastAsia="ja-JP"/>
        </w:rPr>
        <w:t>を確実</w:t>
      </w:r>
      <w:r w:rsidR="00B22591">
        <w:rPr>
          <w:rFonts w:hint="eastAsia"/>
          <w:lang w:eastAsia="ja-JP"/>
        </w:rPr>
        <w:t>なもの</w:t>
      </w:r>
      <w:r>
        <w:rPr>
          <w:lang w:eastAsia="ja-JP"/>
        </w:rPr>
        <w:t>にするため</w:t>
      </w:r>
      <w:r w:rsidR="00B22591">
        <w:rPr>
          <w:rFonts w:hint="eastAsia"/>
          <w:lang w:eastAsia="ja-JP"/>
        </w:rPr>
        <w:t>に</w:t>
      </w:r>
      <w:r>
        <w:rPr>
          <w:lang w:eastAsia="ja-JP"/>
        </w:rPr>
        <w:t>は、適応対応が以下の</w:t>
      </w:r>
      <w:r w:rsidR="00B22591">
        <w:rPr>
          <w:rFonts w:hint="eastAsia"/>
          <w:lang w:eastAsia="ja-JP"/>
        </w:rPr>
        <w:t>点を重んじるべきである</w:t>
      </w:r>
      <w:r>
        <w:rPr>
          <w:lang w:eastAsia="ja-JP"/>
        </w:rPr>
        <w:t>。</w:t>
      </w:r>
    </w:p>
    <w:p w14:paraId="095A58A0" w14:textId="77777777" w:rsidR="002B3AD5" w:rsidRDefault="002B3AD5">
      <w:pPr>
        <w:pStyle w:val="a3"/>
        <w:spacing w:before="11"/>
        <w:rPr>
          <w:lang w:eastAsia="ja-JP"/>
        </w:rPr>
      </w:pPr>
    </w:p>
    <w:p w14:paraId="095A58A1" w14:textId="77777777" w:rsidR="002B3AD5" w:rsidRDefault="00D66CD0">
      <w:pPr>
        <w:pStyle w:val="a4"/>
        <w:numPr>
          <w:ilvl w:val="0"/>
          <w:numId w:val="20"/>
        </w:numPr>
        <w:tabs>
          <w:tab w:val="left" w:pos="1440"/>
          <w:tab w:val="left" w:pos="1441"/>
        </w:tabs>
        <w:spacing w:before="0"/>
        <w:rPr>
          <w:sz w:val="20"/>
          <w:lang w:eastAsia="ja-JP"/>
        </w:rPr>
      </w:pPr>
      <w:r>
        <w:rPr>
          <w:sz w:val="20"/>
          <w:lang w:eastAsia="ja-JP"/>
        </w:rPr>
        <w:t>森林が炭素を固定する長期的な能力を損なわない</w:t>
      </w:r>
    </w:p>
    <w:p w14:paraId="095A58A2" w14:textId="77777777" w:rsidR="002B3AD5" w:rsidRDefault="002B3AD5">
      <w:pPr>
        <w:pStyle w:val="a3"/>
        <w:spacing w:before="8"/>
        <w:rPr>
          <w:sz w:val="23"/>
          <w:lang w:eastAsia="ja-JP"/>
        </w:rPr>
      </w:pPr>
    </w:p>
    <w:p w14:paraId="095A58A3" w14:textId="77777777" w:rsidR="002B3AD5" w:rsidRDefault="00D66CD0">
      <w:pPr>
        <w:pStyle w:val="a4"/>
        <w:numPr>
          <w:ilvl w:val="0"/>
          <w:numId w:val="20"/>
        </w:numPr>
        <w:tabs>
          <w:tab w:val="left" w:pos="1440"/>
          <w:tab w:val="left" w:pos="1441"/>
        </w:tabs>
        <w:spacing w:before="1" w:line="271" w:lineRule="auto"/>
        <w:ind w:right="1620"/>
        <w:rPr>
          <w:sz w:val="20"/>
          <w:lang w:eastAsia="ja-JP"/>
        </w:rPr>
      </w:pPr>
      <w:r>
        <w:rPr>
          <w:sz w:val="20"/>
          <w:lang w:eastAsia="ja-JP"/>
        </w:rPr>
        <w:t>地上及び地下の既存の森林炭素吸収源の長期的な維持を損なわない</w:t>
      </w:r>
    </w:p>
    <w:p w14:paraId="095A58A4" w14:textId="77777777" w:rsidR="002B3AD5" w:rsidRDefault="002B3AD5">
      <w:pPr>
        <w:pStyle w:val="a3"/>
        <w:rPr>
          <w:sz w:val="22"/>
          <w:lang w:eastAsia="ja-JP"/>
        </w:rPr>
      </w:pPr>
    </w:p>
    <w:p w14:paraId="095A58A5" w14:textId="77777777" w:rsidR="002B3AD5" w:rsidRDefault="002B3AD5">
      <w:pPr>
        <w:pStyle w:val="a3"/>
        <w:rPr>
          <w:sz w:val="22"/>
          <w:lang w:eastAsia="ja-JP"/>
        </w:rPr>
      </w:pPr>
    </w:p>
    <w:p w14:paraId="095A58A6" w14:textId="77777777" w:rsidR="002B3AD5" w:rsidRDefault="002B3AD5">
      <w:pPr>
        <w:pStyle w:val="a3"/>
        <w:spacing w:before="1"/>
        <w:rPr>
          <w:sz w:val="21"/>
          <w:lang w:eastAsia="ja-JP"/>
        </w:rPr>
      </w:pPr>
    </w:p>
    <w:p w14:paraId="095A58A7" w14:textId="7515F61E" w:rsidR="002B3AD5" w:rsidRDefault="00D66CD0">
      <w:pPr>
        <w:pStyle w:val="a3"/>
        <w:spacing w:line="278" w:lineRule="auto"/>
        <w:ind w:left="1080" w:right="1152"/>
        <w:rPr>
          <w:lang w:eastAsia="ja-JP"/>
        </w:rPr>
      </w:pPr>
      <w:r>
        <w:rPr>
          <w:lang w:eastAsia="ja-JP"/>
        </w:rPr>
        <w:t>その活動が</w:t>
      </w:r>
      <w:r w:rsidR="002F5B54">
        <w:rPr>
          <w:lang w:eastAsia="ja-JP"/>
        </w:rPr>
        <w:t>タクソノミー</w:t>
      </w:r>
      <w:r>
        <w:rPr>
          <w:lang w:eastAsia="ja-JP"/>
        </w:rPr>
        <w:t>に準拠していると判断できる基準は、既存のEU法規に沿って、以下の通りである。</w:t>
      </w:r>
    </w:p>
    <w:p w14:paraId="095A58A8" w14:textId="77777777" w:rsidR="002B3AD5" w:rsidRDefault="002B3AD5">
      <w:pPr>
        <w:pStyle w:val="a3"/>
        <w:spacing w:before="7"/>
        <w:rPr>
          <w:lang w:eastAsia="ja-JP"/>
        </w:rPr>
      </w:pPr>
    </w:p>
    <w:p w14:paraId="095A58A9" w14:textId="77777777" w:rsidR="002B3AD5" w:rsidRDefault="00D66CD0">
      <w:pPr>
        <w:pStyle w:val="a4"/>
        <w:numPr>
          <w:ilvl w:val="0"/>
          <w:numId w:val="20"/>
        </w:numPr>
        <w:tabs>
          <w:tab w:val="left" w:pos="1440"/>
          <w:tab w:val="left" w:pos="1441"/>
        </w:tabs>
        <w:spacing w:before="1" w:line="273" w:lineRule="auto"/>
        <w:ind w:right="1175"/>
        <w:rPr>
          <w:sz w:val="20"/>
          <w:lang w:eastAsia="ja-JP"/>
        </w:rPr>
      </w:pPr>
      <w:r>
        <w:rPr>
          <w:sz w:val="20"/>
          <w:lang w:eastAsia="ja-JP"/>
        </w:rPr>
        <w:t>適応対応は、再生可能エネルギー指令(EU/2018/2001)の第29条(7)b項に定める要件に従わなければならない。同指令は、森林内の炭素貯蔵と吸収源のレベルが長期にわたって維持され、または強化されることを確実にするために、森林調達地域レベルで管理システムを整備する必要性を規定している。</w:t>
      </w:r>
    </w:p>
    <w:p w14:paraId="095A58AA" w14:textId="77777777" w:rsidR="002B3AD5" w:rsidRDefault="002B3AD5">
      <w:pPr>
        <w:pStyle w:val="a3"/>
        <w:rPr>
          <w:sz w:val="22"/>
          <w:lang w:eastAsia="ja-JP"/>
        </w:rPr>
      </w:pPr>
    </w:p>
    <w:p w14:paraId="095A58AB" w14:textId="77777777" w:rsidR="002B3AD5" w:rsidRDefault="002B3AD5">
      <w:pPr>
        <w:pStyle w:val="a3"/>
        <w:spacing w:before="7"/>
        <w:rPr>
          <w:sz w:val="32"/>
          <w:lang w:eastAsia="ja-JP"/>
        </w:rPr>
      </w:pPr>
    </w:p>
    <w:p w14:paraId="095A58AC" w14:textId="77777777" w:rsidR="002B3AD5" w:rsidRDefault="00D66CD0">
      <w:pPr>
        <w:pStyle w:val="4"/>
        <w:rPr>
          <w:lang w:eastAsia="ja-JP"/>
        </w:rPr>
      </w:pPr>
      <w:r>
        <w:rPr>
          <w:lang w:eastAsia="ja-JP"/>
        </w:rPr>
        <w:t>提案の影響</w:t>
      </w:r>
    </w:p>
    <w:p w14:paraId="095A58AD" w14:textId="77777777" w:rsidR="002B3AD5" w:rsidRDefault="002B3AD5">
      <w:pPr>
        <w:pStyle w:val="a3"/>
        <w:rPr>
          <w:b/>
          <w:sz w:val="24"/>
          <w:lang w:eastAsia="ja-JP"/>
        </w:rPr>
      </w:pPr>
    </w:p>
    <w:p w14:paraId="095A58AE" w14:textId="77777777" w:rsidR="002B3AD5" w:rsidRDefault="00D66CD0">
      <w:pPr>
        <w:pStyle w:val="a3"/>
        <w:spacing w:line="276" w:lineRule="auto"/>
        <w:ind w:left="1080" w:right="1153"/>
        <w:rPr>
          <w:lang w:eastAsia="ja-JP"/>
        </w:rPr>
      </w:pPr>
      <w:r>
        <w:rPr>
          <w:lang w:eastAsia="ja-JP"/>
        </w:rPr>
        <w:t>EU全域で約43万社が木材産業に従事しており、EU製造企業の20%、欧州の製造業の総付加価値額の7.5%を占めている。36 EUの木材産業は約350万人の雇用をEU内で提供している。EUの森林の約60%が私有林であり、そのうち3分の2が3ヘクタール未満の土地を所有しており、その多くは小規模な土地区画に細分化されている。 私有林の所有構造は特有であり、国によってかなりのばらつきがあり、その規模は0.5ヘクタールから1万ヘクタール以上に及ぶが、平均面積は約13ヘクタールである。 同様の気候条件および管轄区域の下で、同様の森林特性を有する森林所有者および管理者は、等しく影響を受けると予想される。</w:t>
      </w:r>
    </w:p>
    <w:p w14:paraId="095A58AF" w14:textId="77777777" w:rsidR="002B3AD5" w:rsidRDefault="002B3AD5">
      <w:pPr>
        <w:pStyle w:val="a3"/>
        <w:spacing w:before="9"/>
        <w:rPr>
          <w:lang w:eastAsia="ja-JP"/>
        </w:rPr>
      </w:pPr>
    </w:p>
    <w:p w14:paraId="095A58B0" w14:textId="607BB8EB" w:rsidR="002B3AD5" w:rsidRDefault="00D66CD0">
      <w:pPr>
        <w:pStyle w:val="a3"/>
        <w:spacing w:line="276" w:lineRule="auto"/>
        <w:ind w:left="1080" w:right="1051"/>
        <w:rPr>
          <w:lang w:eastAsia="ja-JP"/>
        </w:rPr>
      </w:pPr>
      <w:r>
        <w:rPr>
          <w:lang w:eastAsia="ja-JP"/>
        </w:rPr>
        <w:t>FSCおよびPEFCが認証された林業事業は、転換基準を除き、森林</w:t>
      </w:r>
      <w:r w:rsidR="002F5B54">
        <w:rPr>
          <w:lang w:eastAsia="ja-JP"/>
        </w:rPr>
        <w:t>タクソノミー</w:t>
      </w:r>
      <w:r>
        <w:rPr>
          <w:lang w:eastAsia="ja-JP"/>
        </w:rPr>
        <w:t>のSFMおよび</w:t>
      </w:r>
      <w:r w:rsidR="0068611E">
        <w:rPr>
          <w:rFonts w:hint="eastAsia"/>
          <w:lang w:eastAsia="ja-JP"/>
        </w:rPr>
        <w:t>DNSH</w:t>
      </w:r>
      <w:r>
        <w:rPr>
          <w:lang w:eastAsia="ja-JP"/>
        </w:rPr>
        <w:t>基準を満たす可能性が高い。 これは、EUの生産性の高い森林全体の61.5%、世界の生産性の高い森林の約20%に相当する。</w:t>
      </w:r>
      <w:r w:rsidR="0068611E">
        <w:rPr>
          <w:rFonts w:hint="eastAsia"/>
          <w:lang w:eastAsia="ja-JP"/>
        </w:rPr>
        <w:t>39 40</w:t>
      </w:r>
    </w:p>
    <w:p w14:paraId="095A58B1" w14:textId="77777777" w:rsidR="002B3AD5" w:rsidRDefault="002B3AD5">
      <w:pPr>
        <w:pStyle w:val="a3"/>
        <w:rPr>
          <w:lang w:eastAsia="ja-JP"/>
        </w:rPr>
      </w:pPr>
    </w:p>
    <w:p w14:paraId="095A58B2" w14:textId="465185D9" w:rsidR="002B3AD5" w:rsidRDefault="00C37D34">
      <w:pPr>
        <w:pStyle w:val="a3"/>
        <w:rPr>
          <w:sz w:val="16"/>
          <w:lang w:eastAsia="ja-JP"/>
        </w:rPr>
      </w:pPr>
      <w:r>
        <w:rPr>
          <w:noProof/>
          <w:lang w:val="en-US" w:eastAsia="ja-JP"/>
        </w:rPr>
        <mc:AlternateContent>
          <mc:Choice Requires="wps">
            <w:drawing>
              <wp:anchor distT="0" distB="0" distL="0" distR="0" simplePos="0" relativeHeight="251668480" behindDoc="1" locked="0" layoutInCell="1" allowOverlap="1" wp14:anchorId="095A5905" wp14:editId="07AE5723">
                <wp:simplePos x="0" y="0"/>
                <wp:positionH relativeFrom="page">
                  <wp:posOffset>914400</wp:posOffset>
                </wp:positionH>
                <wp:positionV relativeFrom="paragraph">
                  <wp:posOffset>144780</wp:posOffset>
                </wp:positionV>
                <wp:extent cx="1829435" cy="0"/>
                <wp:effectExtent l="9525" t="6985" r="8890" b="12065"/>
                <wp:wrapTopAndBottom/>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16F70" id="Line 2" o:spid="_x0000_s1026" style="position:absolute;left:0;text-align:lef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4pt" to="216.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9dEwIAACk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" strokeweight=".48pt">
                <w10:wrap type="topAndBottom" anchorx="page"/>
              </v:line>
            </w:pict>
          </mc:Fallback>
        </mc:AlternateContent>
      </w:r>
    </w:p>
    <w:p w14:paraId="095A58B3" w14:textId="77777777" w:rsidR="002B3AD5" w:rsidRDefault="002B3AD5">
      <w:pPr>
        <w:pStyle w:val="a3"/>
        <w:spacing w:before="2"/>
        <w:rPr>
          <w:sz w:val="17"/>
          <w:lang w:eastAsia="ja-JP"/>
        </w:rPr>
      </w:pPr>
    </w:p>
    <w:p w14:paraId="095A58B4" w14:textId="05720324" w:rsidR="002B3AD5" w:rsidRDefault="00D66CD0">
      <w:pPr>
        <w:pStyle w:val="a4"/>
        <w:numPr>
          <w:ilvl w:val="0"/>
          <w:numId w:val="1"/>
        </w:numPr>
        <w:tabs>
          <w:tab w:val="left" w:pos="1304"/>
        </w:tabs>
        <w:spacing w:before="96" w:line="259" w:lineRule="auto"/>
        <w:ind w:right="1287" w:firstLine="0"/>
        <w:rPr>
          <w:sz w:val="16"/>
          <w:lang w:eastAsia="ja-JP"/>
        </w:rPr>
      </w:pPr>
      <w:r>
        <w:rPr>
          <w:sz w:val="16"/>
          <w:lang w:eastAsia="ja-JP"/>
        </w:rPr>
        <w:t>REDの第29条は、森林の炭素貯蔵と吸収源のレベルが長期的に維持・強化されることを確保するための森林の持続可能性基準を定めている。 これは、第29条(7)b項では、「…森林内の炭素貯蔵および吸収源のレベルが長期的に維持または強化されることを保証するために、森林調達地域レベルで管理システムが整備されている」ことを明示的に規定しており、これは、国レベルの要件に依存するのではなく、</w:t>
      </w:r>
      <w:r w:rsidR="002F5B54">
        <w:rPr>
          <w:sz w:val="16"/>
          <w:lang w:eastAsia="ja-JP"/>
        </w:rPr>
        <w:t>タクソノミー</w:t>
      </w:r>
      <w:r>
        <w:rPr>
          <w:sz w:val="16"/>
          <w:lang w:eastAsia="ja-JP"/>
        </w:rPr>
        <w:t>および/または投資の運営にとってより適切なレベルでの重大な損害要件がないことを強調している。</w:t>
      </w:r>
    </w:p>
    <w:p w14:paraId="095A58B5" w14:textId="77777777" w:rsidR="002B3AD5" w:rsidRDefault="00D66CD0">
      <w:pPr>
        <w:pStyle w:val="a4"/>
        <w:numPr>
          <w:ilvl w:val="0"/>
          <w:numId w:val="1"/>
        </w:numPr>
        <w:tabs>
          <w:tab w:val="left" w:pos="1304"/>
        </w:tabs>
        <w:spacing w:before="161"/>
        <w:ind w:left="1303" w:hanging="223"/>
        <w:rPr>
          <w:sz w:val="16"/>
          <w:lang w:eastAsia="ja-JP"/>
        </w:rPr>
      </w:pPr>
      <w:r>
        <w:rPr>
          <w:sz w:val="16"/>
          <w:lang w:eastAsia="ja-JP"/>
        </w:rPr>
        <w:t>2017年。</w:t>
      </w:r>
      <w:r>
        <w:rPr>
          <w:spacing w:val="-1"/>
          <w:sz w:val="16"/>
          <w:lang w:eastAsia="ja-JP"/>
        </w:rPr>
        <w:t xml:space="preserve"> https://ec.europa.eu/eurostat/statistics-explained/index.php/Wood_products_-_production_and_trade</w:t>
      </w:r>
    </w:p>
    <w:p w14:paraId="095A58B6" w14:textId="77777777" w:rsidR="002B3AD5" w:rsidRDefault="002B3AD5">
      <w:pPr>
        <w:pStyle w:val="a3"/>
        <w:spacing w:before="1"/>
        <w:rPr>
          <w:sz w:val="15"/>
          <w:lang w:eastAsia="ja-JP"/>
        </w:rPr>
      </w:pPr>
    </w:p>
    <w:p w14:paraId="095A58B7" w14:textId="77777777" w:rsidR="002B3AD5" w:rsidRDefault="00D66CD0">
      <w:pPr>
        <w:pStyle w:val="a4"/>
        <w:numPr>
          <w:ilvl w:val="0"/>
          <w:numId w:val="1"/>
        </w:numPr>
        <w:tabs>
          <w:tab w:val="left" w:pos="1304"/>
        </w:tabs>
        <w:spacing w:before="0"/>
        <w:ind w:left="1303" w:hanging="223"/>
        <w:rPr>
          <w:sz w:val="16"/>
          <w:lang w:eastAsia="ja-JP"/>
        </w:rPr>
      </w:pPr>
      <w:r>
        <w:rPr>
          <w:sz w:val="16"/>
          <w:lang w:eastAsia="ja-JP"/>
        </w:rPr>
        <w:t>https://ec.europa.eu/info/events/forestry-conference-2019-apr-25_en</w:t>
      </w:r>
    </w:p>
    <w:p w14:paraId="095A58B8" w14:textId="77777777" w:rsidR="002B3AD5" w:rsidRDefault="002B3AD5">
      <w:pPr>
        <w:pStyle w:val="a3"/>
        <w:spacing w:before="1"/>
        <w:rPr>
          <w:sz w:val="15"/>
          <w:lang w:eastAsia="ja-JP"/>
        </w:rPr>
      </w:pPr>
    </w:p>
    <w:p w14:paraId="095A58B9" w14:textId="77777777" w:rsidR="002B3AD5" w:rsidRDefault="00D66CD0">
      <w:pPr>
        <w:pStyle w:val="a4"/>
        <w:numPr>
          <w:ilvl w:val="0"/>
          <w:numId w:val="1"/>
        </w:numPr>
        <w:tabs>
          <w:tab w:val="left" w:pos="1304"/>
        </w:tabs>
        <w:spacing w:before="0"/>
        <w:ind w:left="1303" w:hanging="223"/>
        <w:rPr>
          <w:sz w:val="16"/>
          <w:lang w:eastAsia="ja-JP"/>
        </w:rPr>
      </w:pPr>
      <w:r>
        <w:rPr>
          <w:sz w:val="16"/>
          <w:lang w:eastAsia="ja-JP"/>
        </w:rPr>
        <w:t>UNECEジュネーブ木材・森林研究報告書26:ヨーロッパにおける民間森林所有</w:t>
      </w:r>
    </w:p>
    <w:p w14:paraId="095A58BA" w14:textId="77777777" w:rsidR="002B3AD5" w:rsidRDefault="002B3AD5">
      <w:pPr>
        <w:pStyle w:val="a3"/>
        <w:spacing w:before="4"/>
        <w:rPr>
          <w:sz w:val="15"/>
          <w:lang w:eastAsia="ja-JP"/>
        </w:rPr>
      </w:pPr>
    </w:p>
    <w:p w14:paraId="095A58BB" w14:textId="77777777" w:rsidR="002B3AD5" w:rsidRDefault="00D66CD0">
      <w:pPr>
        <w:pStyle w:val="a4"/>
        <w:numPr>
          <w:ilvl w:val="0"/>
          <w:numId w:val="1"/>
        </w:numPr>
        <w:tabs>
          <w:tab w:val="left" w:pos="1304"/>
        </w:tabs>
        <w:spacing w:before="0" w:line="259" w:lineRule="auto"/>
        <w:ind w:right="2015" w:firstLine="0"/>
        <w:rPr>
          <w:sz w:val="16"/>
          <w:lang w:eastAsia="ja-JP"/>
        </w:rPr>
      </w:pPr>
      <w:r>
        <w:rPr>
          <w:sz w:val="16"/>
          <w:lang w:eastAsia="ja-JP"/>
        </w:rPr>
        <w:t>Eurostat, 2017、およびFSC International, John Hontelez, FSC International, 2019年4月30日の森林管理におけるShare Forest Certification (FSC+PEFC)に関するデータ。</w:t>
      </w:r>
    </w:p>
    <w:p w14:paraId="095A58BC" w14:textId="77777777" w:rsidR="002B3AD5" w:rsidRDefault="00D66CD0">
      <w:pPr>
        <w:pStyle w:val="a4"/>
        <w:numPr>
          <w:ilvl w:val="0"/>
          <w:numId w:val="1"/>
        </w:numPr>
        <w:tabs>
          <w:tab w:val="left" w:pos="1304"/>
        </w:tabs>
        <w:spacing w:before="159"/>
        <w:ind w:left="1303" w:hanging="223"/>
        <w:rPr>
          <w:sz w:val="16"/>
          <w:lang w:eastAsia="ja-JP"/>
        </w:rPr>
      </w:pPr>
      <w:r>
        <w:rPr>
          <w:sz w:val="16"/>
          <w:lang w:eastAsia="ja-JP"/>
        </w:rPr>
        <w:t>FSC International, John Hontelez, John Hontelez, FSC International, 2019年4月30日の森林管理における株林認証(FSC+PEFC)に関するデータ</w:t>
      </w:r>
    </w:p>
    <w:p w14:paraId="095A58BD" w14:textId="77777777" w:rsidR="002B3AD5" w:rsidRDefault="002B3AD5">
      <w:pPr>
        <w:rPr>
          <w:sz w:val="16"/>
          <w:lang w:eastAsia="ja-JP"/>
        </w:rPr>
        <w:sectPr w:rsidR="002B3AD5">
          <w:pgSz w:w="12240" w:h="15840"/>
          <w:pgMar w:top="1360" w:right="320" w:bottom="1200" w:left="360" w:header="0" w:footer="1020" w:gutter="0"/>
          <w:cols w:space="720"/>
        </w:sectPr>
      </w:pPr>
    </w:p>
    <w:p w14:paraId="095A58BE" w14:textId="01EF218C" w:rsidR="002B3AD5" w:rsidRDefault="0068611E">
      <w:pPr>
        <w:pStyle w:val="a3"/>
        <w:spacing w:before="79" w:line="276" w:lineRule="auto"/>
        <w:ind w:left="1080" w:right="1189"/>
        <w:rPr>
          <w:lang w:eastAsia="ja-JP"/>
        </w:rPr>
      </w:pPr>
      <w:r>
        <w:rPr>
          <w:rFonts w:hint="eastAsia"/>
          <w:lang w:eastAsia="ja-JP"/>
        </w:rPr>
        <w:lastRenderedPageBreak/>
        <w:t>その他の森林および森林</w:t>
      </w:r>
      <w:r w:rsidR="00D66CD0">
        <w:rPr>
          <w:lang w:eastAsia="ja-JP"/>
        </w:rPr>
        <w:t>プロジェクト(すなわち、認証されていないプロジェクト)も基準を満たしているかもしれないが、市場のこの部分を確実に推定することは不可能である。 FSCおよびPEFC</w:t>
      </w:r>
      <w:r>
        <w:rPr>
          <w:rFonts w:hint="eastAsia"/>
          <w:lang w:eastAsia="ja-JP"/>
        </w:rPr>
        <w:t>があれば</w:t>
      </w:r>
      <w:r w:rsidR="00D66CD0">
        <w:rPr>
          <w:lang w:eastAsia="ja-JP"/>
        </w:rPr>
        <w:t>、基準1(換算基準)およびDNSH基準を満たすことができる</w:t>
      </w:r>
      <w:r>
        <w:rPr>
          <w:rFonts w:hint="eastAsia"/>
          <w:lang w:eastAsia="ja-JP"/>
        </w:rPr>
        <w:t>かもしれない</w:t>
      </w:r>
      <w:r w:rsidR="00D66CD0">
        <w:rPr>
          <w:lang w:eastAsia="ja-JP"/>
        </w:rPr>
        <w:t>が、</w:t>
      </w:r>
      <w:r>
        <w:rPr>
          <w:rFonts w:hint="eastAsia"/>
          <w:lang w:eastAsia="ja-JP"/>
        </w:rPr>
        <w:t>タクソノミー的には</w:t>
      </w:r>
      <w:r w:rsidR="00D66CD0">
        <w:rPr>
          <w:lang w:eastAsia="ja-JP"/>
        </w:rPr>
        <w:t>3つの分類基準(炭素の測定および性能を含む)すべての適合性の検証が必要である。</w:t>
      </w:r>
    </w:p>
    <w:p w14:paraId="095A58BF" w14:textId="77777777" w:rsidR="002B3AD5" w:rsidRDefault="002B3AD5">
      <w:pPr>
        <w:pStyle w:val="a3"/>
        <w:rPr>
          <w:sz w:val="21"/>
          <w:lang w:eastAsia="ja-JP"/>
        </w:rPr>
      </w:pPr>
    </w:p>
    <w:p w14:paraId="095A58C0" w14:textId="2E4B9A76" w:rsidR="002B3AD5" w:rsidRDefault="00D66CD0">
      <w:pPr>
        <w:pStyle w:val="a3"/>
        <w:spacing w:line="276" w:lineRule="auto"/>
        <w:ind w:left="1080" w:right="1051"/>
        <w:rPr>
          <w:lang w:eastAsia="ja-JP"/>
        </w:rPr>
      </w:pPr>
      <w:r>
        <w:rPr>
          <w:lang w:eastAsia="ja-JP"/>
        </w:rPr>
        <w:t>地上炭素固定に関する</w:t>
      </w:r>
      <w:r w:rsidR="0068611E">
        <w:rPr>
          <w:rFonts w:hint="eastAsia"/>
          <w:lang w:eastAsia="ja-JP"/>
        </w:rPr>
        <w:t>進捗</w:t>
      </w:r>
      <w:r>
        <w:rPr>
          <w:lang w:eastAsia="ja-JP"/>
        </w:rPr>
        <w:t>と実績は、検証されたベースラインと比較して測定されるため、森林所有者/管理者には、特定の制約と成熟度レベルに従って</w:t>
      </w:r>
      <w:r w:rsidR="0068611E">
        <w:rPr>
          <w:rFonts w:hint="eastAsia"/>
          <w:lang w:eastAsia="ja-JP"/>
        </w:rPr>
        <w:t>進捗を明らかにする</w:t>
      </w:r>
      <w:r>
        <w:rPr>
          <w:lang w:eastAsia="ja-JP"/>
        </w:rPr>
        <w:t>機会が与えられる。 市場のどの部分がすでに実証済みのベースラインに対して炭素隔離測定を実施しているかは不明であるが、具体的な企業進捗評価の例は、</w:t>
      </w:r>
      <w:r w:rsidR="0068611E">
        <w:rPr>
          <w:rFonts w:hint="eastAsia"/>
          <w:lang w:eastAsia="ja-JP"/>
        </w:rPr>
        <w:t>すで</w:t>
      </w:r>
      <w:r>
        <w:rPr>
          <w:lang w:eastAsia="ja-JP"/>
        </w:rPr>
        <w:t>に利用可能であ</w:t>
      </w:r>
      <w:r w:rsidR="0068611E">
        <w:rPr>
          <w:rFonts w:hint="eastAsia"/>
          <w:lang w:eastAsia="ja-JP"/>
        </w:rPr>
        <w:t>り、概念の実証をみることができ</w:t>
      </w:r>
      <w:r>
        <w:rPr>
          <w:lang w:eastAsia="ja-JP"/>
        </w:rPr>
        <w:t>る。</w:t>
      </w:r>
    </w:p>
    <w:p w14:paraId="095A58C1" w14:textId="77777777" w:rsidR="002B3AD5" w:rsidRDefault="002B3AD5">
      <w:pPr>
        <w:pStyle w:val="a3"/>
        <w:spacing w:before="10"/>
        <w:rPr>
          <w:lang w:eastAsia="ja-JP"/>
        </w:rPr>
      </w:pPr>
    </w:p>
    <w:p w14:paraId="095A58C2" w14:textId="517ED131" w:rsidR="002B3AD5" w:rsidRDefault="00D66CD0">
      <w:pPr>
        <w:pStyle w:val="a3"/>
        <w:spacing w:line="276" w:lineRule="auto"/>
        <w:ind w:left="1080" w:right="1144"/>
        <w:rPr>
          <w:lang w:eastAsia="ja-JP"/>
        </w:rPr>
      </w:pPr>
      <w:r>
        <w:rPr>
          <w:lang w:eastAsia="ja-JP"/>
        </w:rPr>
        <w:t>報告の観点から、</w:t>
      </w:r>
      <w:r w:rsidR="002F5B54">
        <w:rPr>
          <w:lang w:eastAsia="ja-JP"/>
        </w:rPr>
        <w:t>タクソノミー</w:t>
      </w:r>
      <w:r>
        <w:rPr>
          <w:lang w:eastAsia="ja-JP"/>
        </w:rPr>
        <w:t xml:space="preserve">はEUの法律と国内枠組みに基づいている。 </w:t>
      </w:r>
      <w:r w:rsidR="002F5B54">
        <w:rPr>
          <w:lang w:eastAsia="ja-JP"/>
        </w:rPr>
        <w:t>タクソノミー</w:t>
      </w:r>
      <w:r>
        <w:rPr>
          <w:lang w:eastAsia="ja-JP"/>
        </w:rPr>
        <w:t xml:space="preserve">では、パフォーマンスに関連する情報を、森林所有者/森林管理会社が直接報告・開示するか、管轄区域レベル(調達地域レベル(複数保有)であるか否かにかかわらず)、地域レベルまたは国レベルで既存の統合された報告メカニズムを介して開示することを認めている。 </w:t>
      </w:r>
      <w:r w:rsidR="002F5B54">
        <w:rPr>
          <w:lang w:eastAsia="ja-JP"/>
        </w:rPr>
        <w:t>タクソノミー</w:t>
      </w:r>
      <w:r>
        <w:rPr>
          <w:lang w:eastAsia="ja-JP"/>
        </w:rPr>
        <w:t>は、森林炭素インベントリと森林吸収源の増加分の進化がどのように管理され、その中で炭素貯蔵が全体的な上向きの軌道</w:t>
      </w:r>
      <w:r w:rsidR="0068611E">
        <w:rPr>
          <w:rFonts w:hint="eastAsia"/>
          <w:lang w:eastAsia="ja-JP"/>
        </w:rPr>
        <w:t>の中</w:t>
      </w:r>
      <w:r>
        <w:rPr>
          <w:lang w:eastAsia="ja-JP"/>
        </w:rPr>
        <w:t>で上昇し</w:t>
      </w:r>
      <w:r w:rsidR="0068611E">
        <w:rPr>
          <w:rFonts w:hint="eastAsia"/>
          <w:lang w:eastAsia="ja-JP"/>
        </w:rPr>
        <w:t>たり</w:t>
      </w:r>
      <w:r>
        <w:rPr>
          <w:lang w:eastAsia="ja-JP"/>
        </w:rPr>
        <w:t>低下</w:t>
      </w:r>
      <w:r w:rsidR="0068611E">
        <w:rPr>
          <w:rFonts w:hint="eastAsia"/>
          <w:lang w:eastAsia="ja-JP"/>
        </w:rPr>
        <w:t>したり</w:t>
      </w:r>
      <w:r>
        <w:rPr>
          <w:lang w:eastAsia="ja-JP"/>
        </w:rPr>
        <w:t>する森林経営の経済的存続期間において、景観規模アプローチ、すなわち複数の森林が存在することの重要性を認識している。 現行のベストパフォーマーは、既存の報告および管理要件を通して、</w:t>
      </w:r>
      <w:r w:rsidR="002F5B54">
        <w:rPr>
          <w:lang w:eastAsia="ja-JP"/>
        </w:rPr>
        <w:t>タクソノミー</w:t>
      </w:r>
      <w:r>
        <w:rPr>
          <w:lang w:eastAsia="ja-JP"/>
        </w:rPr>
        <w:t>基準に準拠できることが期待されている。 また、より多くの時間を必要とするものもあることが認識されており、したがって、</w:t>
      </w:r>
      <w:r w:rsidR="002F5B54">
        <w:rPr>
          <w:lang w:eastAsia="ja-JP"/>
        </w:rPr>
        <w:t>タクソノミー</w:t>
      </w:r>
      <w:r>
        <w:rPr>
          <w:lang w:eastAsia="ja-JP"/>
        </w:rPr>
        <w:t>は、世界の森林部門のパフォーマンスを改善するインセンティブとなる。</w:t>
      </w:r>
    </w:p>
    <w:p w14:paraId="095A58C3" w14:textId="77777777" w:rsidR="002B3AD5" w:rsidRDefault="002B3AD5">
      <w:pPr>
        <w:pStyle w:val="a3"/>
        <w:rPr>
          <w:sz w:val="22"/>
          <w:lang w:eastAsia="ja-JP"/>
        </w:rPr>
      </w:pPr>
    </w:p>
    <w:p w14:paraId="095A58C4" w14:textId="77777777" w:rsidR="002B3AD5" w:rsidRDefault="002B3AD5">
      <w:pPr>
        <w:pStyle w:val="a3"/>
        <w:spacing w:before="3"/>
        <w:rPr>
          <w:sz w:val="32"/>
          <w:lang w:eastAsia="ja-JP"/>
        </w:rPr>
      </w:pPr>
    </w:p>
    <w:p w14:paraId="095A58C5" w14:textId="77777777" w:rsidR="002B3AD5" w:rsidRDefault="00D66CD0">
      <w:pPr>
        <w:pStyle w:val="4"/>
        <w:rPr>
          <w:lang w:eastAsia="ja-JP"/>
        </w:rPr>
      </w:pPr>
      <w:r>
        <w:rPr>
          <w:lang w:eastAsia="ja-JP"/>
        </w:rPr>
        <w:t>次のステップ(プラットフォームへの提言)</w:t>
      </w:r>
    </w:p>
    <w:p w14:paraId="095A58C6" w14:textId="77777777" w:rsidR="002B3AD5" w:rsidRDefault="002B3AD5">
      <w:pPr>
        <w:pStyle w:val="a3"/>
        <w:spacing w:before="10"/>
        <w:rPr>
          <w:b/>
          <w:sz w:val="23"/>
          <w:lang w:eastAsia="ja-JP"/>
        </w:rPr>
      </w:pPr>
    </w:p>
    <w:p w14:paraId="095A58C7" w14:textId="092C345F" w:rsidR="002B3AD5" w:rsidRDefault="00D66CD0">
      <w:pPr>
        <w:pStyle w:val="a3"/>
        <w:spacing w:line="276" w:lineRule="auto"/>
        <w:ind w:left="1080" w:right="1355"/>
        <w:rPr>
          <w:lang w:eastAsia="ja-JP"/>
        </w:rPr>
      </w:pPr>
      <w:r>
        <w:rPr>
          <w:lang w:eastAsia="ja-JP"/>
        </w:rPr>
        <w:t>以下の問題は、このバージョンの森林</w:t>
      </w:r>
      <w:r w:rsidR="002F5B54">
        <w:rPr>
          <w:lang w:eastAsia="ja-JP"/>
        </w:rPr>
        <w:t>タクソノミー</w:t>
      </w:r>
      <w:r>
        <w:rPr>
          <w:lang w:eastAsia="ja-JP"/>
        </w:rPr>
        <w:t>基準では扱われていない。 しかし、これらは、この部門に追加的な緩和機会を提供する可能性があり、従って、持続可能な金融プラットフォームによる検討に値する。</w:t>
      </w:r>
    </w:p>
    <w:p w14:paraId="095A58C8" w14:textId="77777777" w:rsidR="002B3AD5" w:rsidRDefault="002B3AD5">
      <w:pPr>
        <w:pStyle w:val="a3"/>
        <w:rPr>
          <w:sz w:val="21"/>
          <w:lang w:eastAsia="ja-JP"/>
        </w:rPr>
      </w:pPr>
    </w:p>
    <w:p w14:paraId="095A58C9" w14:textId="15BF0900" w:rsidR="002B3AD5" w:rsidRDefault="00D66CD0">
      <w:pPr>
        <w:pStyle w:val="a4"/>
        <w:numPr>
          <w:ilvl w:val="0"/>
          <w:numId w:val="20"/>
        </w:numPr>
        <w:tabs>
          <w:tab w:val="left" w:pos="1440"/>
          <w:tab w:val="left" w:pos="1441"/>
        </w:tabs>
        <w:spacing w:before="0" w:line="276" w:lineRule="auto"/>
        <w:ind w:right="1137"/>
        <w:rPr>
          <w:sz w:val="20"/>
          <w:lang w:eastAsia="ja-JP"/>
        </w:rPr>
      </w:pPr>
      <w:r>
        <w:rPr>
          <w:sz w:val="20"/>
          <w:lang w:eastAsia="ja-JP"/>
        </w:rPr>
        <w:t>森林</w:t>
      </w:r>
      <w:r w:rsidR="002F5B54">
        <w:rPr>
          <w:sz w:val="20"/>
          <w:lang w:eastAsia="ja-JP"/>
        </w:rPr>
        <w:t>タクソノミー</w:t>
      </w:r>
      <w:r>
        <w:rPr>
          <w:sz w:val="20"/>
          <w:lang w:eastAsia="ja-JP"/>
        </w:rPr>
        <w:t>は、林産物の最終用途に関わらず、森林</w:t>
      </w:r>
      <w:r w:rsidR="0068611E">
        <w:rPr>
          <w:rFonts w:hint="eastAsia"/>
          <w:sz w:val="20"/>
          <w:lang w:eastAsia="ja-JP"/>
        </w:rPr>
        <w:t>入口</w:t>
      </w:r>
      <w:r>
        <w:rPr>
          <w:sz w:val="20"/>
          <w:lang w:eastAsia="ja-JP"/>
        </w:rPr>
        <w:t>まで</w:t>
      </w:r>
      <w:r w:rsidR="00436C5E">
        <w:rPr>
          <w:rFonts w:hint="eastAsia"/>
          <w:sz w:val="20"/>
          <w:lang w:eastAsia="ja-JP"/>
        </w:rPr>
        <w:t>の範囲で</w:t>
      </w:r>
      <w:r>
        <w:rPr>
          <w:sz w:val="20"/>
          <w:lang w:eastAsia="ja-JP"/>
        </w:rPr>
        <w:t>適用される森林管理活動の基準と閾値を定めている。 これは、多くの森林管理者や所有者が、自社の製品がどのサプライチェーン</w:t>
      </w:r>
      <w:r w:rsidR="00436C5E">
        <w:rPr>
          <w:rFonts w:hint="eastAsia"/>
          <w:sz w:val="20"/>
          <w:lang w:eastAsia="ja-JP"/>
        </w:rPr>
        <w:t>に乗るか</w:t>
      </w:r>
      <w:r>
        <w:rPr>
          <w:sz w:val="20"/>
          <w:lang w:eastAsia="ja-JP"/>
        </w:rPr>
        <w:t>かを知らないという現実的な理由によるものである。 しかし、原則として、</w:t>
      </w:r>
      <w:r w:rsidR="002F5B54">
        <w:rPr>
          <w:sz w:val="20"/>
          <w:lang w:eastAsia="ja-JP"/>
        </w:rPr>
        <w:t>タクソノミー</w:t>
      </w:r>
      <w:r>
        <w:rPr>
          <w:sz w:val="20"/>
          <w:lang w:eastAsia="ja-JP"/>
        </w:rPr>
        <w:t>は、森林と森林以外の森林と木材の全体的な緩和ポテンシャルは、代替(よりGHG集約的な材料の代替)の効果と、木材製品の長期的な炭素吸収ポテンシャルの両方を通じて、</w:t>
      </w:r>
      <w:r w:rsidR="00436C5E">
        <w:rPr>
          <w:rFonts w:hint="eastAsia"/>
          <w:sz w:val="20"/>
          <w:lang w:eastAsia="ja-JP"/>
        </w:rPr>
        <w:t>森林域外で具現化する</w:t>
      </w:r>
      <w:r>
        <w:rPr>
          <w:sz w:val="20"/>
          <w:lang w:eastAsia="ja-JP"/>
        </w:rPr>
        <w:t>ことを認識している。 さらに、森林</w:t>
      </w:r>
      <w:r w:rsidR="002F5B54">
        <w:rPr>
          <w:sz w:val="20"/>
          <w:lang w:eastAsia="ja-JP"/>
        </w:rPr>
        <w:t>タクソノミー</w:t>
      </w:r>
      <w:r>
        <w:rPr>
          <w:sz w:val="20"/>
          <w:lang w:eastAsia="ja-JP"/>
        </w:rPr>
        <w:t>は森林バイオマスの生産と供給を扱っているが、そのバイオマスの需要と最終用途は扱っていない。 バイオマスの最終用途とその生産、すなわち、市場の牽引</w:t>
      </w:r>
      <w:r w:rsidR="00436C5E">
        <w:rPr>
          <w:rFonts w:hint="eastAsia"/>
          <w:sz w:val="20"/>
          <w:lang w:eastAsia="ja-JP"/>
        </w:rPr>
        <w:t>力</w:t>
      </w:r>
      <w:r>
        <w:rPr>
          <w:sz w:val="20"/>
          <w:lang w:eastAsia="ja-JP"/>
        </w:rPr>
        <w:t>との関係は、緩和への実質的な貢献に向けて異なるNACE部門にインセンティブを与える際に考慮すべき、全体的な持続可能な金融</w:t>
      </w:r>
      <w:r w:rsidR="002F5B54">
        <w:rPr>
          <w:sz w:val="20"/>
          <w:lang w:eastAsia="ja-JP"/>
        </w:rPr>
        <w:t>タクソノミー</w:t>
      </w:r>
      <w:r>
        <w:rPr>
          <w:sz w:val="20"/>
          <w:lang w:eastAsia="ja-JP"/>
        </w:rPr>
        <w:t>の重要な構成要素である。 現在、森林</w:t>
      </w:r>
      <w:r w:rsidR="00436C5E">
        <w:rPr>
          <w:rFonts w:hint="eastAsia"/>
          <w:sz w:val="20"/>
          <w:lang w:eastAsia="ja-JP"/>
        </w:rPr>
        <w:t>域外における</w:t>
      </w:r>
      <w:r>
        <w:rPr>
          <w:sz w:val="20"/>
          <w:lang w:eastAsia="ja-JP"/>
        </w:rPr>
        <w:t>気候上の利益は、建設/建築、エネルギー、製造部門の</w:t>
      </w:r>
      <w:r w:rsidR="002F5B54">
        <w:rPr>
          <w:sz w:val="20"/>
          <w:lang w:eastAsia="ja-JP"/>
        </w:rPr>
        <w:t>タクソノミー</w:t>
      </w:r>
      <w:r>
        <w:rPr>
          <w:sz w:val="20"/>
          <w:lang w:eastAsia="ja-JP"/>
        </w:rPr>
        <w:t>を通じて獲得されることが期待されており、それによって、経済における木材の利用、ひいては</w:t>
      </w:r>
      <w:r w:rsidR="002F5B54">
        <w:rPr>
          <w:sz w:val="20"/>
          <w:lang w:eastAsia="ja-JP"/>
        </w:rPr>
        <w:t>タクソノミー</w:t>
      </w:r>
      <w:r>
        <w:rPr>
          <w:sz w:val="20"/>
          <w:lang w:eastAsia="ja-JP"/>
        </w:rPr>
        <w:t>に準拠した森林管理に対するインセンティブが生まれる。 従って、プラットフォームは、バリューチェーン全体、及び終末期を含む経済のあらゆる部門にわたって、森林(及び林産物)の緩和ポテンシャルの全体的な検討を改善すべきである。 以下の勧告は、他のNACEセクターの文脈でなされている。</w:t>
      </w:r>
    </w:p>
    <w:p w14:paraId="095A58CA" w14:textId="77777777" w:rsidR="002B3AD5" w:rsidRDefault="002B3AD5">
      <w:pPr>
        <w:spacing w:line="276" w:lineRule="auto"/>
        <w:rPr>
          <w:sz w:val="20"/>
          <w:lang w:eastAsia="ja-JP"/>
        </w:rPr>
        <w:sectPr w:rsidR="002B3AD5">
          <w:pgSz w:w="12240" w:h="15840"/>
          <w:pgMar w:top="1360" w:right="320" w:bottom="1200" w:left="360" w:header="0" w:footer="1020" w:gutter="0"/>
          <w:cols w:space="720"/>
        </w:sectPr>
      </w:pPr>
    </w:p>
    <w:p w14:paraId="095A58CB" w14:textId="5CC8F314" w:rsidR="002B3AD5" w:rsidRDefault="00D66CD0">
      <w:pPr>
        <w:pStyle w:val="a4"/>
        <w:numPr>
          <w:ilvl w:val="1"/>
          <w:numId w:val="20"/>
        </w:numPr>
        <w:tabs>
          <w:tab w:val="left" w:pos="2520"/>
          <w:tab w:val="left" w:pos="2521"/>
        </w:tabs>
        <w:spacing w:before="79"/>
        <w:rPr>
          <w:sz w:val="20"/>
          <w:lang w:eastAsia="ja-JP"/>
        </w:rPr>
      </w:pPr>
      <w:r>
        <w:rPr>
          <w:sz w:val="20"/>
          <w:lang w:eastAsia="ja-JP"/>
        </w:rPr>
        <w:lastRenderedPageBreak/>
        <w:t>建物</w:t>
      </w:r>
      <w:r w:rsidR="002F5B54">
        <w:rPr>
          <w:sz w:val="20"/>
          <w:lang w:eastAsia="ja-JP"/>
        </w:rPr>
        <w:t>タクソノミー</w:t>
      </w:r>
      <w:r>
        <w:rPr>
          <w:sz w:val="20"/>
          <w:lang w:eastAsia="ja-JP"/>
        </w:rPr>
        <w:t>では、次のことを考慮すべきである。</w:t>
      </w:r>
    </w:p>
    <w:p w14:paraId="095A58CC" w14:textId="77777777" w:rsidR="002B3AD5" w:rsidRDefault="002B3AD5">
      <w:pPr>
        <w:pStyle w:val="a3"/>
        <w:spacing w:before="4"/>
        <w:rPr>
          <w:sz w:val="22"/>
          <w:lang w:eastAsia="ja-JP"/>
        </w:rPr>
      </w:pPr>
    </w:p>
    <w:p w14:paraId="095A58CD" w14:textId="77777777" w:rsidR="002B3AD5" w:rsidRDefault="00D66CD0">
      <w:pPr>
        <w:pStyle w:val="a4"/>
        <w:numPr>
          <w:ilvl w:val="2"/>
          <w:numId w:val="20"/>
        </w:numPr>
        <w:tabs>
          <w:tab w:val="left" w:pos="3240"/>
          <w:tab w:val="left" w:pos="3241"/>
        </w:tabs>
        <w:spacing w:before="0" w:line="276" w:lineRule="auto"/>
        <w:ind w:right="1350"/>
        <w:rPr>
          <w:sz w:val="20"/>
          <w:lang w:eastAsia="ja-JP"/>
        </w:rPr>
      </w:pPr>
      <w:r>
        <w:rPr>
          <w:sz w:val="20"/>
          <w:lang w:eastAsia="ja-JP"/>
        </w:rPr>
        <w:t>建築物や木材を利用した建設活動に含まれる炭素排出量の信頼できる閾値の設定。 これらの閾値は、建物の用途やタイプ(すなわち、家屋、平屋、オフィスなど)を横断して、ベストプラクティスをベンチマークすることができる広く一貫した一連のデータに基づくべきである。</w:t>
      </w:r>
      <w:r>
        <w:rPr>
          <w:spacing w:val="-26"/>
          <w:sz w:val="20"/>
          <w:lang w:eastAsia="ja-JP"/>
        </w:rPr>
        <w:t xml:space="preserve"> 同時に、具体化された排出量を評価するために使用される方法は、広く受け入れられているLCAとCEN/TC350基準に基づいて詳細に定義されるべきであり、特に、持続可能に管理された森林から供給された木材製品における炭素固定の有益な影響が十分に認識されるように注意を払うべきである。</w:t>
      </w:r>
      <w:r>
        <w:rPr>
          <w:sz w:val="20"/>
          <w:lang w:eastAsia="ja-JP"/>
        </w:rPr>
        <w:t xml:space="preserve"> これには、木材及び建設用木材の使用済みを含めるべきである。</w:t>
      </w:r>
    </w:p>
    <w:p w14:paraId="095A58CE" w14:textId="77777777" w:rsidR="002B3AD5" w:rsidRDefault="002B3AD5">
      <w:pPr>
        <w:pStyle w:val="a3"/>
        <w:spacing w:before="10"/>
        <w:rPr>
          <w:lang w:eastAsia="ja-JP"/>
        </w:rPr>
      </w:pPr>
    </w:p>
    <w:p w14:paraId="095A58CF" w14:textId="24223B4E" w:rsidR="002B3AD5" w:rsidRDefault="00D66CD0">
      <w:pPr>
        <w:pStyle w:val="a4"/>
        <w:numPr>
          <w:ilvl w:val="2"/>
          <w:numId w:val="20"/>
        </w:numPr>
        <w:tabs>
          <w:tab w:val="left" w:pos="3240"/>
          <w:tab w:val="left" w:pos="3241"/>
        </w:tabs>
        <w:spacing w:before="0" w:line="276" w:lineRule="auto"/>
        <w:ind w:right="1321"/>
        <w:rPr>
          <w:sz w:val="20"/>
        </w:rPr>
      </w:pPr>
      <w:r>
        <w:rPr>
          <w:sz w:val="20"/>
          <w:lang w:eastAsia="ja-JP"/>
        </w:rPr>
        <w:t>木材は気候緩和の恩恵をもたらす主要な原材料であり、(緩和への実質的な寄与の基準として)建設に優先的に考慮されるべきであると</w:t>
      </w:r>
      <w:r w:rsidR="00436C5E">
        <w:rPr>
          <w:rFonts w:hint="eastAsia"/>
          <w:sz w:val="20"/>
          <w:lang w:eastAsia="ja-JP"/>
        </w:rPr>
        <w:t>する考え方を確立すること</w:t>
      </w:r>
      <w:r>
        <w:rPr>
          <w:sz w:val="20"/>
          <w:lang w:eastAsia="ja-JP"/>
        </w:rPr>
        <w:t xml:space="preserve">。 これは、経済内での木材の利用を奨励し、木材製品中の炭素の長期隔離を促進するのに役立つであろう。 </w:t>
      </w:r>
      <w:proofErr w:type="spellStart"/>
      <w:r>
        <w:rPr>
          <w:sz w:val="20"/>
        </w:rPr>
        <w:t>今回の提案では</w:t>
      </w:r>
      <w:proofErr w:type="spellEnd"/>
      <w:r>
        <w:rPr>
          <w:sz w:val="20"/>
        </w:rPr>
        <w:t>、</w:t>
      </w:r>
    </w:p>
    <w:p w14:paraId="095A58D0" w14:textId="77777777" w:rsidR="002B3AD5" w:rsidRDefault="002B3AD5">
      <w:pPr>
        <w:pStyle w:val="a3"/>
        <w:spacing w:before="11"/>
      </w:pPr>
    </w:p>
    <w:p w14:paraId="095A58D1" w14:textId="5049EE89" w:rsidR="002B3AD5" w:rsidRDefault="00D66CD0">
      <w:pPr>
        <w:pStyle w:val="a4"/>
        <w:numPr>
          <w:ilvl w:val="2"/>
          <w:numId w:val="20"/>
        </w:numPr>
        <w:tabs>
          <w:tab w:val="left" w:pos="3240"/>
          <w:tab w:val="left" w:pos="3241"/>
        </w:tabs>
        <w:spacing w:before="0" w:line="276" w:lineRule="auto"/>
        <w:ind w:right="1135"/>
        <w:rPr>
          <w:sz w:val="20"/>
          <w:lang w:eastAsia="ja-JP"/>
        </w:rPr>
      </w:pPr>
      <w:r>
        <w:rPr>
          <w:sz w:val="20"/>
          <w:lang w:eastAsia="ja-JP"/>
        </w:rPr>
        <w:t>木材を使用した建設のDNSHは、FSCおよびPECF認証の要件を通じて対処される。 これは短期的には有用であるが、長期的には、プラットフォームは、建設に使用される木材が</w:t>
      </w:r>
      <w:r w:rsidR="002F5B54">
        <w:rPr>
          <w:sz w:val="20"/>
          <w:lang w:eastAsia="ja-JP"/>
        </w:rPr>
        <w:t>タクソノミー</w:t>
      </w:r>
      <w:r>
        <w:rPr>
          <w:sz w:val="20"/>
          <w:lang w:eastAsia="ja-JP"/>
        </w:rPr>
        <w:t>に準拠した森林に由来することを確保することを考慮すべきである。</w:t>
      </w:r>
    </w:p>
    <w:p w14:paraId="095A58D2" w14:textId="77777777" w:rsidR="002B3AD5" w:rsidRDefault="002B3AD5">
      <w:pPr>
        <w:pStyle w:val="a3"/>
        <w:spacing w:before="10"/>
        <w:rPr>
          <w:lang w:eastAsia="ja-JP"/>
        </w:rPr>
      </w:pPr>
    </w:p>
    <w:p w14:paraId="095A58D3" w14:textId="36E2610A" w:rsidR="002B3AD5" w:rsidRDefault="00D66CD0">
      <w:pPr>
        <w:pStyle w:val="a4"/>
        <w:numPr>
          <w:ilvl w:val="1"/>
          <w:numId w:val="20"/>
        </w:numPr>
        <w:tabs>
          <w:tab w:val="left" w:pos="2520"/>
          <w:tab w:val="left" w:pos="2521"/>
        </w:tabs>
        <w:spacing w:before="0" w:line="273" w:lineRule="auto"/>
        <w:ind w:right="1198"/>
        <w:rPr>
          <w:sz w:val="20"/>
          <w:lang w:eastAsia="ja-JP"/>
        </w:rPr>
      </w:pPr>
      <w:r>
        <w:rPr>
          <w:sz w:val="20"/>
          <w:lang w:eastAsia="ja-JP"/>
        </w:rPr>
        <w:t>製造</w:t>
      </w:r>
      <w:r w:rsidR="002F5B54">
        <w:rPr>
          <w:sz w:val="20"/>
          <w:lang w:eastAsia="ja-JP"/>
        </w:rPr>
        <w:t>タクソノミー</w:t>
      </w:r>
      <w:r>
        <w:rPr>
          <w:sz w:val="20"/>
          <w:lang w:eastAsia="ja-JP"/>
        </w:rPr>
        <w:t>は、木材を製造材料として置換する可能性を体系的に考慮すべきである。 現行のNACE 4.7(他の有機塩基化学物質の製造)の下で、この点に関して進展があった。 このアプローチは歓迎されており、他の製造業NACE部門にも拡大されるべきである。 具体的には、製造</w:t>
      </w:r>
      <w:r w:rsidR="002F5B54">
        <w:rPr>
          <w:sz w:val="20"/>
          <w:lang w:eastAsia="ja-JP"/>
        </w:rPr>
        <w:t>タクソノミー</w:t>
      </w:r>
      <w:r>
        <w:rPr>
          <w:sz w:val="20"/>
          <w:lang w:eastAsia="ja-JP"/>
        </w:rPr>
        <w:t>には、NACE C16(木材の製造、家具を除く木材およびコルクの製品の製造、わらおよび組物材料の製品の製造)およびC31(家具の製造)が含まれ、堅固で検証可能な代替基準(実質的な緩和を確保するため)およびDNSH基準(建築物に関する上記提案を参照)が含まれる</w:t>
      </w:r>
      <w:r w:rsidR="00754546">
        <w:rPr>
          <w:rFonts w:hint="eastAsia"/>
          <w:sz w:val="20"/>
          <w:lang w:eastAsia="ja-JP"/>
        </w:rPr>
        <w:t>と良いと考えら</w:t>
      </w:r>
      <w:r>
        <w:rPr>
          <w:sz w:val="20"/>
          <w:lang w:eastAsia="ja-JP"/>
        </w:rPr>
        <w:t>れる。</w:t>
      </w:r>
    </w:p>
    <w:p w14:paraId="095A58D4" w14:textId="77777777" w:rsidR="002B3AD5" w:rsidRDefault="002B3AD5">
      <w:pPr>
        <w:pStyle w:val="a3"/>
        <w:spacing w:before="3"/>
        <w:rPr>
          <w:sz w:val="21"/>
          <w:lang w:eastAsia="ja-JP"/>
        </w:rPr>
      </w:pPr>
    </w:p>
    <w:p w14:paraId="095A58D5" w14:textId="66EBFA6E" w:rsidR="002B3AD5" w:rsidRDefault="00754546">
      <w:pPr>
        <w:pStyle w:val="a4"/>
        <w:numPr>
          <w:ilvl w:val="0"/>
          <w:numId w:val="20"/>
        </w:numPr>
        <w:tabs>
          <w:tab w:val="left" w:pos="1440"/>
          <w:tab w:val="left" w:pos="1441"/>
        </w:tabs>
        <w:spacing w:before="1" w:line="273" w:lineRule="auto"/>
        <w:ind w:right="1144"/>
        <w:rPr>
          <w:sz w:val="20"/>
          <w:lang w:eastAsia="ja-JP"/>
        </w:rPr>
      </w:pPr>
      <w:r>
        <w:rPr>
          <w:rFonts w:hint="eastAsia"/>
          <w:sz w:val="20"/>
          <w:lang w:eastAsia="ja-JP"/>
        </w:rPr>
        <w:t>サーキュラーエコノミー</w:t>
      </w:r>
      <w:r w:rsidR="00D66CD0">
        <w:rPr>
          <w:sz w:val="20"/>
          <w:lang w:eastAsia="ja-JP"/>
        </w:rPr>
        <w:t>原則の</w:t>
      </w:r>
      <w:r w:rsidR="002F5B54">
        <w:rPr>
          <w:sz w:val="20"/>
          <w:lang w:eastAsia="ja-JP"/>
        </w:rPr>
        <w:t>タクソノミー</w:t>
      </w:r>
      <w:r w:rsidR="00D66CD0">
        <w:rPr>
          <w:sz w:val="20"/>
          <w:lang w:eastAsia="ja-JP"/>
        </w:rPr>
        <w:t>への</w:t>
      </w:r>
      <w:r>
        <w:rPr>
          <w:rFonts w:hint="eastAsia"/>
          <w:sz w:val="20"/>
          <w:lang w:eastAsia="ja-JP"/>
        </w:rPr>
        <w:t>組み込み</w:t>
      </w:r>
      <w:r w:rsidR="00D66CD0">
        <w:rPr>
          <w:sz w:val="20"/>
          <w:lang w:eastAsia="ja-JP"/>
        </w:rPr>
        <w:t>を検討する際には、DNSHとしても実質的な貢献としても、プラットフォームは、異なる経済部門全体にわたる林産物の利用に特別な配慮を払うべきである。</w:t>
      </w:r>
    </w:p>
    <w:p w14:paraId="095A58D6" w14:textId="77777777" w:rsidR="002B3AD5" w:rsidRDefault="002B3AD5">
      <w:pPr>
        <w:pStyle w:val="a3"/>
        <w:spacing w:before="1"/>
        <w:rPr>
          <w:sz w:val="21"/>
          <w:lang w:eastAsia="ja-JP"/>
        </w:rPr>
      </w:pPr>
    </w:p>
    <w:p w14:paraId="095A58D7" w14:textId="05F34C38" w:rsidR="002B3AD5" w:rsidRDefault="00D66CD0">
      <w:pPr>
        <w:pStyle w:val="a4"/>
        <w:numPr>
          <w:ilvl w:val="0"/>
          <w:numId w:val="20"/>
        </w:numPr>
        <w:tabs>
          <w:tab w:val="left" w:pos="1440"/>
          <w:tab w:val="left" w:pos="1441"/>
        </w:tabs>
        <w:spacing w:before="0" w:line="273" w:lineRule="auto"/>
        <w:ind w:right="1431"/>
        <w:rPr>
          <w:sz w:val="20"/>
          <w:lang w:eastAsia="ja-JP"/>
        </w:rPr>
      </w:pPr>
      <w:r>
        <w:rPr>
          <w:sz w:val="20"/>
          <w:lang w:eastAsia="ja-JP"/>
        </w:rPr>
        <w:t>現在の提案では、森林プロジェクトや活動の存続期間中に森林で発生する可能性のある排出源をすべて把握したり、取り上げたりするものではない。 例えば、</w:t>
      </w:r>
      <w:r w:rsidR="002F5B54">
        <w:rPr>
          <w:sz w:val="20"/>
          <w:lang w:eastAsia="ja-JP"/>
        </w:rPr>
        <w:t>タクソノミー</w:t>
      </w:r>
      <w:r>
        <w:rPr>
          <w:sz w:val="20"/>
          <w:lang w:eastAsia="ja-JP"/>
        </w:rPr>
        <w:t>では、森林部門(現在はエネルギー部門と運輸部門に含まれている)の機械類による燃料使用は考慮されていない。</w:t>
      </w:r>
    </w:p>
    <w:p w14:paraId="095A58D8" w14:textId="77777777" w:rsidR="002B3AD5" w:rsidRDefault="002B3AD5">
      <w:pPr>
        <w:pStyle w:val="a3"/>
        <w:spacing w:before="3"/>
        <w:rPr>
          <w:sz w:val="21"/>
          <w:lang w:eastAsia="ja-JP"/>
        </w:rPr>
      </w:pPr>
    </w:p>
    <w:p w14:paraId="095A58D9" w14:textId="77777777" w:rsidR="002B3AD5" w:rsidRDefault="00D66CD0">
      <w:pPr>
        <w:pStyle w:val="a4"/>
        <w:numPr>
          <w:ilvl w:val="0"/>
          <w:numId w:val="20"/>
        </w:numPr>
        <w:tabs>
          <w:tab w:val="left" w:pos="1440"/>
          <w:tab w:val="left" w:pos="1441"/>
        </w:tabs>
        <w:spacing w:before="1" w:line="273" w:lineRule="auto"/>
        <w:ind w:right="1303"/>
        <w:rPr>
          <w:sz w:val="20"/>
          <w:lang w:eastAsia="ja-JP"/>
        </w:rPr>
      </w:pPr>
      <w:r>
        <w:rPr>
          <w:sz w:val="20"/>
          <w:lang w:eastAsia="ja-JP"/>
        </w:rPr>
        <w:t>プラットフォームは、全体的な森林活動基準、すなわち実質的な緩和目標を満たすために、個々の改善、措置を説明するための現行基準を拡大し、個別投資として適格とすることをさらに検討すべきである。</w:t>
      </w:r>
    </w:p>
    <w:p w14:paraId="095A58DA" w14:textId="77777777" w:rsidR="002B3AD5" w:rsidRDefault="002B3AD5">
      <w:pPr>
        <w:spacing w:line="273" w:lineRule="auto"/>
        <w:rPr>
          <w:sz w:val="20"/>
          <w:lang w:eastAsia="ja-JP"/>
        </w:rPr>
        <w:sectPr w:rsidR="002B3AD5">
          <w:pgSz w:w="12240" w:h="15840"/>
          <w:pgMar w:top="1360" w:right="320" w:bottom="1200" w:left="360" w:header="0" w:footer="1020" w:gutter="0"/>
          <w:cols w:space="720"/>
        </w:sectPr>
      </w:pPr>
    </w:p>
    <w:p w14:paraId="095A58DB" w14:textId="0077EE28" w:rsidR="002B3AD5" w:rsidRDefault="00D66CD0">
      <w:pPr>
        <w:pStyle w:val="a4"/>
        <w:numPr>
          <w:ilvl w:val="0"/>
          <w:numId w:val="20"/>
        </w:numPr>
        <w:tabs>
          <w:tab w:val="left" w:pos="1440"/>
          <w:tab w:val="left" w:pos="1441"/>
        </w:tabs>
        <w:spacing w:before="80" w:line="276" w:lineRule="auto"/>
        <w:ind w:right="1464"/>
        <w:rPr>
          <w:sz w:val="20"/>
          <w:lang w:eastAsia="ja-JP"/>
        </w:rPr>
      </w:pPr>
      <w:r>
        <w:rPr>
          <w:sz w:val="20"/>
          <w:lang w:eastAsia="ja-JP"/>
        </w:rPr>
        <w:lastRenderedPageBreak/>
        <w:t>GHG測定は、地下炭素が</w:t>
      </w:r>
      <w:r w:rsidR="00754546">
        <w:rPr>
          <w:rFonts w:hint="eastAsia"/>
          <w:sz w:val="20"/>
          <w:lang w:eastAsia="ja-JP"/>
        </w:rPr>
        <w:t>長期間にわたって</w:t>
      </w:r>
      <w:r>
        <w:rPr>
          <w:sz w:val="20"/>
          <w:lang w:eastAsia="ja-JP"/>
        </w:rPr>
        <w:t>評価・測定するの</w:t>
      </w:r>
      <w:r w:rsidR="00754546">
        <w:rPr>
          <w:rFonts w:hint="eastAsia"/>
          <w:sz w:val="20"/>
          <w:lang w:eastAsia="ja-JP"/>
        </w:rPr>
        <w:t>が</w:t>
      </w:r>
      <w:r>
        <w:rPr>
          <w:sz w:val="20"/>
          <w:lang w:eastAsia="ja-JP"/>
        </w:rPr>
        <w:t>技術的により困難であるという根拠に基づいて、地上炭素固定</w:t>
      </w:r>
      <w:r w:rsidR="00754546">
        <w:rPr>
          <w:rFonts w:hint="eastAsia"/>
          <w:sz w:val="20"/>
          <w:lang w:eastAsia="ja-JP"/>
        </w:rPr>
        <w:t>のみに求められている</w:t>
      </w:r>
      <w:r>
        <w:rPr>
          <w:sz w:val="20"/>
          <w:lang w:eastAsia="ja-JP"/>
        </w:rPr>
        <w:t>。 その代わりに、地下炭素は、持続可能な森林管理の累積を通じて反映され、重大な有害性の要求がないように、管理慣行の適用を通じて維持・増加されるものと</w:t>
      </w:r>
      <w:r w:rsidR="00754546">
        <w:rPr>
          <w:rFonts w:hint="eastAsia"/>
          <w:sz w:val="20"/>
          <w:lang w:eastAsia="ja-JP"/>
        </w:rPr>
        <w:t>みなされてい</w:t>
      </w:r>
      <w:r>
        <w:rPr>
          <w:sz w:val="20"/>
          <w:lang w:eastAsia="ja-JP"/>
        </w:rPr>
        <w:t>る。 プラットフォームは、地下炭素の測定</w:t>
      </w:r>
      <w:r w:rsidR="00754546">
        <w:rPr>
          <w:rFonts w:hint="eastAsia"/>
          <w:sz w:val="20"/>
          <w:lang w:eastAsia="ja-JP"/>
        </w:rPr>
        <w:t>方法</w:t>
      </w:r>
      <w:r>
        <w:rPr>
          <w:sz w:val="20"/>
          <w:lang w:eastAsia="ja-JP"/>
        </w:rPr>
        <w:t>をさらに</w:t>
      </w:r>
      <w:r w:rsidR="00754546">
        <w:rPr>
          <w:rFonts w:hint="eastAsia"/>
          <w:sz w:val="20"/>
          <w:lang w:eastAsia="ja-JP"/>
        </w:rPr>
        <w:t>調べたうえで</w:t>
      </w:r>
      <w:r>
        <w:rPr>
          <w:sz w:val="20"/>
          <w:lang w:eastAsia="ja-JP"/>
        </w:rPr>
        <w:t>、地下炭素の測定値の現在の閾値を補完する可能性のある既存の影響評価方法を検討する</w:t>
      </w:r>
      <w:r w:rsidR="00754546">
        <w:rPr>
          <w:rFonts w:hint="eastAsia"/>
          <w:sz w:val="20"/>
          <w:lang w:eastAsia="ja-JP"/>
        </w:rPr>
        <w:t>べきであ</w:t>
      </w:r>
      <w:r>
        <w:rPr>
          <w:sz w:val="20"/>
          <w:lang w:eastAsia="ja-JP"/>
        </w:rPr>
        <w:t>る。 さらに、本プラットフォームは、農業</w:t>
      </w:r>
      <w:r w:rsidR="002F5B54">
        <w:rPr>
          <w:sz w:val="20"/>
          <w:lang w:eastAsia="ja-JP"/>
        </w:rPr>
        <w:t>タクソノミー</w:t>
      </w:r>
      <w:r>
        <w:rPr>
          <w:sz w:val="20"/>
          <w:lang w:eastAsia="ja-JP"/>
        </w:rPr>
        <w:t>における土壌炭素へのアプローチを検討し、森林</w:t>
      </w:r>
      <w:r w:rsidR="002F5B54">
        <w:rPr>
          <w:sz w:val="20"/>
          <w:lang w:eastAsia="ja-JP"/>
        </w:rPr>
        <w:t>タクソノミー</w:t>
      </w:r>
      <w:r>
        <w:rPr>
          <w:sz w:val="20"/>
          <w:lang w:eastAsia="ja-JP"/>
        </w:rPr>
        <w:t>にも整合性があるべきかどうか</w:t>
      </w:r>
      <w:r w:rsidR="00754546">
        <w:rPr>
          <w:rFonts w:hint="eastAsia"/>
          <w:sz w:val="20"/>
          <w:lang w:eastAsia="ja-JP"/>
        </w:rPr>
        <w:t>も</w:t>
      </w:r>
      <w:r>
        <w:rPr>
          <w:sz w:val="20"/>
          <w:lang w:eastAsia="ja-JP"/>
        </w:rPr>
        <w:t>検討する</w:t>
      </w:r>
      <w:r w:rsidR="00754546">
        <w:rPr>
          <w:rFonts w:hint="eastAsia"/>
          <w:sz w:val="20"/>
          <w:lang w:eastAsia="ja-JP"/>
        </w:rPr>
        <w:t>べきである</w:t>
      </w:r>
      <w:r>
        <w:rPr>
          <w:sz w:val="20"/>
          <w:lang w:eastAsia="ja-JP"/>
        </w:rPr>
        <w:t>。</w:t>
      </w:r>
    </w:p>
    <w:p w14:paraId="095A58DC" w14:textId="77777777" w:rsidR="002B3AD5" w:rsidRDefault="002B3AD5">
      <w:pPr>
        <w:pStyle w:val="a3"/>
        <w:spacing w:before="6"/>
        <w:rPr>
          <w:lang w:eastAsia="ja-JP"/>
        </w:rPr>
      </w:pPr>
    </w:p>
    <w:p w14:paraId="095A58DD" w14:textId="01F1F5D2" w:rsidR="002B3AD5" w:rsidRDefault="00D66CD0">
      <w:pPr>
        <w:pStyle w:val="a4"/>
        <w:numPr>
          <w:ilvl w:val="0"/>
          <w:numId w:val="20"/>
        </w:numPr>
        <w:tabs>
          <w:tab w:val="left" w:pos="1440"/>
          <w:tab w:val="left" w:pos="1441"/>
        </w:tabs>
        <w:spacing w:before="0" w:line="276" w:lineRule="auto"/>
        <w:ind w:right="1324"/>
        <w:rPr>
          <w:sz w:val="20"/>
          <w:lang w:eastAsia="ja-JP"/>
        </w:rPr>
      </w:pPr>
      <w:r>
        <w:rPr>
          <w:sz w:val="20"/>
          <w:lang w:eastAsia="ja-JP"/>
        </w:rPr>
        <w:t>TEGの見解では、これらの基準は国際的に適切である。ただし、基準の遵守が、コンプライアンスを満たす証拠を提供することによって、または定期的に監査される独立した第三者のスキームを用いた森林認証などの検証アプローチを適用することによって、情報を得ることができることを条件とする。 プラットフォームは、国際的に認知され、適用可能な</w:t>
      </w:r>
      <w:r w:rsidR="00754546">
        <w:rPr>
          <w:rFonts w:hint="eastAsia"/>
          <w:sz w:val="20"/>
          <w:lang w:eastAsia="ja-JP"/>
        </w:rPr>
        <w:t>既存の</w:t>
      </w:r>
      <w:r>
        <w:rPr>
          <w:sz w:val="20"/>
          <w:lang w:eastAsia="ja-JP"/>
        </w:rPr>
        <w:t>森林認証スキームとともに、分類基準と閾値のより詳細なマッピングを含むガイダンスをさらに発展させることが</w:t>
      </w:r>
      <w:r w:rsidR="00754546">
        <w:rPr>
          <w:rFonts w:hint="eastAsia"/>
          <w:sz w:val="20"/>
          <w:lang w:eastAsia="ja-JP"/>
        </w:rPr>
        <w:t>期待</w:t>
      </w:r>
      <w:r>
        <w:rPr>
          <w:sz w:val="20"/>
          <w:lang w:eastAsia="ja-JP"/>
        </w:rPr>
        <w:t>される。 これにより、投資家や森林管理会社、個人が、</w:t>
      </w:r>
      <w:r w:rsidR="002F5B54">
        <w:rPr>
          <w:sz w:val="20"/>
          <w:lang w:eastAsia="ja-JP"/>
        </w:rPr>
        <w:t>タクソノミー</w:t>
      </w:r>
      <w:r w:rsidR="00754546">
        <w:rPr>
          <w:rFonts w:hint="eastAsia"/>
          <w:sz w:val="20"/>
          <w:lang w:eastAsia="ja-JP"/>
        </w:rPr>
        <w:t>へ</w:t>
      </w:r>
      <w:r>
        <w:rPr>
          <w:sz w:val="20"/>
          <w:lang w:eastAsia="ja-JP"/>
        </w:rPr>
        <w:t>の遵守を求め</w:t>
      </w:r>
      <w:r w:rsidR="00754546">
        <w:rPr>
          <w:rFonts w:hint="eastAsia"/>
          <w:sz w:val="20"/>
          <w:lang w:eastAsia="ja-JP"/>
        </w:rPr>
        <w:t>やすく</w:t>
      </w:r>
      <w:r>
        <w:rPr>
          <w:sz w:val="20"/>
          <w:lang w:eastAsia="ja-JP"/>
        </w:rPr>
        <w:t>なる。</w:t>
      </w:r>
    </w:p>
    <w:p w14:paraId="095A58DE" w14:textId="77777777" w:rsidR="002B3AD5" w:rsidRDefault="002B3AD5">
      <w:pPr>
        <w:pStyle w:val="a3"/>
        <w:spacing w:before="6"/>
        <w:rPr>
          <w:lang w:eastAsia="ja-JP"/>
        </w:rPr>
      </w:pPr>
    </w:p>
    <w:p w14:paraId="095A58DF" w14:textId="39AE0973" w:rsidR="002B3AD5" w:rsidRDefault="002F5B54">
      <w:pPr>
        <w:pStyle w:val="a4"/>
        <w:numPr>
          <w:ilvl w:val="0"/>
          <w:numId w:val="20"/>
        </w:numPr>
        <w:tabs>
          <w:tab w:val="left" w:pos="1440"/>
          <w:tab w:val="left" w:pos="1441"/>
        </w:tabs>
        <w:spacing w:before="1" w:line="276" w:lineRule="auto"/>
        <w:ind w:right="1141"/>
        <w:rPr>
          <w:sz w:val="20"/>
          <w:lang w:eastAsia="ja-JP"/>
        </w:rPr>
      </w:pPr>
      <w:r>
        <w:rPr>
          <w:sz w:val="20"/>
          <w:lang w:eastAsia="ja-JP"/>
        </w:rPr>
        <w:t>タクソノミー</w:t>
      </w:r>
      <w:r w:rsidR="00D66CD0">
        <w:rPr>
          <w:sz w:val="20"/>
          <w:lang w:eastAsia="ja-JP"/>
        </w:rPr>
        <w:t>部門間の相互関連の文脈において、森林減少の影響は、しばしば、林業ではなく、他部門の活動(農業や建築開発など)の結果である。 本プラットフォームは、森林セクターにおける実質的な貢献を支援するため、また、他の</w:t>
      </w:r>
      <w:r>
        <w:rPr>
          <w:sz w:val="20"/>
          <w:lang w:eastAsia="ja-JP"/>
        </w:rPr>
        <w:t>タクソノミー</w:t>
      </w:r>
      <w:r w:rsidR="00D66CD0">
        <w:rPr>
          <w:sz w:val="20"/>
          <w:lang w:eastAsia="ja-JP"/>
        </w:rPr>
        <w:t>セクターを通じて可能となった森林セクターにおける緩和に対するDNSHとして、森林減少が他の</w:t>
      </w:r>
      <w:r>
        <w:rPr>
          <w:sz w:val="20"/>
          <w:lang w:eastAsia="ja-JP"/>
        </w:rPr>
        <w:t>タクソノミー</w:t>
      </w:r>
      <w:r w:rsidR="00D66CD0">
        <w:rPr>
          <w:sz w:val="20"/>
          <w:lang w:eastAsia="ja-JP"/>
        </w:rPr>
        <w:t>セクターで十分に対処されているかどうかを検討するよう求められる。</w:t>
      </w:r>
    </w:p>
    <w:p w14:paraId="095A58E0" w14:textId="77777777" w:rsidR="002B3AD5" w:rsidRDefault="002B3AD5">
      <w:pPr>
        <w:pStyle w:val="a3"/>
        <w:spacing w:before="7"/>
        <w:rPr>
          <w:lang w:eastAsia="ja-JP"/>
        </w:rPr>
      </w:pPr>
    </w:p>
    <w:p w14:paraId="095A58E1" w14:textId="0359FB91" w:rsidR="002B3AD5" w:rsidRDefault="00D66CD0">
      <w:pPr>
        <w:pStyle w:val="a4"/>
        <w:numPr>
          <w:ilvl w:val="0"/>
          <w:numId w:val="20"/>
        </w:numPr>
        <w:tabs>
          <w:tab w:val="left" w:pos="1440"/>
          <w:tab w:val="left" w:pos="1441"/>
        </w:tabs>
        <w:spacing w:before="0" w:line="276" w:lineRule="auto"/>
        <w:ind w:right="1210"/>
        <w:rPr>
          <w:sz w:val="20"/>
          <w:lang w:eastAsia="ja-JP"/>
        </w:rPr>
      </w:pPr>
      <w:r>
        <w:rPr>
          <w:sz w:val="20"/>
          <w:lang w:eastAsia="ja-JP"/>
        </w:rPr>
        <w:t>本プラットフォームは、投資家及び金融機関にとっての潜在的なエンドユーザー問題及び機会をさらに探求すべきであり、これには、森林管理/土地利用活動のために設定された現行の基準を通して</w:t>
      </w:r>
      <w:r w:rsidR="00AF6B19">
        <w:rPr>
          <w:rFonts w:hint="eastAsia"/>
          <w:sz w:val="20"/>
          <w:lang w:eastAsia="ja-JP"/>
        </w:rPr>
        <w:t>ひも</w:t>
      </w:r>
      <w:r>
        <w:rPr>
          <w:sz w:val="20"/>
          <w:lang w:eastAsia="ja-JP"/>
        </w:rPr>
        <w:t>付け又は選別することができる</w:t>
      </w:r>
      <w:r w:rsidR="00AF6B19">
        <w:rPr>
          <w:rFonts w:hint="eastAsia"/>
          <w:sz w:val="20"/>
          <w:lang w:eastAsia="ja-JP"/>
        </w:rPr>
        <w:t>経済的損益</w:t>
      </w:r>
      <w:r>
        <w:rPr>
          <w:sz w:val="20"/>
          <w:lang w:eastAsia="ja-JP"/>
        </w:rPr>
        <w:t>に関連して生じる可能性のある課題が含まれる。 例えば、投資家は、現在の森林分類部門ではカバーされていない木材加工施設に投資するかもしれないが、その施設の運営は森林の管理や林産物の利用</w:t>
      </w:r>
      <w:r w:rsidR="00AF6B19">
        <w:rPr>
          <w:rFonts w:hint="eastAsia"/>
          <w:sz w:val="20"/>
          <w:lang w:eastAsia="ja-JP"/>
        </w:rPr>
        <w:t>との間で</w:t>
      </w:r>
      <w:r>
        <w:rPr>
          <w:sz w:val="20"/>
          <w:lang w:eastAsia="ja-JP"/>
        </w:rPr>
        <w:t>相互作用</w:t>
      </w:r>
      <w:r w:rsidR="00AF6B19">
        <w:rPr>
          <w:rFonts w:hint="eastAsia"/>
          <w:sz w:val="20"/>
          <w:lang w:eastAsia="ja-JP"/>
        </w:rPr>
        <w:t>が発生するだろう</w:t>
      </w:r>
      <w:r>
        <w:rPr>
          <w:sz w:val="20"/>
          <w:lang w:eastAsia="ja-JP"/>
        </w:rPr>
        <w:t>。 投資家には、バリュー/サプライチェーンのどこで、どの時点で、特に特定の投資の上流または下流部門について、</w:t>
      </w:r>
      <w:r w:rsidR="002F5B54">
        <w:rPr>
          <w:sz w:val="20"/>
          <w:lang w:eastAsia="ja-JP"/>
        </w:rPr>
        <w:t>タクソノミー</w:t>
      </w:r>
      <w:r>
        <w:rPr>
          <w:sz w:val="20"/>
          <w:lang w:eastAsia="ja-JP"/>
        </w:rPr>
        <w:t>への準拠を考慮することが期待されるかを明確にするべきである。</w:t>
      </w:r>
    </w:p>
    <w:p w14:paraId="095A58E2" w14:textId="77777777" w:rsidR="002B3AD5" w:rsidRDefault="002B3AD5">
      <w:pPr>
        <w:pStyle w:val="a3"/>
        <w:spacing w:before="4"/>
        <w:rPr>
          <w:lang w:eastAsia="ja-JP"/>
        </w:rPr>
      </w:pPr>
    </w:p>
    <w:p w14:paraId="095A58E3" w14:textId="30BAF2CE" w:rsidR="002B3AD5" w:rsidRDefault="00D66CD0">
      <w:pPr>
        <w:pStyle w:val="a4"/>
        <w:numPr>
          <w:ilvl w:val="1"/>
          <w:numId w:val="20"/>
        </w:numPr>
        <w:tabs>
          <w:tab w:val="left" w:pos="2520"/>
          <w:tab w:val="left" w:pos="2521"/>
        </w:tabs>
        <w:spacing w:before="0" w:line="273" w:lineRule="auto"/>
        <w:ind w:right="1141"/>
        <w:rPr>
          <w:sz w:val="20"/>
          <w:lang w:eastAsia="ja-JP"/>
        </w:rPr>
      </w:pPr>
      <w:r>
        <w:rPr>
          <w:sz w:val="20"/>
          <w:lang w:eastAsia="ja-JP"/>
        </w:rPr>
        <w:t>プラットフォームは、既存の森林管理NACEのパフォーマンス期間をさらに検討し、発展させるよう求められる。 既存の森林管理のために提案された</w:t>
      </w:r>
      <w:r w:rsidR="002F5B54">
        <w:rPr>
          <w:sz w:val="20"/>
          <w:lang w:eastAsia="ja-JP"/>
        </w:rPr>
        <w:t>タクソノミー</w:t>
      </w:r>
      <w:r>
        <w:rPr>
          <w:sz w:val="20"/>
          <w:lang w:eastAsia="ja-JP"/>
        </w:rPr>
        <w:t>を用いて、実用的な見解が、森林の商業的な輪作期間、すなわち、森林内の炭素貯蔵の変化を可能にし、異なる期間で異なる森林が収穫されることを前提として柔軟性を提供することと、森林の商業的輪作期間とパフォーマンスを整合させるためにとられてきた。 これは、森林が森林のままであり、SFMの下で管理された場合、炭素を隔離し続けることを暗黙のうちに認識している。 重要なことは、森林が炭素貯蔵飽和点に達した時点ではなく、木材の質と量によって決まる商業地点で森林が収穫される可能性があるということである。</w:t>
      </w:r>
      <w:r w:rsidR="00AF6B19">
        <w:rPr>
          <w:rFonts w:hint="eastAsia"/>
          <w:sz w:val="20"/>
          <w:lang w:eastAsia="ja-JP"/>
        </w:rPr>
        <w:t>それにはより</w:t>
      </w:r>
      <w:r>
        <w:rPr>
          <w:sz w:val="20"/>
          <w:lang w:eastAsia="ja-JP"/>
        </w:rPr>
        <w:t>長い</w:t>
      </w:r>
      <w:r w:rsidR="00AF6B19">
        <w:rPr>
          <w:rFonts w:hint="eastAsia"/>
          <w:sz w:val="20"/>
          <w:lang w:eastAsia="ja-JP"/>
        </w:rPr>
        <w:t>時間がかかるものと思われる</w:t>
      </w:r>
      <w:r>
        <w:rPr>
          <w:sz w:val="20"/>
          <w:lang w:eastAsia="ja-JP"/>
        </w:rPr>
        <w:t>。 このため、本プラットフォームは、SFMとDNSHを通して追加性を提供するだけで十分かどうかを検討するよう求められるが、既存の森林管理のための実質的な貢献は、森林炭素貯蔵の増加ではなく、森林炭素貯蔵の維持であると判断することができる。 この</w:t>
      </w:r>
      <w:r w:rsidR="002F5B54">
        <w:rPr>
          <w:sz w:val="20"/>
          <w:lang w:eastAsia="ja-JP"/>
        </w:rPr>
        <w:t>タクソノミー</w:t>
      </w:r>
      <w:r>
        <w:rPr>
          <w:sz w:val="20"/>
          <w:lang w:eastAsia="ja-JP"/>
        </w:rPr>
        <w:t>の焦点は活動の緑化に当てられているが、この点を反映する際には、森林バイオマスの最終利用を考慮することが関連しているかもしれない。</w:t>
      </w:r>
    </w:p>
    <w:p w14:paraId="095A58E4" w14:textId="77777777" w:rsidR="002B3AD5" w:rsidRDefault="002B3AD5">
      <w:pPr>
        <w:spacing w:line="273" w:lineRule="auto"/>
        <w:rPr>
          <w:sz w:val="20"/>
          <w:lang w:eastAsia="ja-JP"/>
        </w:rPr>
        <w:sectPr w:rsidR="002B3AD5">
          <w:pgSz w:w="12240" w:h="15840"/>
          <w:pgMar w:top="1360" w:right="320" w:bottom="1200" w:left="360" w:header="0" w:footer="1020" w:gutter="0"/>
          <w:cols w:space="720"/>
        </w:sectPr>
      </w:pPr>
    </w:p>
    <w:p w14:paraId="095A58E5" w14:textId="1A60F833" w:rsidR="002B3AD5" w:rsidRDefault="00D66CD0">
      <w:pPr>
        <w:pStyle w:val="a3"/>
        <w:spacing w:before="79" w:line="276" w:lineRule="auto"/>
        <w:ind w:left="2520" w:right="1527"/>
        <w:rPr>
          <w:lang w:eastAsia="ja-JP"/>
        </w:rPr>
      </w:pPr>
      <w:r>
        <w:rPr>
          <w:lang w:eastAsia="ja-JP"/>
        </w:rPr>
        <w:lastRenderedPageBreak/>
        <w:t>EUの森林からのバイオマスの半分は、原料ではなくエネルギー目的に利用されている</w:t>
      </w:r>
      <w:r w:rsidR="00AF6B19">
        <w:rPr>
          <w:rFonts w:hint="eastAsia"/>
          <w:lang w:eastAsia="ja-JP"/>
        </w:rPr>
        <w:t>からである</w:t>
      </w:r>
      <w:r>
        <w:rPr>
          <w:lang w:eastAsia="ja-JP"/>
        </w:rPr>
        <w:t>。</w:t>
      </w:r>
    </w:p>
    <w:sectPr w:rsidR="002B3AD5" w:rsidSect="00D66CD0">
      <w:pgSz w:w="11906" w:h="16838" w:code="9"/>
      <w:pgMar w:top="1360" w:right="320" w:bottom="1200" w:left="360" w:header="0" w:footer="10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西田 純" w:date="2020-11-27T10:21:00Z" w:initials="西田">
    <w:p w14:paraId="3D2FF910" w14:textId="1AAAAC4D" w:rsidR="00BF6216" w:rsidRDefault="00BF6216">
      <w:pPr>
        <w:pStyle w:val="ac"/>
        <w:rPr>
          <w:lang w:eastAsia="ja-JP"/>
        </w:rPr>
      </w:pPr>
      <w:r>
        <w:rPr>
          <w:rStyle w:val="ab"/>
        </w:rPr>
        <w:annotationRef/>
      </w:r>
      <w:r>
        <w:rPr>
          <w:rFonts w:hint="eastAsia"/>
          <w:lang w:eastAsia="ja-JP"/>
        </w:rPr>
        <w:t>fiches スペルミス？</w:t>
      </w:r>
      <w:r w:rsidR="00EF5F0A">
        <w:rPr>
          <w:rFonts w:hint="eastAsia"/>
          <w:lang w:eastAsia="ja-JP"/>
        </w:rPr>
        <w:t>原田コメント「仕様書」2020.12.13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2FF9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2FF910" w16cid:durableId="23BD18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71BF1" w14:textId="77777777" w:rsidR="00755CE4" w:rsidRDefault="00755CE4">
      <w:r>
        <w:separator/>
      </w:r>
    </w:p>
  </w:endnote>
  <w:endnote w:type="continuationSeparator" w:id="0">
    <w:p w14:paraId="0D82B601" w14:textId="77777777" w:rsidR="00755CE4" w:rsidRDefault="00755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5906" w14:textId="2CDFCC8B" w:rsidR="00BF6216" w:rsidRDefault="00BF6216">
    <w:pPr>
      <w:pStyle w:val="a3"/>
      <w:spacing w:line="14" w:lineRule="auto"/>
    </w:pPr>
    <w:r>
      <w:rPr>
        <w:noProof/>
        <w:lang w:val="en-US" w:eastAsia="ja-JP"/>
      </w:rPr>
      <mc:AlternateContent>
        <mc:Choice Requires="wps">
          <w:drawing>
            <wp:anchor distT="0" distB="0" distL="114300" distR="114300" simplePos="0" relativeHeight="503269208" behindDoc="1" locked="0" layoutInCell="1" allowOverlap="1" wp14:anchorId="095A590A" wp14:editId="1D06E730">
              <wp:simplePos x="0" y="0"/>
              <wp:positionH relativeFrom="page">
                <wp:posOffset>3533775</wp:posOffset>
              </wp:positionH>
              <wp:positionV relativeFrom="page">
                <wp:posOffset>9283700</wp:posOffset>
              </wp:positionV>
              <wp:extent cx="704850" cy="323850"/>
              <wp:effectExtent l="0"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rect">
                        <a:avLst/>
                      </a:prstGeom>
                      <a:solidFill>
                        <a:srgbClr val="23B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3D85" id="Rectangle 12" o:spid="_x0000_s1026" style="position:absolute;left:0;text-align:left;margin-left:278.25pt;margin-top:731pt;width:55.5pt;height:25.5pt;z-index:-4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" fillcolor="#23b69a" stroked="f">
              <w10:wrap anchorx="page" anchory="page"/>
            </v:rect>
          </w:pict>
        </mc:Fallback>
      </mc:AlternateContent>
    </w:r>
    <w:r>
      <w:rPr>
        <w:noProof/>
        <w:lang w:val="en-US" w:eastAsia="ja-JP"/>
      </w:rPr>
      <mc:AlternateContent>
        <mc:Choice Requires="wps">
          <w:drawing>
            <wp:anchor distT="0" distB="0" distL="114300" distR="114300" simplePos="0" relativeHeight="503269232" behindDoc="1" locked="0" layoutInCell="1" allowOverlap="1" wp14:anchorId="095A590B" wp14:editId="39CECBFA">
              <wp:simplePos x="0" y="0"/>
              <wp:positionH relativeFrom="page">
                <wp:posOffset>3741420</wp:posOffset>
              </wp:positionH>
              <wp:positionV relativeFrom="page">
                <wp:posOffset>9366250</wp:posOffset>
              </wp:positionV>
              <wp:extent cx="292735" cy="139700"/>
              <wp:effectExtent l="0" t="3175" r="4445"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A" w14:textId="77777777" w:rsidR="00BF6216" w:rsidRDefault="00BF6216">
                          <w:pPr>
                            <w:spacing w:before="15"/>
                            <w:ind w:left="20"/>
                            <w:rPr>
                              <w:b/>
                              <w:sz w:val="16"/>
                            </w:rPr>
                          </w:pPr>
                          <w:r>
                            <w:fldChar w:fldCharType="begin"/>
                          </w:r>
                          <w:r>
                            <w:rPr>
                              <w:b/>
                              <w:color w:val="FFFFFF"/>
                              <w:sz w:val="16"/>
                            </w:rPr>
                            <w:instrText xml:space="preserve"> PAGE \* ArabicDash </w:instrText>
                          </w:r>
                          <w:r>
                            <w:fldChar w:fldCharType="separate"/>
                          </w:r>
                          <w:r w:rsidR="00EF5F0A">
                            <w:rPr>
                              <w:b/>
                              <w:noProof/>
                              <w:color w:val="FFFFFF"/>
                              <w:sz w:val="16"/>
                            </w:rPr>
                            <w:t>- 43 -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590B" id="_x0000_t202" coordsize="21600,21600" o:spt="202" path="m,l,21600r21600,l21600,xe">
              <v:stroke joinstyle="miter"/>
              <v:path gradientshapeok="t" o:connecttype="rect"/>
            </v:shapetype>
            <v:shape id="Text Box 11" o:spid="_x0000_s1027" type="#_x0000_t202" style="position:absolute;margin-left:294.6pt;margin-top:737.5pt;width:23.05pt;height:11pt;z-index:-4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" filled="f" stroked="f">
              <v:textbox inset="0,0,0,0">
                <w:txbxContent>
                  <w:p w14:paraId="095A591A" w14:textId="77777777" w:rsidR="00BF6216" w:rsidRDefault="00BF6216">
                    <w:pPr>
                      <w:spacing w:before="15"/>
                      <w:ind w:left="20"/>
                      <w:rPr>
                        <w:b/>
                        <w:sz w:val="16"/>
                      </w:rPr>
                    </w:pPr>
                    <w:r>
                      <w:fldChar w:fldCharType="begin"/>
                    </w:r>
                    <w:r>
                      <w:rPr>
                        <w:b/>
                        <w:color w:val="FFFFFF"/>
                        <w:sz w:val="16"/>
                      </w:rPr>
                      <w:instrText xml:space="preserve"> PAGE \* ArabicDash </w:instrText>
                    </w:r>
                    <w:r>
                      <w:fldChar w:fldCharType="separate"/>
                    </w:r>
                    <w:r w:rsidR="00EF5F0A">
                      <w:rPr>
                        <w:b/>
                        <w:noProof/>
                        <w:color w:val="FFFFFF"/>
                        <w:sz w:val="16"/>
                      </w:rPr>
                      <w:t>- 43 -</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5907" w14:textId="2E815FD9" w:rsidR="00BF6216" w:rsidRDefault="00BF6216">
    <w:pPr>
      <w:pStyle w:val="a3"/>
      <w:spacing w:line="14" w:lineRule="auto"/>
    </w:pPr>
    <w:r>
      <w:rPr>
        <w:noProof/>
        <w:lang w:val="en-US" w:eastAsia="ja-JP"/>
      </w:rPr>
      <mc:AlternateContent>
        <mc:Choice Requires="wps">
          <w:drawing>
            <wp:anchor distT="0" distB="0" distL="114300" distR="114300" simplePos="0" relativeHeight="503269256" behindDoc="1" locked="0" layoutInCell="1" allowOverlap="1" wp14:anchorId="095A590C" wp14:editId="59A87445">
              <wp:simplePos x="0" y="0"/>
              <wp:positionH relativeFrom="page">
                <wp:posOffset>3533775</wp:posOffset>
              </wp:positionH>
              <wp:positionV relativeFrom="page">
                <wp:posOffset>9283700</wp:posOffset>
              </wp:positionV>
              <wp:extent cx="704850" cy="323850"/>
              <wp:effectExtent l="0" t="0" r="0" b="31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rect">
                        <a:avLst/>
                      </a:prstGeom>
                      <a:solidFill>
                        <a:srgbClr val="23B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653A" id="Rectangle 10" o:spid="_x0000_s1026" style="position:absolute;left:0;text-align:left;margin-left:278.25pt;margin-top:731pt;width:55.5pt;height:25.5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" fillcolor="#23b69a" stroked="f">
              <w10:wrap anchorx="page" anchory="page"/>
            </v:rect>
          </w:pict>
        </mc:Fallback>
      </mc:AlternateContent>
    </w:r>
    <w:r>
      <w:rPr>
        <w:noProof/>
        <w:lang w:val="en-US" w:eastAsia="ja-JP"/>
      </w:rPr>
      <mc:AlternateContent>
        <mc:Choice Requires="wps">
          <w:drawing>
            <wp:anchor distT="0" distB="0" distL="114300" distR="114300" simplePos="0" relativeHeight="503269280" behindDoc="1" locked="0" layoutInCell="1" allowOverlap="1" wp14:anchorId="095A590D" wp14:editId="7BE25647">
              <wp:simplePos x="0" y="0"/>
              <wp:positionH relativeFrom="page">
                <wp:posOffset>914400</wp:posOffset>
              </wp:positionH>
              <wp:positionV relativeFrom="page">
                <wp:posOffset>8493125</wp:posOffset>
              </wp:positionV>
              <wp:extent cx="1829435" cy="0"/>
              <wp:effectExtent l="9525" t="6350" r="8890" b="1270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D185" id="Line 9" o:spid="_x0000_s1026" style="position:absolute;left:0;text-align:lef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68.75pt" to="216.05pt,6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n7Ew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" strokeweight=".48pt">
              <w10:wrap anchorx="page" anchory="page"/>
            </v:line>
          </w:pict>
        </mc:Fallback>
      </mc:AlternateContent>
    </w:r>
    <w:r>
      <w:rPr>
        <w:noProof/>
        <w:lang w:val="en-US" w:eastAsia="ja-JP"/>
      </w:rPr>
      <mc:AlternateContent>
        <mc:Choice Requires="wps">
          <w:drawing>
            <wp:anchor distT="0" distB="0" distL="114300" distR="114300" simplePos="0" relativeHeight="503269304" behindDoc="1" locked="0" layoutInCell="1" allowOverlap="1" wp14:anchorId="095A590E" wp14:editId="6261CDC9">
              <wp:simplePos x="0" y="0"/>
              <wp:positionH relativeFrom="page">
                <wp:posOffset>889000</wp:posOffset>
              </wp:positionH>
              <wp:positionV relativeFrom="page">
                <wp:posOffset>8692515</wp:posOffset>
              </wp:positionV>
              <wp:extent cx="4980940" cy="139700"/>
              <wp:effectExtent l="3175"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B" w14:textId="77777777" w:rsidR="00BF6216" w:rsidRDefault="00BF6216">
                          <w:pPr>
                            <w:spacing w:before="15"/>
                            <w:ind w:left="40"/>
                            <w:rPr>
                              <w:sz w:val="16"/>
                            </w:rPr>
                          </w:pPr>
                          <w:r>
                            <w:fldChar w:fldCharType="begin"/>
                          </w:r>
                          <w:r>
                            <w:rPr>
                              <w:sz w:val="16"/>
                            </w:rPr>
                            <w:instrText xml:space="preserve"> PAGE </w:instrText>
                          </w:r>
                          <w:r>
                            <w:fldChar w:fldCharType="separate"/>
                          </w:r>
                          <w:r w:rsidR="00EF5F0A">
                            <w:rPr>
                              <w:noProof/>
                              <w:sz w:val="16"/>
                            </w:rPr>
                            <w:t>32</w:t>
                          </w:r>
                          <w:r>
                            <w:fldChar w:fldCharType="end"/>
                          </w:r>
                          <w:r>
                            <w:rPr>
                              <w:sz w:val="16"/>
                            </w:rPr>
                            <w:t xml:space="preserve"> https://foresteurope.org/wp-content/uploads/2016/10/MC_lisbon_resolutionL2_with_annexes.pdf#ページ=18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590E" id="_x0000_t202" coordsize="21600,21600" o:spt="202" path="m,l,21600r21600,l21600,xe">
              <v:stroke joinstyle="miter"/>
              <v:path gradientshapeok="t" o:connecttype="rect"/>
            </v:shapetype>
            <v:shape id="Text Box 8" o:spid="_x0000_s1028" type="#_x0000_t202" style="position:absolute;margin-left:70pt;margin-top:684.45pt;width:392.2pt;height:11pt;z-index:-4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aOsQ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" filled="f" stroked="f">
              <v:textbox inset="0,0,0,0">
                <w:txbxContent>
                  <w:p w14:paraId="095A591B" w14:textId="77777777" w:rsidR="00BF6216" w:rsidRDefault="00BF6216">
                    <w:pPr>
                      <w:spacing w:before="15"/>
                      <w:ind w:left="40"/>
                      <w:rPr>
                        <w:sz w:val="16"/>
                      </w:rPr>
                    </w:pPr>
                    <w:r>
                      <w:fldChar w:fldCharType="begin"/>
                    </w:r>
                    <w:r>
                      <w:rPr>
                        <w:sz w:val="16"/>
                      </w:rPr>
                      <w:instrText xml:space="preserve"> PAGE </w:instrText>
                    </w:r>
                    <w:r>
                      <w:fldChar w:fldCharType="separate"/>
                    </w:r>
                    <w:r w:rsidR="00EF5F0A">
                      <w:rPr>
                        <w:noProof/>
                        <w:sz w:val="16"/>
                      </w:rPr>
                      <w:t>32</w:t>
                    </w:r>
                    <w:r>
                      <w:fldChar w:fldCharType="end"/>
                    </w:r>
                    <w:r>
                      <w:rPr>
                        <w:sz w:val="16"/>
                      </w:rPr>
                      <w:t xml:space="preserve"> https://foresteurope.org/wp-content/uploads/2016/10/MC_lisbon_resolutionL2_with_annexes.pdf#ページ=18</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328" behindDoc="1" locked="0" layoutInCell="1" allowOverlap="1" wp14:anchorId="095A590F" wp14:editId="0FB39B97">
              <wp:simplePos x="0" y="0"/>
              <wp:positionH relativeFrom="page">
                <wp:posOffset>3741420</wp:posOffset>
              </wp:positionH>
              <wp:positionV relativeFrom="page">
                <wp:posOffset>9366250</wp:posOffset>
              </wp:positionV>
              <wp:extent cx="292735" cy="139700"/>
              <wp:effectExtent l="0" t="3175" r="444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C" w14:textId="77777777" w:rsidR="00BF6216" w:rsidRDefault="00BF6216">
                          <w:pPr>
                            <w:spacing w:before="15"/>
                            <w:ind w:left="20"/>
                            <w:rPr>
                              <w:b/>
                              <w:sz w:val="16"/>
                            </w:rPr>
                          </w:pPr>
                          <w:r>
                            <w:rPr>
                              <w:b/>
                              <w:color w:val="FFFFFF"/>
                              <w:sz w:val="16"/>
                            </w:rPr>
                            <w:t>- 43 -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590F" id="Text Box 7" o:spid="_x0000_s1029" type="#_x0000_t202" style="position:absolute;margin-left:294.6pt;margin-top:737.5pt;width:23.05pt;height:11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u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" filled="f" stroked="f">
              <v:textbox inset="0,0,0,0">
                <w:txbxContent>
                  <w:p w14:paraId="095A591C" w14:textId="77777777" w:rsidR="00BF6216" w:rsidRDefault="00BF6216">
                    <w:pPr>
                      <w:spacing w:before="15"/>
                      <w:ind w:left="20"/>
                      <w:rPr>
                        <w:b/>
                        <w:sz w:val="16"/>
                      </w:rPr>
                    </w:pPr>
                    <w:r>
                      <w:rPr>
                        <w:b/>
                        <w:color w:val="FFFFFF"/>
                        <w:sz w:val="16"/>
                      </w:rPr>
                      <w:t>- 43 -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5908" w14:textId="2667B3B9" w:rsidR="00BF6216" w:rsidRDefault="00BF6216">
    <w:pPr>
      <w:pStyle w:val="a3"/>
      <w:spacing w:line="14" w:lineRule="auto"/>
    </w:pPr>
    <w:r>
      <w:rPr>
        <w:noProof/>
        <w:lang w:val="en-US" w:eastAsia="ja-JP"/>
      </w:rPr>
      <mc:AlternateContent>
        <mc:Choice Requires="wps">
          <w:drawing>
            <wp:anchor distT="0" distB="0" distL="114300" distR="114300" simplePos="0" relativeHeight="503269352" behindDoc="1" locked="0" layoutInCell="1" allowOverlap="1" wp14:anchorId="095A5910" wp14:editId="692E0AF8">
              <wp:simplePos x="0" y="0"/>
              <wp:positionH relativeFrom="page">
                <wp:posOffset>3533775</wp:posOffset>
              </wp:positionH>
              <wp:positionV relativeFrom="page">
                <wp:posOffset>9283700</wp:posOffset>
              </wp:positionV>
              <wp:extent cx="704850" cy="323850"/>
              <wp:effectExtent l="0" t="0" r="0" b="317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rect">
                        <a:avLst/>
                      </a:prstGeom>
                      <a:solidFill>
                        <a:srgbClr val="23B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1C81" id="Rectangle 6" o:spid="_x0000_s1026" style="position:absolute;left:0;text-align:left;margin-left:278.25pt;margin-top:731pt;width:55.5pt;height:25.5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" fillcolor="#23b69a" stroked="f">
              <w10:wrap anchorx="page" anchory="page"/>
            </v:rect>
          </w:pict>
        </mc:Fallback>
      </mc:AlternateContent>
    </w:r>
    <w:r>
      <w:rPr>
        <w:noProof/>
        <w:lang w:val="en-US" w:eastAsia="ja-JP"/>
      </w:rPr>
      <mc:AlternateContent>
        <mc:Choice Requires="wps">
          <w:drawing>
            <wp:anchor distT="0" distB="0" distL="114300" distR="114300" simplePos="0" relativeHeight="503269376" behindDoc="1" locked="0" layoutInCell="1" allowOverlap="1" wp14:anchorId="095A5911" wp14:editId="4A83971B">
              <wp:simplePos x="0" y="0"/>
              <wp:positionH relativeFrom="page">
                <wp:posOffset>914400</wp:posOffset>
              </wp:positionH>
              <wp:positionV relativeFrom="page">
                <wp:posOffset>8493125</wp:posOffset>
              </wp:positionV>
              <wp:extent cx="1829435" cy="0"/>
              <wp:effectExtent l="9525" t="6350" r="8890" b="127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5EBC1" id="Line 5" o:spid="_x0000_s1026" style="position:absolute;left:0;text-align:left;z-index:-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68.75pt" to="216.05pt,6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tU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" strokeweight=".48pt">
              <w10:wrap anchorx="page" anchory="page"/>
            </v:line>
          </w:pict>
        </mc:Fallback>
      </mc:AlternateContent>
    </w:r>
    <w:r>
      <w:rPr>
        <w:noProof/>
        <w:lang w:val="en-US" w:eastAsia="ja-JP"/>
      </w:rPr>
      <mc:AlternateContent>
        <mc:Choice Requires="wps">
          <w:drawing>
            <wp:anchor distT="0" distB="0" distL="114300" distR="114300" simplePos="0" relativeHeight="503269400" behindDoc="1" locked="0" layoutInCell="1" allowOverlap="1" wp14:anchorId="095A5912" wp14:editId="674C552A">
              <wp:simplePos x="0" y="0"/>
              <wp:positionH relativeFrom="page">
                <wp:posOffset>889000</wp:posOffset>
              </wp:positionH>
              <wp:positionV relativeFrom="page">
                <wp:posOffset>8692515</wp:posOffset>
              </wp:positionV>
              <wp:extent cx="4981575" cy="139700"/>
              <wp:effectExtent l="317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D" w14:textId="77777777" w:rsidR="00BF6216" w:rsidRDefault="00BF6216">
                          <w:pPr>
                            <w:spacing w:before="15"/>
                            <w:ind w:left="40"/>
                            <w:rPr>
                              <w:sz w:val="16"/>
                            </w:rPr>
                          </w:pPr>
                          <w:r>
                            <w:fldChar w:fldCharType="begin"/>
                          </w:r>
                          <w:r>
                            <w:rPr>
                              <w:sz w:val="16"/>
                            </w:rPr>
                            <w:instrText xml:space="preserve"> PAGE </w:instrText>
                          </w:r>
                          <w:r>
                            <w:fldChar w:fldCharType="separate"/>
                          </w:r>
                          <w:r w:rsidR="00EF5F0A">
                            <w:rPr>
                              <w:noProof/>
                              <w:sz w:val="16"/>
                            </w:rPr>
                            <w:t>33</w:t>
                          </w:r>
                          <w:r>
                            <w:fldChar w:fldCharType="end"/>
                          </w:r>
                          <w:r>
                            <w:rPr>
                              <w:sz w:val="16"/>
                            </w:rPr>
                            <w:t xml:space="preserve"> https://foresteurope.org/wp-content/uploads/2016/10/MC_lisbon_resolutionL2_with_annexes.pdf#ページ=18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5912" id="_x0000_t202" coordsize="21600,21600" o:spt="202" path="m,l,21600r21600,l21600,xe">
              <v:stroke joinstyle="miter"/>
              <v:path gradientshapeok="t" o:connecttype="rect"/>
            </v:shapetype>
            <v:shape id="Text Box 4" o:spid="_x0000_s1030" type="#_x0000_t202" style="position:absolute;margin-left:70pt;margin-top:684.45pt;width:392.25pt;height:11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aaswIAALA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" filled="f" stroked="f">
              <v:textbox inset="0,0,0,0">
                <w:txbxContent>
                  <w:p w14:paraId="095A591D" w14:textId="77777777" w:rsidR="00BF6216" w:rsidRDefault="00BF6216">
                    <w:pPr>
                      <w:spacing w:before="15"/>
                      <w:ind w:left="40"/>
                      <w:rPr>
                        <w:sz w:val="16"/>
                      </w:rPr>
                    </w:pPr>
                    <w:r>
                      <w:fldChar w:fldCharType="begin"/>
                    </w:r>
                    <w:r>
                      <w:rPr>
                        <w:sz w:val="16"/>
                      </w:rPr>
                      <w:instrText xml:space="preserve"> PAGE </w:instrText>
                    </w:r>
                    <w:r>
                      <w:fldChar w:fldCharType="separate"/>
                    </w:r>
                    <w:r w:rsidR="00EF5F0A">
                      <w:rPr>
                        <w:noProof/>
                        <w:sz w:val="16"/>
                      </w:rPr>
                      <w:t>33</w:t>
                    </w:r>
                    <w:r>
                      <w:fldChar w:fldCharType="end"/>
                    </w:r>
                    <w:r>
                      <w:rPr>
                        <w:sz w:val="16"/>
                      </w:rPr>
                      <w:t xml:space="preserve"> https://foresteurope.org/wp-content/uploads/2016/10/MC_lisbon_resolutionL2_with_annexes.pdf#ページ=18</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424" behindDoc="1" locked="0" layoutInCell="1" allowOverlap="1" wp14:anchorId="095A5913" wp14:editId="454AEB48">
              <wp:simplePos x="0" y="0"/>
              <wp:positionH relativeFrom="page">
                <wp:posOffset>3741420</wp:posOffset>
              </wp:positionH>
              <wp:positionV relativeFrom="page">
                <wp:posOffset>9366250</wp:posOffset>
              </wp:positionV>
              <wp:extent cx="292735" cy="139700"/>
              <wp:effectExtent l="0" t="3175"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E" w14:textId="77777777" w:rsidR="00BF6216" w:rsidRDefault="00BF6216">
                          <w:pPr>
                            <w:spacing w:before="15"/>
                            <w:ind w:left="20"/>
                            <w:rPr>
                              <w:b/>
                              <w:sz w:val="16"/>
                            </w:rPr>
                          </w:pPr>
                          <w:r>
                            <w:rPr>
                              <w:b/>
                              <w:color w:val="FFFFFF"/>
                              <w:sz w:val="16"/>
                            </w:rPr>
                            <w:t>- 44 -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5913" id="Text Box 3" o:spid="_x0000_s1031" type="#_x0000_t202" style="position:absolute;margin-left:294.6pt;margin-top:737.5pt;width:23.05pt;height:11pt;z-index:-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LIsgIAAK8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" filled="f" stroked="f">
              <v:textbox inset="0,0,0,0">
                <w:txbxContent>
                  <w:p w14:paraId="095A591E" w14:textId="77777777" w:rsidR="00BF6216" w:rsidRDefault="00BF6216">
                    <w:pPr>
                      <w:spacing w:before="15"/>
                      <w:ind w:left="20"/>
                      <w:rPr>
                        <w:b/>
                        <w:sz w:val="16"/>
                      </w:rPr>
                    </w:pPr>
                    <w:r>
                      <w:rPr>
                        <w:b/>
                        <w:color w:val="FFFFFF"/>
                        <w:sz w:val="16"/>
                      </w:rPr>
                      <w:t>- 44 -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5909" w14:textId="21FBB8D9" w:rsidR="00BF6216" w:rsidRDefault="00BF6216">
    <w:pPr>
      <w:pStyle w:val="a3"/>
      <w:spacing w:line="14" w:lineRule="auto"/>
    </w:pPr>
    <w:r>
      <w:rPr>
        <w:noProof/>
        <w:lang w:val="en-US" w:eastAsia="ja-JP"/>
      </w:rPr>
      <mc:AlternateContent>
        <mc:Choice Requires="wps">
          <w:drawing>
            <wp:anchor distT="0" distB="0" distL="114300" distR="114300" simplePos="0" relativeHeight="503269448" behindDoc="1" locked="0" layoutInCell="1" allowOverlap="1" wp14:anchorId="095A5914" wp14:editId="519A27F5">
              <wp:simplePos x="0" y="0"/>
              <wp:positionH relativeFrom="page">
                <wp:posOffset>3533775</wp:posOffset>
              </wp:positionH>
              <wp:positionV relativeFrom="page">
                <wp:posOffset>9283700</wp:posOffset>
              </wp:positionV>
              <wp:extent cx="704850" cy="323850"/>
              <wp:effectExtent l="0" t="0" r="0" b="31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rect">
                        <a:avLst/>
                      </a:prstGeom>
                      <a:solidFill>
                        <a:srgbClr val="23B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53C7E" id="Rectangle 2" o:spid="_x0000_s1026" style="position:absolute;left:0;text-align:left;margin-left:278.25pt;margin-top:731pt;width:55.5pt;height:25.5pt;z-index:-4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bXfAIAAPoEAAAOAAAAZHJzL2Uyb0RvYy54bWysVNuO0zAQfUfiHyy/d3PZ9JJo01W7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" fillcolor="#23b69a" stroked="f">
              <w10:wrap anchorx="page" anchory="page"/>
            </v:rect>
          </w:pict>
        </mc:Fallback>
      </mc:AlternateContent>
    </w:r>
    <w:r>
      <w:rPr>
        <w:noProof/>
        <w:lang w:val="en-US" w:eastAsia="ja-JP"/>
      </w:rPr>
      <mc:AlternateContent>
        <mc:Choice Requires="wps">
          <w:drawing>
            <wp:anchor distT="0" distB="0" distL="114300" distR="114300" simplePos="0" relativeHeight="503269472" behindDoc="1" locked="0" layoutInCell="1" allowOverlap="1" wp14:anchorId="095A5915" wp14:editId="194AA8E0">
              <wp:simplePos x="0" y="0"/>
              <wp:positionH relativeFrom="page">
                <wp:posOffset>3741420</wp:posOffset>
              </wp:positionH>
              <wp:positionV relativeFrom="page">
                <wp:posOffset>9366250</wp:posOffset>
              </wp:positionV>
              <wp:extent cx="292735" cy="139700"/>
              <wp:effectExtent l="0" t="317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591F" w14:textId="77777777" w:rsidR="00BF6216" w:rsidRDefault="00BF6216">
                          <w:pPr>
                            <w:spacing w:before="15"/>
                            <w:ind w:left="20"/>
                            <w:rPr>
                              <w:b/>
                              <w:sz w:val="16"/>
                            </w:rPr>
                          </w:pPr>
                          <w:r>
                            <w:fldChar w:fldCharType="begin"/>
                          </w:r>
                          <w:r>
                            <w:rPr>
                              <w:b/>
                              <w:color w:val="FFFFFF"/>
                              <w:sz w:val="16"/>
                            </w:rPr>
                            <w:instrText xml:space="preserve"> PAGE \* ArabicDash </w:instrText>
                          </w:r>
                          <w:r>
                            <w:fldChar w:fldCharType="separate"/>
                          </w:r>
                          <w:r w:rsidR="00EF5F0A">
                            <w:rPr>
                              <w:b/>
                              <w:noProof/>
                              <w:color w:val="FFFFFF"/>
                              <w:sz w:val="16"/>
                            </w:rPr>
                            <w:t>- 51 -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5915" id="_x0000_t202" coordsize="21600,21600" o:spt="202" path="m,l,21600r21600,l21600,xe">
              <v:stroke joinstyle="miter"/>
              <v:path gradientshapeok="t" o:connecttype="rect"/>
            </v:shapetype>
            <v:shape id="Text Box 1" o:spid="_x0000_s1032" type="#_x0000_t202" style="position:absolute;margin-left:294.6pt;margin-top:737.5pt;width:23.05pt;height:11pt;z-index:-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CsQ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" filled="f" stroked="f">
              <v:textbox inset="0,0,0,0">
                <w:txbxContent>
                  <w:p w14:paraId="095A591F" w14:textId="77777777" w:rsidR="00BF6216" w:rsidRDefault="00BF6216">
                    <w:pPr>
                      <w:spacing w:before="15"/>
                      <w:ind w:left="20"/>
                      <w:rPr>
                        <w:b/>
                        <w:sz w:val="16"/>
                      </w:rPr>
                    </w:pPr>
                    <w:r>
                      <w:fldChar w:fldCharType="begin"/>
                    </w:r>
                    <w:r>
                      <w:rPr>
                        <w:b/>
                        <w:color w:val="FFFFFF"/>
                        <w:sz w:val="16"/>
                      </w:rPr>
                      <w:instrText xml:space="preserve"> PAGE \* ArabicDash </w:instrText>
                    </w:r>
                    <w:r>
                      <w:fldChar w:fldCharType="separate"/>
                    </w:r>
                    <w:r w:rsidR="00EF5F0A">
                      <w:rPr>
                        <w:b/>
                        <w:noProof/>
                        <w:color w:val="FFFFFF"/>
                        <w:sz w:val="16"/>
                      </w:rPr>
                      <w:t>- 51 -</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702FB" w14:textId="77777777" w:rsidR="00755CE4" w:rsidRDefault="00755CE4">
      <w:r>
        <w:separator/>
      </w:r>
    </w:p>
  </w:footnote>
  <w:footnote w:type="continuationSeparator" w:id="0">
    <w:p w14:paraId="31A1F4DF" w14:textId="77777777" w:rsidR="00755CE4" w:rsidRDefault="00755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E52A6"/>
    <w:multiLevelType w:val="multilevel"/>
    <w:tmpl w:val="96F0EB86"/>
    <w:lvl w:ilvl="0">
      <w:start w:val="1"/>
      <w:numFmt w:val="decimal"/>
      <w:lvlText w:val="%1"/>
      <w:lvlJc w:val="left"/>
      <w:pPr>
        <w:ind w:left="1440" w:hanging="332"/>
        <w:jc w:val="left"/>
      </w:pPr>
      <w:rPr>
        <w:rFonts w:hint="default"/>
      </w:rPr>
    </w:lvl>
    <w:lvl w:ilvl="1">
      <w:start w:val="1"/>
      <w:numFmt w:val="lowerLetter"/>
      <w:lvlText w:val="%1.%2"/>
      <w:lvlJc w:val="left"/>
      <w:pPr>
        <w:ind w:left="1440" w:hanging="332"/>
        <w:jc w:val="left"/>
      </w:pPr>
      <w:rPr>
        <w:rFonts w:ascii="Arial" w:eastAsia="Arial" w:hAnsi="Arial" w:cs="Arial" w:hint="default"/>
        <w:w w:val="99"/>
        <w:sz w:val="20"/>
        <w:szCs w:val="20"/>
      </w:rPr>
    </w:lvl>
    <w:lvl w:ilvl="2">
      <w:start w:val="1"/>
      <w:numFmt w:val="lowerLetter"/>
      <w:lvlText w:val="(%3)"/>
      <w:lvlJc w:val="left"/>
      <w:pPr>
        <w:ind w:left="2520" w:hanging="360"/>
        <w:jc w:val="left"/>
      </w:pPr>
      <w:rPr>
        <w:rFonts w:ascii="Arial" w:eastAsia="Arial" w:hAnsi="Arial" w:cs="Arial" w:hint="default"/>
        <w:w w:val="99"/>
        <w:sz w:val="20"/>
        <w:szCs w:val="20"/>
      </w:rPr>
    </w:lvl>
    <w:lvl w:ilvl="3">
      <w:numFmt w:val="bullet"/>
      <w:lvlText w:val="•"/>
      <w:lvlJc w:val="left"/>
      <w:pPr>
        <w:ind w:left="4528" w:hanging="360"/>
      </w:pPr>
      <w:rPr>
        <w:rFonts w:hint="default"/>
      </w:rPr>
    </w:lvl>
    <w:lvl w:ilvl="4">
      <w:numFmt w:val="bullet"/>
      <w:lvlText w:val="•"/>
      <w:lvlJc w:val="left"/>
      <w:pPr>
        <w:ind w:left="5533" w:hanging="360"/>
      </w:pPr>
      <w:rPr>
        <w:rFonts w:hint="default"/>
      </w:rPr>
    </w:lvl>
    <w:lvl w:ilvl="5">
      <w:numFmt w:val="bullet"/>
      <w:lvlText w:val="•"/>
      <w:lvlJc w:val="left"/>
      <w:pPr>
        <w:ind w:left="6537" w:hanging="360"/>
      </w:pPr>
      <w:rPr>
        <w:rFonts w:hint="default"/>
      </w:rPr>
    </w:lvl>
    <w:lvl w:ilvl="6">
      <w:numFmt w:val="bullet"/>
      <w:lvlText w:val="•"/>
      <w:lvlJc w:val="left"/>
      <w:pPr>
        <w:ind w:left="7542" w:hanging="360"/>
      </w:pPr>
      <w:rPr>
        <w:rFonts w:hint="default"/>
      </w:rPr>
    </w:lvl>
    <w:lvl w:ilvl="7">
      <w:numFmt w:val="bullet"/>
      <w:lvlText w:val="•"/>
      <w:lvlJc w:val="left"/>
      <w:pPr>
        <w:ind w:left="8546" w:hanging="360"/>
      </w:pPr>
      <w:rPr>
        <w:rFonts w:hint="default"/>
      </w:rPr>
    </w:lvl>
    <w:lvl w:ilvl="8">
      <w:numFmt w:val="bullet"/>
      <w:lvlText w:val="•"/>
      <w:lvlJc w:val="left"/>
      <w:pPr>
        <w:ind w:left="9551" w:hanging="360"/>
      </w:pPr>
      <w:rPr>
        <w:rFonts w:hint="default"/>
      </w:rPr>
    </w:lvl>
  </w:abstractNum>
  <w:abstractNum w:abstractNumId="1" w15:restartNumberingAfterBreak="0">
    <w:nsid w:val="13A71A01"/>
    <w:multiLevelType w:val="multilevel"/>
    <w:tmpl w:val="0942733C"/>
    <w:lvl w:ilvl="0">
      <w:start w:val="1"/>
      <w:numFmt w:val="decimal"/>
      <w:lvlText w:val="%1."/>
      <w:lvlJc w:val="left"/>
      <w:pPr>
        <w:ind w:left="1961" w:hanging="682"/>
        <w:jc w:val="left"/>
      </w:pPr>
      <w:rPr>
        <w:rFonts w:ascii="Arial" w:eastAsia="Arial" w:hAnsi="Arial" w:cs="Arial" w:hint="default"/>
        <w:color w:val="2951C1"/>
        <w:spacing w:val="-1"/>
        <w:w w:val="99"/>
        <w:sz w:val="20"/>
        <w:szCs w:val="20"/>
      </w:rPr>
    </w:lvl>
    <w:lvl w:ilvl="1">
      <w:start w:val="1"/>
      <w:numFmt w:val="decimal"/>
      <w:lvlText w:val="%1.%2"/>
      <w:lvlJc w:val="left"/>
      <w:pPr>
        <w:ind w:left="2640" w:hanging="1160"/>
        <w:jc w:val="left"/>
      </w:pPr>
      <w:rPr>
        <w:rFonts w:ascii="Arial" w:eastAsia="Arial" w:hAnsi="Arial" w:cs="Arial" w:hint="default"/>
        <w:spacing w:val="-1"/>
        <w:w w:val="99"/>
        <w:sz w:val="20"/>
        <w:szCs w:val="20"/>
      </w:rPr>
    </w:lvl>
    <w:lvl w:ilvl="2">
      <w:numFmt w:val="bullet"/>
      <w:lvlText w:val="•"/>
      <w:lvlJc w:val="left"/>
      <w:pPr>
        <w:ind w:left="3631" w:hanging="1160"/>
      </w:pPr>
      <w:rPr>
        <w:rFonts w:hint="default"/>
      </w:rPr>
    </w:lvl>
    <w:lvl w:ilvl="3">
      <w:numFmt w:val="bullet"/>
      <w:lvlText w:val="•"/>
      <w:lvlJc w:val="left"/>
      <w:pPr>
        <w:ind w:left="4622" w:hanging="1160"/>
      </w:pPr>
      <w:rPr>
        <w:rFonts w:hint="default"/>
      </w:rPr>
    </w:lvl>
    <w:lvl w:ilvl="4">
      <w:numFmt w:val="bullet"/>
      <w:lvlText w:val="•"/>
      <w:lvlJc w:val="left"/>
      <w:pPr>
        <w:ind w:left="5613" w:hanging="1160"/>
      </w:pPr>
      <w:rPr>
        <w:rFonts w:hint="default"/>
      </w:rPr>
    </w:lvl>
    <w:lvl w:ilvl="5">
      <w:numFmt w:val="bullet"/>
      <w:lvlText w:val="•"/>
      <w:lvlJc w:val="left"/>
      <w:pPr>
        <w:ind w:left="6604" w:hanging="1160"/>
      </w:pPr>
      <w:rPr>
        <w:rFonts w:hint="default"/>
      </w:rPr>
    </w:lvl>
    <w:lvl w:ilvl="6">
      <w:numFmt w:val="bullet"/>
      <w:lvlText w:val="•"/>
      <w:lvlJc w:val="left"/>
      <w:pPr>
        <w:ind w:left="7595" w:hanging="1160"/>
      </w:pPr>
      <w:rPr>
        <w:rFonts w:hint="default"/>
      </w:rPr>
    </w:lvl>
    <w:lvl w:ilvl="7">
      <w:numFmt w:val="bullet"/>
      <w:lvlText w:val="•"/>
      <w:lvlJc w:val="left"/>
      <w:pPr>
        <w:ind w:left="8586" w:hanging="1160"/>
      </w:pPr>
      <w:rPr>
        <w:rFonts w:hint="default"/>
      </w:rPr>
    </w:lvl>
    <w:lvl w:ilvl="8">
      <w:numFmt w:val="bullet"/>
      <w:lvlText w:val="•"/>
      <w:lvlJc w:val="left"/>
      <w:pPr>
        <w:ind w:left="9577" w:hanging="1160"/>
      </w:pPr>
      <w:rPr>
        <w:rFonts w:hint="default"/>
      </w:rPr>
    </w:lvl>
  </w:abstractNum>
  <w:abstractNum w:abstractNumId="2" w15:restartNumberingAfterBreak="0">
    <w:nsid w:val="16C82E42"/>
    <w:multiLevelType w:val="multilevel"/>
    <w:tmpl w:val="360A8A8C"/>
    <w:lvl w:ilvl="0">
      <w:start w:val="1"/>
      <w:numFmt w:val="decimal"/>
      <w:lvlText w:val="%1."/>
      <w:lvlJc w:val="left"/>
      <w:pPr>
        <w:ind w:left="1961" w:hanging="682"/>
        <w:jc w:val="left"/>
      </w:pPr>
      <w:rPr>
        <w:rFonts w:ascii="Arial" w:eastAsia="Arial" w:hAnsi="Arial" w:cs="Arial" w:hint="default"/>
        <w:color w:val="2951C1"/>
        <w:spacing w:val="-1"/>
        <w:w w:val="99"/>
        <w:sz w:val="20"/>
        <w:szCs w:val="20"/>
      </w:rPr>
    </w:lvl>
    <w:lvl w:ilvl="1">
      <w:start w:val="1"/>
      <w:numFmt w:val="decimal"/>
      <w:lvlText w:val="%1.%2"/>
      <w:lvlJc w:val="left"/>
      <w:pPr>
        <w:ind w:left="2640" w:hanging="1160"/>
        <w:jc w:val="left"/>
      </w:pPr>
      <w:rPr>
        <w:rFonts w:ascii="Arial" w:eastAsia="Arial" w:hAnsi="Arial" w:cs="Arial" w:hint="default"/>
        <w:spacing w:val="-1"/>
        <w:w w:val="99"/>
        <w:sz w:val="20"/>
        <w:szCs w:val="20"/>
      </w:rPr>
    </w:lvl>
    <w:lvl w:ilvl="2">
      <w:numFmt w:val="bullet"/>
      <w:lvlText w:val="•"/>
      <w:lvlJc w:val="left"/>
      <w:pPr>
        <w:ind w:left="3631" w:hanging="1160"/>
      </w:pPr>
      <w:rPr>
        <w:rFonts w:hint="default"/>
      </w:rPr>
    </w:lvl>
    <w:lvl w:ilvl="3">
      <w:numFmt w:val="bullet"/>
      <w:lvlText w:val="•"/>
      <w:lvlJc w:val="left"/>
      <w:pPr>
        <w:ind w:left="4622" w:hanging="1160"/>
      </w:pPr>
      <w:rPr>
        <w:rFonts w:hint="default"/>
      </w:rPr>
    </w:lvl>
    <w:lvl w:ilvl="4">
      <w:numFmt w:val="bullet"/>
      <w:lvlText w:val="•"/>
      <w:lvlJc w:val="left"/>
      <w:pPr>
        <w:ind w:left="5613" w:hanging="1160"/>
      </w:pPr>
      <w:rPr>
        <w:rFonts w:hint="default"/>
      </w:rPr>
    </w:lvl>
    <w:lvl w:ilvl="5">
      <w:numFmt w:val="bullet"/>
      <w:lvlText w:val="•"/>
      <w:lvlJc w:val="left"/>
      <w:pPr>
        <w:ind w:left="6604" w:hanging="1160"/>
      </w:pPr>
      <w:rPr>
        <w:rFonts w:hint="default"/>
      </w:rPr>
    </w:lvl>
    <w:lvl w:ilvl="6">
      <w:numFmt w:val="bullet"/>
      <w:lvlText w:val="•"/>
      <w:lvlJc w:val="left"/>
      <w:pPr>
        <w:ind w:left="7595" w:hanging="1160"/>
      </w:pPr>
      <w:rPr>
        <w:rFonts w:hint="default"/>
      </w:rPr>
    </w:lvl>
    <w:lvl w:ilvl="7">
      <w:numFmt w:val="bullet"/>
      <w:lvlText w:val="•"/>
      <w:lvlJc w:val="left"/>
      <w:pPr>
        <w:ind w:left="8586" w:hanging="1160"/>
      </w:pPr>
      <w:rPr>
        <w:rFonts w:hint="default"/>
      </w:rPr>
    </w:lvl>
    <w:lvl w:ilvl="8">
      <w:numFmt w:val="bullet"/>
      <w:lvlText w:val="•"/>
      <w:lvlJc w:val="left"/>
      <w:pPr>
        <w:ind w:left="9577" w:hanging="1160"/>
      </w:pPr>
      <w:rPr>
        <w:rFonts w:hint="default"/>
      </w:rPr>
    </w:lvl>
  </w:abstractNum>
  <w:abstractNum w:abstractNumId="3" w15:restartNumberingAfterBreak="0">
    <w:nsid w:val="1CC14B33"/>
    <w:multiLevelType w:val="hybridMultilevel"/>
    <w:tmpl w:val="3F4232E8"/>
    <w:lvl w:ilvl="0" w:tplc="4B2A0DAA">
      <w:start w:val="1"/>
      <w:numFmt w:val="decimal"/>
      <w:lvlText w:val="%1."/>
      <w:lvlJc w:val="left"/>
      <w:pPr>
        <w:ind w:left="1800" w:hanging="360"/>
        <w:jc w:val="left"/>
      </w:pPr>
      <w:rPr>
        <w:rFonts w:ascii="Arial" w:eastAsia="Arial" w:hAnsi="Arial" w:cs="Arial" w:hint="default"/>
        <w:spacing w:val="-1"/>
        <w:w w:val="99"/>
        <w:sz w:val="20"/>
        <w:szCs w:val="20"/>
      </w:rPr>
    </w:lvl>
    <w:lvl w:ilvl="1" w:tplc="91C0FCCC">
      <w:numFmt w:val="bullet"/>
      <w:lvlText w:val="•"/>
      <w:lvlJc w:val="left"/>
      <w:pPr>
        <w:ind w:left="2776" w:hanging="360"/>
      </w:pPr>
      <w:rPr>
        <w:rFonts w:hint="default"/>
      </w:rPr>
    </w:lvl>
    <w:lvl w:ilvl="2" w:tplc="A9BE4D34">
      <w:numFmt w:val="bullet"/>
      <w:lvlText w:val="•"/>
      <w:lvlJc w:val="left"/>
      <w:pPr>
        <w:ind w:left="3752" w:hanging="360"/>
      </w:pPr>
      <w:rPr>
        <w:rFonts w:hint="default"/>
      </w:rPr>
    </w:lvl>
    <w:lvl w:ilvl="3" w:tplc="50DC8D92">
      <w:numFmt w:val="bullet"/>
      <w:lvlText w:val="•"/>
      <w:lvlJc w:val="left"/>
      <w:pPr>
        <w:ind w:left="4728" w:hanging="360"/>
      </w:pPr>
      <w:rPr>
        <w:rFonts w:hint="default"/>
      </w:rPr>
    </w:lvl>
    <w:lvl w:ilvl="4" w:tplc="7EAAAE02">
      <w:numFmt w:val="bullet"/>
      <w:lvlText w:val="•"/>
      <w:lvlJc w:val="left"/>
      <w:pPr>
        <w:ind w:left="5704" w:hanging="360"/>
      </w:pPr>
      <w:rPr>
        <w:rFonts w:hint="default"/>
      </w:rPr>
    </w:lvl>
    <w:lvl w:ilvl="5" w:tplc="FF9A5030">
      <w:numFmt w:val="bullet"/>
      <w:lvlText w:val="•"/>
      <w:lvlJc w:val="left"/>
      <w:pPr>
        <w:ind w:left="6680" w:hanging="360"/>
      </w:pPr>
      <w:rPr>
        <w:rFonts w:hint="default"/>
      </w:rPr>
    </w:lvl>
    <w:lvl w:ilvl="6" w:tplc="D4D21C92">
      <w:numFmt w:val="bullet"/>
      <w:lvlText w:val="•"/>
      <w:lvlJc w:val="left"/>
      <w:pPr>
        <w:ind w:left="7656" w:hanging="360"/>
      </w:pPr>
      <w:rPr>
        <w:rFonts w:hint="default"/>
      </w:rPr>
    </w:lvl>
    <w:lvl w:ilvl="7" w:tplc="96C68E60">
      <w:numFmt w:val="bullet"/>
      <w:lvlText w:val="•"/>
      <w:lvlJc w:val="left"/>
      <w:pPr>
        <w:ind w:left="8632" w:hanging="360"/>
      </w:pPr>
      <w:rPr>
        <w:rFonts w:hint="default"/>
      </w:rPr>
    </w:lvl>
    <w:lvl w:ilvl="8" w:tplc="6B9CD72A">
      <w:numFmt w:val="bullet"/>
      <w:lvlText w:val="•"/>
      <w:lvlJc w:val="left"/>
      <w:pPr>
        <w:ind w:left="9608" w:hanging="360"/>
      </w:pPr>
      <w:rPr>
        <w:rFonts w:hint="default"/>
      </w:rPr>
    </w:lvl>
  </w:abstractNum>
  <w:abstractNum w:abstractNumId="4" w15:restartNumberingAfterBreak="0">
    <w:nsid w:val="218A598C"/>
    <w:multiLevelType w:val="hybridMultilevel"/>
    <w:tmpl w:val="3F283CCC"/>
    <w:lvl w:ilvl="0" w:tplc="D21C1E7E">
      <w:numFmt w:val="bullet"/>
      <w:lvlText w:val=""/>
      <w:lvlJc w:val="left"/>
      <w:pPr>
        <w:ind w:left="827" w:hanging="360"/>
      </w:pPr>
      <w:rPr>
        <w:rFonts w:ascii="Wingdings" w:eastAsia="Wingdings" w:hAnsi="Wingdings" w:cs="Wingdings" w:hint="default"/>
        <w:color w:val="30A2A9"/>
        <w:w w:val="99"/>
        <w:sz w:val="20"/>
        <w:szCs w:val="20"/>
      </w:rPr>
    </w:lvl>
    <w:lvl w:ilvl="1" w:tplc="23A855A6">
      <w:numFmt w:val="bullet"/>
      <w:lvlText w:val="•"/>
      <w:lvlJc w:val="left"/>
      <w:pPr>
        <w:ind w:left="1672" w:hanging="360"/>
      </w:pPr>
      <w:rPr>
        <w:rFonts w:hint="default"/>
      </w:rPr>
    </w:lvl>
    <w:lvl w:ilvl="2" w:tplc="1CAAF9F4">
      <w:numFmt w:val="bullet"/>
      <w:lvlText w:val="•"/>
      <w:lvlJc w:val="left"/>
      <w:pPr>
        <w:ind w:left="2524" w:hanging="360"/>
      </w:pPr>
      <w:rPr>
        <w:rFonts w:hint="default"/>
      </w:rPr>
    </w:lvl>
    <w:lvl w:ilvl="3" w:tplc="B1D01BD0">
      <w:numFmt w:val="bullet"/>
      <w:lvlText w:val="•"/>
      <w:lvlJc w:val="left"/>
      <w:pPr>
        <w:ind w:left="3376" w:hanging="360"/>
      </w:pPr>
      <w:rPr>
        <w:rFonts w:hint="default"/>
      </w:rPr>
    </w:lvl>
    <w:lvl w:ilvl="4" w:tplc="6F405F96">
      <w:numFmt w:val="bullet"/>
      <w:lvlText w:val="•"/>
      <w:lvlJc w:val="left"/>
      <w:pPr>
        <w:ind w:left="4228" w:hanging="360"/>
      </w:pPr>
      <w:rPr>
        <w:rFonts w:hint="default"/>
      </w:rPr>
    </w:lvl>
    <w:lvl w:ilvl="5" w:tplc="9C725B18">
      <w:numFmt w:val="bullet"/>
      <w:lvlText w:val="•"/>
      <w:lvlJc w:val="left"/>
      <w:pPr>
        <w:ind w:left="5081" w:hanging="360"/>
      </w:pPr>
      <w:rPr>
        <w:rFonts w:hint="default"/>
      </w:rPr>
    </w:lvl>
    <w:lvl w:ilvl="6" w:tplc="10CE2C40">
      <w:numFmt w:val="bullet"/>
      <w:lvlText w:val="•"/>
      <w:lvlJc w:val="left"/>
      <w:pPr>
        <w:ind w:left="5933" w:hanging="360"/>
      </w:pPr>
      <w:rPr>
        <w:rFonts w:hint="default"/>
      </w:rPr>
    </w:lvl>
    <w:lvl w:ilvl="7" w:tplc="05D28864">
      <w:numFmt w:val="bullet"/>
      <w:lvlText w:val="•"/>
      <w:lvlJc w:val="left"/>
      <w:pPr>
        <w:ind w:left="6785" w:hanging="360"/>
      </w:pPr>
      <w:rPr>
        <w:rFonts w:hint="default"/>
      </w:rPr>
    </w:lvl>
    <w:lvl w:ilvl="8" w:tplc="C70A87F4">
      <w:numFmt w:val="bullet"/>
      <w:lvlText w:val="•"/>
      <w:lvlJc w:val="left"/>
      <w:pPr>
        <w:ind w:left="7637" w:hanging="360"/>
      </w:pPr>
      <w:rPr>
        <w:rFonts w:hint="default"/>
      </w:rPr>
    </w:lvl>
  </w:abstractNum>
  <w:abstractNum w:abstractNumId="5" w15:restartNumberingAfterBreak="0">
    <w:nsid w:val="23A23318"/>
    <w:multiLevelType w:val="hybridMultilevel"/>
    <w:tmpl w:val="B3B83C88"/>
    <w:lvl w:ilvl="0" w:tplc="916AFCEE">
      <w:start w:val="1"/>
      <w:numFmt w:val="decimal"/>
      <w:lvlText w:val="%1."/>
      <w:lvlJc w:val="left"/>
      <w:pPr>
        <w:ind w:left="1961" w:hanging="682"/>
        <w:jc w:val="left"/>
      </w:pPr>
      <w:rPr>
        <w:rFonts w:ascii="Arial" w:eastAsia="Arial" w:hAnsi="Arial" w:cs="Arial" w:hint="default"/>
        <w:color w:val="2951C1"/>
        <w:spacing w:val="-1"/>
        <w:w w:val="99"/>
        <w:sz w:val="20"/>
        <w:szCs w:val="20"/>
      </w:rPr>
    </w:lvl>
    <w:lvl w:ilvl="1" w:tplc="F6408AAE">
      <w:numFmt w:val="bullet"/>
      <w:lvlText w:val="•"/>
      <w:lvlJc w:val="left"/>
      <w:pPr>
        <w:ind w:left="2920" w:hanging="682"/>
      </w:pPr>
      <w:rPr>
        <w:rFonts w:hint="default"/>
      </w:rPr>
    </w:lvl>
    <w:lvl w:ilvl="2" w:tplc="9D5E99B2">
      <w:numFmt w:val="bullet"/>
      <w:lvlText w:val="•"/>
      <w:lvlJc w:val="left"/>
      <w:pPr>
        <w:ind w:left="3880" w:hanging="682"/>
      </w:pPr>
      <w:rPr>
        <w:rFonts w:hint="default"/>
      </w:rPr>
    </w:lvl>
    <w:lvl w:ilvl="3" w:tplc="CDC47680">
      <w:numFmt w:val="bullet"/>
      <w:lvlText w:val="•"/>
      <w:lvlJc w:val="left"/>
      <w:pPr>
        <w:ind w:left="4840" w:hanging="682"/>
      </w:pPr>
      <w:rPr>
        <w:rFonts w:hint="default"/>
      </w:rPr>
    </w:lvl>
    <w:lvl w:ilvl="4" w:tplc="7D1863BC">
      <w:numFmt w:val="bullet"/>
      <w:lvlText w:val="•"/>
      <w:lvlJc w:val="left"/>
      <w:pPr>
        <w:ind w:left="5800" w:hanging="682"/>
      </w:pPr>
      <w:rPr>
        <w:rFonts w:hint="default"/>
      </w:rPr>
    </w:lvl>
    <w:lvl w:ilvl="5" w:tplc="ADA07E18">
      <w:numFmt w:val="bullet"/>
      <w:lvlText w:val="•"/>
      <w:lvlJc w:val="left"/>
      <w:pPr>
        <w:ind w:left="6760" w:hanging="682"/>
      </w:pPr>
      <w:rPr>
        <w:rFonts w:hint="default"/>
      </w:rPr>
    </w:lvl>
    <w:lvl w:ilvl="6" w:tplc="D0864C62">
      <w:numFmt w:val="bullet"/>
      <w:lvlText w:val="•"/>
      <w:lvlJc w:val="left"/>
      <w:pPr>
        <w:ind w:left="7720" w:hanging="682"/>
      </w:pPr>
      <w:rPr>
        <w:rFonts w:hint="default"/>
      </w:rPr>
    </w:lvl>
    <w:lvl w:ilvl="7" w:tplc="A824FD54">
      <w:numFmt w:val="bullet"/>
      <w:lvlText w:val="•"/>
      <w:lvlJc w:val="left"/>
      <w:pPr>
        <w:ind w:left="8680" w:hanging="682"/>
      </w:pPr>
      <w:rPr>
        <w:rFonts w:hint="default"/>
      </w:rPr>
    </w:lvl>
    <w:lvl w:ilvl="8" w:tplc="4A48260A">
      <w:numFmt w:val="bullet"/>
      <w:lvlText w:val="•"/>
      <w:lvlJc w:val="left"/>
      <w:pPr>
        <w:ind w:left="9640" w:hanging="682"/>
      </w:pPr>
      <w:rPr>
        <w:rFonts w:hint="default"/>
      </w:rPr>
    </w:lvl>
  </w:abstractNum>
  <w:abstractNum w:abstractNumId="6" w15:restartNumberingAfterBreak="0">
    <w:nsid w:val="26CA4F4F"/>
    <w:multiLevelType w:val="hybridMultilevel"/>
    <w:tmpl w:val="B0926C38"/>
    <w:lvl w:ilvl="0" w:tplc="1C16F0BE">
      <w:start w:val="1"/>
      <w:numFmt w:val="lowerLetter"/>
      <w:lvlText w:val="%1."/>
      <w:lvlJc w:val="left"/>
      <w:pPr>
        <w:ind w:left="1800" w:hanging="360"/>
        <w:jc w:val="left"/>
      </w:pPr>
      <w:rPr>
        <w:rFonts w:ascii="Arial" w:eastAsia="Arial" w:hAnsi="Arial" w:cs="Arial" w:hint="default"/>
        <w:spacing w:val="-1"/>
        <w:w w:val="99"/>
        <w:sz w:val="20"/>
        <w:szCs w:val="20"/>
      </w:rPr>
    </w:lvl>
    <w:lvl w:ilvl="1" w:tplc="2940FD78">
      <w:numFmt w:val="bullet"/>
      <w:lvlText w:val="•"/>
      <w:lvlJc w:val="left"/>
      <w:pPr>
        <w:ind w:left="2776" w:hanging="360"/>
      </w:pPr>
      <w:rPr>
        <w:rFonts w:hint="default"/>
      </w:rPr>
    </w:lvl>
    <w:lvl w:ilvl="2" w:tplc="A52AC322">
      <w:numFmt w:val="bullet"/>
      <w:lvlText w:val="•"/>
      <w:lvlJc w:val="left"/>
      <w:pPr>
        <w:ind w:left="3752" w:hanging="360"/>
      </w:pPr>
      <w:rPr>
        <w:rFonts w:hint="default"/>
      </w:rPr>
    </w:lvl>
    <w:lvl w:ilvl="3" w:tplc="68FE36E0">
      <w:numFmt w:val="bullet"/>
      <w:lvlText w:val="•"/>
      <w:lvlJc w:val="left"/>
      <w:pPr>
        <w:ind w:left="4728" w:hanging="360"/>
      </w:pPr>
      <w:rPr>
        <w:rFonts w:hint="default"/>
      </w:rPr>
    </w:lvl>
    <w:lvl w:ilvl="4" w:tplc="934A159A">
      <w:numFmt w:val="bullet"/>
      <w:lvlText w:val="•"/>
      <w:lvlJc w:val="left"/>
      <w:pPr>
        <w:ind w:left="5704" w:hanging="360"/>
      </w:pPr>
      <w:rPr>
        <w:rFonts w:hint="default"/>
      </w:rPr>
    </w:lvl>
    <w:lvl w:ilvl="5" w:tplc="3C0273A8">
      <w:numFmt w:val="bullet"/>
      <w:lvlText w:val="•"/>
      <w:lvlJc w:val="left"/>
      <w:pPr>
        <w:ind w:left="6680" w:hanging="360"/>
      </w:pPr>
      <w:rPr>
        <w:rFonts w:hint="default"/>
      </w:rPr>
    </w:lvl>
    <w:lvl w:ilvl="6" w:tplc="70B200BE">
      <w:numFmt w:val="bullet"/>
      <w:lvlText w:val="•"/>
      <w:lvlJc w:val="left"/>
      <w:pPr>
        <w:ind w:left="7656" w:hanging="360"/>
      </w:pPr>
      <w:rPr>
        <w:rFonts w:hint="default"/>
      </w:rPr>
    </w:lvl>
    <w:lvl w:ilvl="7" w:tplc="C7FCC866">
      <w:numFmt w:val="bullet"/>
      <w:lvlText w:val="•"/>
      <w:lvlJc w:val="left"/>
      <w:pPr>
        <w:ind w:left="8632" w:hanging="360"/>
      </w:pPr>
      <w:rPr>
        <w:rFonts w:hint="default"/>
      </w:rPr>
    </w:lvl>
    <w:lvl w:ilvl="8" w:tplc="A644F7E6">
      <w:numFmt w:val="bullet"/>
      <w:lvlText w:val="•"/>
      <w:lvlJc w:val="left"/>
      <w:pPr>
        <w:ind w:left="9608" w:hanging="360"/>
      </w:pPr>
      <w:rPr>
        <w:rFonts w:hint="default"/>
      </w:rPr>
    </w:lvl>
  </w:abstractNum>
  <w:abstractNum w:abstractNumId="7" w15:restartNumberingAfterBreak="0">
    <w:nsid w:val="2751079D"/>
    <w:multiLevelType w:val="multilevel"/>
    <w:tmpl w:val="8A36BF40"/>
    <w:lvl w:ilvl="0">
      <w:start w:val="1"/>
      <w:numFmt w:val="decimal"/>
      <w:lvlText w:val="%1."/>
      <w:lvlJc w:val="left"/>
      <w:pPr>
        <w:ind w:left="1961" w:hanging="682"/>
        <w:jc w:val="left"/>
      </w:pPr>
      <w:rPr>
        <w:rFonts w:ascii="Arial" w:eastAsia="Arial" w:hAnsi="Arial" w:cs="Arial" w:hint="default"/>
        <w:color w:val="2951C1"/>
        <w:spacing w:val="-1"/>
        <w:w w:val="99"/>
        <w:sz w:val="20"/>
        <w:szCs w:val="20"/>
      </w:rPr>
    </w:lvl>
    <w:lvl w:ilvl="1">
      <w:start w:val="1"/>
      <w:numFmt w:val="decimal"/>
      <w:lvlText w:val="%1.%2"/>
      <w:lvlJc w:val="left"/>
      <w:pPr>
        <w:ind w:left="2640" w:hanging="1160"/>
        <w:jc w:val="left"/>
      </w:pPr>
      <w:rPr>
        <w:rFonts w:ascii="Arial" w:eastAsia="Arial" w:hAnsi="Arial" w:cs="Arial" w:hint="default"/>
        <w:spacing w:val="-1"/>
        <w:w w:val="99"/>
        <w:sz w:val="20"/>
        <w:szCs w:val="20"/>
      </w:rPr>
    </w:lvl>
    <w:lvl w:ilvl="2">
      <w:numFmt w:val="bullet"/>
      <w:lvlText w:val="•"/>
      <w:lvlJc w:val="left"/>
      <w:pPr>
        <w:ind w:left="2640" w:hanging="1160"/>
      </w:pPr>
      <w:rPr>
        <w:rFonts w:hint="default"/>
      </w:rPr>
    </w:lvl>
    <w:lvl w:ilvl="3">
      <w:numFmt w:val="bullet"/>
      <w:lvlText w:val="•"/>
      <w:lvlJc w:val="left"/>
      <w:pPr>
        <w:ind w:left="3755" w:hanging="1160"/>
      </w:pPr>
      <w:rPr>
        <w:rFonts w:hint="default"/>
      </w:rPr>
    </w:lvl>
    <w:lvl w:ilvl="4">
      <w:numFmt w:val="bullet"/>
      <w:lvlText w:val="•"/>
      <w:lvlJc w:val="left"/>
      <w:pPr>
        <w:ind w:left="4870" w:hanging="1160"/>
      </w:pPr>
      <w:rPr>
        <w:rFonts w:hint="default"/>
      </w:rPr>
    </w:lvl>
    <w:lvl w:ilvl="5">
      <w:numFmt w:val="bullet"/>
      <w:lvlText w:val="•"/>
      <w:lvlJc w:val="left"/>
      <w:pPr>
        <w:ind w:left="5985" w:hanging="1160"/>
      </w:pPr>
      <w:rPr>
        <w:rFonts w:hint="default"/>
      </w:rPr>
    </w:lvl>
    <w:lvl w:ilvl="6">
      <w:numFmt w:val="bullet"/>
      <w:lvlText w:val="•"/>
      <w:lvlJc w:val="left"/>
      <w:pPr>
        <w:ind w:left="7100" w:hanging="1160"/>
      </w:pPr>
      <w:rPr>
        <w:rFonts w:hint="default"/>
      </w:rPr>
    </w:lvl>
    <w:lvl w:ilvl="7">
      <w:numFmt w:val="bullet"/>
      <w:lvlText w:val="•"/>
      <w:lvlJc w:val="left"/>
      <w:pPr>
        <w:ind w:left="8215" w:hanging="1160"/>
      </w:pPr>
      <w:rPr>
        <w:rFonts w:hint="default"/>
      </w:rPr>
    </w:lvl>
    <w:lvl w:ilvl="8">
      <w:numFmt w:val="bullet"/>
      <w:lvlText w:val="•"/>
      <w:lvlJc w:val="left"/>
      <w:pPr>
        <w:ind w:left="9330" w:hanging="1160"/>
      </w:pPr>
      <w:rPr>
        <w:rFonts w:hint="default"/>
      </w:rPr>
    </w:lvl>
  </w:abstractNum>
  <w:abstractNum w:abstractNumId="8" w15:restartNumberingAfterBreak="0">
    <w:nsid w:val="28D769CF"/>
    <w:multiLevelType w:val="hybridMultilevel"/>
    <w:tmpl w:val="0E1CB37E"/>
    <w:lvl w:ilvl="0" w:tplc="78E69AA0">
      <w:start w:val="7"/>
      <w:numFmt w:val="lowerLetter"/>
      <w:lvlText w:val="(%1)"/>
      <w:lvlJc w:val="left"/>
      <w:pPr>
        <w:ind w:left="1800" w:hanging="300"/>
        <w:jc w:val="left"/>
      </w:pPr>
      <w:rPr>
        <w:rFonts w:ascii="Arial" w:eastAsia="Arial" w:hAnsi="Arial" w:cs="Arial" w:hint="default"/>
        <w:w w:val="99"/>
        <w:sz w:val="20"/>
        <w:szCs w:val="20"/>
      </w:rPr>
    </w:lvl>
    <w:lvl w:ilvl="1" w:tplc="5692B5D0">
      <w:start w:val="1"/>
      <w:numFmt w:val="upperRoman"/>
      <w:lvlText w:val="%2."/>
      <w:lvlJc w:val="left"/>
      <w:pPr>
        <w:ind w:left="2520" w:hanging="471"/>
        <w:jc w:val="right"/>
      </w:pPr>
      <w:rPr>
        <w:rFonts w:ascii="Arial" w:eastAsia="Arial" w:hAnsi="Arial" w:cs="Arial" w:hint="default"/>
        <w:spacing w:val="-1"/>
        <w:w w:val="99"/>
        <w:sz w:val="20"/>
        <w:szCs w:val="20"/>
      </w:rPr>
    </w:lvl>
    <w:lvl w:ilvl="2" w:tplc="A0D20C70">
      <w:numFmt w:val="bullet"/>
      <w:lvlText w:val="•"/>
      <w:lvlJc w:val="left"/>
      <w:pPr>
        <w:ind w:left="3524" w:hanging="471"/>
      </w:pPr>
      <w:rPr>
        <w:rFonts w:hint="default"/>
      </w:rPr>
    </w:lvl>
    <w:lvl w:ilvl="3" w:tplc="A52C257A">
      <w:numFmt w:val="bullet"/>
      <w:lvlText w:val="•"/>
      <w:lvlJc w:val="left"/>
      <w:pPr>
        <w:ind w:left="4528" w:hanging="471"/>
      </w:pPr>
      <w:rPr>
        <w:rFonts w:hint="default"/>
      </w:rPr>
    </w:lvl>
    <w:lvl w:ilvl="4" w:tplc="3AD6A838">
      <w:numFmt w:val="bullet"/>
      <w:lvlText w:val="•"/>
      <w:lvlJc w:val="left"/>
      <w:pPr>
        <w:ind w:left="5533" w:hanging="471"/>
      </w:pPr>
      <w:rPr>
        <w:rFonts w:hint="default"/>
      </w:rPr>
    </w:lvl>
    <w:lvl w:ilvl="5" w:tplc="1110FDCC">
      <w:numFmt w:val="bullet"/>
      <w:lvlText w:val="•"/>
      <w:lvlJc w:val="left"/>
      <w:pPr>
        <w:ind w:left="6537" w:hanging="471"/>
      </w:pPr>
      <w:rPr>
        <w:rFonts w:hint="default"/>
      </w:rPr>
    </w:lvl>
    <w:lvl w:ilvl="6" w:tplc="1EF4CA08">
      <w:numFmt w:val="bullet"/>
      <w:lvlText w:val="•"/>
      <w:lvlJc w:val="left"/>
      <w:pPr>
        <w:ind w:left="7542" w:hanging="471"/>
      </w:pPr>
      <w:rPr>
        <w:rFonts w:hint="default"/>
      </w:rPr>
    </w:lvl>
    <w:lvl w:ilvl="7" w:tplc="198219FC">
      <w:numFmt w:val="bullet"/>
      <w:lvlText w:val="•"/>
      <w:lvlJc w:val="left"/>
      <w:pPr>
        <w:ind w:left="8546" w:hanging="471"/>
      </w:pPr>
      <w:rPr>
        <w:rFonts w:hint="default"/>
      </w:rPr>
    </w:lvl>
    <w:lvl w:ilvl="8" w:tplc="393ABE78">
      <w:numFmt w:val="bullet"/>
      <w:lvlText w:val="•"/>
      <w:lvlJc w:val="left"/>
      <w:pPr>
        <w:ind w:left="9551" w:hanging="471"/>
      </w:pPr>
      <w:rPr>
        <w:rFonts w:hint="default"/>
      </w:rPr>
    </w:lvl>
  </w:abstractNum>
  <w:abstractNum w:abstractNumId="9" w15:restartNumberingAfterBreak="0">
    <w:nsid w:val="29B664D9"/>
    <w:multiLevelType w:val="multilevel"/>
    <w:tmpl w:val="A056A972"/>
    <w:lvl w:ilvl="0">
      <w:start w:val="1"/>
      <w:numFmt w:val="decimal"/>
      <w:lvlText w:val="%1."/>
      <w:lvlJc w:val="left"/>
      <w:pPr>
        <w:ind w:left="1080" w:hanging="720"/>
        <w:jc w:val="left"/>
      </w:pPr>
      <w:rPr>
        <w:rFonts w:ascii="Arial" w:eastAsia="Arial" w:hAnsi="Arial" w:cs="Arial" w:hint="default"/>
        <w:b/>
        <w:bCs/>
        <w:color w:val="087ADA"/>
        <w:w w:val="100"/>
        <w:sz w:val="28"/>
        <w:szCs w:val="28"/>
      </w:rPr>
    </w:lvl>
    <w:lvl w:ilvl="1">
      <w:start w:val="1"/>
      <w:numFmt w:val="decimal"/>
      <w:lvlText w:val="%1.%2"/>
      <w:lvlJc w:val="left"/>
      <w:pPr>
        <w:ind w:left="1800" w:hanging="720"/>
        <w:jc w:val="left"/>
      </w:pPr>
      <w:rPr>
        <w:rFonts w:ascii="Arial" w:eastAsia="Arial" w:hAnsi="Arial" w:cs="Arial" w:hint="default"/>
        <w:b/>
        <w:bCs/>
        <w:color w:val="006FC0"/>
        <w:spacing w:val="-2"/>
        <w:w w:val="99"/>
        <w:sz w:val="24"/>
        <w:szCs w:val="24"/>
      </w:rPr>
    </w:lvl>
    <w:lvl w:ilvl="2">
      <w:numFmt w:val="bullet"/>
      <w:lvlText w:val="•"/>
      <w:lvlJc w:val="left"/>
      <w:pPr>
        <w:ind w:left="2884" w:hanging="720"/>
      </w:pPr>
      <w:rPr>
        <w:rFonts w:hint="default"/>
      </w:rPr>
    </w:lvl>
    <w:lvl w:ilvl="3">
      <w:numFmt w:val="bullet"/>
      <w:lvlText w:val="•"/>
      <w:lvlJc w:val="left"/>
      <w:pPr>
        <w:ind w:left="3968" w:hanging="720"/>
      </w:pPr>
      <w:rPr>
        <w:rFonts w:hint="default"/>
      </w:rPr>
    </w:lvl>
    <w:lvl w:ilvl="4">
      <w:numFmt w:val="bullet"/>
      <w:lvlText w:val="•"/>
      <w:lvlJc w:val="left"/>
      <w:pPr>
        <w:ind w:left="5053" w:hanging="720"/>
      </w:pPr>
      <w:rPr>
        <w:rFonts w:hint="default"/>
      </w:rPr>
    </w:lvl>
    <w:lvl w:ilvl="5">
      <w:numFmt w:val="bullet"/>
      <w:lvlText w:val="•"/>
      <w:lvlJc w:val="left"/>
      <w:pPr>
        <w:ind w:left="6137" w:hanging="720"/>
      </w:pPr>
      <w:rPr>
        <w:rFonts w:hint="default"/>
      </w:rPr>
    </w:lvl>
    <w:lvl w:ilvl="6">
      <w:numFmt w:val="bullet"/>
      <w:lvlText w:val="•"/>
      <w:lvlJc w:val="left"/>
      <w:pPr>
        <w:ind w:left="7222" w:hanging="720"/>
      </w:pPr>
      <w:rPr>
        <w:rFonts w:hint="default"/>
      </w:rPr>
    </w:lvl>
    <w:lvl w:ilvl="7">
      <w:numFmt w:val="bullet"/>
      <w:lvlText w:val="•"/>
      <w:lvlJc w:val="left"/>
      <w:pPr>
        <w:ind w:left="8306" w:hanging="720"/>
      </w:pPr>
      <w:rPr>
        <w:rFonts w:hint="default"/>
      </w:rPr>
    </w:lvl>
    <w:lvl w:ilvl="8">
      <w:numFmt w:val="bullet"/>
      <w:lvlText w:val="•"/>
      <w:lvlJc w:val="left"/>
      <w:pPr>
        <w:ind w:left="9391" w:hanging="720"/>
      </w:pPr>
      <w:rPr>
        <w:rFonts w:hint="default"/>
      </w:rPr>
    </w:lvl>
  </w:abstractNum>
  <w:abstractNum w:abstractNumId="10" w15:restartNumberingAfterBreak="0">
    <w:nsid w:val="2D2055F5"/>
    <w:multiLevelType w:val="hybridMultilevel"/>
    <w:tmpl w:val="A5CCFAA2"/>
    <w:lvl w:ilvl="0" w:tplc="AB2EB0F8">
      <w:start w:val="3"/>
      <w:numFmt w:val="decimal"/>
      <w:lvlText w:val="%1"/>
      <w:lvlJc w:val="left"/>
      <w:pPr>
        <w:ind w:left="1080" w:hanging="135"/>
        <w:jc w:val="left"/>
      </w:pPr>
      <w:rPr>
        <w:rFonts w:ascii="Arial" w:eastAsia="Arial" w:hAnsi="Arial" w:cs="Arial" w:hint="default"/>
        <w:w w:val="100"/>
        <w:sz w:val="16"/>
        <w:szCs w:val="16"/>
      </w:rPr>
    </w:lvl>
    <w:lvl w:ilvl="1" w:tplc="D152AC5E">
      <w:start w:val="1"/>
      <w:numFmt w:val="lowerLetter"/>
      <w:lvlText w:val="%2."/>
      <w:lvlJc w:val="left"/>
      <w:pPr>
        <w:ind w:left="2213" w:hanging="360"/>
        <w:jc w:val="left"/>
      </w:pPr>
      <w:rPr>
        <w:rFonts w:ascii="Arial" w:eastAsia="Arial" w:hAnsi="Arial" w:cs="Arial" w:hint="default"/>
        <w:spacing w:val="-1"/>
        <w:w w:val="99"/>
        <w:sz w:val="20"/>
        <w:szCs w:val="20"/>
      </w:rPr>
    </w:lvl>
    <w:lvl w:ilvl="2" w:tplc="3FDEA764">
      <w:numFmt w:val="bullet"/>
      <w:lvlText w:val="•"/>
      <w:lvlJc w:val="left"/>
      <w:pPr>
        <w:ind w:left="3257" w:hanging="360"/>
      </w:pPr>
      <w:rPr>
        <w:rFonts w:hint="default"/>
      </w:rPr>
    </w:lvl>
    <w:lvl w:ilvl="3" w:tplc="5978DA5C">
      <w:numFmt w:val="bullet"/>
      <w:lvlText w:val="•"/>
      <w:lvlJc w:val="left"/>
      <w:pPr>
        <w:ind w:left="4295" w:hanging="360"/>
      </w:pPr>
      <w:rPr>
        <w:rFonts w:hint="default"/>
      </w:rPr>
    </w:lvl>
    <w:lvl w:ilvl="4" w:tplc="8FBCA6B0">
      <w:numFmt w:val="bullet"/>
      <w:lvlText w:val="•"/>
      <w:lvlJc w:val="left"/>
      <w:pPr>
        <w:ind w:left="5333" w:hanging="360"/>
      </w:pPr>
      <w:rPr>
        <w:rFonts w:hint="default"/>
      </w:rPr>
    </w:lvl>
    <w:lvl w:ilvl="5" w:tplc="27AC7CBE">
      <w:numFmt w:val="bullet"/>
      <w:lvlText w:val="•"/>
      <w:lvlJc w:val="left"/>
      <w:pPr>
        <w:ind w:left="6371" w:hanging="360"/>
      </w:pPr>
      <w:rPr>
        <w:rFonts w:hint="default"/>
      </w:rPr>
    </w:lvl>
    <w:lvl w:ilvl="6" w:tplc="250CA3E0">
      <w:numFmt w:val="bullet"/>
      <w:lvlText w:val="•"/>
      <w:lvlJc w:val="left"/>
      <w:pPr>
        <w:ind w:left="7408" w:hanging="360"/>
      </w:pPr>
      <w:rPr>
        <w:rFonts w:hint="default"/>
      </w:rPr>
    </w:lvl>
    <w:lvl w:ilvl="7" w:tplc="4002F45C">
      <w:numFmt w:val="bullet"/>
      <w:lvlText w:val="•"/>
      <w:lvlJc w:val="left"/>
      <w:pPr>
        <w:ind w:left="8446" w:hanging="360"/>
      </w:pPr>
      <w:rPr>
        <w:rFonts w:hint="default"/>
      </w:rPr>
    </w:lvl>
    <w:lvl w:ilvl="8" w:tplc="EE4EC58E">
      <w:numFmt w:val="bullet"/>
      <w:lvlText w:val="•"/>
      <w:lvlJc w:val="left"/>
      <w:pPr>
        <w:ind w:left="9484" w:hanging="360"/>
      </w:pPr>
      <w:rPr>
        <w:rFonts w:hint="default"/>
      </w:rPr>
    </w:lvl>
  </w:abstractNum>
  <w:abstractNum w:abstractNumId="11" w15:restartNumberingAfterBreak="0">
    <w:nsid w:val="316E177B"/>
    <w:multiLevelType w:val="hybridMultilevel"/>
    <w:tmpl w:val="03E274CE"/>
    <w:lvl w:ilvl="0" w:tplc="943C4AEA">
      <w:numFmt w:val="bullet"/>
      <w:lvlText w:val=""/>
      <w:lvlJc w:val="left"/>
      <w:pPr>
        <w:ind w:left="827" w:hanging="360"/>
      </w:pPr>
      <w:rPr>
        <w:rFonts w:ascii="Wingdings" w:eastAsia="Wingdings" w:hAnsi="Wingdings" w:cs="Wingdings" w:hint="default"/>
        <w:color w:val="30A2A9"/>
        <w:w w:val="99"/>
        <w:sz w:val="20"/>
        <w:szCs w:val="20"/>
      </w:rPr>
    </w:lvl>
    <w:lvl w:ilvl="1" w:tplc="7DCC6D2A">
      <w:numFmt w:val="bullet"/>
      <w:lvlText w:val="•"/>
      <w:lvlJc w:val="left"/>
      <w:pPr>
        <w:ind w:left="1375" w:hanging="360"/>
      </w:pPr>
      <w:rPr>
        <w:rFonts w:hint="default"/>
      </w:rPr>
    </w:lvl>
    <w:lvl w:ilvl="2" w:tplc="48623716">
      <w:numFmt w:val="bullet"/>
      <w:lvlText w:val="•"/>
      <w:lvlJc w:val="left"/>
      <w:pPr>
        <w:ind w:left="1930" w:hanging="360"/>
      </w:pPr>
      <w:rPr>
        <w:rFonts w:hint="default"/>
      </w:rPr>
    </w:lvl>
    <w:lvl w:ilvl="3" w:tplc="B436ED3A">
      <w:numFmt w:val="bullet"/>
      <w:lvlText w:val="•"/>
      <w:lvlJc w:val="left"/>
      <w:pPr>
        <w:ind w:left="2485" w:hanging="360"/>
      </w:pPr>
      <w:rPr>
        <w:rFonts w:hint="default"/>
      </w:rPr>
    </w:lvl>
    <w:lvl w:ilvl="4" w:tplc="4D0E7FF4">
      <w:numFmt w:val="bullet"/>
      <w:lvlText w:val="•"/>
      <w:lvlJc w:val="left"/>
      <w:pPr>
        <w:ind w:left="3040" w:hanging="360"/>
      </w:pPr>
      <w:rPr>
        <w:rFonts w:hint="default"/>
      </w:rPr>
    </w:lvl>
    <w:lvl w:ilvl="5" w:tplc="46D4AB6A">
      <w:numFmt w:val="bullet"/>
      <w:lvlText w:val="•"/>
      <w:lvlJc w:val="left"/>
      <w:pPr>
        <w:ind w:left="3595" w:hanging="360"/>
      </w:pPr>
      <w:rPr>
        <w:rFonts w:hint="default"/>
      </w:rPr>
    </w:lvl>
    <w:lvl w:ilvl="6" w:tplc="8542D052">
      <w:numFmt w:val="bullet"/>
      <w:lvlText w:val="•"/>
      <w:lvlJc w:val="left"/>
      <w:pPr>
        <w:ind w:left="4150" w:hanging="360"/>
      </w:pPr>
      <w:rPr>
        <w:rFonts w:hint="default"/>
      </w:rPr>
    </w:lvl>
    <w:lvl w:ilvl="7" w:tplc="8640B6F4">
      <w:numFmt w:val="bullet"/>
      <w:lvlText w:val="•"/>
      <w:lvlJc w:val="left"/>
      <w:pPr>
        <w:ind w:left="4705" w:hanging="360"/>
      </w:pPr>
      <w:rPr>
        <w:rFonts w:hint="default"/>
      </w:rPr>
    </w:lvl>
    <w:lvl w:ilvl="8" w:tplc="36ACDFBE">
      <w:numFmt w:val="bullet"/>
      <w:lvlText w:val="•"/>
      <w:lvlJc w:val="left"/>
      <w:pPr>
        <w:ind w:left="5260" w:hanging="360"/>
      </w:pPr>
      <w:rPr>
        <w:rFonts w:hint="default"/>
      </w:rPr>
    </w:lvl>
  </w:abstractNum>
  <w:abstractNum w:abstractNumId="12" w15:restartNumberingAfterBreak="0">
    <w:nsid w:val="390F225C"/>
    <w:multiLevelType w:val="hybridMultilevel"/>
    <w:tmpl w:val="C6C85DB2"/>
    <w:lvl w:ilvl="0" w:tplc="CA1640BE">
      <w:start w:val="1"/>
      <w:numFmt w:val="lowerLetter"/>
      <w:lvlText w:val="%1)"/>
      <w:lvlJc w:val="left"/>
      <w:pPr>
        <w:ind w:left="827" w:hanging="360"/>
        <w:jc w:val="left"/>
      </w:pPr>
      <w:rPr>
        <w:rFonts w:ascii="Arial" w:eastAsia="Arial" w:hAnsi="Arial" w:cs="Arial" w:hint="default"/>
        <w:spacing w:val="-1"/>
        <w:w w:val="99"/>
        <w:sz w:val="20"/>
        <w:szCs w:val="20"/>
      </w:rPr>
    </w:lvl>
    <w:lvl w:ilvl="1" w:tplc="075A89B2">
      <w:numFmt w:val="bullet"/>
      <w:lvlText w:val="•"/>
      <w:lvlJc w:val="left"/>
      <w:pPr>
        <w:ind w:left="1375" w:hanging="360"/>
      </w:pPr>
      <w:rPr>
        <w:rFonts w:hint="default"/>
      </w:rPr>
    </w:lvl>
    <w:lvl w:ilvl="2" w:tplc="DEEA6624">
      <w:numFmt w:val="bullet"/>
      <w:lvlText w:val="•"/>
      <w:lvlJc w:val="left"/>
      <w:pPr>
        <w:ind w:left="1930" w:hanging="360"/>
      </w:pPr>
      <w:rPr>
        <w:rFonts w:hint="default"/>
      </w:rPr>
    </w:lvl>
    <w:lvl w:ilvl="3" w:tplc="F3246E8E">
      <w:numFmt w:val="bullet"/>
      <w:lvlText w:val="•"/>
      <w:lvlJc w:val="left"/>
      <w:pPr>
        <w:ind w:left="2485" w:hanging="360"/>
      </w:pPr>
      <w:rPr>
        <w:rFonts w:hint="default"/>
      </w:rPr>
    </w:lvl>
    <w:lvl w:ilvl="4" w:tplc="BD201652">
      <w:numFmt w:val="bullet"/>
      <w:lvlText w:val="•"/>
      <w:lvlJc w:val="left"/>
      <w:pPr>
        <w:ind w:left="3040" w:hanging="360"/>
      </w:pPr>
      <w:rPr>
        <w:rFonts w:hint="default"/>
      </w:rPr>
    </w:lvl>
    <w:lvl w:ilvl="5" w:tplc="BE0EBF94">
      <w:numFmt w:val="bullet"/>
      <w:lvlText w:val="•"/>
      <w:lvlJc w:val="left"/>
      <w:pPr>
        <w:ind w:left="3595" w:hanging="360"/>
      </w:pPr>
      <w:rPr>
        <w:rFonts w:hint="default"/>
      </w:rPr>
    </w:lvl>
    <w:lvl w:ilvl="6" w:tplc="2FF674AC">
      <w:numFmt w:val="bullet"/>
      <w:lvlText w:val="•"/>
      <w:lvlJc w:val="left"/>
      <w:pPr>
        <w:ind w:left="4150" w:hanging="360"/>
      </w:pPr>
      <w:rPr>
        <w:rFonts w:hint="default"/>
      </w:rPr>
    </w:lvl>
    <w:lvl w:ilvl="7" w:tplc="8198414E">
      <w:numFmt w:val="bullet"/>
      <w:lvlText w:val="•"/>
      <w:lvlJc w:val="left"/>
      <w:pPr>
        <w:ind w:left="4705" w:hanging="360"/>
      </w:pPr>
      <w:rPr>
        <w:rFonts w:hint="default"/>
      </w:rPr>
    </w:lvl>
    <w:lvl w:ilvl="8" w:tplc="C59688E6">
      <w:numFmt w:val="bullet"/>
      <w:lvlText w:val="•"/>
      <w:lvlJc w:val="left"/>
      <w:pPr>
        <w:ind w:left="5260" w:hanging="360"/>
      </w:pPr>
      <w:rPr>
        <w:rFonts w:hint="default"/>
      </w:rPr>
    </w:lvl>
  </w:abstractNum>
  <w:abstractNum w:abstractNumId="13" w15:restartNumberingAfterBreak="0">
    <w:nsid w:val="40F0700B"/>
    <w:multiLevelType w:val="hybridMultilevel"/>
    <w:tmpl w:val="715C6FEC"/>
    <w:lvl w:ilvl="0" w:tplc="2FB00028">
      <w:start w:val="1"/>
      <w:numFmt w:val="decimal"/>
      <w:lvlText w:val="%1."/>
      <w:lvlJc w:val="left"/>
      <w:pPr>
        <w:ind w:left="1800" w:hanging="360"/>
        <w:jc w:val="left"/>
      </w:pPr>
      <w:rPr>
        <w:rFonts w:ascii="Calibri" w:eastAsia="Calibri" w:hAnsi="Calibri" w:cs="Calibri" w:hint="default"/>
        <w:b/>
        <w:bCs/>
        <w:spacing w:val="-1"/>
        <w:w w:val="99"/>
        <w:sz w:val="20"/>
        <w:szCs w:val="20"/>
      </w:rPr>
    </w:lvl>
    <w:lvl w:ilvl="1" w:tplc="5126ACF0">
      <w:start w:val="1"/>
      <w:numFmt w:val="lowerLetter"/>
      <w:lvlText w:val="%2."/>
      <w:lvlJc w:val="left"/>
      <w:pPr>
        <w:ind w:left="2520" w:hanging="360"/>
        <w:jc w:val="left"/>
      </w:pPr>
      <w:rPr>
        <w:rFonts w:ascii="Arial" w:eastAsia="Arial" w:hAnsi="Arial" w:cs="Arial" w:hint="default"/>
        <w:spacing w:val="-1"/>
        <w:w w:val="99"/>
        <w:sz w:val="20"/>
        <w:szCs w:val="20"/>
      </w:rPr>
    </w:lvl>
    <w:lvl w:ilvl="2" w:tplc="FF8EA3E2">
      <w:numFmt w:val="bullet"/>
      <w:lvlText w:val="•"/>
      <w:lvlJc w:val="left"/>
      <w:pPr>
        <w:ind w:left="3524" w:hanging="360"/>
      </w:pPr>
      <w:rPr>
        <w:rFonts w:hint="default"/>
      </w:rPr>
    </w:lvl>
    <w:lvl w:ilvl="3" w:tplc="C5A62B4C">
      <w:numFmt w:val="bullet"/>
      <w:lvlText w:val="•"/>
      <w:lvlJc w:val="left"/>
      <w:pPr>
        <w:ind w:left="4528" w:hanging="360"/>
      </w:pPr>
      <w:rPr>
        <w:rFonts w:hint="default"/>
      </w:rPr>
    </w:lvl>
    <w:lvl w:ilvl="4" w:tplc="8EBAFC36">
      <w:numFmt w:val="bullet"/>
      <w:lvlText w:val="•"/>
      <w:lvlJc w:val="left"/>
      <w:pPr>
        <w:ind w:left="5533" w:hanging="360"/>
      </w:pPr>
      <w:rPr>
        <w:rFonts w:hint="default"/>
      </w:rPr>
    </w:lvl>
    <w:lvl w:ilvl="5" w:tplc="40B8267C">
      <w:numFmt w:val="bullet"/>
      <w:lvlText w:val="•"/>
      <w:lvlJc w:val="left"/>
      <w:pPr>
        <w:ind w:left="6537" w:hanging="360"/>
      </w:pPr>
      <w:rPr>
        <w:rFonts w:hint="default"/>
      </w:rPr>
    </w:lvl>
    <w:lvl w:ilvl="6" w:tplc="E036FC6A">
      <w:numFmt w:val="bullet"/>
      <w:lvlText w:val="•"/>
      <w:lvlJc w:val="left"/>
      <w:pPr>
        <w:ind w:left="7542" w:hanging="360"/>
      </w:pPr>
      <w:rPr>
        <w:rFonts w:hint="default"/>
      </w:rPr>
    </w:lvl>
    <w:lvl w:ilvl="7" w:tplc="2FC8575C">
      <w:numFmt w:val="bullet"/>
      <w:lvlText w:val="•"/>
      <w:lvlJc w:val="left"/>
      <w:pPr>
        <w:ind w:left="8546" w:hanging="360"/>
      </w:pPr>
      <w:rPr>
        <w:rFonts w:hint="default"/>
      </w:rPr>
    </w:lvl>
    <w:lvl w:ilvl="8" w:tplc="C09EFA18">
      <w:numFmt w:val="bullet"/>
      <w:lvlText w:val="•"/>
      <w:lvlJc w:val="left"/>
      <w:pPr>
        <w:ind w:left="9551" w:hanging="360"/>
      </w:pPr>
      <w:rPr>
        <w:rFonts w:hint="default"/>
      </w:rPr>
    </w:lvl>
  </w:abstractNum>
  <w:abstractNum w:abstractNumId="14" w15:restartNumberingAfterBreak="0">
    <w:nsid w:val="411F135C"/>
    <w:multiLevelType w:val="hybridMultilevel"/>
    <w:tmpl w:val="C3008038"/>
    <w:lvl w:ilvl="0" w:tplc="419EB57A">
      <w:numFmt w:val="bullet"/>
      <w:lvlText w:val=""/>
      <w:lvlJc w:val="left"/>
      <w:pPr>
        <w:ind w:left="827" w:hanging="360"/>
      </w:pPr>
      <w:rPr>
        <w:rFonts w:ascii="Wingdings" w:eastAsia="Wingdings" w:hAnsi="Wingdings" w:cs="Wingdings" w:hint="default"/>
        <w:color w:val="30A2A9"/>
        <w:w w:val="99"/>
        <w:sz w:val="20"/>
        <w:szCs w:val="20"/>
      </w:rPr>
    </w:lvl>
    <w:lvl w:ilvl="1" w:tplc="AB3E0FDE">
      <w:numFmt w:val="bullet"/>
      <w:lvlText w:val="•"/>
      <w:lvlJc w:val="left"/>
      <w:pPr>
        <w:ind w:left="1375" w:hanging="360"/>
      </w:pPr>
      <w:rPr>
        <w:rFonts w:hint="default"/>
      </w:rPr>
    </w:lvl>
    <w:lvl w:ilvl="2" w:tplc="143A47C0">
      <w:numFmt w:val="bullet"/>
      <w:lvlText w:val="•"/>
      <w:lvlJc w:val="left"/>
      <w:pPr>
        <w:ind w:left="1930" w:hanging="360"/>
      </w:pPr>
      <w:rPr>
        <w:rFonts w:hint="default"/>
      </w:rPr>
    </w:lvl>
    <w:lvl w:ilvl="3" w:tplc="18C82658">
      <w:numFmt w:val="bullet"/>
      <w:lvlText w:val="•"/>
      <w:lvlJc w:val="left"/>
      <w:pPr>
        <w:ind w:left="2485" w:hanging="360"/>
      </w:pPr>
      <w:rPr>
        <w:rFonts w:hint="default"/>
      </w:rPr>
    </w:lvl>
    <w:lvl w:ilvl="4" w:tplc="84321650">
      <w:numFmt w:val="bullet"/>
      <w:lvlText w:val="•"/>
      <w:lvlJc w:val="left"/>
      <w:pPr>
        <w:ind w:left="3040" w:hanging="360"/>
      </w:pPr>
      <w:rPr>
        <w:rFonts w:hint="default"/>
      </w:rPr>
    </w:lvl>
    <w:lvl w:ilvl="5" w:tplc="540489EE">
      <w:numFmt w:val="bullet"/>
      <w:lvlText w:val="•"/>
      <w:lvlJc w:val="left"/>
      <w:pPr>
        <w:ind w:left="3595" w:hanging="360"/>
      </w:pPr>
      <w:rPr>
        <w:rFonts w:hint="default"/>
      </w:rPr>
    </w:lvl>
    <w:lvl w:ilvl="6" w:tplc="D38C569C">
      <w:numFmt w:val="bullet"/>
      <w:lvlText w:val="•"/>
      <w:lvlJc w:val="left"/>
      <w:pPr>
        <w:ind w:left="4150" w:hanging="360"/>
      </w:pPr>
      <w:rPr>
        <w:rFonts w:hint="default"/>
      </w:rPr>
    </w:lvl>
    <w:lvl w:ilvl="7" w:tplc="2F54F028">
      <w:numFmt w:val="bullet"/>
      <w:lvlText w:val="•"/>
      <w:lvlJc w:val="left"/>
      <w:pPr>
        <w:ind w:left="4705" w:hanging="360"/>
      </w:pPr>
      <w:rPr>
        <w:rFonts w:hint="default"/>
      </w:rPr>
    </w:lvl>
    <w:lvl w:ilvl="8" w:tplc="DFAEB8B0">
      <w:numFmt w:val="bullet"/>
      <w:lvlText w:val="•"/>
      <w:lvlJc w:val="left"/>
      <w:pPr>
        <w:ind w:left="5260" w:hanging="360"/>
      </w:pPr>
      <w:rPr>
        <w:rFonts w:hint="default"/>
      </w:rPr>
    </w:lvl>
  </w:abstractNum>
  <w:abstractNum w:abstractNumId="15" w15:restartNumberingAfterBreak="0">
    <w:nsid w:val="47B52ABD"/>
    <w:multiLevelType w:val="hybridMultilevel"/>
    <w:tmpl w:val="8A50BDAA"/>
    <w:lvl w:ilvl="0" w:tplc="B2D2C5C2">
      <w:start w:val="30"/>
      <w:numFmt w:val="decimal"/>
      <w:lvlText w:val="%1"/>
      <w:lvlJc w:val="left"/>
      <w:pPr>
        <w:ind w:left="1080" w:hanging="224"/>
        <w:jc w:val="left"/>
      </w:pPr>
      <w:rPr>
        <w:rFonts w:ascii="Arial" w:eastAsia="Arial" w:hAnsi="Arial" w:cs="Arial" w:hint="default"/>
        <w:spacing w:val="-1"/>
        <w:w w:val="100"/>
        <w:sz w:val="16"/>
        <w:szCs w:val="16"/>
      </w:rPr>
    </w:lvl>
    <w:lvl w:ilvl="1" w:tplc="5B5673F0">
      <w:start w:val="1"/>
      <w:numFmt w:val="decimal"/>
      <w:lvlText w:val="%2."/>
      <w:lvlJc w:val="left"/>
      <w:pPr>
        <w:ind w:left="1913" w:hanging="360"/>
        <w:jc w:val="left"/>
      </w:pPr>
      <w:rPr>
        <w:rFonts w:ascii="Arial" w:eastAsia="Arial" w:hAnsi="Arial" w:cs="Arial" w:hint="default"/>
        <w:spacing w:val="-1"/>
        <w:w w:val="99"/>
        <w:sz w:val="20"/>
        <w:szCs w:val="20"/>
      </w:rPr>
    </w:lvl>
    <w:lvl w:ilvl="2" w:tplc="3F8E825C">
      <w:start w:val="1"/>
      <w:numFmt w:val="lowerLetter"/>
      <w:lvlText w:val="%3."/>
      <w:lvlJc w:val="left"/>
      <w:pPr>
        <w:ind w:left="2633" w:hanging="360"/>
        <w:jc w:val="left"/>
      </w:pPr>
      <w:rPr>
        <w:rFonts w:hint="default"/>
        <w:spacing w:val="-1"/>
        <w:w w:val="99"/>
      </w:rPr>
    </w:lvl>
    <w:lvl w:ilvl="3" w:tplc="ABF098F0">
      <w:numFmt w:val="bullet"/>
      <w:lvlText w:val="•"/>
      <w:lvlJc w:val="left"/>
      <w:pPr>
        <w:ind w:left="3755" w:hanging="360"/>
      </w:pPr>
      <w:rPr>
        <w:rFonts w:hint="default"/>
      </w:rPr>
    </w:lvl>
    <w:lvl w:ilvl="4" w:tplc="C9F2E73A">
      <w:numFmt w:val="bullet"/>
      <w:lvlText w:val="•"/>
      <w:lvlJc w:val="left"/>
      <w:pPr>
        <w:ind w:left="4870" w:hanging="360"/>
      </w:pPr>
      <w:rPr>
        <w:rFonts w:hint="default"/>
      </w:rPr>
    </w:lvl>
    <w:lvl w:ilvl="5" w:tplc="18BE8B78">
      <w:numFmt w:val="bullet"/>
      <w:lvlText w:val="•"/>
      <w:lvlJc w:val="left"/>
      <w:pPr>
        <w:ind w:left="5985" w:hanging="360"/>
      </w:pPr>
      <w:rPr>
        <w:rFonts w:hint="default"/>
      </w:rPr>
    </w:lvl>
    <w:lvl w:ilvl="6" w:tplc="FDCC27FA">
      <w:numFmt w:val="bullet"/>
      <w:lvlText w:val="•"/>
      <w:lvlJc w:val="left"/>
      <w:pPr>
        <w:ind w:left="7100" w:hanging="360"/>
      </w:pPr>
      <w:rPr>
        <w:rFonts w:hint="default"/>
      </w:rPr>
    </w:lvl>
    <w:lvl w:ilvl="7" w:tplc="0F0805A2">
      <w:numFmt w:val="bullet"/>
      <w:lvlText w:val="•"/>
      <w:lvlJc w:val="left"/>
      <w:pPr>
        <w:ind w:left="8215" w:hanging="360"/>
      </w:pPr>
      <w:rPr>
        <w:rFonts w:hint="default"/>
      </w:rPr>
    </w:lvl>
    <w:lvl w:ilvl="8" w:tplc="87E85850">
      <w:numFmt w:val="bullet"/>
      <w:lvlText w:val="•"/>
      <w:lvlJc w:val="left"/>
      <w:pPr>
        <w:ind w:left="9330" w:hanging="360"/>
      </w:pPr>
      <w:rPr>
        <w:rFonts w:hint="default"/>
      </w:rPr>
    </w:lvl>
  </w:abstractNum>
  <w:abstractNum w:abstractNumId="16" w15:restartNumberingAfterBreak="0">
    <w:nsid w:val="47FC415E"/>
    <w:multiLevelType w:val="hybridMultilevel"/>
    <w:tmpl w:val="07DC06CE"/>
    <w:lvl w:ilvl="0" w:tplc="89B45544">
      <w:start w:val="26"/>
      <w:numFmt w:val="decimal"/>
      <w:lvlText w:val="%1"/>
      <w:lvlJc w:val="left"/>
      <w:pPr>
        <w:ind w:left="1303" w:hanging="224"/>
        <w:jc w:val="left"/>
      </w:pPr>
      <w:rPr>
        <w:rFonts w:ascii="Arial" w:eastAsia="Arial" w:hAnsi="Arial" w:cs="Arial" w:hint="default"/>
        <w:spacing w:val="-1"/>
        <w:w w:val="100"/>
        <w:sz w:val="16"/>
        <w:szCs w:val="16"/>
      </w:rPr>
    </w:lvl>
    <w:lvl w:ilvl="1" w:tplc="A754EF48">
      <w:numFmt w:val="bullet"/>
      <w:lvlText w:val="•"/>
      <w:lvlJc w:val="left"/>
      <w:pPr>
        <w:ind w:left="2326" w:hanging="224"/>
      </w:pPr>
      <w:rPr>
        <w:rFonts w:hint="default"/>
      </w:rPr>
    </w:lvl>
    <w:lvl w:ilvl="2" w:tplc="5D6ED5EA">
      <w:numFmt w:val="bullet"/>
      <w:lvlText w:val="•"/>
      <w:lvlJc w:val="left"/>
      <w:pPr>
        <w:ind w:left="3352" w:hanging="224"/>
      </w:pPr>
      <w:rPr>
        <w:rFonts w:hint="default"/>
      </w:rPr>
    </w:lvl>
    <w:lvl w:ilvl="3" w:tplc="F41EE358">
      <w:numFmt w:val="bullet"/>
      <w:lvlText w:val="•"/>
      <w:lvlJc w:val="left"/>
      <w:pPr>
        <w:ind w:left="4378" w:hanging="224"/>
      </w:pPr>
      <w:rPr>
        <w:rFonts w:hint="default"/>
      </w:rPr>
    </w:lvl>
    <w:lvl w:ilvl="4" w:tplc="49D62C12">
      <w:numFmt w:val="bullet"/>
      <w:lvlText w:val="•"/>
      <w:lvlJc w:val="left"/>
      <w:pPr>
        <w:ind w:left="5404" w:hanging="224"/>
      </w:pPr>
      <w:rPr>
        <w:rFonts w:hint="default"/>
      </w:rPr>
    </w:lvl>
    <w:lvl w:ilvl="5" w:tplc="17987014">
      <w:numFmt w:val="bullet"/>
      <w:lvlText w:val="•"/>
      <w:lvlJc w:val="left"/>
      <w:pPr>
        <w:ind w:left="6430" w:hanging="224"/>
      </w:pPr>
      <w:rPr>
        <w:rFonts w:hint="default"/>
      </w:rPr>
    </w:lvl>
    <w:lvl w:ilvl="6" w:tplc="1FD2081C">
      <w:numFmt w:val="bullet"/>
      <w:lvlText w:val="•"/>
      <w:lvlJc w:val="left"/>
      <w:pPr>
        <w:ind w:left="7456" w:hanging="224"/>
      </w:pPr>
      <w:rPr>
        <w:rFonts w:hint="default"/>
      </w:rPr>
    </w:lvl>
    <w:lvl w:ilvl="7" w:tplc="7CC04E44">
      <w:numFmt w:val="bullet"/>
      <w:lvlText w:val="•"/>
      <w:lvlJc w:val="left"/>
      <w:pPr>
        <w:ind w:left="8482" w:hanging="224"/>
      </w:pPr>
      <w:rPr>
        <w:rFonts w:hint="default"/>
      </w:rPr>
    </w:lvl>
    <w:lvl w:ilvl="8" w:tplc="0E5079C2">
      <w:numFmt w:val="bullet"/>
      <w:lvlText w:val="•"/>
      <w:lvlJc w:val="left"/>
      <w:pPr>
        <w:ind w:left="9508" w:hanging="224"/>
      </w:pPr>
      <w:rPr>
        <w:rFonts w:hint="default"/>
      </w:rPr>
    </w:lvl>
  </w:abstractNum>
  <w:abstractNum w:abstractNumId="17" w15:restartNumberingAfterBreak="0">
    <w:nsid w:val="486D40DF"/>
    <w:multiLevelType w:val="hybridMultilevel"/>
    <w:tmpl w:val="DC38D22E"/>
    <w:lvl w:ilvl="0" w:tplc="CEB0B398">
      <w:start w:val="22"/>
      <w:numFmt w:val="decimal"/>
      <w:lvlText w:val="%1"/>
      <w:lvlJc w:val="left"/>
      <w:pPr>
        <w:ind w:left="1080" w:hanging="224"/>
        <w:jc w:val="left"/>
      </w:pPr>
      <w:rPr>
        <w:rFonts w:ascii="Arial" w:eastAsia="Arial" w:hAnsi="Arial" w:cs="Arial" w:hint="default"/>
        <w:spacing w:val="-1"/>
        <w:w w:val="100"/>
        <w:sz w:val="16"/>
        <w:szCs w:val="16"/>
      </w:rPr>
    </w:lvl>
    <w:lvl w:ilvl="1" w:tplc="692C1F6E">
      <w:numFmt w:val="bullet"/>
      <w:lvlText w:val="•"/>
      <w:lvlJc w:val="left"/>
      <w:pPr>
        <w:ind w:left="2128" w:hanging="224"/>
      </w:pPr>
      <w:rPr>
        <w:rFonts w:hint="default"/>
      </w:rPr>
    </w:lvl>
    <w:lvl w:ilvl="2" w:tplc="1ACA0B62">
      <w:numFmt w:val="bullet"/>
      <w:lvlText w:val="•"/>
      <w:lvlJc w:val="left"/>
      <w:pPr>
        <w:ind w:left="3176" w:hanging="224"/>
      </w:pPr>
      <w:rPr>
        <w:rFonts w:hint="default"/>
      </w:rPr>
    </w:lvl>
    <w:lvl w:ilvl="3" w:tplc="136A16DA">
      <w:numFmt w:val="bullet"/>
      <w:lvlText w:val="•"/>
      <w:lvlJc w:val="left"/>
      <w:pPr>
        <w:ind w:left="4224" w:hanging="224"/>
      </w:pPr>
      <w:rPr>
        <w:rFonts w:hint="default"/>
      </w:rPr>
    </w:lvl>
    <w:lvl w:ilvl="4" w:tplc="0E66C294">
      <w:numFmt w:val="bullet"/>
      <w:lvlText w:val="•"/>
      <w:lvlJc w:val="left"/>
      <w:pPr>
        <w:ind w:left="5272" w:hanging="224"/>
      </w:pPr>
      <w:rPr>
        <w:rFonts w:hint="default"/>
      </w:rPr>
    </w:lvl>
    <w:lvl w:ilvl="5" w:tplc="55F28908">
      <w:numFmt w:val="bullet"/>
      <w:lvlText w:val="•"/>
      <w:lvlJc w:val="left"/>
      <w:pPr>
        <w:ind w:left="6320" w:hanging="224"/>
      </w:pPr>
      <w:rPr>
        <w:rFonts w:hint="default"/>
      </w:rPr>
    </w:lvl>
    <w:lvl w:ilvl="6" w:tplc="69D2FC08">
      <w:numFmt w:val="bullet"/>
      <w:lvlText w:val="•"/>
      <w:lvlJc w:val="left"/>
      <w:pPr>
        <w:ind w:left="7368" w:hanging="224"/>
      </w:pPr>
      <w:rPr>
        <w:rFonts w:hint="default"/>
      </w:rPr>
    </w:lvl>
    <w:lvl w:ilvl="7" w:tplc="8CC84026">
      <w:numFmt w:val="bullet"/>
      <w:lvlText w:val="•"/>
      <w:lvlJc w:val="left"/>
      <w:pPr>
        <w:ind w:left="8416" w:hanging="224"/>
      </w:pPr>
      <w:rPr>
        <w:rFonts w:hint="default"/>
      </w:rPr>
    </w:lvl>
    <w:lvl w:ilvl="8" w:tplc="6186B6EE">
      <w:numFmt w:val="bullet"/>
      <w:lvlText w:val="•"/>
      <w:lvlJc w:val="left"/>
      <w:pPr>
        <w:ind w:left="9464" w:hanging="224"/>
      </w:pPr>
      <w:rPr>
        <w:rFonts w:hint="default"/>
      </w:rPr>
    </w:lvl>
  </w:abstractNum>
  <w:abstractNum w:abstractNumId="18" w15:restartNumberingAfterBreak="0">
    <w:nsid w:val="513F1D07"/>
    <w:multiLevelType w:val="hybridMultilevel"/>
    <w:tmpl w:val="9DFEB120"/>
    <w:lvl w:ilvl="0" w:tplc="A470F514">
      <w:start w:val="12"/>
      <w:numFmt w:val="decimal"/>
      <w:lvlText w:val="%1"/>
      <w:lvlJc w:val="left"/>
      <w:pPr>
        <w:ind w:left="1080" w:hanging="224"/>
        <w:jc w:val="left"/>
      </w:pPr>
      <w:rPr>
        <w:rFonts w:ascii="Arial" w:eastAsia="Arial" w:hAnsi="Arial" w:cs="Arial" w:hint="default"/>
        <w:spacing w:val="-1"/>
        <w:w w:val="100"/>
        <w:sz w:val="16"/>
        <w:szCs w:val="16"/>
      </w:rPr>
    </w:lvl>
    <w:lvl w:ilvl="1" w:tplc="A064C404">
      <w:numFmt w:val="bullet"/>
      <w:lvlText w:val="•"/>
      <w:lvlJc w:val="left"/>
      <w:pPr>
        <w:ind w:left="2128" w:hanging="224"/>
      </w:pPr>
      <w:rPr>
        <w:rFonts w:hint="default"/>
      </w:rPr>
    </w:lvl>
    <w:lvl w:ilvl="2" w:tplc="5FACBC8C">
      <w:numFmt w:val="bullet"/>
      <w:lvlText w:val="•"/>
      <w:lvlJc w:val="left"/>
      <w:pPr>
        <w:ind w:left="3176" w:hanging="224"/>
      </w:pPr>
      <w:rPr>
        <w:rFonts w:hint="default"/>
      </w:rPr>
    </w:lvl>
    <w:lvl w:ilvl="3" w:tplc="D59E8B9C">
      <w:numFmt w:val="bullet"/>
      <w:lvlText w:val="•"/>
      <w:lvlJc w:val="left"/>
      <w:pPr>
        <w:ind w:left="4224" w:hanging="224"/>
      </w:pPr>
      <w:rPr>
        <w:rFonts w:hint="default"/>
      </w:rPr>
    </w:lvl>
    <w:lvl w:ilvl="4" w:tplc="78FCFAE4">
      <w:numFmt w:val="bullet"/>
      <w:lvlText w:val="•"/>
      <w:lvlJc w:val="left"/>
      <w:pPr>
        <w:ind w:left="5272" w:hanging="224"/>
      </w:pPr>
      <w:rPr>
        <w:rFonts w:hint="default"/>
      </w:rPr>
    </w:lvl>
    <w:lvl w:ilvl="5" w:tplc="9904DC1A">
      <w:numFmt w:val="bullet"/>
      <w:lvlText w:val="•"/>
      <w:lvlJc w:val="left"/>
      <w:pPr>
        <w:ind w:left="6320" w:hanging="224"/>
      </w:pPr>
      <w:rPr>
        <w:rFonts w:hint="default"/>
      </w:rPr>
    </w:lvl>
    <w:lvl w:ilvl="6" w:tplc="81C046D2">
      <w:numFmt w:val="bullet"/>
      <w:lvlText w:val="•"/>
      <w:lvlJc w:val="left"/>
      <w:pPr>
        <w:ind w:left="7368" w:hanging="224"/>
      </w:pPr>
      <w:rPr>
        <w:rFonts w:hint="default"/>
      </w:rPr>
    </w:lvl>
    <w:lvl w:ilvl="7" w:tplc="426237C8">
      <w:numFmt w:val="bullet"/>
      <w:lvlText w:val="•"/>
      <w:lvlJc w:val="left"/>
      <w:pPr>
        <w:ind w:left="8416" w:hanging="224"/>
      </w:pPr>
      <w:rPr>
        <w:rFonts w:hint="default"/>
      </w:rPr>
    </w:lvl>
    <w:lvl w:ilvl="8" w:tplc="3C445EF0">
      <w:numFmt w:val="bullet"/>
      <w:lvlText w:val="•"/>
      <w:lvlJc w:val="left"/>
      <w:pPr>
        <w:ind w:left="9464" w:hanging="224"/>
      </w:pPr>
      <w:rPr>
        <w:rFonts w:hint="default"/>
      </w:rPr>
    </w:lvl>
  </w:abstractNum>
  <w:abstractNum w:abstractNumId="19" w15:restartNumberingAfterBreak="0">
    <w:nsid w:val="56FC4FB7"/>
    <w:multiLevelType w:val="hybridMultilevel"/>
    <w:tmpl w:val="EF68240E"/>
    <w:lvl w:ilvl="0" w:tplc="824AB4CE">
      <w:start w:val="1"/>
      <w:numFmt w:val="decimal"/>
      <w:lvlText w:val="%1."/>
      <w:lvlJc w:val="left"/>
      <w:pPr>
        <w:ind w:left="1080" w:hanging="221"/>
        <w:jc w:val="left"/>
      </w:pPr>
      <w:rPr>
        <w:rFonts w:ascii="Arial" w:eastAsia="Arial" w:hAnsi="Arial" w:cs="Arial" w:hint="default"/>
        <w:w w:val="99"/>
        <w:sz w:val="20"/>
        <w:szCs w:val="20"/>
      </w:rPr>
    </w:lvl>
    <w:lvl w:ilvl="1" w:tplc="BD921E9A">
      <w:start w:val="1"/>
      <w:numFmt w:val="lowerLetter"/>
      <w:lvlText w:val="(%2)"/>
      <w:lvlJc w:val="left"/>
      <w:pPr>
        <w:ind w:left="1800" w:hanging="300"/>
        <w:jc w:val="left"/>
      </w:pPr>
      <w:rPr>
        <w:rFonts w:ascii="Arial" w:eastAsia="Arial" w:hAnsi="Arial" w:cs="Arial" w:hint="default"/>
        <w:w w:val="99"/>
        <w:sz w:val="20"/>
        <w:szCs w:val="20"/>
      </w:rPr>
    </w:lvl>
    <w:lvl w:ilvl="2" w:tplc="72B6314E">
      <w:numFmt w:val="bullet"/>
      <w:lvlText w:val="•"/>
      <w:lvlJc w:val="left"/>
      <w:pPr>
        <w:ind w:left="2884" w:hanging="300"/>
      </w:pPr>
      <w:rPr>
        <w:rFonts w:hint="default"/>
      </w:rPr>
    </w:lvl>
    <w:lvl w:ilvl="3" w:tplc="0096FA56">
      <w:numFmt w:val="bullet"/>
      <w:lvlText w:val="•"/>
      <w:lvlJc w:val="left"/>
      <w:pPr>
        <w:ind w:left="3968" w:hanging="300"/>
      </w:pPr>
      <w:rPr>
        <w:rFonts w:hint="default"/>
      </w:rPr>
    </w:lvl>
    <w:lvl w:ilvl="4" w:tplc="5E6E1000">
      <w:numFmt w:val="bullet"/>
      <w:lvlText w:val="•"/>
      <w:lvlJc w:val="left"/>
      <w:pPr>
        <w:ind w:left="5053" w:hanging="300"/>
      </w:pPr>
      <w:rPr>
        <w:rFonts w:hint="default"/>
      </w:rPr>
    </w:lvl>
    <w:lvl w:ilvl="5" w:tplc="1B1ED1C0">
      <w:numFmt w:val="bullet"/>
      <w:lvlText w:val="•"/>
      <w:lvlJc w:val="left"/>
      <w:pPr>
        <w:ind w:left="6137" w:hanging="300"/>
      </w:pPr>
      <w:rPr>
        <w:rFonts w:hint="default"/>
      </w:rPr>
    </w:lvl>
    <w:lvl w:ilvl="6" w:tplc="60A28822">
      <w:numFmt w:val="bullet"/>
      <w:lvlText w:val="•"/>
      <w:lvlJc w:val="left"/>
      <w:pPr>
        <w:ind w:left="7222" w:hanging="300"/>
      </w:pPr>
      <w:rPr>
        <w:rFonts w:hint="default"/>
      </w:rPr>
    </w:lvl>
    <w:lvl w:ilvl="7" w:tplc="077C8CE8">
      <w:numFmt w:val="bullet"/>
      <w:lvlText w:val="•"/>
      <w:lvlJc w:val="left"/>
      <w:pPr>
        <w:ind w:left="8306" w:hanging="300"/>
      </w:pPr>
      <w:rPr>
        <w:rFonts w:hint="default"/>
      </w:rPr>
    </w:lvl>
    <w:lvl w:ilvl="8" w:tplc="481E1A9C">
      <w:numFmt w:val="bullet"/>
      <w:lvlText w:val="•"/>
      <w:lvlJc w:val="left"/>
      <w:pPr>
        <w:ind w:left="9391" w:hanging="300"/>
      </w:pPr>
      <w:rPr>
        <w:rFonts w:hint="default"/>
      </w:rPr>
    </w:lvl>
  </w:abstractNum>
  <w:abstractNum w:abstractNumId="20" w15:restartNumberingAfterBreak="0">
    <w:nsid w:val="588D5E5E"/>
    <w:multiLevelType w:val="hybridMultilevel"/>
    <w:tmpl w:val="103AC766"/>
    <w:lvl w:ilvl="0" w:tplc="43B4C890">
      <w:numFmt w:val="bullet"/>
      <w:lvlText w:val=""/>
      <w:lvlJc w:val="left"/>
      <w:pPr>
        <w:ind w:left="827" w:hanging="360"/>
      </w:pPr>
      <w:rPr>
        <w:rFonts w:ascii="Wingdings" w:eastAsia="Wingdings" w:hAnsi="Wingdings" w:cs="Wingdings" w:hint="default"/>
        <w:color w:val="30A2A9"/>
        <w:w w:val="99"/>
        <w:sz w:val="20"/>
        <w:szCs w:val="20"/>
      </w:rPr>
    </w:lvl>
    <w:lvl w:ilvl="1" w:tplc="C622B820">
      <w:numFmt w:val="bullet"/>
      <w:lvlText w:val="•"/>
      <w:lvlJc w:val="left"/>
      <w:pPr>
        <w:ind w:left="1375" w:hanging="360"/>
      </w:pPr>
      <w:rPr>
        <w:rFonts w:hint="default"/>
      </w:rPr>
    </w:lvl>
    <w:lvl w:ilvl="2" w:tplc="183E8B24">
      <w:numFmt w:val="bullet"/>
      <w:lvlText w:val="•"/>
      <w:lvlJc w:val="left"/>
      <w:pPr>
        <w:ind w:left="1930" w:hanging="360"/>
      </w:pPr>
      <w:rPr>
        <w:rFonts w:hint="default"/>
      </w:rPr>
    </w:lvl>
    <w:lvl w:ilvl="3" w:tplc="5AC6F976">
      <w:numFmt w:val="bullet"/>
      <w:lvlText w:val="•"/>
      <w:lvlJc w:val="left"/>
      <w:pPr>
        <w:ind w:left="2485" w:hanging="360"/>
      </w:pPr>
      <w:rPr>
        <w:rFonts w:hint="default"/>
      </w:rPr>
    </w:lvl>
    <w:lvl w:ilvl="4" w:tplc="AAA877A4">
      <w:numFmt w:val="bullet"/>
      <w:lvlText w:val="•"/>
      <w:lvlJc w:val="left"/>
      <w:pPr>
        <w:ind w:left="3040" w:hanging="360"/>
      </w:pPr>
      <w:rPr>
        <w:rFonts w:hint="default"/>
      </w:rPr>
    </w:lvl>
    <w:lvl w:ilvl="5" w:tplc="38A6A4A8">
      <w:numFmt w:val="bullet"/>
      <w:lvlText w:val="•"/>
      <w:lvlJc w:val="left"/>
      <w:pPr>
        <w:ind w:left="3595" w:hanging="360"/>
      </w:pPr>
      <w:rPr>
        <w:rFonts w:hint="default"/>
      </w:rPr>
    </w:lvl>
    <w:lvl w:ilvl="6" w:tplc="52EECFDE">
      <w:numFmt w:val="bullet"/>
      <w:lvlText w:val="•"/>
      <w:lvlJc w:val="left"/>
      <w:pPr>
        <w:ind w:left="4150" w:hanging="360"/>
      </w:pPr>
      <w:rPr>
        <w:rFonts w:hint="default"/>
      </w:rPr>
    </w:lvl>
    <w:lvl w:ilvl="7" w:tplc="0A1669C0">
      <w:numFmt w:val="bullet"/>
      <w:lvlText w:val="•"/>
      <w:lvlJc w:val="left"/>
      <w:pPr>
        <w:ind w:left="4705" w:hanging="360"/>
      </w:pPr>
      <w:rPr>
        <w:rFonts w:hint="default"/>
      </w:rPr>
    </w:lvl>
    <w:lvl w:ilvl="8" w:tplc="77B4D88E">
      <w:numFmt w:val="bullet"/>
      <w:lvlText w:val="•"/>
      <w:lvlJc w:val="left"/>
      <w:pPr>
        <w:ind w:left="5260" w:hanging="360"/>
      </w:pPr>
      <w:rPr>
        <w:rFonts w:hint="default"/>
      </w:rPr>
    </w:lvl>
  </w:abstractNum>
  <w:abstractNum w:abstractNumId="21" w15:restartNumberingAfterBreak="0">
    <w:nsid w:val="5C044612"/>
    <w:multiLevelType w:val="hybridMultilevel"/>
    <w:tmpl w:val="E552363C"/>
    <w:lvl w:ilvl="0" w:tplc="043E1694">
      <w:numFmt w:val="bullet"/>
      <w:lvlText w:val=""/>
      <w:lvlJc w:val="left"/>
      <w:pPr>
        <w:ind w:left="1440" w:hanging="360"/>
      </w:pPr>
      <w:rPr>
        <w:rFonts w:ascii="Symbol" w:eastAsia="Symbol" w:hAnsi="Symbol" w:cs="Symbol" w:hint="default"/>
        <w:color w:val="006FC0"/>
        <w:w w:val="99"/>
        <w:sz w:val="20"/>
        <w:szCs w:val="20"/>
      </w:rPr>
    </w:lvl>
    <w:lvl w:ilvl="1" w:tplc="77BE4F64">
      <w:numFmt w:val="bullet"/>
      <w:lvlText w:val="o"/>
      <w:lvlJc w:val="left"/>
      <w:pPr>
        <w:ind w:left="2520" w:hanging="360"/>
      </w:pPr>
      <w:rPr>
        <w:rFonts w:ascii="Courier New" w:eastAsia="Courier New" w:hAnsi="Courier New" w:cs="Courier New" w:hint="default"/>
        <w:w w:val="99"/>
        <w:sz w:val="20"/>
        <w:szCs w:val="20"/>
      </w:rPr>
    </w:lvl>
    <w:lvl w:ilvl="2" w:tplc="3CB67D0A">
      <w:numFmt w:val="bullet"/>
      <w:lvlText w:val=""/>
      <w:lvlJc w:val="left"/>
      <w:pPr>
        <w:ind w:left="3240" w:hanging="360"/>
      </w:pPr>
      <w:rPr>
        <w:rFonts w:ascii="Wingdings" w:eastAsia="Wingdings" w:hAnsi="Wingdings" w:cs="Wingdings" w:hint="default"/>
        <w:w w:val="99"/>
        <w:sz w:val="20"/>
        <w:szCs w:val="20"/>
      </w:rPr>
    </w:lvl>
    <w:lvl w:ilvl="3" w:tplc="9044E52E">
      <w:numFmt w:val="bullet"/>
      <w:lvlText w:val="•"/>
      <w:lvlJc w:val="left"/>
      <w:pPr>
        <w:ind w:left="4280" w:hanging="360"/>
      </w:pPr>
      <w:rPr>
        <w:rFonts w:hint="default"/>
      </w:rPr>
    </w:lvl>
    <w:lvl w:ilvl="4" w:tplc="9AE00C08">
      <w:numFmt w:val="bullet"/>
      <w:lvlText w:val="•"/>
      <w:lvlJc w:val="left"/>
      <w:pPr>
        <w:ind w:left="5320" w:hanging="360"/>
      </w:pPr>
      <w:rPr>
        <w:rFonts w:hint="default"/>
      </w:rPr>
    </w:lvl>
    <w:lvl w:ilvl="5" w:tplc="C97656EA">
      <w:numFmt w:val="bullet"/>
      <w:lvlText w:val="•"/>
      <w:lvlJc w:val="left"/>
      <w:pPr>
        <w:ind w:left="6360" w:hanging="360"/>
      </w:pPr>
      <w:rPr>
        <w:rFonts w:hint="default"/>
      </w:rPr>
    </w:lvl>
    <w:lvl w:ilvl="6" w:tplc="A924508C">
      <w:numFmt w:val="bullet"/>
      <w:lvlText w:val="•"/>
      <w:lvlJc w:val="left"/>
      <w:pPr>
        <w:ind w:left="7400" w:hanging="360"/>
      </w:pPr>
      <w:rPr>
        <w:rFonts w:hint="default"/>
      </w:rPr>
    </w:lvl>
    <w:lvl w:ilvl="7" w:tplc="5ED8EAA6">
      <w:numFmt w:val="bullet"/>
      <w:lvlText w:val="•"/>
      <w:lvlJc w:val="left"/>
      <w:pPr>
        <w:ind w:left="8440" w:hanging="360"/>
      </w:pPr>
      <w:rPr>
        <w:rFonts w:hint="default"/>
      </w:rPr>
    </w:lvl>
    <w:lvl w:ilvl="8" w:tplc="76528254">
      <w:numFmt w:val="bullet"/>
      <w:lvlText w:val="•"/>
      <w:lvlJc w:val="left"/>
      <w:pPr>
        <w:ind w:left="9480" w:hanging="360"/>
      </w:pPr>
      <w:rPr>
        <w:rFonts w:hint="default"/>
      </w:rPr>
    </w:lvl>
  </w:abstractNum>
  <w:abstractNum w:abstractNumId="22" w15:restartNumberingAfterBreak="0">
    <w:nsid w:val="63410F22"/>
    <w:multiLevelType w:val="hybridMultilevel"/>
    <w:tmpl w:val="6C9ACD0E"/>
    <w:lvl w:ilvl="0" w:tplc="0898FF98">
      <w:start w:val="11"/>
      <w:numFmt w:val="upperLetter"/>
      <w:lvlText w:val="%1"/>
      <w:lvlJc w:val="left"/>
      <w:pPr>
        <w:ind w:left="1080" w:hanging="322"/>
        <w:jc w:val="left"/>
      </w:pPr>
      <w:rPr>
        <w:rFonts w:hint="default"/>
      </w:rPr>
    </w:lvl>
    <w:lvl w:ilvl="1" w:tplc="03646532">
      <w:start w:val="1"/>
      <w:numFmt w:val="decimal"/>
      <w:lvlText w:val="%2."/>
      <w:lvlJc w:val="left"/>
      <w:pPr>
        <w:ind w:left="1800" w:hanging="360"/>
        <w:jc w:val="left"/>
      </w:pPr>
      <w:rPr>
        <w:rFonts w:ascii="Arial" w:eastAsia="Arial" w:hAnsi="Arial" w:cs="Arial" w:hint="default"/>
        <w:spacing w:val="-1"/>
        <w:w w:val="99"/>
        <w:sz w:val="20"/>
        <w:szCs w:val="20"/>
      </w:rPr>
    </w:lvl>
    <w:lvl w:ilvl="2" w:tplc="A01E2982">
      <w:start w:val="1"/>
      <w:numFmt w:val="lowerLetter"/>
      <w:lvlText w:val="%3."/>
      <w:lvlJc w:val="left"/>
      <w:pPr>
        <w:ind w:left="2520" w:hanging="360"/>
        <w:jc w:val="left"/>
      </w:pPr>
      <w:rPr>
        <w:rFonts w:ascii="Arial" w:eastAsia="Arial" w:hAnsi="Arial" w:cs="Arial" w:hint="default"/>
        <w:spacing w:val="-1"/>
        <w:w w:val="99"/>
        <w:sz w:val="20"/>
        <w:szCs w:val="20"/>
      </w:rPr>
    </w:lvl>
    <w:lvl w:ilvl="3" w:tplc="BCFC946C">
      <w:numFmt w:val="bullet"/>
      <w:lvlText w:val="•"/>
      <w:lvlJc w:val="left"/>
      <w:pPr>
        <w:ind w:left="3650" w:hanging="360"/>
      </w:pPr>
      <w:rPr>
        <w:rFonts w:hint="default"/>
      </w:rPr>
    </w:lvl>
    <w:lvl w:ilvl="4" w:tplc="7EF26E22">
      <w:numFmt w:val="bullet"/>
      <w:lvlText w:val="•"/>
      <w:lvlJc w:val="left"/>
      <w:pPr>
        <w:ind w:left="4780" w:hanging="360"/>
      </w:pPr>
      <w:rPr>
        <w:rFonts w:hint="default"/>
      </w:rPr>
    </w:lvl>
    <w:lvl w:ilvl="5" w:tplc="AD729D62">
      <w:numFmt w:val="bullet"/>
      <w:lvlText w:val="•"/>
      <w:lvlJc w:val="left"/>
      <w:pPr>
        <w:ind w:left="5910" w:hanging="360"/>
      </w:pPr>
      <w:rPr>
        <w:rFonts w:hint="default"/>
      </w:rPr>
    </w:lvl>
    <w:lvl w:ilvl="6" w:tplc="4E0A694C">
      <w:numFmt w:val="bullet"/>
      <w:lvlText w:val="•"/>
      <w:lvlJc w:val="left"/>
      <w:pPr>
        <w:ind w:left="7040" w:hanging="360"/>
      </w:pPr>
      <w:rPr>
        <w:rFonts w:hint="default"/>
      </w:rPr>
    </w:lvl>
    <w:lvl w:ilvl="7" w:tplc="069C0606">
      <w:numFmt w:val="bullet"/>
      <w:lvlText w:val="•"/>
      <w:lvlJc w:val="left"/>
      <w:pPr>
        <w:ind w:left="8170" w:hanging="360"/>
      </w:pPr>
      <w:rPr>
        <w:rFonts w:hint="default"/>
      </w:rPr>
    </w:lvl>
    <w:lvl w:ilvl="8" w:tplc="6212B78E">
      <w:numFmt w:val="bullet"/>
      <w:lvlText w:val="•"/>
      <w:lvlJc w:val="left"/>
      <w:pPr>
        <w:ind w:left="9300" w:hanging="360"/>
      </w:pPr>
      <w:rPr>
        <w:rFonts w:hint="default"/>
      </w:rPr>
    </w:lvl>
  </w:abstractNum>
  <w:abstractNum w:abstractNumId="23" w15:restartNumberingAfterBreak="0">
    <w:nsid w:val="68B36DAA"/>
    <w:multiLevelType w:val="hybridMultilevel"/>
    <w:tmpl w:val="CDC0D546"/>
    <w:lvl w:ilvl="0" w:tplc="9174AA62">
      <w:start w:val="3"/>
      <w:numFmt w:val="decimal"/>
      <w:lvlText w:val="%1."/>
      <w:lvlJc w:val="left"/>
      <w:pPr>
        <w:ind w:left="2160" w:hanging="360"/>
        <w:jc w:val="left"/>
      </w:pPr>
      <w:rPr>
        <w:rFonts w:ascii="Arial" w:eastAsia="Arial" w:hAnsi="Arial" w:cs="Arial" w:hint="default"/>
        <w:spacing w:val="-1"/>
        <w:w w:val="99"/>
        <w:sz w:val="20"/>
        <w:szCs w:val="20"/>
      </w:rPr>
    </w:lvl>
    <w:lvl w:ilvl="1" w:tplc="F80EDF9E">
      <w:numFmt w:val="bullet"/>
      <w:lvlText w:val="•"/>
      <w:lvlJc w:val="left"/>
      <w:pPr>
        <w:ind w:left="3100" w:hanging="360"/>
      </w:pPr>
      <w:rPr>
        <w:rFonts w:hint="default"/>
      </w:rPr>
    </w:lvl>
    <w:lvl w:ilvl="2" w:tplc="40044002">
      <w:numFmt w:val="bullet"/>
      <w:lvlText w:val="•"/>
      <w:lvlJc w:val="left"/>
      <w:pPr>
        <w:ind w:left="4040" w:hanging="360"/>
      </w:pPr>
      <w:rPr>
        <w:rFonts w:hint="default"/>
      </w:rPr>
    </w:lvl>
    <w:lvl w:ilvl="3" w:tplc="01A4661C">
      <w:numFmt w:val="bullet"/>
      <w:lvlText w:val="•"/>
      <w:lvlJc w:val="left"/>
      <w:pPr>
        <w:ind w:left="4980" w:hanging="360"/>
      </w:pPr>
      <w:rPr>
        <w:rFonts w:hint="default"/>
      </w:rPr>
    </w:lvl>
    <w:lvl w:ilvl="4" w:tplc="C77A3722">
      <w:numFmt w:val="bullet"/>
      <w:lvlText w:val="•"/>
      <w:lvlJc w:val="left"/>
      <w:pPr>
        <w:ind w:left="5920" w:hanging="360"/>
      </w:pPr>
      <w:rPr>
        <w:rFonts w:hint="default"/>
      </w:rPr>
    </w:lvl>
    <w:lvl w:ilvl="5" w:tplc="8850F040">
      <w:numFmt w:val="bullet"/>
      <w:lvlText w:val="•"/>
      <w:lvlJc w:val="left"/>
      <w:pPr>
        <w:ind w:left="6860" w:hanging="360"/>
      </w:pPr>
      <w:rPr>
        <w:rFonts w:hint="default"/>
      </w:rPr>
    </w:lvl>
    <w:lvl w:ilvl="6" w:tplc="5A98E50A">
      <w:numFmt w:val="bullet"/>
      <w:lvlText w:val="•"/>
      <w:lvlJc w:val="left"/>
      <w:pPr>
        <w:ind w:left="7800" w:hanging="360"/>
      </w:pPr>
      <w:rPr>
        <w:rFonts w:hint="default"/>
      </w:rPr>
    </w:lvl>
    <w:lvl w:ilvl="7" w:tplc="489C08FA">
      <w:numFmt w:val="bullet"/>
      <w:lvlText w:val="•"/>
      <w:lvlJc w:val="left"/>
      <w:pPr>
        <w:ind w:left="8740" w:hanging="360"/>
      </w:pPr>
      <w:rPr>
        <w:rFonts w:hint="default"/>
      </w:rPr>
    </w:lvl>
    <w:lvl w:ilvl="8" w:tplc="D246822E">
      <w:numFmt w:val="bullet"/>
      <w:lvlText w:val="•"/>
      <w:lvlJc w:val="left"/>
      <w:pPr>
        <w:ind w:left="9680" w:hanging="360"/>
      </w:pPr>
      <w:rPr>
        <w:rFonts w:hint="default"/>
      </w:rPr>
    </w:lvl>
  </w:abstractNum>
  <w:abstractNum w:abstractNumId="24" w15:restartNumberingAfterBreak="0">
    <w:nsid w:val="69551DAF"/>
    <w:multiLevelType w:val="hybridMultilevel"/>
    <w:tmpl w:val="FD02EB62"/>
    <w:lvl w:ilvl="0" w:tplc="C47EA516">
      <w:start w:val="34"/>
      <w:numFmt w:val="decimal"/>
      <w:lvlText w:val="%1"/>
      <w:lvlJc w:val="left"/>
      <w:pPr>
        <w:ind w:left="1080" w:hanging="224"/>
        <w:jc w:val="left"/>
      </w:pPr>
      <w:rPr>
        <w:rFonts w:ascii="Arial" w:eastAsia="Arial" w:hAnsi="Arial" w:cs="Arial" w:hint="default"/>
        <w:spacing w:val="-1"/>
        <w:w w:val="100"/>
        <w:sz w:val="16"/>
        <w:szCs w:val="16"/>
      </w:rPr>
    </w:lvl>
    <w:lvl w:ilvl="1" w:tplc="ACB2A5D6">
      <w:numFmt w:val="bullet"/>
      <w:lvlText w:val="•"/>
      <w:lvlJc w:val="left"/>
      <w:pPr>
        <w:ind w:left="2128" w:hanging="224"/>
      </w:pPr>
      <w:rPr>
        <w:rFonts w:hint="default"/>
      </w:rPr>
    </w:lvl>
    <w:lvl w:ilvl="2" w:tplc="B58C392A">
      <w:numFmt w:val="bullet"/>
      <w:lvlText w:val="•"/>
      <w:lvlJc w:val="left"/>
      <w:pPr>
        <w:ind w:left="3176" w:hanging="224"/>
      </w:pPr>
      <w:rPr>
        <w:rFonts w:hint="default"/>
      </w:rPr>
    </w:lvl>
    <w:lvl w:ilvl="3" w:tplc="73A4CB34">
      <w:numFmt w:val="bullet"/>
      <w:lvlText w:val="•"/>
      <w:lvlJc w:val="left"/>
      <w:pPr>
        <w:ind w:left="4224" w:hanging="224"/>
      </w:pPr>
      <w:rPr>
        <w:rFonts w:hint="default"/>
      </w:rPr>
    </w:lvl>
    <w:lvl w:ilvl="4" w:tplc="304E88B6">
      <w:numFmt w:val="bullet"/>
      <w:lvlText w:val="•"/>
      <w:lvlJc w:val="left"/>
      <w:pPr>
        <w:ind w:left="5272" w:hanging="224"/>
      </w:pPr>
      <w:rPr>
        <w:rFonts w:hint="default"/>
      </w:rPr>
    </w:lvl>
    <w:lvl w:ilvl="5" w:tplc="402402B4">
      <w:numFmt w:val="bullet"/>
      <w:lvlText w:val="•"/>
      <w:lvlJc w:val="left"/>
      <w:pPr>
        <w:ind w:left="6320" w:hanging="224"/>
      </w:pPr>
      <w:rPr>
        <w:rFonts w:hint="default"/>
      </w:rPr>
    </w:lvl>
    <w:lvl w:ilvl="6" w:tplc="EC644D58">
      <w:numFmt w:val="bullet"/>
      <w:lvlText w:val="•"/>
      <w:lvlJc w:val="left"/>
      <w:pPr>
        <w:ind w:left="7368" w:hanging="224"/>
      </w:pPr>
      <w:rPr>
        <w:rFonts w:hint="default"/>
      </w:rPr>
    </w:lvl>
    <w:lvl w:ilvl="7" w:tplc="BF9A294A">
      <w:numFmt w:val="bullet"/>
      <w:lvlText w:val="•"/>
      <w:lvlJc w:val="left"/>
      <w:pPr>
        <w:ind w:left="8416" w:hanging="224"/>
      </w:pPr>
      <w:rPr>
        <w:rFonts w:hint="default"/>
      </w:rPr>
    </w:lvl>
    <w:lvl w:ilvl="8" w:tplc="788CFA96">
      <w:numFmt w:val="bullet"/>
      <w:lvlText w:val="•"/>
      <w:lvlJc w:val="left"/>
      <w:pPr>
        <w:ind w:left="9464" w:hanging="224"/>
      </w:pPr>
      <w:rPr>
        <w:rFonts w:hint="default"/>
      </w:rPr>
    </w:lvl>
  </w:abstractNum>
  <w:abstractNum w:abstractNumId="25" w15:restartNumberingAfterBreak="0">
    <w:nsid w:val="6CF5453E"/>
    <w:multiLevelType w:val="multilevel"/>
    <w:tmpl w:val="142E9D42"/>
    <w:lvl w:ilvl="0">
      <w:start w:val="4"/>
      <w:numFmt w:val="decimal"/>
      <w:lvlText w:val="%1"/>
      <w:lvlJc w:val="left"/>
      <w:pPr>
        <w:ind w:left="2640" w:hanging="1160"/>
        <w:jc w:val="left"/>
      </w:pPr>
      <w:rPr>
        <w:rFonts w:hint="default"/>
      </w:rPr>
    </w:lvl>
    <w:lvl w:ilvl="1">
      <w:start w:val="22"/>
      <w:numFmt w:val="decimal"/>
      <w:lvlText w:val="%1.%2"/>
      <w:lvlJc w:val="left"/>
      <w:pPr>
        <w:ind w:left="2640" w:hanging="1160"/>
        <w:jc w:val="left"/>
      </w:pPr>
      <w:rPr>
        <w:rFonts w:ascii="Arial" w:eastAsia="Arial" w:hAnsi="Arial" w:cs="Arial" w:hint="default"/>
        <w:spacing w:val="-1"/>
        <w:w w:val="99"/>
        <w:sz w:val="20"/>
        <w:szCs w:val="20"/>
      </w:rPr>
    </w:lvl>
    <w:lvl w:ilvl="2">
      <w:numFmt w:val="bullet"/>
      <w:lvlText w:val="•"/>
      <w:lvlJc w:val="left"/>
      <w:pPr>
        <w:ind w:left="4424" w:hanging="1160"/>
      </w:pPr>
      <w:rPr>
        <w:rFonts w:hint="default"/>
      </w:rPr>
    </w:lvl>
    <w:lvl w:ilvl="3">
      <w:numFmt w:val="bullet"/>
      <w:lvlText w:val="•"/>
      <w:lvlJc w:val="left"/>
      <w:pPr>
        <w:ind w:left="5316" w:hanging="1160"/>
      </w:pPr>
      <w:rPr>
        <w:rFonts w:hint="default"/>
      </w:rPr>
    </w:lvl>
    <w:lvl w:ilvl="4">
      <w:numFmt w:val="bullet"/>
      <w:lvlText w:val="•"/>
      <w:lvlJc w:val="left"/>
      <w:pPr>
        <w:ind w:left="6208" w:hanging="1160"/>
      </w:pPr>
      <w:rPr>
        <w:rFonts w:hint="default"/>
      </w:rPr>
    </w:lvl>
    <w:lvl w:ilvl="5">
      <w:numFmt w:val="bullet"/>
      <w:lvlText w:val="•"/>
      <w:lvlJc w:val="left"/>
      <w:pPr>
        <w:ind w:left="7100" w:hanging="1160"/>
      </w:pPr>
      <w:rPr>
        <w:rFonts w:hint="default"/>
      </w:rPr>
    </w:lvl>
    <w:lvl w:ilvl="6">
      <w:numFmt w:val="bullet"/>
      <w:lvlText w:val="•"/>
      <w:lvlJc w:val="left"/>
      <w:pPr>
        <w:ind w:left="7992" w:hanging="1160"/>
      </w:pPr>
      <w:rPr>
        <w:rFonts w:hint="default"/>
      </w:rPr>
    </w:lvl>
    <w:lvl w:ilvl="7">
      <w:numFmt w:val="bullet"/>
      <w:lvlText w:val="•"/>
      <w:lvlJc w:val="left"/>
      <w:pPr>
        <w:ind w:left="8884" w:hanging="1160"/>
      </w:pPr>
      <w:rPr>
        <w:rFonts w:hint="default"/>
      </w:rPr>
    </w:lvl>
    <w:lvl w:ilvl="8">
      <w:numFmt w:val="bullet"/>
      <w:lvlText w:val="•"/>
      <w:lvlJc w:val="left"/>
      <w:pPr>
        <w:ind w:left="9776" w:hanging="1160"/>
      </w:pPr>
      <w:rPr>
        <w:rFonts w:hint="default"/>
      </w:rPr>
    </w:lvl>
  </w:abstractNum>
  <w:abstractNum w:abstractNumId="26" w15:restartNumberingAfterBreak="0">
    <w:nsid w:val="701B1741"/>
    <w:multiLevelType w:val="multilevel"/>
    <w:tmpl w:val="747427C6"/>
    <w:lvl w:ilvl="0">
      <w:start w:val="2"/>
      <w:numFmt w:val="decimal"/>
      <w:lvlText w:val="%1"/>
      <w:lvlJc w:val="left"/>
      <w:pPr>
        <w:ind w:left="2640" w:hanging="1160"/>
        <w:jc w:val="left"/>
      </w:pPr>
      <w:rPr>
        <w:rFonts w:hint="default"/>
      </w:rPr>
    </w:lvl>
    <w:lvl w:ilvl="1">
      <w:start w:val="3"/>
      <w:numFmt w:val="decimal"/>
      <w:lvlText w:val="%1.%2"/>
      <w:lvlJc w:val="left"/>
      <w:pPr>
        <w:ind w:left="2640" w:hanging="1160"/>
        <w:jc w:val="left"/>
      </w:pPr>
      <w:rPr>
        <w:rFonts w:ascii="Arial" w:eastAsia="Arial" w:hAnsi="Arial" w:cs="Arial" w:hint="default"/>
        <w:spacing w:val="-1"/>
        <w:w w:val="99"/>
        <w:sz w:val="20"/>
        <w:szCs w:val="20"/>
      </w:rPr>
    </w:lvl>
    <w:lvl w:ilvl="2">
      <w:numFmt w:val="bullet"/>
      <w:lvlText w:val="•"/>
      <w:lvlJc w:val="left"/>
      <w:pPr>
        <w:ind w:left="4424" w:hanging="1160"/>
      </w:pPr>
      <w:rPr>
        <w:rFonts w:hint="default"/>
      </w:rPr>
    </w:lvl>
    <w:lvl w:ilvl="3">
      <w:numFmt w:val="bullet"/>
      <w:lvlText w:val="•"/>
      <w:lvlJc w:val="left"/>
      <w:pPr>
        <w:ind w:left="5316" w:hanging="1160"/>
      </w:pPr>
      <w:rPr>
        <w:rFonts w:hint="default"/>
      </w:rPr>
    </w:lvl>
    <w:lvl w:ilvl="4">
      <w:numFmt w:val="bullet"/>
      <w:lvlText w:val="•"/>
      <w:lvlJc w:val="left"/>
      <w:pPr>
        <w:ind w:left="6208" w:hanging="1160"/>
      </w:pPr>
      <w:rPr>
        <w:rFonts w:hint="default"/>
      </w:rPr>
    </w:lvl>
    <w:lvl w:ilvl="5">
      <w:numFmt w:val="bullet"/>
      <w:lvlText w:val="•"/>
      <w:lvlJc w:val="left"/>
      <w:pPr>
        <w:ind w:left="7100" w:hanging="1160"/>
      </w:pPr>
      <w:rPr>
        <w:rFonts w:hint="default"/>
      </w:rPr>
    </w:lvl>
    <w:lvl w:ilvl="6">
      <w:numFmt w:val="bullet"/>
      <w:lvlText w:val="•"/>
      <w:lvlJc w:val="left"/>
      <w:pPr>
        <w:ind w:left="7992" w:hanging="1160"/>
      </w:pPr>
      <w:rPr>
        <w:rFonts w:hint="default"/>
      </w:rPr>
    </w:lvl>
    <w:lvl w:ilvl="7">
      <w:numFmt w:val="bullet"/>
      <w:lvlText w:val="•"/>
      <w:lvlJc w:val="left"/>
      <w:pPr>
        <w:ind w:left="8884" w:hanging="1160"/>
      </w:pPr>
      <w:rPr>
        <w:rFonts w:hint="default"/>
      </w:rPr>
    </w:lvl>
    <w:lvl w:ilvl="8">
      <w:numFmt w:val="bullet"/>
      <w:lvlText w:val="•"/>
      <w:lvlJc w:val="left"/>
      <w:pPr>
        <w:ind w:left="9776" w:hanging="1160"/>
      </w:pPr>
      <w:rPr>
        <w:rFonts w:hint="default"/>
      </w:rPr>
    </w:lvl>
  </w:abstractNum>
  <w:abstractNum w:abstractNumId="27" w15:restartNumberingAfterBreak="0">
    <w:nsid w:val="7A17117B"/>
    <w:multiLevelType w:val="hybridMultilevel"/>
    <w:tmpl w:val="C30AE546"/>
    <w:lvl w:ilvl="0" w:tplc="47D4036E">
      <w:numFmt w:val="bullet"/>
      <w:lvlText w:val=""/>
      <w:lvlJc w:val="left"/>
      <w:pPr>
        <w:ind w:left="828" w:hanging="361"/>
      </w:pPr>
      <w:rPr>
        <w:rFonts w:ascii="Wingdings" w:eastAsia="Wingdings" w:hAnsi="Wingdings" w:cs="Wingdings" w:hint="default"/>
        <w:color w:val="30A2A9"/>
        <w:w w:val="99"/>
        <w:sz w:val="20"/>
        <w:szCs w:val="20"/>
      </w:rPr>
    </w:lvl>
    <w:lvl w:ilvl="1" w:tplc="CF744696">
      <w:numFmt w:val="bullet"/>
      <w:lvlText w:val="•"/>
      <w:lvlJc w:val="left"/>
      <w:pPr>
        <w:ind w:left="1460" w:hanging="361"/>
      </w:pPr>
      <w:rPr>
        <w:rFonts w:hint="default"/>
      </w:rPr>
    </w:lvl>
    <w:lvl w:ilvl="2" w:tplc="395E2E3C">
      <w:numFmt w:val="bullet"/>
      <w:lvlText w:val="•"/>
      <w:lvlJc w:val="left"/>
      <w:pPr>
        <w:ind w:left="2100" w:hanging="361"/>
      </w:pPr>
      <w:rPr>
        <w:rFonts w:hint="default"/>
      </w:rPr>
    </w:lvl>
    <w:lvl w:ilvl="3" w:tplc="05E6848E">
      <w:numFmt w:val="bullet"/>
      <w:lvlText w:val="•"/>
      <w:lvlJc w:val="left"/>
      <w:pPr>
        <w:ind w:left="2740" w:hanging="361"/>
      </w:pPr>
      <w:rPr>
        <w:rFonts w:hint="default"/>
      </w:rPr>
    </w:lvl>
    <w:lvl w:ilvl="4" w:tplc="BF64D7A8">
      <w:numFmt w:val="bullet"/>
      <w:lvlText w:val="•"/>
      <w:lvlJc w:val="left"/>
      <w:pPr>
        <w:ind w:left="3380" w:hanging="361"/>
      </w:pPr>
      <w:rPr>
        <w:rFonts w:hint="default"/>
      </w:rPr>
    </w:lvl>
    <w:lvl w:ilvl="5" w:tplc="0194056C">
      <w:numFmt w:val="bullet"/>
      <w:lvlText w:val="•"/>
      <w:lvlJc w:val="left"/>
      <w:pPr>
        <w:ind w:left="4020" w:hanging="361"/>
      </w:pPr>
      <w:rPr>
        <w:rFonts w:hint="default"/>
      </w:rPr>
    </w:lvl>
    <w:lvl w:ilvl="6" w:tplc="4F468882">
      <w:numFmt w:val="bullet"/>
      <w:lvlText w:val="•"/>
      <w:lvlJc w:val="left"/>
      <w:pPr>
        <w:ind w:left="4660" w:hanging="361"/>
      </w:pPr>
      <w:rPr>
        <w:rFonts w:hint="default"/>
      </w:rPr>
    </w:lvl>
    <w:lvl w:ilvl="7" w:tplc="70E22508">
      <w:numFmt w:val="bullet"/>
      <w:lvlText w:val="•"/>
      <w:lvlJc w:val="left"/>
      <w:pPr>
        <w:ind w:left="5300" w:hanging="361"/>
      </w:pPr>
      <w:rPr>
        <w:rFonts w:hint="default"/>
      </w:rPr>
    </w:lvl>
    <w:lvl w:ilvl="8" w:tplc="2816301A">
      <w:numFmt w:val="bullet"/>
      <w:lvlText w:val="•"/>
      <w:lvlJc w:val="left"/>
      <w:pPr>
        <w:ind w:left="5940" w:hanging="361"/>
      </w:pPr>
      <w:rPr>
        <w:rFonts w:hint="default"/>
      </w:rPr>
    </w:lvl>
  </w:abstractNum>
  <w:abstractNum w:abstractNumId="28" w15:restartNumberingAfterBreak="0">
    <w:nsid w:val="7C5217CF"/>
    <w:multiLevelType w:val="multilevel"/>
    <w:tmpl w:val="28023D30"/>
    <w:lvl w:ilvl="0">
      <w:start w:val="5"/>
      <w:numFmt w:val="lowerLetter"/>
      <w:lvlText w:val="%1"/>
      <w:lvlJc w:val="left"/>
      <w:pPr>
        <w:ind w:left="1080" w:hanging="387"/>
        <w:jc w:val="left"/>
      </w:pPr>
      <w:rPr>
        <w:rFonts w:hint="default"/>
      </w:rPr>
    </w:lvl>
    <w:lvl w:ilvl="1">
      <w:start w:val="7"/>
      <w:numFmt w:val="lowerLetter"/>
      <w:lvlText w:val="%1.%2."/>
      <w:lvlJc w:val="left"/>
      <w:pPr>
        <w:ind w:left="1080" w:hanging="387"/>
        <w:jc w:val="left"/>
      </w:pPr>
      <w:rPr>
        <w:rFonts w:ascii="Arial" w:eastAsia="Arial" w:hAnsi="Arial" w:cs="Arial" w:hint="default"/>
        <w:spacing w:val="-1"/>
        <w:w w:val="99"/>
        <w:sz w:val="20"/>
        <w:szCs w:val="20"/>
      </w:rPr>
    </w:lvl>
    <w:lvl w:ilvl="2">
      <w:numFmt w:val="bullet"/>
      <w:lvlText w:val=""/>
      <w:lvlJc w:val="left"/>
      <w:pPr>
        <w:ind w:left="1800" w:hanging="360"/>
      </w:pPr>
      <w:rPr>
        <w:rFonts w:ascii="Wingdings" w:eastAsia="Wingdings" w:hAnsi="Wingdings" w:cs="Wingdings" w:hint="default"/>
        <w:color w:val="30A2A9"/>
        <w:w w:val="99"/>
        <w:sz w:val="20"/>
        <w:szCs w:val="20"/>
      </w:rPr>
    </w:lvl>
    <w:lvl w:ilvl="3">
      <w:numFmt w:val="bullet"/>
      <w:lvlText w:val="•"/>
      <w:lvlJc w:val="left"/>
      <w:pPr>
        <w:ind w:left="3968" w:hanging="360"/>
      </w:pPr>
      <w:rPr>
        <w:rFonts w:hint="default"/>
      </w:rPr>
    </w:lvl>
    <w:lvl w:ilvl="4">
      <w:numFmt w:val="bullet"/>
      <w:lvlText w:val="•"/>
      <w:lvlJc w:val="left"/>
      <w:pPr>
        <w:ind w:left="5053" w:hanging="360"/>
      </w:pPr>
      <w:rPr>
        <w:rFonts w:hint="default"/>
      </w:rPr>
    </w:lvl>
    <w:lvl w:ilvl="5">
      <w:numFmt w:val="bullet"/>
      <w:lvlText w:val="•"/>
      <w:lvlJc w:val="left"/>
      <w:pPr>
        <w:ind w:left="6137" w:hanging="360"/>
      </w:pPr>
      <w:rPr>
        <w:rFonts w:hint="default"/>
      </w:rPr>
    </w:lvl>
    <w:lvl w:ilvl="6">
      <w:numFmt w:val="bullet"/>
      <w:lvlText w:val="•"/>
      <w:lvlJc w:val="left"/>
      <w:pPr>
        <w:ind w:left="7222" w:hanging="360"/>
      </w:pPr>
      <w:rPr>
        <w:rFonts w:hint="default"/>
      </w:rPr>
    </w:lvl>
    <w:lvl w:ilvl="7">
      <w:numFmt w:val="bullet"/>
      <w:lvlText w:val="•"/>
      <w:lvlJc w:val="left"/>
      <w:pPr>
        <w:ind w:left="8306" w:hanging="360"/>
      </w:pPr>
      <w:rPr>
        <w:rFonts w:hint="default"/>
      </w:rPr>
    </w:lvl>
    <w:lvl w:ilvl="8">
      <w:numFmt w:val="bullet"/>
      <w:lvlText w:val="•"/>
      <w:lvlJc w:val="left"/>
      <w:pPr>
        <w:ind w:left="9391" w:hanging="360"/>
      </w:pPr>
      <w:rPr>
        <w:rFonts w:hint="default"/>
      </w:rPr>
    </w:lvl>
  </w:abstractNum>
  <w:abstractNum w:abstractNumId="29" w15:restartNumberingAfterBreak="0">
    <w:nsid w:val="7D0201D7"/>
    <w:multiLevelType w:val="hybridMultilevel"/>
    <w:tmpl w:val="A0DA5A4A"/>
    <w:lvl w:ilvl="0" w:tplc="5840EC3C">
      <w:start w:val="1"/>
      <w:numFmt w:val="decimal"/>
      <w:lvlText w:val="%1."/>
      <w:lvlJc w:val="left"/>
      <w:pPr>
        <w:ind w:left="1800" w:hanging="360"/>
        <w:jc w:val="left"/>
      </w:pPr>
      <w:rPr>
        <w:rFonts w:ascii="Arial" w:eastAsia="Arial" w:hAnsi="Arial" w:cs="Arial" w:hint="default"/>
        <w:spacing w:val="-1"/>
        <w:w w:val="99"/>
        <w:sz w:val="20"/>
        <w:szCs w:val="20"/>
      </w:rPr>
    </w:lvl>
    <w:lvl w:ilvl="1" w:tplc="80F0D91E">
      <w:numFmt w:val="bullet"/>
      <w:lvlText w:val="•"/>
      <w:lvlJc w:val="left"/>
      <w:pPr>
        <w:ind w:left="2776" w:hanging="360"/>
      </w:pPr>
      <w:rPr>
        <w:rFonts w:hint="default"/>
      </w:rPr>
    </w:lvl>
    <w:lvl w:ilvl="2" w:tplc="0888C70E">
      <w:numFmt w:val="bullet"/>
      <w:lvlText w:val="•"/>
      <w:lvlJc w:val="left"/>
      <w:pPr>
        <w:ind w:left="3752" w:hanging="360"/>
      </w:pPr>
      <w:rPr>
        <w:rFonts w:hint="default"/>
      </w:rPr>
    </w:lvl>
    <w:lvl w:ilvl="3" w:tplc="06429610">
      <w:numFmt w:val="bullet"/>
      <w:lvlText w:val="•"/>
      <w:lvlJc w:val="left"/>
      <w:pPr>
        <w:ind w:left="4728" w:hanging="360"/>
      </w:pPr>
      <w:rPr>
        <w:rFonts w:hint="default"/>
      </w:rPr>
    </w:lvl>
    <w:lvl w:ilvl="4" w:tplc="7CE6F340">
      <w:numFmt w:val="bullet"/>
      <w:lvlText w:val="•"/>
      <w:lvlJc w:val="left"/>
      <w:pPr>
        <w:ind w:left="5704" w:hanging="360"/>
      </w:pPr>
      <w:rPr>
        <w:rFonts w:hint="default"/>
      </w:rPr>
    </w:lvl>
    <w:lvl w:ilvl="5" w:tplc="A7C0EAB4">
      <w:numFmt w:val="bullet"/>
      <w:lvlText w:val="•"/>
      <w:lvlJc w:val="left"/>
      <w:pPr>
        <w:ind w:left="6680" w:hanging="360"/>
      </w:pPr>
      <w:rPr>
        <w:rFonts w:hint="default"/>
      </w:rPr>
    </w:lvl>
    <w:lvl w:ilvl="6" w:tplc="A344ED22">
      <w:numFmt w:val="bullet"/>
      <w:lvlText w:val="•"/>
      <w:lvlJc w:val="left"/>
      <w:pPr>
        <w:ind w:left="7656" w:hanging="360"/>
      </w:pPr>
      <w:rPr>
        <w:rFonts w:hint="default"/>
      </w:rPr>
    </w:lvl>
    <w:lvl w:ilvl="7" w:tplc="B6BCD2B4">
      <w:numFmt w:val="bullet"/>
      <w:lvlText w:val="•"/>
      <w:lvlJc w:val="left"/>
      <w:pPr>
        <w:ind w:left="8632" w:hanging="360"/>
      </w:pPr>
      <w:rPr>
        <w:rFonts w:hint="default"/>
      </w:rPr>
    </w:lvl>
    <w:lvl w:ilvl="8" w:tplc="C52A62E6">
      <w:numFmt w:val="bullet"/>
      <w:lvlText w:val="•"/>
      <w:lvlJc w:val="left"/>
      <w:pPr>
        <w:ind w:left="9608" w:hanging="360"/>
      </w:pPr>
      <w:rPr>
        <w:rFonts w:hint="default"/>
      </w:rPr>
    </w:lvl>
  </w:abstractNum>
  <w:num w:numId="1">
    <w:abstractNumId w:val="24"/>
  </w:num>
  <w:num w:numId="2">
    <w:abstractNumId w:val="29"/>
  </w:num>
  <w:num w:numId="3">
    <w:abstractNumId w:val="15"/>
  </w:num>
  <w:num w:numId="4">
    <w:abstractNumId w:val="16"/>
  </w:num>
  <w:num w:numId="5">
    <w:abstractNumId w:val="17"/>
  </w:num>
  <w:num w:numId="6">
    <w:abstractNumId w:val="13"/>
  </w:num>
  <w:num w:numId="7">
    <w:abstractNumId w:val="27"/>
  </w:num>
  <w:num w:numId="8">
    <w:abstractNumId w:val="23"/>
  </w:num>
  <w:num w:numId="9">
    <w:abstractNumId w:val="18"/>
  </w:num>
  <w:num w:numId="10">
    <w:abstractNumId w:val="14"/>
  </w:num>
  <w:num w:numId="11">
    <w:abstractNumId w:val="20"/>
  </w:num>
  <w:num w:numId="12">
    <w:abstractNumId w:val="12"/>
  </w:num>
  <w:num w:numId="13">
    <w:abstractNumId w:val="11"/>
  </w:num>
  <w:num w:numId="14">
    <w:abstractNumId w:val="28"/>
  </w:num>
  <w:num w:numId="15">
    <w:abstractNumId w:val="4"/>
  </w:num>
  <w:num w:numId="16">
    <w:abstractNumId w:val="3"/>
  </w:num>
  <w:num w:numId="17">
    <w:abstractNumId w:val="0"/>
  </w:num>
  <w:num w:numId="18">
    <w:abstractNumId w:val="22"/>
  </w:num>
  <w:num w:numId="19">
    <w:abstractNumId w:val="6"/>
  </w:num>
  <w:num w:numId="20">
    <w:abstractNumId w:val="21"/>
  </w:num>
  <w:num w:numId="21">
    <w:abstractNumId w:val="8"/>
  </w:num>
  <w:num w:numId="22">
    <w:abstractNumId w:val="19"/>
  </w:num>
  <w:num w:numId="23">
    <w:abstractNumId w:val="10"/>
  </w:num>
  <w:num w:numId="24">
    <w:abstractNumId w:val="9"/>
  </w:num>
  <w:num w:numId="25">
    <w:abstractNumId w:val="5"/>
  </w:num>
  <w:num w:numId="26">
    <w:abstractNumId w:val="25"/>
  </w:num>
  <w:num w:numId="27">
    <w:abstractNumId w:val="7"/>
  </w:num>
  <w:num w:numId="28">
    <w:abstractNumId w:val="26"/>
  </w:num>
  <w:num w:numId="29">
    <w:abstractNumId w:val="2"/>
  </w:num>
  <w:num w:numId="3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西田 純">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AD5"/>
    <w:rsid w:val="000026E0"/>
    <w:rsid w:val="000327D8"/>
    <w:rsid w:val="000823A5"/>
    <w:rsid w:val="00095092"/>
    <w:rsid w:val="00121FCD"/>
    <w:rsid w:val="00162B6A"/>
    <w:rsid w:val="00173154"/>
    <w:rsid w:val="001D762C"/>
    <w:rsid w:val="002048E0"/>
    <w:rsid w:val="00282558"/>
    <w:rsid w:val="00297B93"/>
    <w:rsid w:val="002B3AD5"/>
    <w:rsid w:val="002C5364"/>
    <w:rsid w:val="002F3705"/>
    <w:rsid w:val="002F5B54"/>
    <w:rsid w:val="003531DA"/>
    <w:rsid w:val="00373C8C"/>
    <w:rsid w:val="003B2329"/>
    <w:rsid w:val="003D28CB"/>
    <w:rsid w:val="00410A50"/>
    <w:rsid w:val="004160AB"/>
    <w:rsid w:val="004339EC"/>
    <w:rsid w:val="00436C5E"/>
    <w:rsid w:val="004548CA"/>
    <w:rsid w:val="00524D2C"/>
    <w:rsid w:val="00533B8E"/>
    <w:rsid w:val="00632FBB"/>
    <w:rsid w:val="0063434A"/>
    <w:rsid w:val="00641316"/>
    <w:rsid w:val="006518AC"/>
    <w:rsid w:val="0068611E"/>
    <w:rsid w:val="00687DA8"/>
    <w:rsid w:val="0070515B"/>
    <w:rsid w:val="00754546"/>
    <w:rsid w:val="00755CE4"/>
    <w:rsid w:val="00774939"/>
    <w:rsid w:val="007A0D21"/>
    <w:rsid w:val="007C124F"/>
    <w:rsid w:val="007C5BDE"/>
    <w:rsid w:val="007E7F12"/>
    <w:rsid w:val="0083674E"/>
    <w:rsid w:val="00855401"/>
    <w:rsid w:val="00873DF5"/>
    <w:rsid w:val="008847CF"/>
    <w:rsid w:val="008F04DC"/>
    <w:rsid w:val="00905E8A"/>
    <w:rsid w:val="009A2545"/>
    <w:rsid w:val="009B70CC"/>
    <w:rsid w:val="009E6B95"/>
    <w:rsid w:val="00A22752"/>
    <w:rsid w:val="00A54F9B"/>
    <w:rsid w:val="00AC5F86"/>
    <w:rsid w:val="00AD3367"/>
    <w:rsid w:val="00AF6B19"/>
    <w:rsid w:val="00B22591"/>
    <w:rsid w:val="00BF6216"/>
    <w:rsid w:val="00C03292"/>
    <w:rsid w:val="00C37D34"/>
    <w:rsid w:val="00C81E76"/>
    <w:rsid w:val="00C965AA"/>
    <w:rsid w:val="00D332B0"/>
    <w:rsid w:val="00D66CD0"/>
    <w:rsid w:val="00E13704"/>
    <w:rsid w:val="00E607EF"/>
    <w:rsid w:val="00E94011"/>
    <w:rsid w:val="00EA32B3"/>
    <w:rsid w:val="00EC221F"/>
    <w:rsid w:val="00EF219F"/>
    <w:rsid w:val="00EF5F0A"/>
    <w:rsid w:val="00FA1B5A"/>
    <w:rsid w:val="00FB52C0"/>
    <w:rsid w:val="00FF5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5A5404"/>
  <w15:docId w15:val="{995A9C0F-9A95-4FB7-94EF-0EA15251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ＭＳ Ｐゴシック" w:hAnsi="Arial" w:cs="Arial"/>
    </w:rPr>
  </w:style>
  <w:style w:type="paragraph" w:styleId="1">
    <w:name w:val="heading 1"/>
    <w:basedOn w:val="a"/>
    <w:uiPriority w:val="9"/>
    <w:qFormat/>
    <w:pPr>
      <w:spacing w:before="82"/>
      <w:ind w:left="1080"/>
      <w:outlineLvl w:val="0"/>
    </w:pPr>
    <w:rPr>
      <w:rFonts w:ascii="Arial Black" w:hAnsi="Arial Black" w:cs="Arial Black"/>
      <w:sz w:val="60"/>
      <w:szCs w:val="60"/>
    </w:rPr>
  </w:style>
  <w:style w:type="paragraph" w:styleId="2">
    <w:name w:val="heading 2"/>
    <w:basedOn w:val="a"/>
    <w:uiPriority w:val="9"/>
    <w:unhideWhenUsed/>
    <w:qFormat/>
    <w:pPr>
      <w:spacing w:before="79"/>
      <w:ind w:left="1080"/>
      <w:outlineLvl w:val="1"/>
    </w:pPr>
    <w:rPr>
      <w:b/>
      <w:bCs/>
      <w:sz w:val="28"/>
      <w:szCs w:val="28"/>
    </w:rPr>
  </w:style>
  <w:style w:type="paragraph" w:styleId="3">
    <w:name w:val="heading 3"/>
    <w:basedOn w:val="a"/>
    <w:uiPriority w:val="9"/>
    <w:unhideWhenUsed/>
    <w:qFormat/>
    <w:pPr>
      <w:ind w:left="1800" w:hanging="720"/>
      <w:outlineLvl w:val="2"/>
    </w:pPr>
    <w:rPr>
      <w:b/>
      <w:bCs/>
      <w:sz w:val="24"/>
      <w:szCs w:val="24"/>
    </w:rPr>
  </w:style>
  <w:style w:type="paragraph" w:styleId="4">
    <w:name w:val="heading 4"/>
    <w:basedOn w:val="a"/>
    <w:uiPriority w:val="9"/>
    <w:unhideWhenUsed/>
    <w:qFormat/>
    <w:pPr>
      <w:ind w:left="1080"/>
      <w:outlineLvl w:val="3"/>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42"/>
      <w:ind w:right="376"/>
      <w:jc w:val="center"/>
    </w:pPr>
    <w:rPr>
      <w:rFonts w:ascii="Arial Black" w:hAnsi="Arial Black" w:cs="Arial Black"/>
      <w:sz w:val="24"/>
      <w:szCs w:val="24"/>
    </w:rPr>
  </w:style>
  <w:style w:type="paragraph" w:styleId="20">
    <w:name w:val="toc 2"/>
    <w:basedOn w:val="a"/>
    <w:uiPriority w:val="1"/>
    <w:qFormat/>
    <w:pPr>
      <w:spacing w:before="277"/>
      <w:ind w:left="1080"/>
    </w:pPr>
    <w:rPr>
      <w:rFonts w:ascii="Arial Black" w:hAnsi="Arial Black" w:cs="Arial Black"/>
      <w:sz w:val="24"/>
      <w:szCs w:val="24"/>
    </w:rPr>
  </w:style>
  <w:style w:type="paragraph" w:styleId="30">
    <w:name w:val="toc 3"/>
    <w:basedOn w:val="a"/>
    <w:uiPriority w:val="1"/>
    <w:qFormat/>
    <w:pPr>
      <w:spacing w:before="154"/>
      <w:ind w:left="1961" w:hanging="682"/>
    </w:pPr>
    <w:rPr>
      <w:sz w:val="20"/>
      <w:szCs w:val="20"/>
    </w:rPr>
  </w:style>
  <w:style w:type="paragraph" w:styleId="40">
    <w:name w:val="toc 4"/>
    <w:basedOn w:val="a"/>
    <w:uiPriority w:val="1"/>
    <w:qFormat/>
    <w:pPr>
      <w:spacing w:before="154"/>
      <w:ind w:left="2640" w:hanging="1159"/>
    </w:pPr>
    <w:rPr>
      <w:sz w:val="20"/>
      <w:szCs w:val="20"/>
    </w:rPr>
  </w:style>
  <w:style w:type="paragraph" w:styleId="a3">
    <w:name w:val="Body Text"/>
    <w:basedOn w:val="a"/>
    <w:uiPriority w:val="1"/>
    <w:qFormat/>
    <w:rPr>
      <w:sz w:val="20"/>
      <w:szCs w:val="20"/>
    </w:rPr>
  </w:style>
  <w:style w:type="paragraph" w:styleId="a4">
    <w:name w:val="List Paragraph"/>
    <w:basedOn w:val="a"/>
    <w:uiPriority w:val="1"/>
    <w:qFormat/>
    <w:pPr>
      <w:spacing w:before="154"/>
      <w:ind w:left="2640" w:hanging="1159"/>
    </w:pPr>
  </w:style>
  <w:style w:type="paragraph" w:customStyle="1" w:styleId="TableParagraph">
    <w:name w:val="Table Paragraph"/>
    <w:basedOn w:val="a"/>
    <w:uiPriority w:val="1"/>
    <w:qFormat/>
    <w:pPr>
      <w:spacing w:before="40"/>
      <w:ind w:left="107"/>
    </w:pPr>
  </w:style>
  <w:style w:type="paragraph" w:styleId="a5">
    <w:name w:val="header"/>
    <w:basedOn w:val="a"/>
    <w:link w:val="a6"/>
    <w:uiPriority w:val="99"/>
    <w:unhideWhenUsed/>
    <w:rsid w:val="00AD3367"/>
    <w:pPr>
      <w:tabs>
        <w:tab w:val="center" w:pos="4252"/>
        <w:tab w:val="right" w:pos="8504"/>
      </w:tabs>
      <w:snapToGrid w:val="0"/>
    </w:pPr>
  </w:style>
  <w:style w:type="character" w:customStyle="1" w:styleId="a6">
    <w:name w:val="ヘッダー (文字)"/>
    <w:basedOn w:val="a0"/>
    <w:link w:val="a5"/>
    <w:uiPriority w:val="99"/>
    <w:rsid w:val="00AD3367"/>
    <w:rPr>
      <w:rFonts w:ascii="Arial" w:eastAsia="ＭＳ Ｐゴシック" w:hAnsi="Arial" w:cs="Arial"/>
    </w:rPr>
  </w:style>
  <w:style w:type="paragraph" w:styleId="a7">
    <w:name w:val="footer"/>
    <w:basedOn w:val="a"/>
    <w:link w:val="a8"/>
    <w:uiPriority w:val="99"/>
    <w:unhideWhenUsed/>
    <w:rsid w:val="00AD3367"/>
    <w:pPr>
      <w:tabs>
        <w:tab w:val="center" w:pos="4252"/>
        <w:tab w:val="right" w:pos="8504"/>
      </w:tabs>
      <w:snapToGrid w:val="0"/>
    </w:pPr>
  </w:style>
  <w:style w:type="character" w:customStyle="1" w:styleId="a8">
    <w:name w:val="フッター (文字)"/>
    <w:basedOn w:val="a0"/>
    <w:link w:val="a7"/>
    <w:uiPriority w:val="99"/>
    <w:rsid w:val="00AD3367"/>
    <w:rPr>
      <w:rFonts w:ascii="Arial" w:eastAsia="ＭＳ Ｐゴシック" w:hAnsi="Arial" w:cs="Arial"/>
    </w:rPr>
  </w:style>
  <w:style w:type="paragraph" w:styleId="a9">
    <w:name w:val="Balloon Text"/>
    <w:basedOn w:val="a"/>
    <w:link w:val="aa"/>
    <w:uiPriority w:val="99"/>
    <w:semiHidden/>
    <w:unhideWhenUsed/>
    <w:rsid w:val="007E7F1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E7F12"/>
    <w:rPr>
      <w:rFonts w:asciiTheme="majorHAnsi" w:eastAsiaTheme="majorEastAsia" w:hAnsiTheme="majorHAnsi" w:cstheme="majorBidi"/>
      <w:sz w:val="18"/>
      <w:szCs w:val="18"/>
    </w:rPr>
  </w:style>
  <w:style w:type="character" w:styleId="ab">
    <w:name w:val="annotation reference"/>
    <w:basedOn w:val="a0"/>
    <w:uiPriority w:val="99"/>
    <w:semiHidden/>
    <w:unhideWhenUsed/>
    <w:rsid w:val="00095092"/>
    <w:rPr>
      <w:sz w:val="18"/>
      <w:szCs w:val="18"/>
    </w:rPr>
  </w:style>
  <w:style w:type="paragraph" w:styleId="ac">
    <w:name w:val="annotation text"/>
    <w:basedOn w:val="a"/>
    <w:link w:val="ad"/>
    <w:uiPriority w:val="99"/>
    <w:semiHidden/>
    <w:unhideWhenUsed/>
    <w:rsid w:val="00095092"/>
  </w:style>
  <w:style w:type="character" w:customStyle="1" w:styleId="ad">
    <w:name w:val="コメント文字列 (文字)"/>
    <w:basedOn w:val="a0"/>
    <w:link w:val="ac"/>
    <w:uiPriority w:val="99"/>
    <w:semiHidden/>
    <w:rsid w:val="00095092"/>
    <w:rPr>
      <w:rFonts w:ascii="Arial" w:eastAsia="ＭＳ Ｐゴシック" w:hAnsi="Arial" w:cs="Arial"/>
    </w:rPr>
  </w:style>
  <w:style w:type="paragraph" w:styleId="ae">
    <w:name w:val="annotation subject"/>
    <w:basedOn w:val="ac"/>
    <w:next w:val="ac"/>
    <w:link w:val="af"/>
    <w:uiPriority w:val="99"/>
    <w:semiHidden/>
    <w:unhideWhenUsed/>
    <w:rsid w:val="00095092"/>
    <w:rPr>
      <w:b/>
      <w:bCs/>
    </w:rPr>
  </w:style>
  <w:style w:type="character" w:customStyle="1" w:styleId="af">
    <w:name w:val="コメント内容 (文字)"/>
    <w:basedOn w:val="ad"/>
    <w:link w:val="ae"/>
    <w:uiPriority w:val="99"/>
    <w:semiHidden/>
    <w:rsid w:val="00095092"/>
    <w:rPr>
      <w:rFonts w:ascii="Arial" w:eastAsia="ＭＳ Ｐゴシック"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c.europa.eu/agriculture/forest/strategy_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ao.org/state-of-forests/en/"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commentsExtended" Target="commentsExtended.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o.org/state-of-forests/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c.europa.eu/info/strategy/priorities-2019-2024/european-green-deal_en" TargetMode="External"/><Relationship Id="rId22" Type="http://schemas.openxmlformats.org/officeDocument/2006/relationships/comments" Target="comments.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9A64-FE88-47DE-B857-34D3574C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6980</Words>
  <Characters>39791</Characters>
  <Application>Microsoft Office Word</Application>
  <DocSecurity>0</DocSecurity>
  <Lines>331</Lines>
  <Paragraphs>93</Paragraphs>
  <ScaleCrop>false</ScaleCrop>
  <HeadingPairs>
    <vt:vector size="2" baseType="variant">
      <vt:variant>
        <vt:lpstr>タイトル</vt:lpstr>
      </vt:variant>
      <vt:variant>
        <vt:i4>1</vt:i4>
      </vt:variant>
    </vt:vector>
  </HeadingPairs>
  <TitlesOfParts>
    <vt:vector size="1" baseType="lpstr">
      <vt:lpstr>Technical annex to the TEG final report on the EU taxonomy</vt:lpstr>
    </vt:vector>
  </TitlesOfParts>
  <Company/>
  <LinksUpToDate>false</LinksUpToDate>
  <CharactersWithSpaces>46678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annex to the TEG final report on the EU taxonomy</dc:title>
  <dc:subject>Technical annex to the TEG final report on the EU taxonomy</dc:subject>
  <dc:creator>Technical expert group on sustainable finance (TEG)</dc:creator>
  <cp:lastModifiedBy>片田 康行</cp:lastModifiedBy>
  <cp:revision>2</cp:revision>
  <cp:lastPrinted>2021-01-28T02:07:00Z</cp:lastPrinted>
  <dcterms:created xsi:type="dcterms:W3CDTF">2021-01-28T02:10:00Z</dcterms:created>
  <dcterms:modified xsi:type="dcterms:W3CDTF">2021-01-28T02:10:00Z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 for Office 365</vt:lpwstr>
  </property>
  <property fmtid="{D5CDD505-2E9C-101B-9397-08002B2CF9AE}" pid="4" name="LastSaved">
    <vt:filetime>2020-08-06T00:00:00Z</vt:filetime>
  </property>
</Properties>
</file>